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89768" w14:textId="77777777" w:rsidR="0021112C" w:rsidRPr="00200F7B" w:rsidRDefault="0021112C" w:rsidP="0021112C">
      <w:pPr>
        <w:rPr>
          <w:sz w:val="48"/>
          <w:szCs w:val="48"/>
        </w:rPr>
      </w:pPr>
    </w:p>
    <w:p w14:paraId="5BC524C8" w14:textId="77777777" w:rsidR="0021112C" w:rsidRDefault="0021112C" w:rsidP="0021112C">
      <w:pPr>
        <w:rPr>
          <w:b/>
          <w:bCs/>
          <w:sz w:val="48"/>
          <w:szCs w:val="48"/>
        </w:rPr>
      </w:pPr>
    </w:p>
    <w:p w14:paraId="3520F721" w14:textId="77777777" w:rsidR="0021112C" w:rsidRDefault="0021112C" w:rsidP="0021112C">
      <w:pPr>
        <w:rPr>
          <w:b/>
          <w:bCs/>
          <w:sz w:val="48"/>
          <w:szCs w:val="48"/>
        </w:rPr>
      </w:pPr>
    </w:p>
    <w:p w14:paraId="4CB58B19" w14:textId="77777777" w:rsidR="0021112C" w:rsidRDefault="0021112C" w:rsidP="0021112C">
      <w:pPr>
        <w:rPr>
          <w:b/>
          <w:bCs/>
          <w:sz w:val="48"/>
          <w:szCs w:val="48"/>
        </w:rPr>
      </w:pPr>
    </w:p>
    <w:p w14:paraId="6BA61D50" w14:textId="77777777" w:rsidR="0021112C" w:rsidRPr="00200F7B" w:rsidRDefault="0021112C" w:rsidP="0021112C">
      <w:pPr>
        <w:rPr>
          <w:b/>
          <w:bCs/>
          <w:sz w:val="48"/>
          <w:szCs w:val="48"/>
        </w:rPr>
      </w:pPr>
      <w:r w:rsidRPr="00200F7B">
        <w:rPr>
          <w:b/>
          <w:bCs/>
          <w:sz w:val="48"/>
          <w:szCs w:val="48"/>
        </w:rPr>
        <w:t xml:space="preserve">Uptake of the Health Star Rating system </w:t>
      </w:r>
    </w:p>
    <w:p w14:paraId="5EBF8118" w14:textId="6DECEEB1" w:rsidR="0021112C" w:rsidRPr="00200F7B" w:rsidRDefault="0021112C" w:rsidP="0021112C">
      <w:pPr>
        <w:rPr>
          <w:b/>
          <w:bCs/>
          <w:sz w:val="48"/>
          <w:szCs w:val="48"/>
        </w:rPr>
      </w:pPr>
      <w:r>
        <w:rPr>
          <w:b/>
          <w:bCs/>
          <w:sz w:val="48"/>
          <w:szCs w:val="48"/>
        </w:rPr>
        <w:t xml:space="preserve">as at November </w:t>
      </w:r>
      <w:r w:rsidRPr="00200F7B">
        <w:rPr>
          <w:b/>
          <w:bCs/>
          <w:sz w:val="48"/>
          <w:szCs w:val="48"/>
        </w:rPr>
        <w:t>202</w:t>
      </w:r>
      <w:r>
        <w:rPr>
          <w:b/>
          <w:bCs/>
          <w:sz w:val="48"/>
          <w:szCs w:val="48"/>
        </w:rPr>
        <w:t>4</w:t>
      </w:r>
    </w:p>
    <w:p w14:paraId="73C85972" w14:textId="77777777" w:rsidR="0021112C" w:rsidRDefault="0021112C" w:rsidP="0021112C"/>
    <w:p w14:paraId="681C618C" w14:textId="2D98D3C2" w:rsidR="0021112C" w:rsidRPr="00200F7B" w:rsidRDefault="0021112C" w:rsidP="0021112C">
      <w:pPr>
        <w:rPr>
          <w:sz w:val="24"/>
          <w:szCs w:val="24"/>
        </w:rPr>
      </w:pPr>
      <w:r w:rsidRPr="00200F7B">
        <w:rPr>
          <w:sz w:val="24"/>
          <w:szCs w:val="24"/>
        </w:rPr>
        <w:t xml:space="preserve">A report on progress against </w:t>
      </w:r>
      <w:r w:rsidR="00773922">
        <w:rPr>
          <w:sz w:val="24"/>
          <w:szCs w:val="24"/>
        </w:rPr>
        <w:t>interim</w:t>
      </w:r>
      <w:r w:rsidRPr="00200F7B">
        <w:rPr>
          <w:sz w:val="24"/>
          <w:szCs w:val="24"/>
        </w:rPr>
        <w:t xml:space="preserve"> target</w:t>
      </w:r>
      <w:r w:rsidR="00773922">
        <w:rPr>
          <w:sz w:val="24"/>
          <w:szCs w:val="24"/>
        </w:rPr>
        <w:t xml:space="preserve"> 2</w:t>
      </w:r>
      <w:r w:rsidRPr="00200F7B">
        <w:rPr>
          <w:sz w:val="24"/>
          <w:szCs w:val="24"/>
        </w:rPr>
        <w:t xml:space="preserve"> of the Health Star Rating system </w:t>
      </w:r>
    </w:p>
    <w:p w14:paraId="23D730DF" w14:textId="77777777" w:rsidR="0021112C" w:rsidRDefault="0021112C" w:rsidP="0021112C"/>
    <w:p w14:paraId="117A9BE7" w14:textId="77777777" w:rsidR="0021112C" w:rsidRPr="00B00E5C" w:rsidRDefault="0021112C" w:rsidP="0021112C"/>
    <w:p w14:paraId="27BBABEF" w14:textId="77777777" w:rsidR="0021112C" w:rsidRPr="00B00E5C" w:rsidRDefault="0021112C" w:rsidP="0021112C"/>
    <w:p w14:paraId="65BFC072" w14:textId="77777777" w:rsidR="0021112C" w:rsidRPr="00B00E5C" w:rsidRDefault="0021112C" w:rsidP="0021112C"/>
    <w:p w14:paraId="0846C057" w14:textId="77777777" w:rsidR="0021112C" w:rsidRPr="00B00E5C" w:rsidRDefault="0021112C" w:rsidP="0021112C"/>
    <w:p w14:paraId="1D4D84CD" w14:textId="77777777" w:rsidR="0021112C" w:rsidRPr="00B00E5C" w:rsidRDefault="0021112C" w:rsidP="0021112C"/>
    <w:p w14:paraId="41EC72FB" w14:textId="77777777" w:rsidR="0021112C" w:rsidRPr="00B00E5C" w:rsidRDefault="0021112C" w:rsidP="0021112C"/>
    <w:p w14:paraId="2703DE1A" w14:textId="77777777" w:rsidR="0021112C" w:rsidRPr="00B00E5C" w:rsidRDefault="0021112C" w:rsidP="0021112C"/>
    <w:p w14:paraId="5A6C59E5" w14:textId="77777777" w:rsidR="0021112C" w:rsidRPr="00B00E5C" w:rsidRDefault="0021112C" w:rsidP="0021112C"/>
    <w:p w14:paraId="09C186DA" w14:textId="379F3D64" w:rsidR="0021112C" w:rsidRPr="00B00E5C" w:rsidRDefault="0021112C" w:rsidP="0021112C">
      <w:pPr>
        <w:tabs>
          <w:tab w:val="left" w:pos="8055"/>
        </w:tabs>
      </w:pPr>
      <w:r>
        <w:tab/>
      </w:r>
    </w:p>
    <w:p w14:paraId="605F18CF" w14:textId="325A3A45" w:rsidR="0021112C" w:rsidRDefault="00D41C0C" w:rsidP="0021112C">
      <w:pPr>
        <w:jc w:val="right"/>
        <w:rPr>
          <w:rFonts w:cstheme="minorHAnsi"/>
          <w:b/>
          <w:bCs/>
        </w:rPr>
      </w:pPr>
      <w:r>
        <w:rPr>
          <w:rFonts w:cstheme="minorHAnsi"/>
          <w:b/>
          <w:bCs/>
        </w:rPr>
        <w:t>March</w:t>
      </w:r>
      <w:r w:rsidR="0021112C" w:rsidRPr="00200F7B">
        <w:rPr>
          <w:rFonts w:cstheme="minorHAnsi"/>
          <w:b/>
          <w:bCs/>
        </w:rPr>
        <w:t xml:space="preserve"> 202</w:t>
      </w:r>
      <w:r w:rsidR="0021112C">
        <w:rPr>
          <w:rFonts w:cstheme="minorHAnsi"/>
          <w:b/>
          <w:bCs/>
        </w:rPr>
        <w:t>5</w:t>
      </w:r>
    </w:p>
    <w:p w14:paraId="3B479F35" w14:textId="77777777" w:rsidR="0021112C" w:rsidRDefault="0021112C" w:rsidP="0021112C">
      <w:pPr>
        <w:rPr>
          <w:rFonts w:cstheme="minorHAnsi"/>
          <w:b/>
          <w:bCs/>
        </w:rPr>
      </w:pPr>
      <w:r>
        <w:rPr>
          <w:rFonts w:cstheme="minorHAnsi"/>
          <w:b/>
          <w:bCs/>
        </w:rPr>
        <w:br w:type="page"/>
      </w:r>
    </w:p>
    <w:p w14:paraId="45B37E35" w14:textId="77777777" w:rsidR="0021112C" w:rsidRDefault="0021112C" w:rsidP="0021112C">
      <w:pPr>
        <w:pStyle w:val="Heading1"/>
        <w:spacing w:after="120" w:line="240" w:lineRule="auto"/>
      </w:pPr>
      <w:bookmarkStart w:id="0" w:name="_Toc190429966"/>
      <w:r>
        <w:lastRenderedPageBreak/>
        <w:t>Introduction</w:t>
      </w:r>
      <w:bookmarkEnd w:id="0"/>
      <w:r>
        <w:t xml:space="preserve"> </w:t>
      </w:r>
    </w:p>
    <w:p w14:paraId="11FD9BD0" w14:textId="0308DA60" w:rsidR="0021112C" w:rsidRPr="000E749D" w:rsidRDefault="0021112C" w:rsidP="0021112C">
      <w:pPr>
        <w:spacing w:after="120" w:line="240" w:lineRule="auto"/>
        <w:rPr>
          <w:rFonts w:cstheme="minorHAnsi"/>
        </w:rPr>
      </w:pPr>
      <w:r w:rsidRPr="000E749D">
        <w:rPr>
          <w:rFonts w:cstheme="minorHAnsi"/>
        </w:rPr>
        <w:t xml:space="preserve">The Health Star Rating </w:t>
      </w:r>
      <w:r>
        <w:rPr>
          <w:rFonts w:cstheme="minorHAnsi"/>
        </w:rPr>
        <w:t xml:space="preserve">system </w:t>
      </w:r>
      <w:r w:rsidRPr="000E749D">
        <w:rPr>
          <w:rFonts w:cstheme="minorHAnsi"/>
        </w:rPr>
        <w:t>(HSR) is a voluntary front-of-pack labelling system</w:t>
      </w:r>
      <w:r w:rsidR="009314E1">
        <w:rPr>
          <w:rFonts w:cstheme="minorHAnsi"/>
        </w:rPr>
        <w:t>. It</w:t>
      </w:r>
      <w:r w:rsidRPr="000E749D">
        <w:rPr>
          <w:rFonts w:cstheme="minorHAnsi"/>
        </w:rPr>
        <w:t xml:space="preserve"> rates the overall nutritional profile of packaged food and assigns it a rating from ½ a star to 5 stars. It provides a quick, easy, standard way to compare similar packaged foods</w:t>
      </w:r>
      <w:r w:rsidRPr="000E749D">
        <w:rPr>
          <w:rFonts w:cstheme="minorHAnsi"/>
          <w:shd w:val="clear" w:color="auto" w:fill="FFFFFF"/>
        </w:rPr>
        <w:t>.</w:t>
      </w:r>
      <w:r w:rsidRPr="000E749D">
        <w:rPr>
          <w:rFonts w:cstheme="minorHAnsi"/>
        </w:rPr>
        <w:t xml:space="preserve"> </w:t>
      </w:r>
    </w:p>
    <w:p w14:paraId="494F24E6" w14:textId="05AE3ACB" w:rsidR="0021112C" w:rsidRPr="000E749D" w:rsidRDefault="0021112C" w:rsidP="0021112C">
      <w:pPr>
        <w:spacing w:after="120" w:line="240" w:lineRule="auto"/>
        <w:rPr>
          <w:rFonts w:cstheme="minorHAnsi"/>
        </w:rPr>
      </w:pPr>
      <w:r w:rsidRPr="000E749D">
        <w:rPr>
          <w:rFonts w:cstheme="minorHAnsi"/>
        </w:rPr>
        <w:t xml:space="preserve">The HSR system was </w:t>
      </w:r>
      <w:r>
        <w:rPr>
          <w:rFonts w:cstheme="minorHAnsi"/>
        </w:rPr>
        <w:t xml:space="preserve">first </w:t>
      </w:r>
      <w:r w:rsidRPr="000E749D">
        <w:rPr>
          <w:rFonts w:cstheme="minorHAnsi"/>
        </w:rPr>
        <w:t>implemented in Australia and New Zealand in June 2014</w:t>
      </w:r>
      <w:r w:rsidR="009314E1">
        <w:rPr>
          <w:rFonts w:cstheme="minorHAnsi"/>
        </w:rPr>
        <w:t>. It</w:t>
      </w:r>
      <w:r w:rsidRPr="000E749D">
        <w:rPr>
          <w:rFonts w:cstheme="minorHAnsi"/>
        </w:rPr>
        <w:t xml:space="preserve"> is jointly funded by </w:t>
      </w:r>
      <w:r>
        <w:rPr>
          <w:rFonts w:cstheme="minorHAnsi"/>
        </w:rPr>
        <w:t xml:space="preserve">the </w:t>
      </w:r>
      <w:r w:rsidRPr="000E749D">
        <w:rPr>
          <w:rFonts w:cstheme="minorHAnsi"/>
        </w:rPr>
        <w:t xml:space="preserve">Australian, state and territory and New Zealand governments. </w:t>
      </w:r>
    </w:p>
    <w:p w14:paraId="7C475714" w14:textId="77777777" w:rsidR="0021112C" w:rsidRPr="000E749D" w:rsidRDefault="0021112C" w:rsidP="0021112C">
      <w:pPr>
        <w:spacing w:after="120" w:line="240" w:lineRule="auto"/>
        <w:rPr>
          <w:rFonts w:cstheme="minorHAnsi"/>
        </w:rPr>
      </w:pPr>
      <w:r w:rsidRPr="000E749D">
        <w:rPr>
          <w:rFonts w:cstheme="minorHAnsi"/>
        </w:rPr>
        <w:t>Following an independent review of the HSR system in 2019</w:t>
      </w:r>
      <w:r>
        <w:rPr>
          <w:rFonts w:cstheme="minorHAnsi"/>
        </w:rPr>
        <w:t xml:space="preserve"> (the Five Year Review)</w:t>
      </w:r>
      <w:r w:rsidRPr="000E749D">
        <w:rPr>
          <w:rFonts w:cstheme="minorHAnsi"/>
        </w:rPr>
        <w:t>, Food Ministers in Australia and New Zealand set the following uptake targets for the system:</w:t>
      </w:r>
    </w:p>
    <w:p w14:paraId="57E49E10" w14:textId="77777777" w:rsidR="0021112C" w:rsidRPr="000E749D" w:rsidRDefault="0021112C" w:rsidP="0021112C">
      <w:pPr>
        <w:pStyle w:val="ListParagraph"/>
        <w:numPr>
          <w:ilvl w:val="0"/>
          <w:numId w:val="1"/>
        </w:numPr>
        <w:spacing w:after="120" w:line="240" w:lineRule="auto"/>
        <w:ind w:left="567" w:hanging="283"/>
        <w:contextualSpacing w:val="0"/>
        <w:rPr>
          <w:rFonts w:cstheme="minorHAnsi"/>
        </w:rPr>
      </w:pPr>
      <w:r w:rsidRPr="000E749D">
        <w:rPr>
          <w:rFonts w:cstheme="minorHAnsi"/>
        </w:rPr>
        <w:t>Interim target 1: 50% of intended products apply an HSR by 14 November 2023</w:t>
      </w:r>
    </w:p>
    <w:p w14:paraId="7890B921" w14:textId="77777777" w:rsidR="0021112C" w:rsidRPr="000E749D" w:rsidRDefault="0021112C" w:rsidP="0021112C">
      <w:pPr>
        <w:pStyle w:val="ListParagraph"/>
        <w:numPr>
          <w:ilvl w:val="0"/>
          <w:numId w:val="1"/>
        </w:numPr>
        <w:spacing w:after="120" w:line="240" w:lineRule="auto"/>
        <w:ind w:left="567" w:hanging="283"/>
        <w:contextualSpacing w:val="0"/>
        <w:rPr>
          <w:rFonts w:cstheme="minorHAnsi"/>
        </w:rPr>
      </w:pPr>
      <w:r w:rsidRPr="000E749D">
        <w:rPr>
          <w:rFonts w:cstheme="minorHAnsi"/>
        </w:rPr>
        <w:t>Interim target 2: 60% of intended products apply an HSR by 14 November 2024</w:t>
      </w:r>
    </w:p>
    <w:p w14:paraId="631B27B7" w14:textId="77777777" w:rsidR="0021112C" w:rsidRPr="000E749D" w:rsidRDefault="0021112C" w:rsidP="0021112C">
      <w:pPr>
        <w:pStyle w:val="ListParagraph"/>
        <w:numPr>
          <w:ilvl w:val="0"/>
          <w:numId w:val="1"/>
        </w:numPr>
        <w:spacing w:after="120" w:line="240" w:lineRule="auto"/>
        <w:ind w:left="568" w:hanging="284"/>
        <w:contextualSpacing w:val="0"/>
        <w:rPr>
          <w:rFonts w:cstheme="minorHAnsi"/>
        </w:rPr>
      </w:pPr>
      <w:r w:rsidRPr="000E749D">
        <w:rPr>
          <w:rFonts w:cstheme="minorHAnsi"/>
        </w:rPr>
        <w:t>Final target: 70% of intended products apply an HSR by 14 November 2025.</w:t>
      </w:r>
    </w:p>
    <w:p w14:paraId="23CF73B8" w14:textId="6C600EED" w:rsidR="0021112C" w:rsidRPr="00DF4F79" w:rsidRDefault="0021112C" w:rsidP="0021112C">
      <w:pPr>
        <w:spacing w:after="120" w:line="240" w:lineRule="auto"/>
        <w:rPr>
          <w:rFonts w:cstheme="minorHAnsi"/>
          <w:color w:val="FF0000"/>
        </w:rPr>
      </w:pPr>
      <w:r w:rsidRPr="000E749D">
        <w:rPr>
          <w:rFonts w:cstheme="minorHAnsi"/>
        </w:rPr>
        <w:t xml:space="preserve">Ministers agreed that if the final target is not met, they will consider mandating the system. </w:t>
      </w:r>
      <w:r w:rsidR="00DF4F79" w:rsidRPr="00447AFB">
        <w:rPr>
          <w:rFonts w:cstheme="minorHAnsi"/>
        </w:rPr>
        <w:t>Uptake reported last year against the first target was 32% in Australia and 30% in New Zealand.</w:t>
      </w:r>
    </w:p>
    <w:p w14:paraId="68972452" w14:textId="23C65CF9" w:rsidR="0021112C" w:rsidRDefault="0021112C" w:rsidP="06E399A0">
      <w:pPr>
        <w:spacing w:after="120" w:line="240" w:lineRule="auto"/>
      </w:pPr>
      <w:r w:rsidRPr="77EDEA43">
        <w:t>Data to monitor progress towards these targets are analysed in Australia by Food Standards Australia New Zealand (FSANZ), and in New Zealand by New Zealand Food Safety (NZFS).</w:t>
      </w:r>
      <w:r>
        <w:t xml:space="preserve"> FSANZ and NZFS</w:t>
      </w:r>
      <w:r w:rsidR="45B1E1DA">
        <w:t xml:space="preserve"> </w:t>
      </w:r>
      <w:r w:rsidR="009314E1">
        <w:t xml:space="preserve">used similar methods </w:t>
      </w:r>
      <w:r w:rsidR="45B1E1DA">
        <w:t>to undertake this monitoring</w:t>
      </w:r>
      <w:r>
        <w:t>.</w:t>
      </w:r>
    </w:p>
    <w:p w14:paraId="09594CC3" w14:textId="77777777" w:rsidR="0021112C" w:rsidRDefault="0021112C" w:rsidP="0021112C">
      <w:pPr>
        <w:spacing w:after="120" w:line="240" w:lineRule="auto"/>
        <w:rPr>
          <w:rFonts w:cstheme="minorHAnsi"/>
        </w:rPr>
      </w:pPr>
      <w:r>
        <w:rPr>
          <w:rFonts w:cstheme="minorHAnsi"/>
        </w:rPr>
        <w:t xml:space="preserve">Uptake targets are measured based on total stock keeping units (SKUs) intended to apply the HSR system. This is intended to: </w:t>
      </w:r>
    </w:p>
    <w:p w14:paraId="41E288B1" w14:textId="77777777" w:rsidR="0021112C" w:rsidRPr="007B3C8E" w:rsidRDefault="0021112C" w:rsidP="0021112C">
      <w:pPr>
        <w:numPr>
          <w:ilvl w:val="0"/>
          <w:numId w:val="4"/>
        </w:numPr>
        <w:shd w:val="clear" w:color="auto" w:fill="FFFFFF"/>
        <w:spacing w:after="120" w:line="240" w:lineRule="auto"/>
        <w:rPr>
          <w:rFonts w:eastAsia="Times New Roman" w:cstheme="minorHAnsi"/>
          <w:color w:val="333333"/>
          <w:lang w:eastAsia="en-AU"/>
        </w:rPr>
      </w:pPr>
      <w:r>
        <w:rPr>
          <w:rFonts w:eastAsia="Times New Roman" w:cstheme="minorHAnsi"/>
          <w:color w:val="333333"/>
          <w:lang w:eastAsia="en-AU"/>
        </w:rPr>
        <w:t>i</w:t>
      </w:r>
      <w:r w:rsidRPr="007B3C8E">
        <w:rPr>
          <w:rFonts w:eastAsia="Times New Roman" w:cstheme="minorHAnsi"/>
          <w:color w:val="333333"/>
          <w:lang w:eastAsia="en-AU"/>
        </w:rPr>
        <w:t xml:space="preserve">llustrate the absolute number of foods carrying the </w:t>
      </w:r>
      <w:r>
        <w:rPr>
          <w:rFonts w:eastAsia="Times New Roman" w:cstheme="minorHAnsi"/>
          <w:color w:val="333333"/>
          <w:lang w:eastAsia="en-AU"/>
        </w:rPr>
        <w:t xml:space="preserve">HSR </w:t>
      </w:r>
      <w:r w:rsidRPr="007B3C8E">
        <w:rPr>
          <w:rFonts w:eastAsia="Times New Roman" w:cstheme="minorHAnsi"/>
          <w:color w:val="333333"/>
          <w:lang w:eastAsia="en-AU"/>
        </w:rPr>
        <w:t>irrespective of the market share of products</w:t>
      </w:r>
    </w:p>
    <w:p w14:paraId="2AA2BC74" w14:textId="77777777" w:rsidR="0021112C" w:rsidRPr="007B3C8E" w:rsidRDefault="0021112C" w:rsidP="0021112C">
      <w:pPr>
        <w:numPr>
          <w:ilvl w:val="0"/>
          <w:numId w:val="4"/>
        </w:numPr>
        <w:shd w:val="clear" w:color="auto" w:fill="FFFFFF"/>
        <w:spacing w:after="120" w:line="240" w:lineRule="auto"/>
        <w:rPr>
          <w:rFonts w:eastAsia="Times New Roman" w:cstheme="minorHAnsi"/>
          <w:color w:val="333333"/>
          <w:lang w:eastAsia="en-AU"/>
        </w:rPr>
      </w:pPr>
      <w:r>
        <w:rPr>
          <w:rFonts w:eastAsia="Times New Roman" w:cstheme="minorHAnsi"/>
          <w:color w:val="333333"/>
          <w:lang w:eastAsia="en-AU"/>
        </w:rPr>
        <w:t>a</w:t>
      </w:r>
      <w:r w:rsidRPr="007B3C8E">
        <w:rPr>
          <w:rFonts w:eastAsia="Times New Roman" w:cstheme="minorHAnsi"/>
          <w:color w:val="333333"/>
          <w:lang w:eastAsia="en-AU"/>
        </w:rPr>
        <w:t>chieve the broadest coverage across the food supply, including by targeting both high selling and lower selling products</w:t>
      </w:r>
    </w:p>
    <w:p w14:paraId="402472ED" w14:textId="77777777" w:rsidR="0021112C" w:rsidRPr="007B3C8E" w:rsidRDefault="0021112C" w:rsidP="0021112C">
      <w:pPr>
        <w:numPr>
          <w:ilvl w:val="0"/>
          <w:numId w:val="4"/>
        </w:numPr>
        <w:shd w:val="clear" w:color="auto" w:fill="FFFFFF"/>
        <w:spacing w:after="120" w:line="240" w:lineRule="auto"/>
        <w:ind w:left="714" w:hanging="357"/>
        <w:rPr>
          <w:rFonts w:eastAsia="Times New Roman" w:cstheme="minorHAnsi"/>
          <w:color w:val="333333"/>
          <w:lang w:eastAsia="en-AU"/>
        </w:rPr>
      </w:pPr>
      <w:r>
        <w:rPr>
          <w:rFonts w:eastAsia="Times New Roman" w:cstheme="minorHAnsi"/>
          <w:color w:val="333333"/>
          <w:lang w:eastAsia="en-AU"/>
        </w:rPr>
        <w:t>m</w:t>
      </w:r>
      <w:r w:rsidRPr="007B3C8E">
        <w:rPr>
          <w:rFonts w:eastAsia="Times New Roman" w:cstheme="minorHAnsi"/>
          <w:color w:val="333333"/>
          <w:lang w:eastAsia="en-AU"/>
        </w:rPr>
        <w:t>aximise the information available to consumers at the point of purchase.</w:t>
      </w:r>
    </w:p>
    <w:p w14:paraId="5159BE32" w14:textId="6FB0A640" w:rsidR="0021112C" w:rsidRPr="00656C06" w:rsidRDefault="0021112C" w:rsidP="0021112C">
      <w:pPr>
        <w:pStyle w:val="Heading1"/>
        <w:spacing w:after="120" w:line="240" w:lineRule="auto"/>
      </w:pPr>
      <w:bookmarkStart w:id="1" w:name="_Toc190429967"/>
      <w:r>
        <w:t>Uptake monitoring 2024</w:t>
      </w:r>
      <w:bookmarkEnd w:id="1"/>
    </w:p>
    <w:p w14:paraId="7AE264AB" w14:textId="77777777" w:rsidR="0021112C" w:rsidRDefault="0021112C" w:rsidP="0021112C">
      <w:pPr>
        <w:spacing w:after="120" w:line="240" w:lineRule="auto"/>
        <w:rPr>
          <w:rFonts w:cstheme="minorHAnsi"/>
        </w:rPr>
      </w:pPr>
      <w:r w:rsidRPr="000E749D">
        <w:rPr>
          <w:rFonts w:cstheme="minorHAnsi"/>
          <w:noProof/>
        </w:rPr>
        <mc:AlternateContent>
          <mc:Choice Requires="wps">
            <w:drawing>
              <wp:inline distT="0" distB="0" distL="0" distR="0" wp14:anchorId="66BADFC3" wp14:editId="07E3597B">
                <wp:extent cx="5759450" cy="923925"/>
                <wp:effectExtent l="0" t="0" r="12700" b="28575"/>
                <wp:docPr id="217" name="Text Box 2" descr="Following the uptake target date, analysis shows the HSR is displayed on an estimated:&#10;- 32% of intended products in Australia; and&#10;- 30% of intended products in New Zealand.&#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9239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C75D046" w14:textId="2292C828" w:rsidR="0021112C" w:rsidRPr="00483BCA" w:rsidRDefault="00773922" w:rsidP="00446E4A">
                            <w:r>
                              <w:t xml:space="preserve">As at November 2024, </w:t>
                            </w:r>
                            <w:r w:rsidR="0021112C" w:rsidRPr="00483BCA">
                              <w:t xml:space="preserve">the HSR </w:t>
                            </w:r>
                            <w:r>
                              <w:t>wa</w:t>
                            </w:r>
                            <w:r w:rsidR="0021112C" w:rsidRPr="00483BCA">
                              <w:t>s displayed on an estimated:</w:t>
                            </w:r>
                          </w:p>
                          <w:p w14:paraId="5EC3DB21" w14:textId="3365A318" w:rsidR="0021112C" w:rsidRPr="00483BCA" w:rsidRDefault="0021112C" w:rsidP="00446E4A">
                            <w:pPr>
                              <w:pStyle w:val="ListParagraph"/>
                              <w:numPr>
                                <w:ilvl w:val="0"/>
                                <w:numId w:val="3"/>
                              </w:numPr>
                              <w:ind w:left="426"/>
                            </w:pPr>
                            <w:r w:rsidRPr="00483BCA">
                              <w:t>3</w:t>
                            </w:r>
                            <w:r>
                              <w:t>5</w:t>
                            </w:r>
                            <w:r w:rsidRPr="00483BCA">
                              <w:t>% of intended products in Australia; and</w:t>
                            </w:r>
                          </w:p>
                          <w:p w14:paraId="1ABA68B1" w14:textId="6237241A" w:rsidR="0021112C" w:rsidRPr="00483BCA" w:rsidRDefault="0021112C" w:rsidP="00446E4A">
                            <w:pPr>
                              <w:pStyle w:val="ListParagraph"/>
                              <w:numPr>
                                <w:ilvl w:val="0"/>
                                <w:numId w:val="3"/>
                              </w:numPr>
                              <w:ind w:left="426"/>
                            </w:pPr>
                            <w:r w:rsidRPr="00483BCA">
                              <w:t>3</w:t>
                            </w:r>
                            <w:r>
                              <w:t>3</w:t>
                            </w:r>
                            <w:r w:rsidRPr="00483BCA">
                              <w:t>% of intended products in New Zealand.</w:t>
                            </w:r>
                          </w:p>
                        </w:txbxContent>
                      </wps:txbx>
                      <wps:bodyPr rot="0" vert="horz" wrap="square" lIns="91440" tIns="45720" rIns="91440" bIns="45720" anchor="t" anchorCtr="0">
                        <a:noAutofit/>
                      </wps:bodyPr>
                    </wps:wsp>
                  </a:graphicData>
                </a:graphic>
              </wp:inline>
            </w:drawing>
          </mc:Choice>
          <mc:Fallback>
            <w:pict>
              <v:shapetype w14:anchorId="66BADFC3" id="_x0000_t202" coordsize="21600,21600" o:spt="202" path="m,l,21600r21600,l21600,xe">
                <v:stroke joinstyle="miter"/>
                <v:path gradientshapeok="t" o:connecttype="rect"/>
              </v:shapetype>
              <v:shape id="Text Box 2" o:spid="_x0000_s1026" type="#_x0000_t202" alt="Following the uptake target date, analysis shows the HSR is displayed on an estimated:&#10;- 32% of intended products in Australia; and&#10;- 30% of intended products in New Zealand.&#10;" style="width:453.5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" fillcolor="white [3201]" strokecolor="#5b9bd5 [3204]" strokeweight="1pt">
                <v:textbox>
                  <w:txbxContent>
                    <w:p w14:paraId="4C75D046" w14:textId="2292C828" w:rsidR="0021112C" w:rsidRPr="00483BCA" w:rsidRDefault="00773922" w:rsidP="00446E4A">
                      <w:r>
                        <w:t xml:space="preserve">As </w:t>
                      </w:r>
                      <w:proofErr w:type="gramStart"/>
                      <w:r>
                        <w:t>at</w:t>
                      </w:r>
                      <w:proofErr w:type="gramEnd"/>
                      <w:r>
                        <w:t xml:space="preserve"> November 2024, </w:t>
                      </w:r>
                      <w:r w:rsidR="0021112C" w:rsidRPr="00483BCA">
                        <w:t xml:space="preserve">the HSR </w:t>
                      </w:r>
                      <w:r>
                        <w:t>wa</w:t>
                      </w:r>
                      <w:r w:rsidR="0021112C" w:rsidRPr="00483BCA">
                        <w:t>s displayed on an estimated:</w:t>
                      </w:r>
                    </w:p>
                    <w:p w14:paraId="5EC3DB21" w14:textId="3365A318" w:rsidR="0021112C" w:rsidRPr="00483BCA" w:rsidRDefault="0021112C" w:rsidP="00446E4A">
                      <w:pPr>
                        <w:pStyle w:val="ListParagraph"/>
                        <w:numPr>
                          <w:ilvl w:val="0"/>
                          <w:numId w:val="3"/>
                        </w:numPr>
                        <w:ind w:left="426"/>
                      </w:pPr>
                      <w:r w:rsidRPr="00483BCA">
                        <w:t>3</w:t>
                      </w:r>
                      <w:r>
                        <w:t>5</w:t>
                      </w:r>
                      <w:r w:rsidRPr="00483BCA">
                        <w:t>% of intended products in Australia; and</w:t>
                      </w:r>
                    </w:p>
                    <w:p w14:paraId="1ABA68B1" w14:textId="6237241A" w:rsidR="0021112C" w:rsidRPr="00483BCA" w:rsidRDefault="0021112C" w:rsidP="00446E4A">
                      <w:pPr>
                        <w:pStyle w:val="ListParagraph"/>
                        <w:numPr>
                          <w:ilvl w:val="0"/>
                          <w:numId w:val="3"/>
                        </w:numPr>
                        <w:ind w:left="426"/>
                      </w:pPr>
                      <w:r w:rsidRPr="00483BCA">
                        <w:t>3</w:t>
                      </w:r>
                      <w:r>
                        <w:t>3</w:t>
                      </w:r>
                      <w:r w:rsidRPr="00483BCA">
                        <w:t>% of intended products in New Zealand.</w:t>
                      </w:r>
                    </w:p>
                  </w:txbxContent>
                </v:textbox>
                <w10:anchorlock/>
              </v:shape>
            </w:pict>
          </mc:Fallback>
        </mc:AlternateContent>
      </w:r>
    </w:p>
    <w:p w14:paraId="16FA7BF9" w14:textId="1DC1EF5C" w:rsidR="00DF4F79" w:rsidRDefault="00DF4F79" w:rsidP="00DF4F79">
      <w:pPr>
        <w:spacing w:after="120" w:line="240" w:lineRule="auto"/>
        <w:rPr>
          <w:rFonts w:cstheme="minorHAnsi"/>
          <w:color w:val="FF0000"/>
        </w:rPr>
      </w:pPr>
      <w:r w:rsidRPr="00446E4A">
        <w:rPr>
          <w:rFonts w:cstheme="minorHAnsi"/>
        </w:rPr>
        <w:t xml:space="preserve">The results show an increase of 3% on last year’s results in both Australia and New Zealand. </w:t>
      </w:r>
      <w:r>
        <w:rPr>
          <w:rFonts w:cstheme="minorHAnsi"/>
        </w:rPr>
        <w:t>However, the</w:t>
      </w:r>
      <w:r w:rsidRPr="000E749D">
        <w:rPr>
          <w:rFonts w:cstheme="minorHAnsi"/>
        </w:rPr>
        <w:t xml:space="preserve"> findings are</w:t>
      </w:r>
      <w:r>
        <w:rPr>
          <w:rFonts w:cstheme="minorHAnsi"/>
        </w:rPr>
        <w:t xml:space="preserve"> </w:t>
      </w:r>
      <w:r w:rsidRPr="000E749D">
        <w:rPr>
          <w:rFonts w:cstheme="minorHAnsi"/>
        </w:rPr>
        <w:t xml:space="preserve">substantially below the target of </w:t>
      </w:r>
      <w:r>
        <w:rPr>
          <w:rFonts w:cstheme="minorHAnsi"/>
        </w:rPr>
        <w:t>6</w:t>
      </w:r>
      <w:r w:rsidRPr="000E749D">
        <w:rPr>
          <w:rFonts w:cstheme="minorHAnsi"/>
        </w:rPr>
        <w:t>0%.</w:t>
      </w:r>
    </w:p>
    <w:p w14:paraId="5A3CF286" w14:textId="17D0BA78" w:rsidR="0021112C" w:rsidRDefault="0021112C" w:rsidP="0021112C">
      <w:pPr>
        <w:spacing w:after="120" w:line="240" w:lineRule="auto"/>
        <w:rPr>
          <w:rFonts w:cstheme="minorHAnsi"/>
          <w:lang w:eastAsia="en-GB"/>
        </w:rPr>
      </w:pPr>
      <w:r>
        <w:rPr>
          <w:rFonts w:cstheme="minorHAnsi"/>
        </w:rPr>
        <w:t xml:space="preserve">Data </w:t>
      </w:r>
      <w:r w:rsidR="003D790A">
        <w:rPr>
          <w:rFonts w:cstheme="minorHAnsi"/>
        </w:rPr>
        <w:t xml:space="preserve">from Australia’s four major retailers, brand owners and in-market collections </w:t>
      </w:r>
      <w:r>
        <w:rPr>
          <w:rFonts w:cstheme="minorHAnsi"/>
        </w:rPr>
        <w:t xml:space="preserve">were analysed by FSANZ. </w:t>
      </w:r>
      <w:r w:rsidRPr="00EE5825">
        <w:rPr>
          <w:rFonts w:cstheme="minorHAnsi"/>
        </w:rPr>
        <w:t xml:space="preserve">In Australia, </w:t>
      </w:r>
      <w:r>
        <w:rPr>
          <w:rFonts w:cstheme="minorHAnsi"/>
        </w:rPr>
        <w:t xml:space="preserve">there were an estimated </w:t>
      </w:r>
      <w:r w:rsidRPr="00BA4A41">
        <w:rPr>
          <w:rFonts w:cstheme="minorHAnsi"/>
          <w:lang w:eastAsia="en-GB"/>
        </w:rPr>
        <w:t>2</w:t>
      </w:r>
      <w:r w:rsidR="00BA4A41" w:rsidRPr="00BA4A41">
        <w:rPr>
          <w:rFonts w:cstheme="minorHAnsi"/>
          <w:lang w:eastAsia="en-GB"/>
        </w:rPr>
        <w:t>8</w:t>
      </w:r>
      <w:r w:rsidRPr="00BA4A41">
        <w:rPr>
          <w:rFonts w:cstheme="minorHAnsi"/>
          <w:lang w:eastAsia="en-GB"/>
        </w:rPr>
        <w:t>,</w:t>
      </w:r>
      <w:r w:rsidR="00BA4A41" w:rsidRPr="00BA4A41">
        <w:rPr>
          <w:rFonts w:cstheme="minorHAnsi"/>
          <w:lang w:eastAsia="en-GB"/>
        </w:rPr>
        <w:t>398</w:t>
      </w:r>
      <w:r w:rsidRPr="00EE5825">
        <w:rPr>
          <w:rFonts w:cstheme="minorHAnsi"/>
          <w:lang w:eastAsia="en-GB"/>
        </w:rPr>
        <w:t xml:space="preserve"> products intended to display the HSR system</w:t>
      </w:r>
      <w:r w:rsidR="009314E1">
        <w:rPr>
          <w:rFonts w:cstheme="minorHAnsi"/>
          <w:lang w:eastAsia="en-GB"/>
        </w:rPr>
        <w:t>. The</w:t>
      </w:r>
      <w:r w:rsidRPr="00EE5825">
        <w:rPr>
          <w:rFonts w:cstheme="minorHAnsi"/>
          <w:lang w:eastAsia="en-GB"/>
        </w:rPr>
        <w:t xml:space="preserve"> HSR was found to be displayed on </w:t>
      </w:r>
      <w:r w:rsidR="00BA4A41">
        <w:rPr>
          <w:rFonts w:cstheme="minorHAnsi"/>
          <w:lang w:eastAsia="en-GB"/>
        </w:rPr>
        <w:t>10,060 of</w:t>
      </w:r>
      <w:r w:rsidRPr="00EE5825">
        <w:rPr>
          <w:rFonts w:cstheme="minorHAnsi"/>
          <w:lang w:eastAsia="en-GB"/>
        </w:rPr>
        <w:t xml:space="preserve"> </w:t>
      </w:r>
      <w:r w:rsidR="00BA4A41">
        <w:rPr>
          <w:rFonts w:cstheme="minorHAnsi"/>
          <w:lang w:eastAsia="en-GB"/>
        </w:rPr>
        <w:t xml:space="preserve">those </w:t>
      </w:r>
      <w:r w:rsidRPr="000E749D">
        <w:rPr>
          <w:rFonts w:cstheme="minorHAnsi"/>
          <w:lang w:eastAsia="en-GB"/>
        </w:rPr>
        <w:t>(</w:t>
      </w:r>
      <w:r w:rsidR="00330889">
        <w:rPr>
          <w:rFonts w:cstheme="minorHAnsi"/>
          <w:lang w:eastAsia="en-GB"/>
        </w:rPr>
        <w:t>35</w:t>
      </w:r>
      <w:r w:rsidRPr="000E749D">
        <w:rPr>
          <w:rFonts w:cstheme="minorHAnsi"/>
          <w:lang w:eastAsia="en-GB"/>
        </w:rPr>
        <w:t xml:space="preserve">%). </w:t>
      </w:r>
      <w:r>
        <w:rPr>
          <w:rFonts w:cstheme="minorHAnsi"/>
          <w:lang w:eastAsia="en-GB"/>
        </w:rPr>
        <w:t xml:space="preserve">A detailed report </w:t>
      </w:r>
      <w:r w:rsidR="003D790A">
        <w:rPr>
          <w:rFonts w:cstheme="minorHAnsi"/>
          <w:lang w:eastAsia="en-GB"/>
        </w:rPr>
        <w:t>for</w:t>
      </w:r>
      <w:r>
        <w:rPr>
          <w:rFonts w:cstheme="minorHAnsi"/>
          <w:lang w:eastAsia="en-GB"/>
        </w:rPr>
        <w:t xml:space="preserve"> Australia is at </w:t>
      </w:r>
      <w:r w:rsidRPr="006D71C9">
        <w:rPr>
          <w:rFonts w:cstheme="minorHAnsi"/>
          <w:u w:val="single"/>
          <w:lang w:eastAsia="en-GB"/>
        </w:rPr>
        <w:t>Attachment 1</w:t>
      </w:r>
      <w:r>
        <w:rPr>
          <w:rFonts w:cstheme="minorHAnsi"/>
          <w:lang w:eastAsia="en-GB"/>
        </w:rPr>
        <w:t>.</w:t>
      </w:r>
    </w:p>
    <w:p w14:paraId="6F30E900" w14:textId="3D8E55AD" w:rsidR="0021112C" w:rsidRPr="000E749D" w:rsidRDefault="003D790A" w:rsidP="0021112C">
      <w:pPr>
        <w:spacing w:after="120" w:line="240" w:lineRule="auto"/>
        <w:rPr>
          <w:rFonts w:cstheme="minorHAnsi"/>
          <w:lang w:eastAsia="en-GB"/>
        </w:rPr>
      </w:pPr>
      <w:r>
        <w:rPr>
          <w:rFonts w:cstheme="minorHAnsi"/>
          <w:lang w:eastAsia="en-GB"/>
        </w:rPr>
        <w:t>I</w:t>
      </w:r>
      <w:r w:rsidR="0021112C">
        <w:rPr>
          <w:rFonts w:cstheme="minorHAnsi"/>
          <w:lang w:eastAsia="en-GB"/>
        </w:rPr>
        <w:t>n New Zealand</w:t>
      </w:r>
      <w:r>
        <w:rPr>
          <w:rFonts w:cstheme="minorHAnsi"/>
          <w:lang w:eastAsia="en-GB"/>
        </w:rPr>
        <w:t xml:space="preserve">, data </w:t>
      </w:r>
      <w:r w:rsidR="00FD7ED1">
        <w:rPr>
          <w:rFonts w:cstheme="minorHAnsi"/>
          <w:lang w:eastAsia="en-GB"/>
        </w:rPr>
        <w:t>were</w:t>
      </w:r>
      <w:r>
        <w:rPr>
          <w:rFonts w:cstheme="minorHAnsi"/>
          <w:lang w:eastAsia="en-GB"/>
        </w:rPr>
        <w:t xml:space="preserve"> collected </w:t>
      </w:r>
      <w:r w:rsidR="00FD7ED1">
        <w:rPr>
          <w:rFonts w:cstheme="minorHAnsi"/>
          <w:lang w:eastAsia="en-GB"/>
        </w:rPr>
        <w:t xml:space="preserve">by </w:t>
      </w:r>
      <w:r w:rsidR="0021112C">
        <w:rPr>
          <w:rFonts w:cstheme="minorHAnsi"/>
          <w:lang w:eastAsia="en-GB"/>
        </w:rPr>
        <w:t xml:space="preserve">GS1 </w:t>
      </w:r>
      <w:r w:rsidR="00FD7ED1">
        <w:rPr>
          <w:rFonts w:cstheme="minorHAnsi"/>
          <w:lang w:eastAsia="en-GB"/>
        </w:rPr>
        <w:t xml:space="preserve">and analysed by New Zealand Food Safety using the </w:t>
      </w:r>
      <w:r w:rsidR="0021112C">
        <w:rPr>
          <w:rFonts w:cstheme="minorHAnsi"/>
          <w:lang w:eastAsia="en-GB"/>
        </w:rPr>
        <w:t>New Zealand On Pack Database. This</w:t>
      </w:r>
      <w:r w:rsidR="0021112C" w:rsidRPr="00CE5667">
        <w:t xml:space="preserve"> </w:t>
      </w:r>
      <w:r w:rsidR="0021112C" w:rsidRPr="00CE5667">
        <w:rPr>
          <w:rFonts w:cstheme="minorHAnsi"/>
          <w:lang w:eastAsia="en-GB"/>
        </w:rPr>
        <w:t>database predominantly includes food product information from the two major supermarket retailers</w:t>
      </w:r>
      <w:r w:rsidR="0021112C">
        <w:rPr>
          <w:rFonts w:cstheme="minorHAnsi"/>
          <w:lang w:eastAsia="en-GB"/>
        </w:rPr>
        <w:t xml:space="preserve">. </w:t>
      </w:r>
      <w:r w:rsidR="0021112C" w:rsidRPr="000E749D">
        <w:rPr>
          <w:rFonts w:cstheme="minorHAnsi"/>
          <w:lang w:eastAsia="en-GB"/>
        </w:rPr>
        <w:t xml:space="preserve">In New Zealand, </w:t>
      </w:r>
      <w:r w:rsidR="00BA4A41">
        <w:rPr>
          <w:rFonts w:cstheme="minorHAnsi"/>
          <w:lang w:eastAsia="en-GB"/>
        </w:rPr>
        <w:t>18,993</w:t>
      </w:r>
      <w:r w:rsidR="0021112C" w:rsidRPr="000E749D">
        <w:rPr>
          <w:rFonts w:cstheme="minorHAnsi"/>
          <w:lang w:eastAsia="en-GB"/>
        </w:rPr>
        <w:t xml:space="preserve"> products intended to display the HSR system</w:t>
      </w:r>
      <w:r w:rsidR="0021112C">
        <w:rPr>
          <w:rFonts w:cstheme="minorHAnsi"/>
          <w:lang w:eastAsia="en-GB"/>
        </w:rPr>
        <w:t xml:space="preserve"> were identified</w:t>
      </w:r>
      <w:r w:rsidR="009314E1">
        <w:rPr>
          <w:rFonts w:cstheme="minorHAnsi"/>
          <w:lang w:eastAsia="en-GB"/>
        </w:rPr>
        <w:t>. T</w:t>
      </w:r>
      <w:r w:rsidR="0021112C" w:rsidRPr="000E749D">
        <w:rPr>
          <w:rFonts w:cstheme="minorHAnsi"/>
          <w:lang w:eastAsia="en-GB"/>
        </w:rPr>
        <w:t xml:space="preserve">he HSR was found to be displayed on </w:t>
      </w:r>
      <w:r w:rsidR="00BA4A41">
        <w:rPr>
          <w:rFonts w:cstheme="minorHAnsi"/>
          <w:lang w:eastAsia="en-GB"/>
        </w:rPr>
        <w:t>6,170</w:t>
      </w:r>
      <w:r w:rsidR="0021112C" w:rsidRPr="000E749D">
        <w:rPr>
          <w:rFonts w:cstheme="minorHAnsi"/>
          <w:lang w:eastAsia="en-GB"/>
        </w:rPr>
        <w:t xml:space="preserve"> of those (3</w:t>
      </w:r>
      <w:r w:rsidR="00BA4A41">
        <w:rPr>
          <w:rFonts w:cstheme="minorHAnsi"/>
          <w:lang w:eastAsia="en-GB"/>
        </w:rPr>
        <w:t>3</w:t>
      </w:r>
      <w:r w:rsidR="0021112C" w:rsidRPr="000E749D">
        <w:rPr>
          <w:rFonts w:cstheme="minorHAnsi"/>
          <w:lang w:eastAsia="en-GB"/>
        </w:rPr>
        <w:t>%).</w:t>
      </w:r>
      <w:r w:rsidR="0021112C">
        <w:rPr>
          <w:rFonts w:cstheme="minorHAnsi"/>
          <w:lang w:eastAsia="en-GB"/>
        </w:rPr>
        <w:t xml:space="preserve"> A detailed report </w:t>
      </w:r>
      <w:r>
        <w:rPr>
          <w:rFonts w:cstheme="minorHAnsi"/>
          <w:lang w:eastAsia="en-GB"/>
        </w:rPr>
        <w:t>for</w:t>
      </w:r>
      <w:r w:rsidR="0021112C">
        <w:rPr>
          <w:rFonts w:cstheme="minorHAnsi"/>
          <w:lang w:eastAsia="en-GB"/>
        </w:rPr>
        <w:t xml:space="preserve"> New Zealand is at </w:t>
      </w:r>
      <w:r w:rsidR="0021112C" w:rsidRPr="006D71C9">
        <w:rPr>
          <w:rFonts w:cstheme="minorHAnsi"/>
          <w:u w:val="single"/>
          <w:lang w:eastAsia="en-GB"/>
        </w:rPr>
        <w:t>Attachment 2</w:t>
      </w:r>
      <w:r w:rsidR="0021112C">
        <w:rPr>
          <w:rFonts w:cstheme="minorHAnsi"/>
          <w:lang w:eastAsia="en-GB"/>
        </w:rPr>
        <w:t>.</w:t>
      </w:r>
    </w:p>
    <w:p w14:paraId="68387F3D" w14:textId="319AB8B7" w:rsidR="0021112C" w:rsidRDefault="00BA4A41" w:rsidP="00BA4A41">
      <w:pPr>
        <w:spacing w:after="120"/>
      </w:pPr>
      <w:r>
        <w:lastRenderedPageBreak/>
        <w:t xml:space="preserve">Since 2023, </w:t>
      </w:r>
      <w:r w:rsidRPr="00C3612A">
        <w:rPr>
          <w:rFonts w:cstheme="minorHAnsi"/>
        </w:rPr>
        <w:t xml:space="preserve">uptake data has been collected as a proportion of </w:t>
      </w:r>
      <w:r w:rsidRPr="00C3612A">
        <w:rPr>
          <w:rFonts w:cstheme="minorHAnsi"/>
          <w:i/>
          <w:iCs/>
        </w:rPr>
        <w:t xml:space="preserve">intended </w:t>
      </w:r>
      <w:r w:rsidRPr="00C3612A">
        <w:rPr>
          <w:rFonts w:cstheme="minorHAnsi"/>
        </w:rPr>
        <w:t>products</w:t>
      </w:r>
      <w:r>
        <w:rPr>
          <w:rFonts w:cstheme="minorHAnsi"/>
        </w:rPr>
        <w:t xml:space="preserve"> only</w:t>
      </w:r>
      <w:r w:rsidRPr="00C3612A">
        <w:rPr>
          <w:rFonts w:cstheme="minorHAnsi"/>
        </w:rPr>
        <w:t xml:space="preserve">. </w:t>
      </w:r>
      <w:r>
        <w:rPr>
          <w:rFonts w:cstheme="minorHAnsi"/>
        </w:rPr>
        <w:t xml:space="preserve">In the lead up to </w:t>
      </w:r>
      <w:r w:rsidRPr="00C3612A">
        <w:rPr>
          <w:rFonts w:cstheme="minorHAnsi"/>
        </w:rPr>
        <w:t>the Five Year Review of the HSR system</w:t>
      </w:r>
      <w:r>
        <w:rPr>
          <w:rFonts w:cstheme="minorHAnsi"/>
        </w:rPr>
        <w:t xml:space="preserve"> (2019)</w:t>
      </w:r>
      <w:r w:rsidRPr="00C3612A">
        <w:rPr>
          <w:rFonts w:cstheme="minorHAnsi"/>
        </w:rPr>
        <w:t xml:space="preserve">, uptake was measured as a </w:t>
      </w:r>
      <w:r>
        <w:rPr>
          <w:rFonts w:cstheme="minorHAnsi"/>
        </w:rPr>
        <w:t xml:space="preserve">proportion of </w:t>
      </w:r>
      <w:r w:rsidRPr="00CA4C04">
        <w:rPr>
          <w:rFonts w:cstheme="minorHAnsi"/>
          <w:i/>
          <w:iCs/>
        </w:rPr>
        <w:t>both intended and permitted</w:t>
      </w:r>
      <w:r>
        <w:rPr>
          <w:rFonts w:cstheme="minorHAnsi"/>
        </w:rPr>
        <w:t xml:space="preserve"> products. At that time (June 2018), the HSR appeared on 31% of </w:t>
      </w:r>
      <w:r w:rsidRPr="00254D48">
        <w:rPr>
          <w:rFonts w:cstheme="minorHAnsi"/>
          <w:i/>
          <w:iCs/>
        </w:rPr>
        <w:t>intended and permitted</w:t>
      </w:r>
      <w:r>
        <w:rPr>
          <w:rFonts w:cstheme="minorHAnsi"/>
        </w:rPr>
        <w:t xml:space="preserve"> products (5,448 products) in Australia and 21% of </w:t>
      </w:r>
      <w:r w:rsidRPr="00216A20">
        <w:rPr>
          <w:rFonts w:cstheme="minorHAnsi"/>
          <w:i/>
          <w:iCs/>
        </w:rPr>
        <w:t>intended and permitted</w:t>
      </w:r>
      <w:r>
        <w:rPr>
          <w:rFonts w:cstheme="minorHAnsi"/>
        </w:rPr>
        <w:t xml:space="preserve"> products (2,997 products) in New Zealand. </w:t>
      </w:r>
      <w:r w:rsidR="0021112C">
        <w:t xml:space="preserve">The results of this report cannot be compared to </w:t>
      </w:r>
      <w:r>
        <w:t>official monitoring undertaken prior to 2023, or non-government</w:t>
      </w:r>
      <w:r w:rsidR="0021112C">
        <w:t xml:space="preserve"> HSR uptake estimates</w:t>
      </w:r>
      <w:r w:rsidR="009314E1">
        <w:t>. This is because of</w:t>
      </w:r>
      <w:r w:rsidR="0021112C">
        <w:t xml:space="preserve"> the different method</w:t>
      </w:r>
      <w:r w:rsidR="009314E1">
        <w:t>s</w:t>
      </w:r>
      <w:r w:rsidR="0021112C">
        <w:t xml:space="preserve"> and sources of product data used for the analysis.</w:t>
      </w:r>
      <w:r>
        <w:t xml:space="preserve"> </w:t>
      </w:r>
    </w:p>
    <w:p w14:paraId="5A7633F4" w14:textId="77777777" w:rsidR="0021112C" w:rsidRPr="000E749D" w:rsidRDefault="0021112C" w:rsidP="0021112C">
      <w:pPr>
        <w:pStyle w:val="Heading2"/>
        <w:spacing w:after="120" w:line="240" w:lineRule="auto"/>
      </w:pPr>
      <w:bookmarkStart w:id="2" w:name="_Toc190429968"/>
      <w:r>
        <w:t>Permitted, intended and prohibited foods</w:t>
      </w:r>
      <w:bookmarkEnd w:id="2"/>
    </w:p>
    <w:p w14:paraId="03B40DF5" w14:textId="77777777" w:rsidR="0021112C" w:rsidRDefault="0021112C" w:rsidP="0021112C">
      <w:pPr>
        <w:spacing w:after="0" w:line="240" w:lineRule="auto"/>
        <w:rPr>
          <w:rFonts w:cstheme="minorHAnsi"/>
        </w:rPr>
      </w:pPr>
      <w:r>
        <w:rPr>
          <w:rFonts w:cstheme="minorHAnsi"/>
        </w:rPr>
        <w:t xml:space="preserve">Data on the uptake targets is reported as a proportion of </w:t>
      </w:r>
      <w:r>
        <w:rPr>
          <w:rFonts w:cstheme="minorHAnsi"/>
          <w:i/>
          <w:iCs/>
        </w:rPr>
        <w:t>intended</w:t>
      </w:r>
      <w:r>
        <w:rPr>
          <w:rFonts w:cstheme="minorHAnsi"/>
        </w:rPr>
        <w:t xml:space="preserve"> foods.</w:t>
      </w:r>
    </w:p>
    <w:p w14:paraId="2D881C37" w14:textId="77777777" w:rsidR="0021112C" w:rsidRPr="00134822" w:rsidRDefault="0021112C" w:rsidP="0021112C">
      <w:pPr>
        <w:spacing w:after="0" w:line="240" w:lineRule="auto"/>
        <w:rPr>
          <w:rFonts w:cstheme="minorHAnsi"/>
        </w:rPr>
      </w:pPr>
    </w:p>
    <w:p w14:paraId="59AF23E6" w14:textId="77777777" w:rsidR="0021112C" w:rsidRDefault="0021112C" w:rsidP="0021112C">
      <w:pPr>
        <w:spacing w:after="0" w:line="240" w:lineRule="auto"/>
        <w:rPr>
          <w:rFonts w:cstheme="minorHAnsi"/>
        </w:rPr>
      </w:pPr>
      <w:r w:rsidRPr="000E749D">
        <w:rPr>
          <w:rFonts w:cstheme="minorHAnsi"/>
        </w:rPr>
        <w:t xml:space="preserve">Most packaged foods are </w:t>
      </w:r>
      <w:r w:rsidRPr="006A08ED">
        <w:rPr>
          <w:rFonts w:cstheme="minorHAnsi"/>
          <w:i/>
          <w:iCs/>
        </w:rPr>
        <w:t>permitted</w:t>
      </w:r>
      <w:r w:rsidRPr="000E749D">
        <w:rPr>
          <w:rFonts w:cstheme="minorHAnsi"/>
        </w:rPr>
        <w:t xml:space="preserve"> to use the system. Foods </w:t>
      </w:r>
      <w:r w:rsidRPr="00A53345">
        <w:rPr>
          <w:rFonts w:cstheme="minorHAnsi"/>
          <w:i/>
          <w:iCs/>
        </w:rPr>
        <w:t>intended</w:t>
      </w:r>
      <w:r w:rsidRPr="000E749D">
        <w:rPr>
          <w:rFonts w:cstheme="minorHAnsi"/>
        </w:rPr>
        <w:t xml:space="preserve"> to carry the HSR system are those that</w:t>
      </w:r>
      <w:r>
        <w:rPr>
          <w:rFonts w:cstheme="minorHAnsi"/>
        </w:rPr>
        <w:t>:</w:t>
      </w:r>
    </w:p>
    <w:p w14:paraId="2F01180E" w14:textId="4188D9EF" w:rsidR="0021112C" w:rsidRPr="000E749D" w:rsidRDefault="00E05E57" w:rsidP="0021112C">
      <w:pPr>
        <w:pStyle w:val="ListParagraph"/>
        <w:numPr>
          <w:ilvl w:val="0"/>
          <w:numId w:val="2"/>
        </w:numPr>
        <w:spacing w:after="120" w:line="240" w:lineRule="auto"/>
        <w:rPr>
          <w:rFonts w:cstheme="minorHAnsi"/>
        </w:rPr>
      </w:pPr>
      <w:r>
        <w:rPr>
          <w:rFonts w:cstheme="minorHAnsi"/>
        </w:rPr>
        <w:t>a</w:t>
      </w:r>
      <w:r w:rsidR="0021112C" w:rsidRPr="000E749D">
        <w:rPr>
          <w:rFonts w:cstheme="minorHAnsi"/>
        </w:rPr>
        <w:t>re permitted to use the system; and</w:t>
      </w:r>
    </w:p>
    <w:p w14:paraId="5804A155" w14:textId="18E56C5D" w:rsidR="0021112C" w:rsidRPr="000E749D" w:rsidRDefault="00E05E57" w:rsidP="0021112C">
      <w:pPr>
        <w:pStyle w:val="ListParagraph"/>
        <w:numPr>
          <w:ilvl w:val="0"/>
          <w:numId w:val="2"/>
        </w:numPr>
        <w:spacing w:after="120" w:line="240" w:lineRule="auto"/>
        <w:rPr>
          <w:rFonts w:cstheme="minorHAnsi"/>
        </w:rPr>
      </w:pPr>
      <w:r>
        <w:rPr>
          <w:rFonts w:cstheme="minorHAnsi"/>
        </w:rPr>
        <w:t>a</w:t>
      </w:r>
      <w:r w:rsidR="0021112C" w:rsidRPr="000E749D">
        <w:rPr>
          <w:rFonts w:cstheme="minorHAnsi"/>
        </w:rPr>
        <w:t>re required by the Australia New Zealand Food Standards Code to have a nutrition information panel (NIP); and</w:t>
      </w:r>
    </w:p>
    <w:p w14:paraId="44AE2853" w14:textId="6A608D2A" w:rsidR="0021112C" w:rsidRDefault="00E05E57" w:rsidP="0021112C">
      <w:pPr>
        <w:pStyle w:val="ListParagraph"/>
        <w:numPr>
          <w:ilvl w:val="0"/>
          <w:numId w:val="2"/>
        </w:numPr>
        <w:spacing w:after="120" w:line="240" w:lineRule="auto"/>
        <w:ind w:left="714" w:hanging="357"/>
        <w:contextualSpacing w:val="0"/>
        <w:rPr>
          <w:rFonts w:cstheme="minorHAnsi"/>
        </w:rPr>
      </w:pPr>
      <w:r>
        <w:rPr>
          <w:rFonts w:cstheme="minorHAnsi"/>
        </w:rPr>
        <w:t>c</w:t>
      </w:r>
      <w:r w:rsidR="0021112C" w:rsidRPr="000E749D">
        <w:rPr>
          <w:rFonts w:cstheme="minorHAnsi"/>
        </w:rPr>
        <w:t xml:space="preserve">an vary in nutritional composition. </w:t>
      </w:r>
    </w:p>
    <w:p w14:paraId="7D4D3EB4" w14:textId="213A6D7B" w:rsidR="00BA4A41" w:rsidRDefault="00BA4A41" w:rsidP="0021112C">
      <w:pPr>
        <w:spacing w:after="120" w:line="240" w:lineRule="auto"/>
        <w:rPr>
          <w:rFonts w:cstheme="minorHAnsi"/>
        </w:rPr>
      </w:pPr>
      <w:r>
        <w:rPr>
          <w:rFonts w:cstheme="minorHAnsi"/>
        </w:rPr>
        <w:t xml:space="preserve">Intended foods do </w:t>
      </w:r>
      <w:r>
        <w:rPr>
          <w:rFonts w:cstheme="minorHAnsi"/>
          <w:i/>
          <w:iCs/>
        </w:rPr>
        <w:t xml:space="preserve">not </w:t>
      </w:r>
      <w:r>
        <w:rPr>
          <w:rFonts w:cstheme="minorHAnsi"/>
        </w:rPr>
        <w:t xml:space="preserve">include the following, even though they are eligible for an automatic </w:t>
      </w:r>
      <w:r w:rsidR="009314E1">
        <w:rPr>
          <w:rFonts w:cstheme="minorHAnsi"/>
        </w:rPr>
        <w:t>5-star</w:t>
      </w:r>
      <w:r>
        <w:rPr>
          <w:rFonts w:cstheme="minorHAnsi"/>
        </w:rPr>
        <w:t xml:space="preserve"> rating:</w:t>
      </w:r>
    </w:p>
    <w:p w14:paraId="0FFD6070" w14:textId="4A5C2BE4" w:rsidR="00BA4A41" w:rsidRDefault="00E05E57" w:rsidP="00BA4A41">
      <w:pPr>
        <w:pStyle w:val="ListParagraph"/>
        <w:numPr>
          <w:ilvl w:val="0"/>
          <w:numId w:val="5"/>
        </w:numPr>
        <w:spacing w:after="120" w:line="240" w:lineRule="auto"/>
        <w:rPr>
          <w:rFonts w:cstheme="minorHAnsi"/>
        </w:rPr>
      </w:pPr>
      <w:r>
        <w:rPr>
          <w:rFonts w:cstheme="minorHAnsi"/>
        </w:rPr>
        <w:t>f</w:t>
      </w:r>
      <w:r w:rsidR="00BA4A41">
        <w:rPr>
          <w:rFonts w:cstheme="minorHAnsi"/>
        </w:rPr>
        <w:t>resh fruit and vegetables</w:t>
      </w:r>
    </w:p>
    <w:p w14:paraId="2961DA89" w14:textId="78BBEB1E" w:rsidR="00BA4A41" w:rsidRDefault="00E05E57" w:rsidP="00BA4A41">
      <w:pPr>
        <w:pStyle w:val="ListParagraph"/>
        <w:numPr>
          <w:ilvl w:val="0"/>
          <w:numId w:val="5"/>
        </w:numPr>
        <w:spacing w:after="120" w:line="240" w:lineRule="auto"/>
        <w:rPr>
          <w:rFonts w:cstheme="minorHAnsi"/>
        </w:rPr>
      </w:pPr>
      <w:r>
        <w:rPr>
          <w:rFonts w:cstheme="minorHAnsi"/>
        </w:rPr>
        <w:t>m</w:t>
      </w:r>
      <w:r w:rsidR="00BA4A41">
        <w:rPr>
          <w:rFonts w:cstheme="minorHAnsi"/>
        </w:rPr>
        <w:t>inimally processed fruit and vegetables that have only been peeled, cut, surface treated, blanched or frozen, and</w:t>
      </w:r>
    </w:p>
    <w:p w14:paraId="5B9019E8" w14:textId="65DD625D" w:rsidR="00BA4A41" w:rsidRPr="00BA4A41" w:rsidRDefault="00E05E57" w:rsidP="00BA4A41">
      <w:pPr>
        <w:pStyle w:val="ListParagraph"/>
        <w:numPr>
          <w:ilvl w:val="0"/>
          <w:numId w:val="5"/>
        </w:numPr>
        <w:spacing w:after="120" w:line="240" w:lineRule="auto"/>
        <w:rPr>
          <w:rFonts w:cstheme="minorHAnsi"/>
        </w:rPr>
      </w:pPr>
      <w:r>
        <w:rPr>
          <w:rFonts w:cstheme="minorHAnsi"/>
        </w:rPr>
        <w:t>p</w:t>
      </w:r>
      <w:r w:rsidR="00BA4A41">
        <w:rPr>
          <w:rFonts w:cstheme="minorHAnsi"/>
        </w:rPr>
        <w:t>lain (packaged) water.</w:t>
      </w:r>
    </w:p>
    <w:p w14:paraId="684DC7F3" w14:textId="2AC25BEC" w:rsidR="0021112C" w:rsidRDefault="0021112C" w:rsidP="0021112C">
      <w:pPr>
        <w:spacing w:after="120" w:line="240" w:lineRule="auto"/>
        <w:rPr>
          <w:rFonts w:cstheme="minorHAnsi"/>
        </w:rPr>
      </w:pPr>
      <w:r w:rsidRPr="009666E3">
        <w:rPr>
          <w:rFonts w:cstheme="minorHAnsi"/>
        </w:rPr>
        <w:t xml:space="preserve">Foods prohibited from using the system include alcohol, infant formula, certain special purpose foods and kava. </w:t>
      </w:r>
    </w:p>
    <w:p w14:paraId="0AFCA047" w14:textId="77777777" w:rsidR="0021112C" w:rsidRPr="0014763A" w:rsidRDefault="0021112C" w:rsidP="0021112C">
      <w:pPr>
        <w:pStyle w:val="Heading1"/>
        <w:spacing w:after="120" w:line="240" w:lineRule="auto"/>
      </w:pPr>
      <w:bookmarkStart w:id="3" w:name="_Toc158978049"/>
      <w:bookmarkStart w:id="4" w:name="_Toc190429969"/>
      <w:r w:rsidRPr="0014763A">
        <w:t>HSR Monitoring Framework</w:t>
      </w:r>
      <w:bookmarkEnd w:id="3"/>
      <w:bookmarkEnd w:id="4"/>
    </w:p>
    <w:p w14:paraId="189D85F5" w14:textId="05978B4C" w:rsidR="0021112C" w:rsidRPr="000E749D" w:rsidRDefault="0021112C" w:rsidP="0021112C">
      <w:pPr>
        <w:spacing w:after="120"/>
        <w:rPr>
          <w:rFonts w:cstheme="minorHAnsi"/>
        </w:rPr>
      </w:pPr>
      <w:r w:rsidRPr="000E749D">
        <w:rPr>
          <w:rFonts w:cstheme="minorHAnsi"/>
        </w:rPr>
        <w:t>The Food Regulation Standing Committee (FRSC) developed an HSR monitoring framework</w:t>
      </w:r>
      <w:r w:rsidRPr="000E749D">
        <w:rPr>
          <w:rStyle w:val="FootnoteReference"/>
          <w:rFonts w:cstheme="minorHAnsi"/>
        </w:rPr>
        <w:footnoteReference w:id="1"/>
      </w:r>
      <w:r w:rsidRPr="000E749D">
        <w:rPr>
          <w:rFonts w:cstheme="minorHAnsi"/>
        </w:rPr>
        <w:t xml:space="preserve"> to guide priority areas of enquiry for the HSR system in Australia and New Zealand for the period 2023</w:t>
      </w:r>
      <w:r w:rsidRPr="000E749D">
        <w:rPr>
          <w:rFonts w:cstheme="minorHAnsi"/>
        </w:rPr>
        <w:noBreakHyphen/>
        <w:t>2025. The aim of the framework is to both guide monitoring of the updated HSR system (following the finalisation of the Five Year Review) and maximise consistency of monitoring approaches between Australia and New Zealand. The framework identifies monitoring progress against uptake targets as an ‘essential monitoring requirement’ under the ‘uptake area of enquiry’.</w:t>
      </w:r>
    </w:p>
    <w:p w14:paraId="2DE9359F" w14:textId="436C6213" w:rsidR="0021112C" w:rsidRDefault="00447AFB" w:rsidP="0021112C">
      <w:pPr>
        <w:spacing w:after="120"/>
        <w:rPr>
          <w:rFonts w:cstheme="minorHAnsi"/>
        </w:rPr>
      </w:pPr>
      <w:r>
        <w:rPr>
          <w:rFonts w:cstheme="minorHAnsi"/>
        </w:rPr>
        <w:t xml:space="preserve">Annual monitoring plans, providing specific detail of monitoring areas for each year, are developed. </w:t>
      </w:r>
      <w:r w:rsidR="0021112C">
        <w:rPr>
          <w:rFonts w:cstheme="minorHAnsi"/>
        </w:rPr>
        <w:t>More information on the Health Star Rating system, including the Monitoring Framework and Plan</w:t>
      </w:r>
      <w:r>
        <w:rPr>
          <w:rFonts w:cstheme="minorHAnsi"/>
        </w:rPr>
        <w:t>s</w:t>
      </w:r>
      <w:r w:rsidR="0021112C">
        <w:rPr>
          <w:rFonts w:cstheme="minorHAnsi"/>
        </w:rPr>
        <w:t xml:space="preserve">, can be found at </w:t>
      </w:r>
      <w:hyperlink r:id="rId12" w:history="1">
        <w:r w:rsidR="00446E4A" w:rsidRPr="00EE7A9D">
          <w:rPr>
            <w:rStyle w:val="Hyperlink"/>
            <w:rFonts w:cstheme="minorHAnsi"/>
          </w:rPr>
          <w:t>www.healthstarrating.gov.au</w:t>
        </w:r>
      </w:hyperlink>
      <w:r w:rsidR="00446E4A">
        <w:rPr>
          <w:rFonts w:cstheme="minorHAnsi"/>
        </w:rPr>
        <w:t>.</w:t>
      </w:r>
    </w:p>
    <w:p w14:paraId="02614753" w14:textId="77777777" w:rsidR="00447AFB" w:rsidRDefault="00447AFB" w:rsidP="00447AFB">
      <w:pPr>
        <w:pStyle w:val="Heading1"/>
      </w:pPr>
      <w:bookmarkStart w:id="5" w:name="_Toc190429970"/>
      <w:r>
        <w:lastRenderedPageBreak/>
        <w:t>Next steps</w:t>
      </w:r>
      <w:bookmarkEnd w:id="5"/>
    </w:p>
    <w:p w14:paraId="68F9FDB0" w14:textId="00B9E8E7" w:rsidR="00447AFB" w:rsidRPr="00446E4A" w:rsidRDefault="00447AFB" w:rsidP="61E34A8A">
      <w:pPr>
        <w:spacing w:after="120" w:line="240" w:lineRule="auto"/>
      </w:pPr>
      <w:r w:rsidRPr="61E34A8A">
        <w:t xml:space="preserve">Noting the </w:t>
      </w:r>
      <w:r w:rsidR="00E05E57">
        <w:t>low</w:t>
      </w:r>
      <w:r w:rsidRPr="61E34A8A">
        <w:t xml:space="preserve"> uptake against the first target, in July 2024, Food Ministers </w:t>
      </w:r>
      <w:r w:rsidR="4BE45BD8" w:rsidRPr="61E34A8A">
        <w:t xml:space="preserve">requested </w:t>
      </w:r>
      <w:r w:rsidRPr="61E34A8A">
        <w:t xml:space="preserve">FSANZ start preparatory work to inform ministers’ future decision-making on mandating the HSR system, if the final target is not met. This work has </w:t>
      </w:r>
      <w:r w:rsidR="00E05E57">
        <w:t>started</w:t>
      </w:r>
      <w:r w:rsidRPr="61E34A8A">
        <w:t xml:space="preserve"> and is being undertaken in parallel with a holistic review of the Nutrition Information Panel. </w:t>
      </w:r>
    </w:p>
    <w:p w14:paraId="59862E2B" w14:textId="77777777" w:rsidR="00447AFB" w:rsidRPr="00446E4A" w:rsidRDefault="00447AFB" w:rsidP="00447AFB">
      <w:pPr>
        <w:spacing w:after="120" w:line="240" w:lineRule="auto"/>
        <w:rPr>
          <w:rFonts w:cstheme="minorHAnsi"/>
        </w:rPr>
      </w:pPr>
      <w:r w:rsidRPr="00446E4A">
        <w:rPr>
          <w:rFonts w:cstheme="minorHAnsi"/>
        </w:rPr>
        <w:t xml:space="preserve">Research on consumers’ understanding and perceptions of the HSR system is also being undertaken. Findings of this research are expected to be published later in 2025. </w:t>
      </w:r>
    </w:p>
    <w:p w14:paraId="0A322A63" w14:textId="77777777" w:rsidR="00446E4A" w:rsidRDefault="00446E4A"/>
    <w:p w14:paraId="6E5D9A45" w14:textId="77777777" w:rsidR="00A374E7" w:rsidRDefault="00A374E7"/>
    <w:p w14:paraId="675931CF" w14:textId="77777777" w:rsidR="00A374E7" w:rsidRDefault="00A374E7">
      <w:pPr>
        <w:sectPr w:rsidR="00A374E7">
          <w:headerReference w:type="default" r:id="rId13"/>
          <w:headerReference w:type="first" r:id="rId14"/>
          <w:pgSz w:w="11906" w:h="16838"/>
          <w:pgMar w:top="1440" w:right="1440" w:bottom="1440" w:left="1440" w:header="708" w:footer="708" w:gutter="0"/>
          <w:cols w:space="708"/>
          <w:docGrid w:linePitch="360"/>
        </w:sectPr>
      </w:pPr>
    </w:p>
    <w:p w14:paraId="0672607E" w14:textId="068D2B6A" w:rsidR="00A374E7" w:rsidRPr="0061796C" w:rsidRDefault="00664BEC" w:rsidP="00A374E7">
      <w:pPr>
        <w:spacing w:after="0"/>
        <w:rPr>
          <w:bCs/>
        </w:rPr>
      </w:pPr>
      <w:bookmarkStart w:id="6" w:name="_Toc499794143"/>
      <w:bookmarkStart w:id="7" w:name="_Toc300933414"/>
      <w:bookmarkStart w:id="8" w:name="_Toc286391001"/>
      <w:r>
        <w:rPr>
          <w:noProof/>
          <w:lang w:val="en-GB" w:eastAsia="en-GB"/>
        </w:rPr>
        <w:lastRenderedPageBreak/>
        <w:drawing>
          <wp:anchor distT="0" distB="0" distL="114300" distR="114300" simplePos="0" relativeHeight="251659264" behindDoc="0" locked="0" layoutInCell="1" allowOverlap="1" wp14:anchorId="787303D8" wp14:editId="653FDC99">
            <wp:simplePos x="0" y="0"/>
            <wp:positionH relativeFrom="margin">
              <wp:posOffset>0</wp:posOffset>
            </wp:positionH>
            <wp:positionV relativeFrom="paragraph">
              <wp:posOffset>-635</wp:posOffset>
            </wp:positionV>
            <wp:extent cx="2541182" cy="398415"/>
            <wp:effectExtent l="0" t="0" r="0" b="1905"/>
            <wp:wrapNone/>
            <wp:docPr id="2" name="Picture 2" descr="FSA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ANZ logo primar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64044" cy="401999"/>
                    </a:xfrm>
                    <a:prstGeom prst="rect">
                      <a:avLst/>
                    </a:prstGeom>
                  </pic:spPr>
                </pic:pic>
              </a:graphicData>
            </a:graphic>
            <wp14:sizeRelH relativeFrom="page">
              <wp14:pctWidth>0</wp14:pctWidth>
            </wp14:sizeRelH>
            <wp14:sizeRelV relativeFrom="page">
              <wp14:pctHeight>0</wp14:pctHeight>
            </wp14:sizeRelV>
          </wp:anchor>
        </w:drawing>
      </w:r>
    </w:p>
    <w:p w14:paraId="1CF95DF3" w14:textId="77777777" w:rsidR="00664BEC" w:rsidRDefault="00664BEC" w:rsidP="00A374E7">
      <w:pPr>
        <w:pStyle w:val="NonTOCheading2"/>
        <w:spacing w:line="240" w:lineRule="auto"/>
        <w:rPr>
          <w:rFonts w:eastAsia="Calibri"/>
          <w:sz w:val="48"/>
        </w:rPr>
      </w:pPr>
    </w:p>
    <w:p w14:paraId="3D1CE9DE" w14:textId="7B56BAD1" w:rsidR="00664BEC" w:rsidRDefault="00664BEC" w:rsidP="00A374E7">
      <w:pPr>
        <w:pStyle w:val="NonTOCheading2"/>
        <w:spacing w:line="240" w:lineRule="auto"/>
        <w:rPr>
          <w:rFonts w:eastAsia="Calibri"/>
          <w:sz w:val="48"/>
        </w:rPr>
      </w:pPr>
      <w:r w:rsidRPr="00DC1748">
        <w:rPr>
          <w:noProof/>
          <w:lang w:val="en-GB" w:eastAsia="en-GB"/>
        </w:rPr>
        <w:drawing>
          <wp:anchor distT="0" distB="0" distL="114300" distR="114300" simplePos="0" relativeHeight="251661312" behindDoc="1" locked="0" layoutInCell="1" allowOverlap="1" wp14:anchorId="6669607B" wp14:editId="3CFB33B9">
            <wp:simplePos x="0" y="0"/>
            <wp:positionH relativeFrom="margin">
              <wp:posOffset>-1581327</wp:posOffset>
            </wp:positionH>
            <wp:positionV relativeFrom="paragraph">
              <wp:posOffset>2888583</wp:posOffset>
            </wp:positionV>
            <wp:extent cx="11557590" cy="6548167"/>
            <wp:effectExtent l="0" t="0" r="6350" b="5080"/>
            <wp:wrapNone/>
            <wp:docPr id="5" name="Picture 5"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verpage-0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609472" cy="6577562"/>
                    </a:xfrm>
                    <a:prstGeom prst="rect">
                      <a:avLst/>
                    </a:prstGeom>
                  </pic:spPr>
                </pic:pic>
              </a:graphicData>
            </a:graphic>
            <wp14:sizeRelH relativeFrom="page">
              <wp14:pctWidth>0</wp14:pctWidth>
            </wp14:sizeRelH>
            <wp14:sizeRelV relativeFrom="page">
              <wp14:pctHeight>0</wp14:pctHeight>
            </wp14:sizeRelV>
          </wp:anchor>
        </w:drawing>
      </w:r>
    </w:p>
    <w:p w14:paraId="41F74079" w14:textId="6CE32A8C" w:rsidR="00664BEC" w:rsidRDefault="00664BEC" w:rsidP="00A374E7">
      <w:pPr>
        <w:pStyle w:val="NonTOCheading2"/>
        <w:spacing w:line="240" w:lineRule="auto"/>
        <w:rPr>
          <w:rFonts w:eastAsia="Calibri"/>
          <w:sz w:val="48"/>
        </w:rPr>
      </w:pPr>
      <w:r w:rsidRPr="00664BEC">
        <w:rPr>
          <w:rFonts w:eastAsia="Calibri"/>
          <w:noProof/>
          <w:sz w:val="48"/>
        </w:rPr>
        <mc:AlternateContent>
          <mc:Choice Requires="wps">
            <w:drawing>
              <wp:anchor distT="45720" distB="45720" distL="114300" distR="114300" simplePos="0" relativeHeight="251663360" behindDoc="0" locked="0" layoutInCell="1" allowOverlap="1" wp14:anchorId="57EDEF5B" wp14:editId="022DA346">
                <wp:simplePos x="0" y="0"/>
                <wp:positionH relativeFrom="page">
                  <wp:posOffset>3912235</wp:posOffset>
                </wp:positionH>
                <wp:positionV relativeFrom="paragraph">
                  <wp:posOffset>6103620</wp:posOffset>
                </wp:positionV>
                <wp:extent cx="2360930" cy="1404620"/>
                <wp:effectExtent l="0" t="0" r="0" b="1270"/>
                <wp:wrapSquare wrapText="bothSides"/>
                <wp:docPr id="1242211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1128BE6" w14:textId="4FB89EA2" w:rsidR="00664BEC" w:rsidRPr="00664BEC" w:rsidRDefault="00664BEC" w:rsidP="00664BEC">
                            <w:pPr>
                              <w:jc w:val="right"/>
                              <w:rPr>
                                <w:sz w:val="28"/>
                                <w:szCs w:val="28"/>
                              </w:rPr>
                            </w:pPr>
                            <w:r w:rsidRPr="00664BEC">
                              <w:rPr>
                                <w:sz w:val="44"/>
                                <w:szCs w:val="52"/>
                              </w:rPr>
                              <w:t>January 2025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7EDEF5B" id="_x0000_s1027" type="#_x0000_t202" style="position:absolute;margin-left:308.05pt;margin-top:480.6pt;width:185.9pt;height:110.6pt;z-index:251663360;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" filled="f" stroked="f">
                <v:textbox style="mso-fit-shape-to-text:t">
                  <w:txbxContent>
                    <w:p w14:paraId="11128BE6" w14:textId="4FB89EA2" w:rsidR="00664BEC" w:rsidRPr="00664BEC" w:rsidRDefault="00664BEC" w:rsidP="00664BEC">
                      <w:pPr>
                        <w:jc w:val="right"/>
                        <w:rPr>
                          <w:sz w:val="28"/>
                          <w:szCs w:val="28"/>
                        </w:rPr>
                      </w:pPr>
                      <w:r w:rsidRPr="00664BEC">
                        <w:rPr>
                          <w:sz w:val="44"/>
                          <w:szCs w:val="52"/>
                        </w:rPr>
                        <w:t>January 2025</w:t>
                      </w:r>
                    </w:p>
                  </w:txbxContent>
                </v:textbox>
                <w10:wrap type="square" anchorx="page"/>
              </v:shape>
            </w:pict>
          </mc:Fallback>
        </mc:AlternateContent>
      </w:r>
    </w:p>
    <w:tbl>
      <w:tblPr>
        <w:tblStyle w:val="TableGrid"/>
        <w:tblpPr w:leftFromText="180" w:rightFromText="180" w:vertAnchor="page" w:horzAnchor="margin" w:tblpY="39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664BEC" w:rsidRPr="00664BEC" w14:paraId="53AB82ED" w14:textId="77777777" w:rsidTr="00807625">
        <w:tc>
          <w:tcPr>
            <w:tcW w:w="9286" w:type="dxa"/>
          </w:tcPr>
          <w:p w14:paraId="365AF528" w14:textId="77777777" w:rsidR="00664BEC" w:rsidRDefault="00664BEC" w:rsidP="00664BEC">
            <w:pPr>
              <w:pStyle w:val="Heading1"/>
              <w:jc w:val="right"/>
              <w:rPr>
                <w:rFonts w:ascii="Arial" w:hAnsi="Arial" w:cs="Arial"/>
              </w:rPr>
            </w:pPr>
          </w:p>
          <w:p w14:paraId="68C52232" w14:textId="77777777" w:rsidR="00664BEC" w:rsidRDefault="00664BEC" w:rsidP="00664BEC">
            <w:pPr>
              <w:pStyle w:val="Heading1"/>
              <w:jc w:val="right"/>
              <w:rPr>
                <w:rFonts w:ascii="Arial" w:hAnsi="Arial" w:cs="Arial"/>
              </w:rPr>
            </w:pPr>
          </w:p>
          <w:p w14:paraId="1C1A8F81" w14:textId="77777777" w:rsidR="00664BEC" w:rsidRDefault="00664BEC" w:rsidP="00664BEC">
            <w:pPr>
              <w:pStyle w:val="Heading1"/>
              <w:jc w:val="right"/>
              <w:rPr>
                <w:rFonts w:ascii="Arial" w:hAnsi="Arial" w:cs="Arial"/>
              </w:rPr>
            </w:pPr>
          </w:p>
          <w:p w14:paraId="1CA727B8" w14:textId="5798CDC3" w:rsidR="00664BEC" w:rsidRPr="00664BEC" w:rsidRDefault="00664BEC" w:rsidP="00664BEC">
            <w:pPr>
              <w:pStyle w:val="Heading1"/>
              <w:jc w:val="right"/>
              <w:rPr>
                <w:rFonts w:ascii="Arial" w:hAnsi="Arial" w:cs="Arial"/>
                <w:color w:val="30556E"/>
                <w:sz w:val="52"/>
                <w:szCs w:val="52"/>
              </w:rPr>
            </w:pPr>
            <w:bookmarkStart w:id="9" w:name="_Toc190429971"/>
            <w:r w:rsidRPr="00664BEC">
              <w:rPr>
                <w:rFonts w:ascii="Arial" w:hAnsi="Arial" w:cs="Arial"/>
                <w:color w:val="30556E"/>
                <w:sz w:val="52"/>
                <w:szCs w:val="52"/>
              </w:rPr>
              <w:t>Health Star Rating Uptake in Australia</w:t>
            </w:r>
            <w:bookmarkEnd w:id="9"/>
          </w:p>
        </w:tc>
      </w:tr>
      <w:tr w:rsidR="00664BEC" w:rsidRPr="00664BEC" w14:paraId="7AEB448F" w14:textId="77777777" w:rsidTr="00807625">
        <w:trPr>
          <w:trHeight w:val="5517"/>
        </w:trPr>
        <w:tc>
          <w:tcPr>
            <w:tcW w:w="9286" w:type="dxa"/>
          </w:tcPr>
          <w:p w14:paraId="75CAAA11" w14:textId="77777777" w:rsidR="00664BEC" w:rsidRPr="00664BEC" w:rsidRDefault="00664BEC" w:rsidP="00664BEC">
            <w:pPr>
              <w:pStyle w:val="Subtitle"/>
              <w:jc w:val="right"/>
              <w:rPr>
                <w:rFonts w:ascii="Arial" w:hAnsi="Arial" w:cs="Arial"/>
              </w:rPr>
            </w:pPr>
            <w:r w:rsidRPr="00664BEC">
              <w:rPr>
                <w:rFonts w:ascii="Arial" w:hAnsi="Arial" w:cs="Arial"/>
              </w:rPr>
              <w:t>Report on progress against Health Star Rating uptake targets: Interim Target 2, 2024</w:t>
            </w:r>
          </w:p>
        </w:tc>
      </w:tr>
    </w:tbl>
    <w:p w14:paraId="5A7674B9" w14:textId="553D2D50" w:rsidR="00664BEC" w:rsidRDefault="00664BEC" w:rsidP="00A374E7">
      <w:pPr>
        <w:pStyle w:val="NonTOCheading2"/>
        <w:spacing w:line="240" w:lineRule="auto"/>
        <w:rPr>
          <w:rFonts w:eastAsia="Calibri"/>
          <w:sz w:val="48"/>
        </w:rPr>
      </w:pPr>
    </w:p>
    <w:p w14:paraId="18743AFC" w14:textId="77BEC6F2" w:rsidR="00664BEC" w:rsidRDefault="00664BEC" w:rsidP="00A374E7">
      <w:pPr>
        <w:pStyle w:val="NonTOCheading2"/>
        <w:spacing w:line="240" w:lineRule="auto"/>
        <w:rPr>
          <w:rFonts w:eastAsia="Calibri"/>
          <w:sz w:val="48"/>
        </w:rPr>
      </w:pPr>
    </w:p>
    <w:p w14:paraId="440DA46F" w14:textId="6E4222FE" w:rsidR="00A374E7" w:rsidRPr="008C0EC7" w:rsidRDefault="00A374E7" w:rsidP="00003217">
      <w:pPr>
        <w:pStyle w:val="NonTOCheading2"/>
        <w:spacing w:line="240" w:lineRule="auto"/>
        <w:rPr>
          <w:sz w:val="32"/>
          <w:szCs w:val="32"/>
        </w:rPr>
      </w:pPr>
      <w:r>
        <w:rPr>
          <w:rFonts w:eastAsia="Calibri"/>
          <w:sz w:val="48"/>
        </w:rPr>
        <w:br w:type="page"/>
      </w:r>
      <w:r w:rsidRPr="7D17072C">
        <w:rPr>
          <w:sz w:val="32"/>
          <w:szCs w:val="32"/>
        </w:rPr>
        <w:lastRenderedPageBreak/>
        <w:t>Disclaimer</w:t>
      </w:r>
    </w:p>
    <w:p w14:paraId="5A6A109D" w14:textId="77777777" w:rsidR="00A374E7" w:rsidRPr="00003217" w:rsidRDefault="00A374E7" w:rsidP="00A374E7">
      <w:pPr>
        <w:rPr>
          <w:rFonts w:ascii="Arial" w:hAnsi="Arial" w:cs="Arial"/>
        </w:rPr>
      </w:pPr>
      <w:r w:rsidRPr="00003217">
        <w:rPr>
          <w:rFonts w:ascii="Arial" w:hAnsi="Arial" w:cs="Arial"/>
        </w:rPr>
        <w:t>While every effort has been made to ensure the information in this publication is accurate, Food Standards Australia New Zealand does not accept any responsibility or liability for error of fact, omission, interpretation or opinion that may be present, nor for the consequences of any decisions based on this information.</w:t>
      </w:r>
    </w:p>
    <w:p w14:paraId="320C2C28" w14:textId="77777777" w:rsidR="00A374E7" w:rsidRPr="00003217" w:rsidRDefault="00A374E7" w:rsidP="00A374E7">
      <w:pPr>
        <w:rPr>
          <w:rFonts w:ascii="Arial" w:hAnsi="Arial" w:cs="Arial"/>
          <w:b/>
          <w:bCs/>
        </w:rPr>
      </w:pPr>
      <w:r w:rsidRPr="00003217">
        <w:rPr>
          <w:rFonts w:ascii="Arial" w:hAnsi="Arial" w:cs="Arial"/>
          <w:b/>
          <w:bCs/>
        </w:rPr>
        <w:t>Copyright statement</w:t>
      </w:r>
    </w:p>
    <w:p w14:paraId="1806BB32" w14:textId="77777777" w:rsidR="00A374E7" w:rsidRPr="00003217" w:rsidRDefault="00A374E7" w:rsidP="00A374E7">
      <w:pPr>
        <w:rPr>
          <w:rFonts w:ascii="Arial" w:hAnsi="Arial" w:cs="Arial"/>
        </w:rPr>
      </w:pPr>
      <w:r w:rsidRPr="00003217">
        <w:rPr>
          <w:rFonts w:ascii="Arial" w:hAnsi="Arial" w:cs="Arial"/>
        </w:rPr>
        <w:t>© Food Standards Australia New Zealand 2025</w:t>
      </w:r>
    </w:p>
    <w:p w14:paraId="55483DA3" w14:textId="77777777" w:rsidR="00A374E7" w:rsidRPr="00003217" w:rsidRDefault="00A374E7" w:rsidP="00A374E7">
      <w:pPr>
        <w:rPr>
          <w:rFonts w:ascii="Arial" w:hAnsi="Arial" w:cs="Arial"/>
        </w:rPr>
      </w:pPr>
      <w:r w:rsidRPr="00003217">
        <w:rPr>
          <w:rFonts w:ascii="Arial" w:hAnsi="Arial" w:cs="Arial"/>
        </w:rPr>
        <w:t xml:space="preserve">Food Standards Australia New Zealand (FSANZ) supports and encourages the dissemination and exchange of information. Information in this report is provided under a Creative Commons Attribution 3.0 Australia (CC BY 3.0) Licence, except for the Food Standards Australia New Zealand logo. </w:t>
      </w:r>
    </w:p>
    <w:p w14:paraId="4F717333" w14:textId="77777777" w:rsidR="00A374E7" w:rsidRPr="00003217" w:rsidRDefault="00A374E7" w:rsidP="00A374E7">
      <w:pPr>
        <w:rPr>
          <w:rFonts w:ascii="Arial" w:hAnsi="Arial" w:cs="Arial"/>
          <w:b/>
          <w:bCs/>
        </w:rPr>
      </w:pPr>
      <w:r w:rsidRPr="00003217">
        <w:rPr>
          <w:rFonts w:ascii="Arial" w:hAnsi="Arial" w:cs="Arial"/>
          <w:b/>
          <w:bCs/>
        </w:rPr>
        <w:t>Attribution</w:t>
      </w:r>
    </w:p>
    <w:p w14:paraId="4E5D5553" w14:textId="77777777" w:rsidR="00A374E7" w:rsidRPr="00003217" w:rsidRDefault="00A374E7" w:rsidP="00A374E7">
      <w:pPr>
        <w:rPr>
          <w:rFonts w:ascii="Arial" w:hAnsi="Arial" w:cs="Arial"/>
        </w:rPr>
      </w:pPr>
      <w:r w:rsidRPr="00003217">
        <w:rPr>
          <w:rFonts w:ascii="Arial" w:hAnsi="Arial" w:cs="Arial"/>
        </w:rPr>
        <w:t>You may copy, distribute, transmit and adapt the material in this publication by the CC BY 3.0 licence for commercial and non-commercial purposes, but you must attribute the work in the following manner:</w:t>
      </w:r>
    </w:p>
    <w:p w14:paraId="6D9F3D45" w14:textId="77777777" w:rsidR="00A374E7" w:rsidRPr="00003217" w:rsidRDefault="00A374E7" w:rsidP="00A374E7">
      <w:pPr>
        <w:rPr>
          <w:rFonts w:ascii="Arial" w:hAnsi="Arial" w:cs="Arial"/>
        </w:rPr>
      </w:pPr>
      <w:r w:rsidRPr="00003217">
        <w:rPr>
          <w:rFonts w:ascii="Arial" w:hAnsi="Arial" w:cs="Arial"/>
        </w:rPr>
        <w:t>© Food Standards Australia New Zealand.</w:t>
      </w:r>
    </w:p>
    <w:p w14:paraId="10FE8465" w14:textId="77777777" w:rsidR="00A374E7" w:rsidRPr="00003217" w:rsidRDefault="00A374E7" w:rsidP="00A374E7">
      <w:pPr>
        <w:rPr>
          <w:rFonts w:ascii="Arial" w:hAnsi="Arial" w:cs="Arial"/>
        </w:rPr>
      </w:pPr>
      <w:r w:rsidRPr="00003217">
        <w:rPr>
          <w:rFonts w:ascii="Arial" w:hAnsi="Arial" w:cs="Arial"/>
        </w:rPr>
        <w:t>This attribution must not, in any way, suggest that FSANZ endorses you or your use of the work.</w:t>
      </w:r>
    </w:p>
    <w:p w14:paraId="0F29C1C7" w14:textId="77777777" w:rsidR="00A374E7" w:rsidRPr="00003217" w:rsidRDefault="00A374E7" w:rsidP="00A374E7">
      <w:pPr>
        <w:rPr>
          <w:rFonts w:ascii="Arial" w:hAnsi="Arial" w:cs="Arial"/>
        </w:rPr>
      </w:pPr>
      <w:r w:rsidRPr="00003217">
        <w:rPr>
          <w:rFonts w:ascii="Arial" w:hAnsi="Arial" w:cs="Arial"/>
        </w:rPr>
        <w:t>For more information email information@foodstandards.gov.au.</w:t>
      </w:r>
    </w:p>
    <w:p w14:paraId="4FFBB3C7" w14:textId="77777777" w:rsidR="00A374E7" w:rsidRPr="00003217" w:rsidRDefault="00A374E7" w:rsidP="00A374E7">
      <w:pPr>
        <w:spacing w:after="0"/>
        <w:rPr>
          <w:rFonts w:ascii="Arial" w:eastAsia="Times New Roman" w:hAnsi="Arial" w:cs="Arial"/>
          <w:sz w:val="20"/>
          <w:szCs w:val="20"/>
          <w:lang w:eastAsia="en-AU"/>
        </w:rPr>
      </w:pPr>
    </w:p>
    <w:p w14:paraId="062CB3E3" w14:textId="77777777" w:rsidR="00A374E7" w:rsidRPr="00003217" w:rsidRDefault="00A374E7" w:rsidP="00A374E7">
      <w:pPr>
        <w:rPr>
          <w:rFonts w:ascii="Arial" w:hAnsi="Arial" w:cs="Arial"/>
        </w:rPr>
      </w:pPr>
    </w:p>
    <w:p w14:paraId="7BFDAFBA" w14:textId="77777777" w:rsidR="00A374E7" w:rsidRPr="00003217" w:rsidRDefault="00A374E7" w:rsidP="00A374E7">
      <w:pPr>
        <w:pStyle w:val="NonTOCheading2"/>
        <w:spacing w:before="120" w:after="120" w:line="240" w:lineRule="auto"/>
        <w:rPr>
          <w:rFonts w:cs="Arial"/>
        </w:rPr>
      </w:pPr>
      <w:r w:rsidRPr="00003217">
        <w:rPr>
          <w:rFonts w:cs="Arial"/>
        </w:rPr>
        <w:br w:type="page"/>
      </w:r>
    </w:p>
    <w:p w14:paraId="4E4B6F7A" w14:textId="77777777" w:rsidR="00A374E7" w:rsidRPr="00003217" w:rsidRDefault="00A374E7" w:rsidP="00A374E7">
      <w:pPr>
        <w:pStyle w:val="NonTOCheading2"/>
        <w:spacing w:line="240" w:lineRule="auto"/>
        <w:rPr>
          <w:rFonts w:cs="Arial"/>
          <w:sz w:val="36"/>
          <w:szCs w:val="18"/>
        </w:rPr>
      </w:pPr>
      <w:r w:rsidRPr="00003217">
        <w:rPr>
          <w:rFonts w:cs="Arial"/>
          <w:sz w:val="36"/>
          <w:szCs w:val="18"/>
        </w:rPr>
        <w:lastRenderedPageBreak/>
        <w:t>Executive summary</w:t>
      </w:r>
    </w:p>
    <w:p w14:paraId="3F006D5E" w14:textId="5CE758A8" w:rsidR="00A374E7" w:rsidRPr="00003217" w:rsidRDefault="00A374E7" w:rsidP="00A374E7">
      <w:pPr>
        <w:rPr>
          <w:rFonts w:ascii="Arial" w:hAnsi="Arial" w:cs="Arial"/>
        </w:rPr>
      </w:pPr>
      <w:r w:rsidRPr="00003217">
        <w:rPr>
          <w:rFonts w:ascii="Arial" w:hAnsi="Arial" w:cs="Arial"/>
        </w:rPr>
        <w:t>The Health Star Rating (HSR) is a voluntary front-of-pack labelling system that rates the overall nutritional profile of packaged food to support consumers to make informed choices. The system uses a rating scale of 0.5 to 5 stars to provide a standardised way for consumers to compare the relative healthiness of similar packaged foods</w:t>
      </w:r>
      <w:r w:rsidRPr="00003217">
        <w:rPr>
          <w:rFonts w:ascii="Arial" w:hAnsi="Arial" w:cs="Arial"/>
          <w:shd w:val="clear" w:color="auto" w:fill="FFFFFF"/>
        </w:rPr>
        <w:t>. When comparing similar products, the more stars, the healthier the choice.</w:t>
      </w:r>
      <w:r w:rsidRPr="00003217">
        <w:rPr>
          <w:rFonts w:ascii="Arial" w:hAnsi="Arial" w:cs="Arial"/>
        </w:rPr>
        <w:t xml:space="preserve"> </w:t>
      </w:r>
    </w:p>
    <w:p w14:paraId="0E708505" w14:textId="77777777" w:rsidR="00A374E7" w:rsidRPr="00003217" w:rsidRDefault="00A374E7" w:rsidP="00A374E7">
      <w:pPr>
        <w:rPr>
          <w:rFonts w:ascii="Arial" w:hAnsi="Arial" w:cs="Arial"/>
        </w:rPr>
      </w:pPr>
      <w:r w:rsidRPr="00003217">
        <w:rPr>
          <w:rFonts w:ascii="Arial" w:hAnsi="Arial" w:cs="Arial"/>
        </w:rPr>
        <w:t>The HSR system was implemented in Australia and New Zealand in June 2014, and is jointly funded by Australian, state and territory and New Zealand governments. An independent review of the system was conducted in 2019.</w:t>
      </w:r>
    </w:p>
    <w:p w14:paraId="0DABCA71" w14:textId="77777777" w:rsidR="00A374E7" w:rsidRPr="00003217" w:rsidRDefault="00A374E7" w:rsidP="00A374E7">
      <w:pPr>
        <w:rPr>
          <w:rFonts w:ascii="Arial" w:hAnsi="Arial" w:cs="Arial"/>
        </w:rPr>
      </w:pPr>
      <w:r w:rsidRPr="00003217">
        <w:rPr>
          <w:rFonts w:ascii="Arial" w:hAnsi="Arial" w:cs="Arial"/>
        </w:rPr>
        <w:t>In 2020, Food Ministers in Australia and New Zealand set the following uptake targets for the voluntary system:</w:t>
      </w:r>
    </w:p>
    <w:p w14:paraId="1281F851" w14:textId="77777777" w:rsidR="00A374E7" w:rsidRPr="00003217" w:rsidRDefault="00A374E7" w:rsidP="00A374E7">
      <w:pPr>
        <w:pStyle w:val="ListParagraph"/>
        <w:numPr>
          <w:ilvl w:val="0"/>
          <w:numId w:val="1"/>
        </w:numPr>
        <w:spacing w:after="0" w:line="240" w:lineRule="auto"/>
        <w:ind w:left="567" w:hanging="283"/>
        <w:rPr>
          <w:rFonts w:ascii="Arial" w:hAnsi="Arial" w:cs="Arial"/>
        </w:rPr>
      </w:pPr>
      <w:r w:rsidRPr="00003217">
        <w:rPr>
          <w:rFonts w:ascii="Arial" w:hAnsi="Arial" w:cs="Arial"/>
        </w:rPr>
        <w:t>Interim target 1 (at 3 years): 50% of intended products have applied the HSR by 14 November 2023</w:t>
      </w:r>
    </w:p>
    <w:p w14:paraId="1F1FF5CC" w14:textId="77777777" w:rsidR="00A374E7" w:rsidRPr="00003217" w:rsidRDefault="00A374E7" w:rsidP="00A374E7">
      <w:pPr>
        <w:pStyle w:val="ListParagraph"/>
        <w:numPr>
          <w:ilvl w:val="0"/>
          <w:numId w:val="1"/>
        </w:numPr>
        <w:spacing w:after="0" w:line="240" w:lineRule="auto"/>
        <w:ind w:left="567" w:hanging="283"/>
        <w:rPr>
          <w:rFonts w:ascii="Arial" w:hAnsi="Arial" w:cs="Arial"/>
        </w:rPr>
      </w:pPr>
      <w:r w:rsidRPr="00003217">
        <w:rPr>
          <w:rFonts w:ascii="Arial" w:hAnsi="Arial" w:cs="Arial"/>
        </w:rPr>
        <w:t>Interim target 2 (at 4 years): 60% of intended products have applied the HSR by 14 November 2024</w:t>
      </w:r>
    </w:p>
    <w:p w14:paraId="282559B2" w14:textId="77777777" w:rsidR="00A374E7" w:rsidRPr="00003217" w:rsidRDefault="00A374E7" w:rsidP="00A374E7">
      <w:pPr>
        <w:pStyle w:val="ListParagraph"/>
        <w:numPr>
          <w:ilvl w:val="0"/>
          <w:numId w:val="1"/>
        </w:numPr>
        <w:spacing w:after="0" w:line="240" w:lineRule="auto"/>
        <w:ind w:left="567" w:hanging="283"/>
        <w:rPr>
          <w:rFonts w:ascii="Arial" w:hAnsi="Arial" w:cs="Arial"/>
        </w:rPr>
      </w:pPr>
      <w:r w:rsidRPr="00003217">
        <w:rPr>
          <w:rFonts w:ascii="Arial" w:hAnsi="Arial" w:cs="Arial"/>
        </w:rPr>
        <w:t>Final target (at 5 years): 70% of intended products have applied the HSR by 14 November 2025.</w:t>
      </w:r>
    </w:p>
    <w:p w14:paraId="3BEEB930" w14:textId="77777777" w:rsidR="00A374E7" w:rsidRPr="00003217" w:rsidRDefault="00A374E7" w:rsidP="00A374E7">
      <w:pPr>
        <w:pStyle w:val="ListParagraph"/>
        <w:spacing w:after="0"/>
        <w:rPr>
          <w:rFonts w:ascii="Arial" w:hAnsi="Arial" w:cs="Arial"/>
        </w:rPr>
      </w:pPr>
    </w:p>
    <w:p w14:paraId="504330C4" w14:textId="460DE296" w:rsidR="00A374E7" w:rsidRPr="00003217" w:rsidRDefault="00A374E7" w:rsidP="00A374E7">
      <w:pPr>
        <w:rPr>
          <w:rFonts w:ascii="Arial" w:hAnsi="Arial" w:cs="Arial"/>
        </w:rPr>
      </w:pPr>
      <w:r w:rsidRPr="00003217">
        <w:rPr>
          <w:rFonts w:ascii="Arial" w:hAnsi="Arial" w:cs="Arial"/>
        </w:rPr>
        <w:t>Food Standards Australia New Zealand (FSANZ) is an independent technical advis</w:t>
      </w:r>
      <w:r w:rsidR="009314E1" w:rsidRPr="00003217">
        <w:rPr>
          <w:rFonts w:ascii="Arial" w:hAnsi="Arial" w:cs="Arial"/>
        </w:rPr>
        <w:t>e</w:t>
      </w:r>
      <w:r w:rsidRPr="00003217">
        <w:rPr>
          <w:rFonts w:ascii="Arial" w:hAnsi="Arial" w:cs="Arial"/>
        </w:rPr>
        <w:t>r to the HSR system</w:t>
      </w:r>
      <w:r w:rsidR="009314E1" w:rsidRPr="00003217">
        <w:rPr>
          <w:rFonts w:ascii="Arial" w:hAnsi="Arial" w:cs="Arial"/>
        </w:rPr>
        <w:t xml:space="preserve">. It </w:t>
      </w:r>
      <w:r w:rsidRPr="00003217">
        <w:rPr>
          <w:rFonts w:ascii="Arial" w:hAnsi="Arial" w:cs="Arial"/>
        </w:rPr>
        <w:t>is responsible for the data collection and analysis required to report on uptake in Australia. This document is FSANZ’s report on uptake against Interim target 2.</w:t>
      </w:r>
    </w:p>
    <w:p w14:paraId="3CB2B03C" w14:textId="1DBA6B7D" w:rsidR="00A374E7" w:rsidRPr="00003217" w:rsidRDefault="00A374E7" w:rsidP="00A374E7">
      <w:pPr>
        <w:rPr>
          <w:rFonts w:ascii="Arial" w:hAnsi="Arial" w:cs="Arial"/>
        </w:rPr>
      </w:pPr>
      <w:r w:rsidRPr="00003217">
        <w:rPr>
          <w:rFonts w:ascii="Arial" w:hAnsi="Arial" w:cs="Arial"/>
        </w:rPr>
        <w:t xml:space="preserve">Data considered </w:t>
      </w:r>
      <w:r w:rsidR="009314E1" w:rsidRPr="00003217">
        <w:rPr>
          <w:rFonts w:ascii="Arial" w:hAnsi="Arial" w:cs="Arial"/>
        </w:rPr>
        <w:t xml:space="preserve">in </w:t>
      </w:r>
      <w:r w:rsidRPr="00003217">
        <w:rPr>
          <w:rFonts w:ascii="Arial" w:hAnsi="Arial" w:cs="Arial"/>
        </w:rPr>
        <w:t>the analysis included label information provided by brand owners, outputs of in-market data collection and national product range files provided by Australia’s four major retailers.</w:t>
      </w:r>
    </w:p>
    <w:p w14:paraId="2E1FD041" w14:textId="77777777" w:rsidR="00A374E7" w:rsidRPr="00003217" w:rsidRDefault="00A374E7" w:rsidP="00A374E7">
      <w:pPr>
        <w:rPr>
          <w:rFonts w:ascii="Arial" w:hAnsi="Arial" w:cs="Arial"/>
          <w:lang w:eastAsia="en-GB"/>
        </w:rPr>
      </w:pPr>
      <w:r w:rsidRPr="00003217">
        <w:rPr>
          <w:rFonts w:ascii="Arial" w:hAnsi="Arial" w:cs="Arial"/>
          <w:lang w:eastAsia="en-GB"/>
        </w:rPr>
        <w:t xml:space="preserve">In November 2024, there were an estimated 28,398 products intended to display the HSR system. The HSR system was found to be displayed on 10,060 intended products, representing uptake of 35%. </w:t>
      </w:r>
      <w:r w:rsidRPr="00003217">
        <w:rPr>
          <w:rFonts w:ascii="Arial" w:hAnsi="Arial" w:cs="Arial"/>
        </w:rPr>
        <w:t xml:space="preserve">This is below the </w:t>
      </w:r>
      <w:r w:rsidRPr="00003217">
        <w:rPr>
          <w:rFonts w:ascii="Arial" w:hAnsi="Arial" w:cs="Arial"/>
          <w:lang w:eastAsia="en-GB"/>
        </w:rPr>
        <w:t>second</w:t>
      </w:r>
      <w:r w:rsidRPr="00003217">
        <w:rPr>
          <w:rFonts w:ascii="Arial" w:hAnsi="Arial" w:cs="Arial"/>
        </w:rPr>
        <w:t xml:space="preserve"> interim uptake target of </w:t>
      </w:r>
      <w:r w:rsidRPr="00003217">
        <w:rPr>
          <w:rFonts w:ascii="Arial" w:hAnsi="Arial" w:cs="Arial"/>
          <w:lang w:eastAsia="en-GB"/>
        </w:rPr>
        <w:t>60</w:t>
      </w:r>
      <w:r w:rsidRPr="00003217">
        <w:rPr>
          <w:rFonts w:ascii="Arial" w:hAnsi="Arial" w:cs="Arial"/>
        </w:rPr>
        <w:t>%.</w:t>
      </w:r>
    </w:p>
    <w:p w14:paraId="15851B04" w14:textId="77777777" w:rsidR="00A374E7" w:rsidRPr="00003217" w:rsidRDefault="00A374E7" w:rsidP="00A374E7">
      <w:pPr>
        <w:rPr>
          <w:rFonts w:ascii="Arial" w:hAnsi="Arial" w:cs="Arial"/>
        </w:rPr>
        <w:sectPr w:rsidR="00A374E7" w:rsidRPr="00003217" w:rsidSect="00003217">
          <w:headerReference w:type="default" r:id="rId17"/>
          <w:footerReference w:type="default" r:id="rId18"/>
          <w:pgSz w:w="11906" w:h="16838" w:code="9"/>
          <w:pgMar w:top="1418" w:right="1134" w:bottom="851" w:left="1134" w:header="510" w:footer="346" w:gutter="0"/>
          <w:pgNumType w:start="1"/>
          <w:cols w:space="708"/>
          <w:titlePg/>
          <w:docGrid w:linePitch="360"/>
        </w:sectPr>
      </w:pPr>
      <w:r w:rsidRPr="00003217">
        <w:rPr>
          <w:rFonts w:ascii="Arial" w:hAnsi="Arial" w:cs="Arial"/>
        </w:rPr>
        <w:t>Methodologies and data sources used by FSANZ to report Interim target 2 are comparable to those used to report Interim target 1. FSANZ intends to again use comparable methodologies and data sources for reporting the final target in November 2025.</w:t>
      </w:r>
    </w:p>
    <w:sdt>
      <w:sdtPr>
        <w:rPr>
          <w:rFonts w:ascii="Arial" w:hAnsi="Arial" w:cs="Arial"/>
          <w:b w:val="0"/>
          <w:bCs w:val="0"/>
          <w:caps w:val="0"/>
          <w:smallCaps/>
          <w:sz w:val="22"/>
          <w:szCs w:val="22"/>
          <w:lang w:val="en-GB"/>
        </w:rPr>
        <w:id w:val="21514769"/>
        <w:docPartObj>
          <w:docPartGallery w:val="Table of Contents"/>
          <w:docPartUnique/>
        </w:docPartObj>
      </w:sdtPr>
      <w:sdtEndPr>
        <w:rPr>
          <w:lang w:val="en-AU"/>
        </w:rPr>
      </w:sdtEndPr>
      <w:sdtContent>
        <w:p w14:paraId="69675915" w14:textId="77777777" w:rsidR="006633EA" w:rsidRDefault="00A374E7" w:rsidP="00A374E7">
          <w:pPr>
            <w:pStyle w:val="TOC1"/>
            <w:tabs>
              <w:tab w:val="right" w:leader="dot" w:pos="9060"/>
            </w:tabs>
            <w:rPr>
              <w:noProof/>
            </w:rPr>
          </w:pPr>
          <w:r w:rsidRPr="00003217">
            <w:rPr>
              <w:rFonts w:ascii="Arial" w:hAnsi="Arial" w:cs="Arial"/>
              <w:sz w:val="36"/>
              <w:szCs w:val="18"/>
            </w:rPr>
            <w:t>Contents</w:t>
          </w:r>
          <w:r w:rsidRPr="00003217">
            <w:rPr>
              <w:rFonts w:ascii="Arial" w:eastAsia="Cambria" w:hAnsi="Arial" w:cs="Arial"/>
              <w:b w:val="0"/>
              <w:bCs w:val="0"/>
              <w:caps w:val="0"/>
              <w:smallCaps/>
              <w:color w:val="0E495D"/>
              <w:sz w:val="22"/>
              <w:szCs w:val="22"/>
            </w:rPr>
            <w:fldChar w:fldCharType="begin"/>
          </w:r>
          <w:r w:rsidRPr="00003217">
            <w:rPr>
              <w:rFonts w:ascii="Arial" w:hAnsi="Arial" w:cs="Arial"/>
              <w:b w:val="0"/>
              <w:smallCaps/>
              <w:sz w:val="22"/>
              <w:szCs w:val="22"/>
            </w:rPr>
            <w:instrText xml:space="preserve"> TOC \o "1-3" \h \z \u </w:instrText>
          </w:r>
          <w:r w:rsidRPr="00003217">
            <w:rPr>
              <w:rFonts w:ascii="Arial" w:eastAsia="Cambria" w:hAnsi="Arial" w:cs="Arial"/>
              <w:b w:val="0"/>
              <w:bCs w:val="0"/>
              <w:caps w:val="0"/>
              <w:smallCaps/>
              <w:color w:val="0E495D"/>
              <w:sz w:val="22"/>
              <w:szCs w:val="22"/>
            </w:rPr>
            <w:fldChar w:fldCharType="separate"/>
          </w:r>
        </w:p>
        <w:p w14:paraId="3CD171D7" w14:textId="7F8D58FA" w:rsidR="006633EA" w:rsidRDefault="006633EA">
          <w:pPr>
            <w:pStyle w:val="TOC1"/>
            <w:tabs>
              <w:tab w:val="right" w:leader="dot" w:pos="9060"/>
            </w:tabs>
            <w:rPr>
              <w:rFonts w:eastAsiaTheme="minorEastAsia" w:cstheme="minorBidi"/>
              <w:b w:val="0"/>
              <w:bCs w:val="0"/>
              <w:caps w:val="0"/>
              <w:noProof/>
              <w:color w:val="auto"/>
              <w:kern w:val="2"/>
              <w:sz w:val="24"/>
              <w:szCs w:val="24"/>
              <w:lang w:eastAsia="en-AU"/>
              <w14:ligatures w14:val="standardContextual"/>
            </w:rPr>
          </w:pPr>
          <w:hyperlink w:anchor="_Toc190429966" w:history="1">
            <w:r w:rsidRPr="00A65A07">
              <w:rPr>
                <w:rStyle w:val="Hyperlink"/>
                <w:noProof/>
              </w:rPr>
              <w:t>Introduction</w:t>
            </w:r>
            <w:r>
              <w:rPr>
                <w:noProof/>
                <w:webHidden/>
              </w:rPr>
              <w:tab/>
            </w:r>
            <w:r>
              <w:rPr>
                <w:noProof/>
                <w:webHidden/>
              </w:rPr>
              <w:fldChar w:fldCharType="begin"/>
            </w:r>
            <w:r>
              <w:rPr>
                <w:noProof/>
                <w:webHidden/>
              </w:rPr>
              <w:instrText xml:space="preserve"> PAGEREF _Toc190429966 \h </w:instrText>
            </w:r>
            <w:r>
              <w:rPr>
                <w:noProof/>
                <w:webHidden/>
              </w:rPr>
            </w:r>
            <w:r>
              <w:rPr>
                <w:noProof/>
                <w:webHidden/>
              </w:rPr>
              <w:fldChar w:fldCharType="separate"/>
            </w:r>
            <w:r>
              <w:rPr>
                <w:noProof/>
                <w:webHidden/>
              </w:rPr>
              <w:t>2</w:t>
            </w:r>
            <w:r>
              <w:rPr>
                <w:noProof/>
                <w:webHidden/>
              </w:rPr>
              <w:fldChar w:fldCharType="end"/>
            </w:r>
          </w:hyperlink>
        </w:p>
        <w:p w14:paraId="4A091E92" w14:textId="7DE158BB" w:rsidR="006633EA" w:rsidRDefault="006633EA">
          <w:pPr>
            <w:pStyle w:val="TOC1"/>
            <w:tabs>
              <w:tab w:val="right" w:leader="dot" w:pos="9060"/>
            </w:tabs>
            <w:rPr>
              <w:rFonts w:eastAsiaTheme="minorEastAsia" w:cstheme="minorBidi"/>
              <w:b w:val="0"/>
              <w:bCs w:val="0"/>
              <w:caps w:val="0"/>
              <w:noProof/>
              <w:color w:val="auto"/>
              <w:kern w:val="2"/>
              <w:sz w:val="24"/>
              <w:szCs w:val="24"/>
              <w:lang w:eastAsia="en-AU"/>
              <w14:ligatures w14:val="standardContextual"/>
            </w:rPr>
          </w:pPr>
          <w:hyperlink w:anchor="_Toc190429967" w:history="1">
            <w:r w:rsidRPr="00A65A07">
              <w:rPr>
                <w:rStyle w:val="Hyperlink"/>
                <w:noProof/>
              </w:rPr>
              <w:t>Uptake monitoring 2024</w:t>
            </w:r>
            <w:r>
              <w:rPr>
                <w:noProof/>
                <w:webHidden/>
              </w:rPr>
              <w:tab/>
            </w:r>
            <w:r>
              <w:rPr>
                <w:noProof/>
                <w:webHidden/>
              </w:rPr>
              <w:fldChar w:fldCharType="begin"/>
            </w:r>
            <w:r>
              <w:rPr>
                <w:noProof/>
                <w:webHidden/>
              </w:rPr>
              <w:instrText xml:space="preserve"> PAGEREF _Toc190429967 \h </w:instrText>
            </w:r>
            <w:r>
              <w:rPr>
                <w:noProof/>
                <w:webHidden/>
              </w:rPr>
            </w:r>
            <w:r>
              <w:rPr>
                <w:noProof/>
                <w:webHidden/>
              </w:rPr>
              <w:fldChar w:fldCharType="separate"/>
            </w:r>
            <w:r>
              <w:rPr>
                <w:noProof/>
                <w:webHidden/>
              </w:rPr>
              <w:t>2</w:t>
            </w:r>
            <w:r>
              <w:rPr>
                <w:noProof/>
                <w:webHidden/>
              </w:rPr>
              <w:fldChar w:fldCharType="end"/>
            </w:r>
          </w:hyperlink>
        </w:p>
        <w:p w14:paraId="5AE69C3B" w14:textId="7B77CA41" w:rsidR="006633EA" w:rsidRDefault="006633EA">
          <w:pPr>
            <w:pStyle w:val="TOC2"/>
            <w:tabs>
              <w:tab w:val="right" w:leader="dot" w:pos="9060"/>
            </w:tabs>
            <w:rPr>
              <w:rFonts w:eastAsiaTheme="minorEastAsia" w:cstheme="minorBidi"/>
              <w:smallCaps w:val="0"/>
              <w:noProof/>
              <w:color w:val="auto"/>
              <w:kern w:val="2"/>
              <w:sz w:val="24"/>
              <w:szCs w:val="24"/>
              <w:lang w:eastAsia="en-AU"/>
              <w14:ligatures w14:val="standardContextual"/>
            </w:rPr>
          </w:pPr>
          <w:hyperlink w:anchor="_Toc190429968" w:history="1">
            <w:r w:rsidRPr="00A65A07">
              <w:rPr>
                <w:rStyle w:val="Hyperlink"/>
                <w:noProof/>
              </w:rPr>
              <w:t>Permitted, intended and prohibited foods</w:t>
            </w:r>
            <w:r>
              <w:rPr>
                <w:noProof/>
                <w:webHidden/>
              </w:rPr>
              <w:tab/>
            </w:r>
            <w:r>
              <w:rPr>
                <w:noProof/>
                <w:webHidden/>
              </w:rPr>
              <w:fldChar w:fldCharType="begin"/>
            </w:r>
            <w:r>
              <w:rPr>
                <w:noProof/>
                <w:webHidden/>
              </w:rPr>
              <w:instrText xml:space="preserve"> PAGEREF _Toc190429968 \h </w:instrText>
            </w:r>
            <w:r>
              <w:rPr>
                <w:noProof/>
                <w:webHidden/>
              </w:rPr>
            </w:r>
            <w:r>
              <w:rPr>
                <w:noProof/>
                <w:webHidden/>
              </w:rPr>
              <w:fldChar w:fldCharType="separate"/>
            </w:r>
            <w:r>
              <w:rPr>
                <w:noProof/>
                <w:webHidden/>
              </w:rPr>
              <w:t>3</w:t>
            </w:r>
            <w:r>
              <w:rPr>
                <w:noProof/>
                <w:webHidden/>
              </w:rPr>
              <w:fldChar w:fldCharType="end"/>
            </w:r>
          </w:hyperlink>
        </w:p>
        <w:p w14:paraId="5C04716D" w14:textId="3F9001AE" w:rsidR="006633EA" w:rsidRDefault="006633EA">
          <w:pPr>
            <w:pStyle w:val="TOC1"/>
            <w:tabs>
              <w:tab w:val="right" w:leader="dot" w:pos="9060"/>
            </w:tabs>
            <w:rPr>
              <w:rFonts w:eastAsiaTheme="minorEastAsia" w:cstheme="minorBidi"/>
              <w:b w:val="0"/>
              <w:bCs w:val="0"/>
              <w:caps w:val="0"/>
              <w:noProof/>
              <w:color w:val="auto"/>
              <w:kern w:val="2"/>
              <w:sz w:val="24"/>
              <w:szCs w:val="24"/>
              <w:lang w:eastAsia="en-AU"/>
              <w14:ligatures w14:val="standardContextual"/>
            </w:rPr>
          </w:pPr>
          <w:hyperlink w:anchor="_Toc190429969" w:history="1">
            <w:r w:rsidRPr="00A65A07">
              <w:rPr>
                <w:rStyle w:val="Hyperlink"/>
                <w:noProof/>
              </w:rPr>
              <w:t>HSR Monitoring Framework</w:t>
            </w:r>
            <w:r>
              <w:rPr>
                <w:noProof/>
                <w:webHidden/>
              </w:rPr>
              <w:tab/>
            </w:r>
            <w:r>
              <w:rPr>
                <w:noProof/>
                <w:webHidden/>
              </w:rPr>
              <w:fldChar w:fldCharType="begin"/>
            </w:r>
            <w:r>
              <w:rPr>
                <w:noProof/>
                <w:webHidden/>
              </w:rPr>
              <w:instrText xml:space="preserve"> PAGEREF _Toc190429969 \h </w:instrText>
            </w:r>
            <w:r>
              <w:rPr>
                <w:noProof/>
                <w:webHidden/>
              </w:rPr>
            </w:r>
            <w:r>
              <w:rPr>
                <w:noProof/>
                <w:webHidden/>
              </w:rPr>
              <w:fldChar w:fldCharType="separate"/>
            </w:r>
            <w:r>
              <w:rPr>
                <w:noProof/>
                <w:webHidden/>
              </w:rPr>
              <w:t>3</w:t>
            </w:r>
            <w:r>
              <w:rPr>
                <w:noProof/>
                <w:webHidden/>
              </w:rPr>
              <w:fldChar w:fldCharType="end"/>
            </w:r>
          </w:hyperlink>
        </w:p>
        <w:p w14:paraId="31805550" w14:textId="07CC7D46" w:rsidR="006633EA" w:rsidRDefault="006633EA">
          <w:pPr>
            <w:pStyle w:val="TOC1"/>
            <w:tabs>
              <w:tab w:val="right" w:leader="dot" w:pos="9060"/>
            </w:tabs>
            <w:rPr>
              <w:rFonts w:eastAsiaTheme="minorEastAsia" w:cstheme="minorBidi"/>
              <w:b w:val="0"/>
              <w:bCs w:val="0"/>
              <w:caps w:val="0"/>
              <w:noProof/>
              <w:color w:val="auto"/>
              <w:kern w:val="2"/>
              <w:sz w:val="24"/>
              <w:szCs w:val="24"/>
              <w:lang w:eastAsia="en-AU"/>
              <w14:ligatures w14:val="standardContextual"/>
            </w:rPr>
          </w:pPr>
          <w:hyperlink w:anchor="_Toc190429970" w:history="1">
            <w:r w:rsidRPr="00A65A07">
              <w:rPr>
                <w:rStyle w:val="Hyperlink"/>
                <w:noProof/>
              </w:rPr>
              <w:t>Next steps</w:t>
            </w:r>
            <w:r>
              <w:rPr>
                <w:noProof/>
                <w:webHidden/>
              </w:rPr>
              <w:tab/>
            </w:r>
            <w:r>
              <w:rPr>
                <w:noProof/>
                <w:webHidden/>
              </w:rPr>
              <w:fldChar w:fldCharType="begin"/>
            </w:r>
            <w:r>
              <w:rPr>
                <w:noProof/>
                <w:webHidden/>
              </w:rPr>
              <w:instrText xml:space="preserve"> PAGEREF _Toc190429970 \h </w:instrText>
            </w:r>
            <w:r>
              <w:rPr>
                <w:noProof/>
                <w:webHidden/>
              </w:rPr>
            </w:r>
            <w:r>
              <w:rPr>
                <w:noProof/>
                <w:webHidden/>
              </w:rPr>
              <w:fldChar w:fldCharType="separate"/>
            </w:r>
            <w:r>
              <w:rPr>
                <w:noProof/>
                <w:webHidden/>
              </w:rPr>
              <w:t>4</w:t>
            </w:r>
            <w:r>
              <w:rPr>
                <w:noProof/>
                <w:webHidden/>
              </w:rPr>
              <w:fldChar w:fldCharType="end"/>
            </w:r>
          </w:hyperlink>
        </w:p>
        <w:p w14:paraId="2355BB6D" w14:textId="2EC48EED" w:rsidR="006633EA" w:rsidRDefault="006633EA">
          <w:pPr>
            <w:pStyle w:val="TOC1"/>
            <w:tabs>
              <w:tab w:val="right" w:leader="dot" w:pos="9060"/>
            </w:tabs>
            <w:rPr>
              <w:rFonts w:eastAsiaTheme="minorEastAsia" w:cstheme="minorBidi"/>
              <w:b w:val="0"/>
              <w:bCs w:val="0"/>
              <w:caps w:val="0"/>
              <w:noProof/>
              <w:color w:val="auto"/>
              <w:kern w:val="2"/>
              <w:sz w:val="24"/>
              <w:szCs w:val="24"/>
              <w:lang w:eastAsia="en-AU"/>
              <w14:ligatures w14:val="standardContextual"/>
            </w:rPr>
          </w:pPr>
          <w:hyperlink w:anchor="_Toc190429971" w:history="1">
            <w:r w:rsidRPr="00A65A07">
              <w:rPr>
                <w:rStyle w:val="Hyperlink"/>
                <w:rFonts w:ascii="Arial" w:hAnsi="Arial" w:cs="Arial"/>
                <w:noProof/>
              </w:rPr>
              <w:t>Health Star Rating Uptake in Australia</w:t>
            </w:r>
            <w:r>
              <w:rPr>
                <w:noProof/>
                <w:webHidden/>
              </w:rPr>
              <w:tab/>
            </w:r>
            <w:r>
              <w:rPr>
                <w:noProof/>
                <w:webHidden/>
              </w:rPr>
              <w:fldChar w:fldCharType="begin"/>
            </w:r>
            <w:r>
              <w:rPr>
                <w:noProof/>
                <w:webHidden/>
              </w:rPr>
              <w:instrText xml:space="preserve"> PAGEREF _Toc190429971 \h </w:instrText>
            </w:r>
            <w:r>
              <w:rPr>
                <w:noProof/>
                <w:webHidden/>
              </w:rPr>
            </w:r>
            <w:r>
              <w:rPr>
                <w:noProof/>
                <w:webHidden/>
              </w:rPr>
              <w:fldChar w:fldCharType="separate"/>
            </w:r>
            <w:r>
              <w:rPr>
                <w:noProof/>
                <w:webHidden/>
              </w:rPr>
              <w:t>1</w:t>
            </w:r>
            <w:r>
              <w:rPr>
                <w:noProof/>
                <w:webHidden/>
              </w:rPr>
              <w:fldChar w:fldCharType="end"/>
            </w:r>
          </w:hyperlink>
        </w:p>
        <w:p w14:paraId="2B040483" w14:textId="5AEDCDB4" w:rsidR="006633EA" w:rsidRDefault="006633EA">
          <w:pPr>
            <w:pStyle w:val="TOC2"/>
            <w:tabs>
              <w:tab w:val="right" w:leader="dot" w:pos="9060"/>
            </w:tabs>
            <w:rPr>
              <w:rFonts w:eastAsiaTheme="minorEastAsia" w:cstheme="minorBidi"/>
              <w:smallCaps w:val="0"/>
              <w:noProof/>
              <w:color w:val="auto"/>
              <w:kern w:val="2"/>
              <w:sz w:val="24"/>
              <w:szCs w:val="24"/>
              <w:lang w:eastAsia="en-AU"/>
              <w14:ligatures w14:val="standardContextual"/>
            </w:rPr>
          </w:pPr>
          <w:hyperlink w:anchor="_Toc190429972" w:history="1">
            <w:r w:rsidRPr="00A65A07">
              <w:rPr>
                <w:rStyle w:val="Hyperlink"/>
                <w:rFonts w:ascii="Arial" w:hAnsi="Arial" w:cs="Arial"/>
                <w:noProof/>
              </w:rPr>
              <w:t>Purpose</w:t>
            </w:r>
            <w:r>
              <w:rPr>
                <w:noProof/>
                <w:webHidden/>
              </w:rPr>
              <w:tab/>
            </w:r>
            <w:r>
              <w:rPr>
                <w:noProof/>
                <w:webHidden/>
              </w:rPr>
              <w:fldChar w:fldCharType="begin"/>
            </w:r>
            <w:r>
              <w:rPr>
                <w:noProof/>
                <w:webHidden/>
              </w:rPr>
              <w:instrText xml:space="preserve"> PAGEREF _Toc190429972 \h </w:instrText>
            </w:r>
            <w:r>
              <w:rPr>
                <w:noProof/>
                <w:webHidden/>
              </w:rPr>
            </w:r>
            <w:r>
              <w:rPr>
                <w:noProof/>
                <w:webHidden/>
              </w:rPr>
              <w:fldChar w:fldCharType="separate"/>
            </w:r>
            <w:r>
              <w:rPr>
                <w:noProof/>
                <w:webHidden/>
              </w:rPr>
              <w:t>5</w:t>
            </w:r>
            <w:r>
              <w:rPr>
                <w:noProof/>
                <w:webHidden/>
              </w:rPr>
              <w:fldChar w:fldCharType="end"/>
            </w:r>
          </w:hyperlink>
        </w:p>
        <w:p w14:paraId="542DED1B" w14:textId="177A123C" w:rsidR="006633EA" w:rsidRDefault="006633EA">
          <w:pPr>
            <w:pStyle w:val="TOC2"/>
            <w:tabs>
              <w:tab w:val="right" w:leader="dot" w:pos="9060"/>
            </w:tabs>
            <w:rPr>
              <w:rFonts w:eastAsiaTheme="minorEastAsia" w:cstheme="minorBidi"/>
              <w:smallCaps w:val="0"/>
              <w:noProof/>
              <w:color w:val="auto"/>
              <w:kern w:val="2"/>
              <w:sz w:val="24"/>
              <w:szCs w:val="24"/>
              <w:lang w:eastAsia="en-AU"/>
              <w14:ligatures w14:val="standardContextual"/>
            </w:rPr>
          </w:pPr>
          <w:hyperlink w:anchor="_Toc190429973" w:history="1">
            <w:r w:rsidRPr="00A65A07">
              <w:rPr>
                <w:rStyle w:val="Hyperlink"/>
                <w:rFonts w:ascii="Arial" w:hAnsi="Arial" w:cs="Arial"/>
                <w:noProof/>
              </w:rPr>
              <w:t>Introduction</w:t>
            </w:r>
            <w:r>
              <w:rPr>
                <w:noProof/>
                <w:webHidden/>
              </w:rPr>
              <w:tab/>
            </w:r>
            <w:r>
              <w:rPr>
                <w:noProof/>
                <w:webHidden/>
              </w:rPr>
              <w:fldChar w:fldCharType="begin"/>
            </w:r>
            <w:r>
              <w:rPr>
                <w:noProof/>
                <w:webHidden/>
              </w:rPr>
              <w:instrText xml:space="preserve"> PAGEREF _Toc190429973 \h </w:instrText>
            </w:r>
            <w:r>
              <w:rPr>
                <w:noProof/>
                <w:webHidden/>
              </w:rPr>
            </w:r>
            <w:r>
              <w:rPr>
                <w:noProof/>
                <w:webHidden/>
              </w:rPr>
              <w:fldChar w:fldCharType="separate"/>
            </w:r>
            <w:r>
              <w:rPr>
                <w:noProof/>
                <w:webHidden/>
              </w:rPr>
              <w:t>5</w:t>
            </w:r>
            <w:r>
              <w:rPr>
                <w:noProof/>
                <w:webHidden/>
              </w:rPr>
              <w:fldChar w:fldCharType="end"/>
            </w:r>
          </w:hyperlink>
        </w:p>
        <w:p w14:paraId="00EE04A5" w14:textId="765592D0" w:rsidR="006633EA" w:rsidRDefault="006633EA">
          <w:pPr>
            <w:pStyle w:val="TOC3"/>
            <w:rPr>
              <w:rFonts w:eastAsiaTheme="minorEastAsia" w:cstheme="minorBidi"/>
              <w:i w:val="0"/>
              <w:iCs w:val="0"/>
              <w:noProof/>
              <w:color w:val="auto"/>
              <w:kern w:val="2"/>
              <w:sz w:val="24"/>
              <w:szCs w:val="24"/>
              <w:lang w:eastAsia="en-AU"/>
              <w14:ligatures w14:val="standardContextual"/>
            </w:rPr>
          </w:pPr>
          <w:hyperlink w:anchor="_Toc190429974" w:history="1">
            <w:r w:rsidRPr="00A65A07">
              <w:rPr>
                <w:rStyle w:val="Hyperlink"/>
                <w:rFonts w:ascii="Arial" w:hAnsi="Arial" w:cs="Arial"/>
                <w:noProof/>
              </w:rPr>
              <w:t>Health Star Rating system</w:t>
            </w:r>
            <w:r>
              <w:rPr>
                <w:noProof/>
                <w:webHidden/>
              </w:rPr>
              <w:tab/>
            </w:r>
            <w:r>
              <w:rPr>
                <w:noProof/>
                <w:webHidden/>
              </w:rPr>
              <w:fldChar w:fldCharType="begin"/>
            </w:r>
            <w:r>
              <w:rPr>
                <w:noProof/>
                <w:webHidden/>
              </w:rPr>
              <w:instrText xml:space="preserve"> PAGEREF _Toc190429974 \h </w:instrText>
            </w:r>
            <w:r>
              <w:rPr>
                <w:noProof/>
                <w:webHidden/>
              </w:rPr>
            </w:r>
            <w:r>
              <w:rPr>
                <w:noProof/>
                <w:webHidden/>
              </w:rPr>
              <w:fldChar w:fldCharType="separate"/>
            </w:r>
            <w:r>
              <w:rPr>
                <w:noProof/>
                <w:webHidden/>
              </w:rPr>
              <w:t>5</w:t>
            </w:r>
            <w:r>
              <w:rPr>
                <w:noProof/>
                <w:webHidden/>
              </w:rPr>
              <w:fldChar w:fldCharType="end"/>
            </w:r>
          </w:hyperlink>
        </w:p>
        <w:p w14:paraId="4634EDA1" w14:textId="509A0882" w:rsidR="006633EA" w:rsidRDefault="006633EA">
          <w:pPr>
            <w:pStyle w:val="TOC3"/>
            <w:rPr>
              <w:rFonts w:eastAsiaTheme="minorEastAsia" w:cstheme="minorBidi"/>
              <w:i w:val="0"/>
              <w:iCs w:val="0"/>
              <w:noProof/>
              <w:color w:val="auto"/>
              <w:kern w:val="2"/>
              <w:sz w:val="24"/>
              <w:szCs w:val="24"/>
              <w:lang w:eastAsia="en-AU"/>
              <w14:ligatures w14:val="standardContextual"/>
            </w:rPr>
          </w:pPr>
          <w:hyperlink w:anchor="_Toc190429975" w:history="1">
            <w:r w:rsidRPr="00A65A07">
              <w:rPr>
                <w:rStyle w:val="Hyperlink"/>
                <w:rFonts w:ascii="Arial" w:hAnsi="Arial" w:cs="Arial"/>
                <w:noProof/>
              </w:rPr>
              <w:t>Uptake targets</w:t>
            </w:r>
            <w:r>
              <w:rPr>
                <w:noProof/>
                <w:webHidden/>
              </w:rPr>
              <w:tab/>
            </w:r>
            <w:r>
              <w:rPr>
                <w:noProof/>
                <w:webHidden/>
              </w:rPr>
              <w:fldChar w:fldCharType="begin"/>
            </w:r>
            <w:r>
              <w:rPr>
                <w:noProof/>
                <w:webHidden/>
              </w:rPr>
              <w:instrText xml:space="preserve"> PAGEREF _Toc190429975 \h </w:instrText>
            </w:r>
            <w:r>
              <w:rPr>
                <w:noProof/>
                <w:webHidden/>
              </w:rPr>
            </w:r>
            <w:r>
              <w:rPr>
                <w:noProof/>
                <w:webHidden/>
              </w:rPr>
              <w:fldChar w:fldCharType="separate"/>
            </w:r>
            <w:r>
              <w:rPr>
                <w:noProof/>
                <w:webHidden/>
              </w:rPr>
              <w:t>5</w:t>
            </w:r>
            <w:r>
              <w:rPr>
                <w:noProof/>
                <w:webHidden/>
              </w:rPr>
              <w:fldChar w:fldCharType="end"/>
            </w:r>
          </w:hyperlink>
        </w:p>
        <w:p w14:paraId="778D2276" w14:textId="2B066B94" w:rsidR="006633EA" w:rsidRDefault="006633EA">
          <w:pPr>
            <w:pStyle w:val="TOC3"/>
            <w:rPr>
              <w:rFonts w:eastAsiaTheme="minorEastAsia" w:cstheme="minorBidi"/>
              <w:i w:val="0"/>
              <w:iCs w:val="0"/>
              <w:noProof/>
              <w:color w:val="auto"/>
              <w:kern w:val="2"/>
              <w:sz w:val="24"/>
              <w:szCs w:val="24"/>
              <w:lang w:eastAsia="en-AU"/>
              <w14:ligatures w14:val="standardContextual"/>
            </w:rPr>
          </w:pPr>
          <w:hyperlink w:anchor="_Toc190429976" w:history="1">
            <w:r w:rsidRPr="00A65A07">
              <w:rPr>
                <w:rStyle w:val="Hyperlink"/>
                <w:rFonts w:ascii="Arial" w:hAnsi="Arial" w:cs="Arial"/>
                <w:noProof/>
              </w:rPr>
              <w:t>Products intended to display an HSR</w:t>
            </w:r>
            <w:r>
              <w:rPr>
                <w:noProof/>
                <w:webHidden/>
              </w:rPr>
              <w:tab/>
            </w:r>
            <w:r>
              <w:rPr>
                <w:noProof/>
                <w:webHidden/>
              </w:rPr>
              <w:fldChar w:fldCharType="begin"/>
            </w:r>
            <w:r>
              <w:rPr>
                <w:noProof/>
                <w:webHidden/>
              </w:rPr>
              <w:instrText xml:space="preserve"> PAGEREF _Toc190429976 \h </w:instrText>
            </w:r>
            <w:r>
              <w:rPr>
                <w:noProof/>
                <w:webHidden/>
              </w:rPr>
            </w:r>
            <w:r>
              <w:rPr>
                <w:noProof/>
                <w:webHidden/>
              </w:rPr>
              <w:fldChar w:fldCharType="separate"/>
            </w:r>
            <w:r>
              <w:rPr>
                <w:noProof/>
                <w:webHidden/>
              </w:rPr>
              <w:t>5</w:t>
            </w:r>
            <w:r>
              <w:rPr>
                <w:noProof/>
                <w:webHidden/>
              </w:rPr>
              <w:fldChar w:fldCharType="end"/>
            </w:r>
          </w:hyperlink>
        </w:p>
        <w:p w14:paraId="7C700086" w14:textId="2184733C" w:rsidR="006633EA" w:rsidRDefault="006633EA">
          <w:pPr>
            <w:pStyle w:val="TOC3"/>
            <w:rPr>
              <w:rFonts w:eastAsiaTheme="minorEastAsia" w:cstheme="minorBidi"/>
              <w:i w:val="0"/>
              <w:iCs w:val="0"/>
              <w:noProof/>
              <w:color w:val="auto"/>
              <w:kern w:val="2"/>
              <w:sz w:val="24"/>
              <w:szCs w:val="24"/>
              <w:lang w:eastAsia="en-AU"/>
              <w14:ligatures w14:val="standardContextual"/>
            </w:rPr>
          </w:pPr>
          <w:hyperlink w:anchor="_Toc190429977" w:history="1">
            <w:r w:rsidRPr="00A65A07">
              <w:rPr>
                <w:rStyle w:val="Hyperlink"/>
                <w:rFonts w:ascii="Arial" w:hAnsi="Arial" w:cs="Arial"/>
                <w:noProof/>
              </w:rPr>
              <w:t>HSR monitoring framework</w:t>
            </w:r>
            <w:r>
              <w:rPr>
                <w:noProof/>
                <w:webHidden/>
              </w:rPr>
              <w:tab/>
            </w:r>
            <w:r>
              <w:rPr>
                <w:noProof/>
                <w:webHidden/>
              </w:rPr>
              <w:fldChar w:fldCharType="begin"/>
            </w:r>
            <w:r>
              <w:rPr>
                <w:noProof/>
                <w:webHidden/>
              </w:rPr>
              <w:instrText xml:space="preserve"> PAGEREF _Toc190429977 \h </w:instrText>
            </w:r>
            <w:r>
              <w:rPr>
                <w:noProof/>
                <w:webHidden/>
              </w:rPr>
            </w:r>
            <w:r>
              <w:rPr>
                <w:noProof/>
                <w:webHidden/>
              </w:rPr>
              <w:fldChar w:fldCharType="separate"/>
            </w:r>
            <w:r>
              <w:rPr>
                <w:noProof/>
                <w:webHidden/>
              </w:rPr>
              <w:t>6</w:t>
            </w:r>
            <w:r>
              <w:rPr>
                <w:noProof/>
                <w:webHidden/>
              </w:rPr>
              <w:fldChar w:fldCharType="end"/>
            </w:r>
          </w:hyperlink>
        </w:p>
        <w:p w14:paraId="6FD11807" w14:textId="7E18B34B" w:rsidR="006633EA" w:rsidRDefault="006633EA">
          <w:pPr>
            <w:pStyle w:val="TOC2"/>
            <w:tabs>
              <w:tab w:val="right" w:leader="dot" w:pos="9060"/>
            </w:tabs>
            <w:rPr>
              <w:rFonts w:eastAsiaTheme="minorEastAsia" w:cstheme="minorBidi"/>
              <w:smallCaps w:val="0"/>
              <w:noProof/>
              <w:color w:val="auto"/>
              <w:kern w:val="2"/>
              <w:sz w:val="24"/>
              <w:szCs w:val="24"/>
              <w:lang w:eastAsia="en-AU"/>
              <w14:ligatures w14:val="standardContextual"/>
            </w:rPr>
          </w:pPr>
          <w:hyperlink w:anchor="_Toc190429978" w:history="1">
            <w:r w:rsidRPr="00A65A07">
              <w:rPr>
                <w:rStyle w:val="Hyperlink"/>
                <w:rFonts w:ascii="Arial" w:hAnsi="Arial" w:cs="Arial"/>
                <w:noProof/>
              </w:rPr>
              <w:t>Methodology</w:t>
            </w:r>
            <w:r>
              <w:rPr>
                <w:noProof/>
                <w:webHidden/>
              </w:rPr>
              <w:tab/>
            </w:r>
            <w:r>
              <w:rPr>
                <w:noProof/>
                <w:webHidden/>
              </w:rPr>
              <w:fldChar w:fldCharType="begin"/>
            </w:r>
            <w:r>
              <w:rPr>
                <w:noProof/>
                <w:webHidden/>
              </w:rPr>
              <w:instrText xml:space="preserve"> PAGEREF _Toc190429978 \h </w:instrText>
            </w:r>
            <w:r>
              <w:rPr>
                <w:noProof/>
                <w:webHidden/>
              </w:rPr>
            </w:r>
            <w:r>
              <w:rPr>
                <w:noProof/>
                <w:webHidden/>
              </w:rPr>
              <w:fldChar w:fldCharType="separate"/>
            </w:r>
            <w:r>
              <w:rPr>
                <w:noProof/>
                <w:webHidden/>
              </w:rPr>
              <w:t>6</w:t>
            </w:r>
            <w:r>
              <w:rPr>
                <w:noProof/>
                <w:webHidden/>
              </w:rPr>
              <w:fldChar w:fldCharType="end"/>
            </w:r>
          </w:hyperlink>
        </w:p>
        <w:p w14:paraId="4393AE6B" w14:textId="6666F314" w:rsidR="006633EA" w:rsidRDefault="006633EA">
          <w:pPr>
            <w:pStyle w:val="TOC3"/>
            <w:rPr>
              <w:rFonts w:eastAsiaTheme="minorEastAsia" w:cstheme="minorBidi"/>
              <w:i w:val="0"/>
              <w:iCs w:val="0"/>
              <w:noProof/>
              <w:color w:val="auto"/>
              <w:kern w:val="2"/>
              <w:sz w:val="24"/>
              <w:szCs w:val="24"/>
              <w:lang w:eastAsia="en-AU"/>
              <w14:ligatures w14:val="standardContextual"/>
            </w:rPr>
          </w:pPr>
          <w:hyperlink w:anchor="_Toc190429979" w:history="1">
            <w:r w:rsidRPr="00A65A07">
              <w:rPr>
                <w:rStyle w:val="Hyperlink"/>
                <w:rFonts w:ascii="Arial" w:hAnsi="Arial" w:cs="Arial"/>
                <w:noProof/>
              </w:rPr>
              <w:t>Determining the Intended Count</w:t>
            </w:r>
            <w:r>
              <w:rPr>
                <w:noProof/>
                <w:webHidden/>
              </w:rPr>
              <w:tab/>
            </w:r>
            <w:r>
              <w:rPr>
                <w:noProof/>
                <w:webHidden/>
              </w:rPr>
              <w:fldChar w:fldCharType="begin"/>
            </w:r>
            <w:r>
              <w:rPr>
                <w:noProof/>
                <w:webHidden/>
              </w:rPr>
              <w:instrText xml:space="preserve"> PAGEREF _Toc190429979 \h </w:instrText>
            </w:r>
            <w:r>
              <w:rPr>
                <w:noProof/>
                <w:webHidden/>
              </w:rPr>
            </w:r>
            <w:r>
              <w:rPr>
                <w:noProof/>
                <w:webHidden/>
              </w:rPr>
              <w:fldChar w:fldCharType="separate"/>
            </w:r>
            <w:r>
              <w:rPr>
                <w:noProof/>
                <w:webHidden/>
              </w:rPr>
              <w:t>6</w:t>
            </w:r>
            <w:r>
              <w:rPr>
                <w:noProof/>
                <w:webHidden/>
              </w:rPr>
              <w:fldChar w:fldCharType="end"/>
            </w:r>
          </w:hyperlink>
        </w:p>
        <w:p w14:paraId="13970BAD" w14:textId="719CE1EB" w:rsidR="006633EA" w:rsidRDefault="006633EA">
          <w:pPr>
            <w:pStyle w:val="TOC3"/>
            <w:rPr>
              <w:rFonts w:eastAsiaTheme="minorEastAsia" w:cstheme="minorBidi"/>
              <w:i w:val="0"/>
              <w:iCs w:val="0"/>
              <w:noProof/>
              <w:color w:val="auto"/>
              <w:kern w:val="2"/>
              <w:sz w:val="24"/>
              <w:szCs w:val="24"/>
              <w:lang w:eastAsia="en-AU"/>
              <w14:ligatures w14:val="standardContextual"/>
            </w:rPr>
          </w:pPr>
          <w:hyperlink w:anchor="_Toc190429980" w:history="1">
            <w:r w:rsidRPr="00A65A07">
              <w:rPr>
                <w:rStyle w:val="Hyperlink"/>
                <w:rFonts w:ascii="Arial" w:hAnsi="Arial" w:cs="Arial"/>
                <w:noProof/>
              </w:rPr>
              <w:t>Determining Uptake number</w:t>
            </w:r>
            <w:r>
              <w:rPr>
                <w:noProof/>
                <w:webHidden/>
              </w:rPr>
              <w:tab/>
            </w:r>
            <w:r>
              <w:rPr>
                <w:noProof/>
                <w:webHidden/>
              </w:rPr>
              <w:fldChar w:fldCharType="begin"/>
            </w:r>
            <w:r>
              <w:rPr>
                <w:noProof/>
                <w:webHidden/>
              </w:rPr>
              <w:instrText xml:space="preserve"> PAGEREF _Toc190429980 \h </w:instrText>
            </w:r>
            <w:r>
              <w:rPr>
                <w:noProof/>
                <w:webHidden/>
              </w:rPr>
            </w:r>
            <w:r>
              <w:rPr>
                <w:noProof/>
                <w:webHidden/>
              </w:rPr>
              <w:fldChar w:fldCharType="separate"/>
            </w:r>
            <w:r>
              <w:rPr>
                <w:noProof/>
                <w:webHidden/>
              </w:rPr>
              <w:t>7</w:t>
            </w:r>
            <w:r>
              <w:rPr>
                <w:noProof/>
                <w:webHidden/>
              </w:rPr>
              <w:fldChar w:fldCharType="end"/>
            </w:r>
          </w:hyperlink>
        </w:p>
        <w:p w14:paraId="24A7A64B" w14:textId="393611A1" w:rsidR="006633EA" w:rsidRDefault="006633EA">
          <w:pPr>
            <w:pStyle w:val="TOC2"/>
            <w:tabs>
              <w:tab w:val="right" w:leader="dot" w:pos="9060"/>
            </w:tabs>
            <w:rPr>
              <w:rFonts w:eastAsiaTheme="minorEastAsia" w:cstheme="minorBidi"/>
              <w:smallCaps w:val="0"/>
              <w:noProof/>
              <w:color w:val="auto"/>
              <w:kern w:val="2"/>
              <w:sz w:val="24"/>
              <w:szCs w:val="24"/>
              <w:lang w:eastAsia="en-AU"/>
              <w14:ligatures w14:val="standardContextual"/>
            </w:rPr>
          </w:pPr>
          <w:hyperlink w:anchor="_Toc190429981" w:history="1">
            <w:r w:rsidRPr="00A65A07">
              <w:rPr>
                <w:rStyle w:val="Hyperlink"/>
                <w:rFonts w:ascii="Arial" w:hAnsi="Arial" w:cs="Arial"/>
                <w:noProof/>
              </w:rPr>
              <w:t>Results</w:t>
            </w:r>
            <w:r>
              <w:rPr>
                <w:noProof/>
                <w:webHidden/>
              </w:rPr>
              <w:tab/>
            </w:r>
            <w:r>
              <w:rPr>
                <w:noProof/>
                <w:webHidden/>
              </w:rPr>
              <w:fldChar w:fldCharType="begin"/>
            </w:r>
            <w:r>
              <w:rPr>
                <w:noProof/>
                <w:webHidden/>
              </w:rPr>
              <w:instrText xml:space="preserve"> PAGEREF _Toc190429981 \h </w:instrText>
            </w:r>
            <w:r>
              <w:rPr>
                <w:noProof/>
                <w:webHidden/>
              </w:rPr>
            </w:r>
            <w:r>
              <w:rPr>
                <w:noProof/>
                <w:webHidden/>
              </w:rPr>
              <w:fldChar w:fldCharType="separate"/>
            </w:r>
            <w:r>
              <w:rPr>
                <w:noProof/>
                <w:webHidden/>
              </w:rPr>
              <w:t>7</w:t>
            </w:r>
            <w:r>
              <w:rPr>
                <w:noProof/>
                <w:webHidden/>
              </w:rPr>
              <w:fldChar w:fldCharType="end"/>
            </w:r>
          </w:hyperlink>
        </w:p>
        <w:p w14:paraId="4EA358CC" w14:textId="10C5D3A2" w:rsidR="006633EA" w:rsidRDefault="006633EA">
          <w:pPr>
            <w:pStyle w:val="TOC2"/>
            <w:tabs>
              <w:tab w:val="right" w:leader="dot" w:pos="9060"/>
            </w:tabs>
            <w:rPr>
              <w:rFonts w:eastAsiaTheme="minorEastAsia" w:cstheme="minorBidi"/>
              <w:smallCaps w:val="0"/>
              <w:noProof/>
              <w:color w:val="auto"/>
              <w:kern w:val="2"/>
              <w:sz w:val="24"/>
              <w:szCs w:val="24"/>
              <w:lang w:eastAsia="en-AU"/>
              <w14:ligatures w14:val="standardContextual"/>
            </w:rPr>
          </w:pPr>
          <w:hyperlink w:anchor="_Toc190429982" w:history="1">
            <w:r w:rsidRPr="00A65A07">
              <w:rPr>
                <w:rStyle w:val="Hyperlink"/>
                <w:rFonts w:ascii="Arial" w:hAnsi="Arial" w:cs="Arial"/>
                <w:noProof/>
              </w:rPr>
              <w:t>Conclusion</w:t>
            </w:r>
            <w:r>
              <w:rPr>
                <w:noProof/>
                <w:webHidden/>
              </w:rPr>
              <w:tab/>
            </w:r>
            <w:r>
              <w:rPr>
                <w:noProof/>
                <w:webHidden/>
              </w:rPr>
              <w:fldChar w:fldCharType="begin"/>
            </w:r>
            <w:r>
              <w:rPr>
                <w:noProof/>
                <w:webHidden/>
              </w:rPr>
              <w:instrText xml:space="preserve"> PAGEREF _Toc190429982 \h </w:instrText>
            </w:r>
            <w:r>
              <w:rPr>
                <w:noProof/>
                <w:webHidden/>
              </w:rPr>
            </w:r>
            <w:r>
              <w:rPr>
                <w:noProof/>
                <w:webHidden/>
              </w:rPr>
              <w:fldChar w:fldCharType="separate"/>
            </w:r>
            <w:r>
              <w:rPr>
                <w:noProof/>
                <w:webHidden/>
              </w:rPr>
              <w:t>7</w:t>
            </w:r>
            <w:r>
              <w:rPr>
                <w:noProof/>
                <w:webHidden/>
              </w:rPr>
              <w:fldChar w:fldCharType="end"/>
            </w:r>
          </w:hyperlink>
        </w:p>
        <w:p w14:paraId="6B9263DF" w14:textId="289DC9BE" w:rsidR="006633EA" w:rsidRDefault="006633EA">
          <w:pPr>
            <w:pStyle w:val="TOC2"/>
            <w:tabs>
              <w:tab w:val="right" w:leader="dot" w:pos="9060"/>
            </w:tabs>
            <w:rPr>
              <w:rFonts w:eastAsiaTheme="minorEastAsia" w:cstheme="minorBidi"/>
              <w:smallCaps w:val="0"/>
              <w:noProof/>
              <w:color w:val="auto"/>
              <w:kern w:val="2"/>
              <w:sz w:val="24"/>
              <w:szCs w:val="24"/>
              <w:lang w:eastAsia="en-AU"/>
              <w14:ligatures w14:val="standardContextual"/>
            </w:rPr>
          </w:pPr>
          <w:hyperlink w:anchor="_Toc190429983" w:history="1">
            <w:r w:rsidRPr="00A65A07">
              <w:rPr>
                <w:rStyle w:val="Hyperlink"/>
                <w:noProof/>
              </w:rPr>
              <w:t>Appendix 1</w:t>
            </w:r>
            <w:r>
              <w:rPr>
                <w:noProof/>
                <w:webHidden/>
              </w:rPr>
              <w:tab/>
            </w:r>
            <w:r>
              <w:rPr>
                <w:noProof/>
                <w:webHidden/>
              </w:rPr>
              <w:fldChar w:fldCharType="begin"/>
            </w:r>
            <w:r>
              <w:rPr>
                <w:noProof/>
                <w:webHidden/>
              </w:rPr>
              <w:instrText xml:space="preserve"> PAGEREF _Toc190429983 \h </w:instrText>
            </w:r>
            <w:r>
              <w:rPr>
                <w:noProof/>
                <w:webHidden/>
              </w:rPr>
            </w:r>
            <w:r>
              <w:rPr>
                <w:noProof/>
                <w:webHidden/>
              </w:rPr>
              <w:fldChar w:fldCharType="separate"/>
            </w:r>
            <w:r>
              <w:rPr>
                <w:noProof/>
                <w:webHidden/>
              </w:rPr>
              <w:t>8</w:t>
            </w:r>
            <w:r>
              <w:rPr>
                <w:noProof/>
                <w:webHidden/>
              </w:rPr>
              <w:fldChar w:fldCharType="end"/>
            </w:r>
          </w:hyperlink>
        </w:p>
        <w:p w14:paraId="7FCCD526" w14:textId="77777777" w:rsidR="00A374E7" w:rsidRPr="00003217" w:rsidRDefault="00A374E7" w:rsidP="00A374E7">
          <w:pPr>
            <w:pStyle w:val="TOC2"/>
            <w:spacing w:after="120"/>
            <w:rPr>
              <w:rFonts w:ascii="Arial" w:eastAsiaTheme="minorEastAsia" w:hAnsi="Arial" w:cs="Arial"/>
              <w:b/>
              <w:noProof/>
              <w:sz w:val="22"/>
              <w:szCs w:val="22"/>
              <w:lang w:val="en-GB" w:eastAsia="en-GB"/>
            </w:rPr>
          </w:pPr>
          <w:r w:rsidRPr="00003217">
            <w:rPr>
              <w:rFonts w:ascii="Arial" w:hAnsi="Arial" w:cs="Arial"/>
              <w:b/>
              <w:bCs/>
              <w:caps/>
              <w:smallCaps w:val="0"/>
              <w:sz w:val="22"/>
              <w:szCs w:val="22"/>
            </w:rPr>
            <w:fldChar w:fldCharType="end"/>
          </w:r>
        </w:p>
      </w:sdtContent>
    </w:sdt>
    <w:p w14:paraId="7019FEA0" w14:textId="77777777" w:rsidR="00A374E7" w:rsidRPr="00003217" w:rsidRDefault="00A374E7" w:rsidP="00A374E7">
      <w:pPr>
        <w:pStyle w:val="Heading2"/>
        <w:rPr>
          <w:rFonts w:ascii="Arial" w:hAnsi="Arial" w:cs="Arial"/>
        </w:rPr>
        <w:sectPr w:rsidR="00A374E7" w:rsidRPr="00003217" w:rsidSect="00A374E7">
          <w:pgSz w:w="11906" w:h="16838" w:code="9"/>
          <w:pgMar w:top="1418" w:right="1418" w:bottom="1418" w:left="1418" w:header="510" w:footer="346" w:gutter="0"/>
          <w:cols w:space="708"/>
          <w:docGrid w:linePitch="360"/>
        </w:sectPr>
      </w:pPr>
    </w:p>
    <w:p w14:paraId="304A28A7" w14:textId="77777777" w:rsidR="00A374E7" w:rsidRPr="00003217" w:rsidRDefault="00A374E7" w:rsidP="00A374E7">
      <w:pPr>
        <w:pStyle w:val="Heading2"/>
        <w:spacing w:before="0" w:after="240"/>
        <w:rPr>
          <w:rFonts w:ascii="Arial" w:hAnsi="Arial" w:cs="Arial"/>
          <w:sz w:val="36"/>
          <w:szCs w:val="36"/>
        </w:rPr>
      </w:pPr>
      <w:bookmarkStart w:id="10" w:name="_Toc190429972"/>
      <w:bookmarkEnd w:id="6"/>
      <w:bookmarkEnd w:id="7"/>
      <w:bookmarkEnd w:id="8"/>
      <w:r w:rsidRPr="00003217">
        <w:rPr>
          <w:rFonts w:ascii="Arial" w:hAnsi="Arial" w:cs="Arial"/>
          <w:sz w:val="36"/>
          <w:szCs w:val="36"/>
        </w:rPr>
        <w:lastRenderedPageBreak/>
        <w:t>Purpose</w:t>
      </w:r>
      <w:bookmarkEnd w:id="10"/>
    </w:p>
    <w:p w14:paraId="28065122" w14:textId="77777777" w:rsidR="00A374E7" w:rsidRPr="00003217" w:rsidRDefault="00A374E7" w:rsidP="00A374E7">
      <w:pPr>
        <w:spacing w:after="120"/>
        <w:rPr>
          <w:rFonts w:ascii="Arial" w:hAnsi="Arial" w:cs="Arial"/>
        </w:rPr>
      </w:pPr>
      <w:r w:rsidRPr="00003217">
        <w:rPr>
          <w:rFonts w:ascii="Arial" w:hAnsi="Arial" w:cs="Arial"/>
        </w:rPr>
        <w:t xml:space="preserve">The purpose of this document is to report on the uptake of Health Star Rating (HSR) in Australia against Interim target 2 – 60% of intended products apply HSR by 14 November 2024. </w:t>
      </w:r>
    </w:p>
    <w:p w14:paraId="15633D40" w14:textId="77777777" w:rsidR="00A374E7" w:rsidRPr="00003217" w:rsidRDefault="00A374E7" w:rsidP="00A374E7">
      <w:pPr>
        <w:pStyle w:val="Heading2"/>
        <w:spacing w:before="240" w:after="240"/>
        <w:rPr>
          <w:rFonts w:ascii="Arial" w:hAnsi="Arial" w:cs="Arial"/>
          <w:sz w:val="36"/>
          <w:szCs w:val="36"/>
        </w:rPr>
      </w:pPr>
      <w:bookmarkStart w:id="11" w:name="_Toc190429973"/>
      <w:r w:rsidRPr="00003217">
        <w:rPr>
          <w:rFonts w:ascii="Arial" w:hAnsi="Arial" w:cs="Arial"/>
          <w:sz w:val="36"/>
          <w:szCs w:val="36"/>
        </w:rPr>
        <w:t>Introduction</w:t>
      </w:r>
      <w:bookmarkEnd w:id="11"/>
    </w:p>
    <w:p w14:paraId="1B31870F" w14:textId="77777777" w:rsidR="00A374E7" w:rsidRPr="00003217" w:rsidRDefault="00A374E7" w:rsidP="00A374E7">
      <w:pPr>
        <w:pStyle w:val="Heading3"/>
        <w:rPr>
          <w:rFonts w:ascii="Arial" w:hAnsi="Arial" w:cs="Arial"/>
        </w:rPr>
      </w:pPr>
      <w:bookmarkStart w:id="12" w:name="_Toc190429974"/>
      <w:r w:rsidRPr="00003217">
        <w:rPr>
          <w:rFonts w:ascii="Arial" w:hAnsi="Arial" w:cs="Arial"/>
        </w:rPr>
        <w:t>Health Star Rating system</w:t>
      </w:r>
      <w:bookmarkEnd w:id="12"/>
    </w:p>
    <w:p w14:paraId="561716E0" w14:textId="77777777" w:rsidR="00A374E7" w:rsidRPr="00003217" w:rsidRDefault="00A374E7" w:rsidP="00A374E7">
      <w:pPr>
        <w:spacing w:after="120"/>
        <w:rPr>
          <w:rFonts w:ascii="Arial" w:hAnsi="Arial" w:cs="Arial"/>
        </w:rPr>
      </w:pPr>
      <w:r w:rsidRPr="00003217">
        <w:rPr>
          <w:rFonts w:ascii="Arial" w:hAnsi="Arial" w:cs="Arial"/>
        </w:rPr>
        <w:t>The Health Star Rating (HSR) is a voluntary front-of-pack labelling system that rates the overall nutritional profile of packaged food to support consumers to make informed choices. The system uses a rating scale of 0.5 to 5 stars to provide a standardised way for consumers to compare the relative healthiness of similar packaged foods</w:t>
      </w:r>
      <w:r w:rsidRPr="00003217">
        <w:rPr>
          <w:rFonts w:ascii="Arial" w:hAnsi="Arial" w:cs="Arial"/>
          <w:shd w:val="clear" w:color="auto" w:fill="FFFFFF"/>
        </w:rPr>
        <w:t>. When comparing similar products, the more stars, the healthier the choice.</w:t>
      </w:r>
      <w:r w:rsidRPr="00003217">
        <w:rPr>
          <w:rFonts w:ascii="Arial" w:hAnsi="Arial" w:cs="Arial"/>
        </w:rPr>
        <w:t xml:space="preserve"> </w:t>
      </w:r>
    </w:p>
    <w:p w14:paraId="4ED573B4" w14:textId="77777777" w:rsidR="00A374E7" w:rsidRPr="00003217" w:rsidRDefault="00A374E7" w:rsidP="00A374E7">
      <w:pPr>
        <w:spacing w:after="120"/>
        <w:rPr>
          <w:rFonts w:ascii="Arial" w:hAnsi="Arial" w:cs="Arial"/>
        </w:rPr>
      </w:pPr>
      <w:r w:rsidRPr="00003217">
        <w:rPr>
          <w:rFonts w:ascii="Arial" w:hAnsi="Arial" w:cs="Arial"/>
        </w:rPr>
        <w:t xml:space="preserve">The HSR system is a joint initiative between the Australian Commonwealth, state and territory and New Zealand governments. It was developed in collaboration with the food industry, public health and consumer groups and was implemented in Australia and New Zealand in 2014. </w:t>
      </w:r>
    </w:p>
    <w:p w14:paraId="6DC4A28B" w14:textId="039EA19F" w:rsidR="00A374E7" w:rsidRPr="00003217" w:rsidRDefault="00A374E7" w:rsidP="00A374E7">
      <w:pPr>
        <w:spacing w:after="120"/>
        <w:rPr>
          <w:rFonts w:ascii="Arial" w:hAnsi="Arial" w:cs="Arial"/>
        </w:rPr>
      </w:pPr>
      <w:r w:rsidRPr="00003217">
        <w:rPr>
          <w:rFonts w:ascii="Arial" w:hAnsi="Arial" w:cs="Arial"/>
        </w:rPr>
        <w:t>Food Standards Australia New Zealand (FSANZ) is an independent technical advis</w:t>
      </w:r>
      <w:r w:rsidR="00760CB7" w:rsidRPr="00003217">
        <w:rPr>
          <w:rFonts w:ascii="Arial" w:hAnsi="Arial" w:cs="Arial"/>
        </w:rPr>
        <w:t>e</w:t>
      </w:r>
      <w:r w:rsidRPr="00003217">
        <w:rPr>
          <w:rFonts w:ascii="Arial" w:hAnsi="Arial" w:cs="Arial"/>
        </w:rPr>
        <w:t>r to the HSR system. FSANZ manages and maintains the HSR algorithm and calculator binationally, and are responsible for data collection and analysis required to report HSR uptake in Australia. New Zealand Food Safety is responsible for monitoring implementation of the HSR system in New Zealand.</w:t>
      </w:r>
    </w:p>
    <w:p w14:paraId="2B9CACC0" w14:textId="77777777" w:rsidR="00A374E7" w:rsidRPr="00003217" w:rsidRDefault="00A374E7" w:rsidP="00A374E7">
      <w:pPr>
        <w:pStyle w:val="Heading3"/>
        <w:rPr>
          <w:rFonts w:ascii="Arial" w:hAnsi="Arial" w:cs="Arial"/>
        </w:rPr>
      </w:pPr>
      <w:bookmarkStart w:id="13" w:name="_Toc190429975"/>
      <w:r w:rsidRPr="00003217">
        <w:rPr>
          <w:rFonts w:ascii="Arial" w:hAnsi="Arial" w:cs="Arial"/>
        </w:rPr>
        <w:t>Uptake targets</w:t>
      </w:r>
      <w:bookmarkEnd w:id="13"/>
    </w:p>
    <w:p w14:paraId="349C1E23" w14:textId="77777777" w:rsidR="00A374E7" w:rsidRPr="00003217" w:rsidRDefault="00A374E7" w:rsidP="00A374E7">
      <w:pPr>
        <w:spacing w:after="120"/>
        <w:rPr>
          <w:rFonts w:ascii="Arial" w:hAnsi="Arial" w:cs="Arial"/>
        </w:rPr>
      </w:pPr>
      <w:r w:rsidRPr="00003217">
        <w:rPr>
          <w:rFonts w:ascii="Arial" w:hAnsi="Arial" w:cs="Arial"/>
        </w:rPr>
        <w:t>An independent review (the review) was carried out in 2019, following 5 years of implementation of the system. The review recommended that ‘</w:t>
      </w:r>
      <w:r w:rsidRPr="00003217">
        <w:rPr>
          <w:rFonts w:ascii="Arial" w:hAnsi="Arial" w:cs="Arial"/>
          <w:i/>
          <w:iCs/>
        </w:rPr>
        <w:t>the HSR system remain voluntary, but with clear uptake targets set and all stakeholders working together to drive uptake. If the HSR system continues to perform well but the HSR is not displayed on 70% of target products within five years of a government decision, the HSR system should be mandated</w:t>
      </w:r>
      <w:r w:rsidRPr="00003217">
        <w:rPr>
          <w:rFonts w:ascii="Arial" w:hAnsi="Arial" w:cs="Arial"/>
        </w:rPr>
        <w:t>.’</w:t>
      </w:r>
    </w:p>
    <w:p w14:paraId="643CFD21" w14:textId="77777777" w:rsidR="00A374E7" w:rsidRPr="00003217" w:rsidRDefault="00A374E7" w:rsidP="00A374E7">
      <w:pPr>
        <w:spacing w:after="120"/>
        <w:rPr>
          <w:rFonts w:ascii="Arial" w:hAnsi="Arial" w:cs="Arial"/>
        </w:rPr>
      </w:pPr>
      <w:r w:rsidRPr="00003217">
        <w:rPr>
          <w:rFonts w:ascii="Arial" w:hAnsi="Arial" w:cs="Arial"/>
        </w:rPr>
        <w:t>In 2020, the then Australia and New Zealand Ministerial Forum on Food Regulation (now the Food Ministers’ Meeting) supported this recommendation and set uptake targets for the HSR system:</w:t>
      </w:r>
    </w:p>
    <w:p w14:paraId="12C7C1B8" w14:textId="77777777" w:rsidR="00A374E7" w:rsidRPr="00003217" w:rsidRDefault="00A374E7" w:rsidP="00A374E7">
      <w:pPr>
        <w:pStyle w:val="ListParagraph"/>
        <w:numPr>
          <w:ilvl w:val="0"/>
          <w:numId w:val="1"/>
        </w:numPr>
        <w:spacing w:after="0" w:line="240" w:lineRule="auto"/>
        <w:ind w:left="567" w:hanging="283"/>
        <w:rPr>
          <w:rFonts w:ascii="Arial" w:hAnsi="Arial" w:cs="Arial"/>
        </w:rPr>
      </w:pPr>
      <w:bookmarkStart w:id="14" w:name="_Hlk156552015"/>
      <w:r w:rsidRPr="00003217">
        <w:rPr>
          <w:rFonts w:ascii="Arial" w:hAnsi="Arial" w:cs="Arial"/>
        </w:rPr>
        <w:t>Interim target 1 (at 3 years): 50% of intended products have applied the HSR by 14 November 2023</w:t>
      </w:r>
    </w:p>
    <w:p w14:paraId="145F6472" w14:textId="77777777" w:rsidR="00A374E7" w:rsidRPr="00003217" w:rsidRDefault="00A374E7" w:rsidP="00A374E7">
      <w:pPr>
        <w:pStyle w:val="ListParagraph"/>
        <w:numPr>
          <w:ilvl w:val="0"/>
          <w:numId w:val="1"/>
        </w:numPr>
        <w:spacing w:after="0" w:line="240" w:lineRule="auto"/>
        <w:ind w:left="567" w:hanging="283"/>
        <w:rPr>
          <w:rFonts w:ascii="Arial" w:hAnsi="Arial" w:cs="Arial"/>
        </w:rPr>
      </w:pPr>
      <w:r w:rsidRPr="00003217">
        <w:rPr>
          <w:rFonts w:ascii="Arial" w:hAnsi="Arial" w:cs="Arial"/>
        </w:rPr>
        <w:t>Interim target 2 (at 4 years): 60% of intended products have applied the HSR by 14 November 2024</w:t>
      </w:r>
    </w:p>
    <w:p w14:paraId="2A9D3086" w14:textId="77777777" w:rsidR="00A374E7" w:rsidRPr="00003217" w:rsidRDefault="00A374E7" w:rsidP="00A374E7">
      <w:pPr>
        <w:pStyle w:val="ListParagraph"/>
        <w:numPr>
          <w:ilvl w:val="0"/>
          <w:numId w:val="1"/>
        </w:numPr>
        <w:spacing w:after="0" w:line="240" w:lineRule="auto"/>
        <w:ind w:left="567" w:hanging="283"/>
        <w:rPr>
          <w:rFonts w:ascii="Arial" w:hAnsi="Arial" w:cs="Arial"/>
        </w:rPr>
      </w:pPr>
      <w:r w:rsidRPr="00003217">
        <w:rPr>
          <w:rFonts w:ascii="Arial" w:hAnsi="Arial" w:cs="Arial"/>
        </w:rPr>
        <w:t>Final target (at 5 years): 70% of intended products have applied the HSR by 14 November 2025.</w:t>
      </w:r>
    </w:p>
    <w:p w14:paraId="6B5B469D" w14:textId="77777777" w:rsidR="00A374E7" w:rsidRPr="00003217" w:rsidRDefault="00A374E7" w:rsidP="00A374E7">
      <w:pPr>
        <w:pStyle w:val="Heading3"/>
        <w:rPr>
          <w:rFonts w:ascii="Arial" w:hAnsi="Arial" w:cs="Arial"/>
        </w:rPr>
      </w:pPr>
      <w:bookmarkStart w:id="15" w:name="_Toc190429976"/>
      <w:bookmarkEnd w:id="14"/>
      <w:r w:rsidRPr="00003217">
        <w:rPr>
          <w:rFonts w:ascii="Arial" w:hAnsi="Arial" w:cs="Arial"/>
        </w:rPr>
        <w:t>Products intended to display an HSR</w:t>
      </w:r>
      <w:bookmarkEnd w:id="15"/>
    </w:p>
    <w:p w14:paraId="27B0EF3F" w14:textId="77777777" w:rsidR="00A374E7" w:rsidRPr="00003217" w:rsidRDefault="00A374E7" w:rsidP="00A374E7">
      <w:pPr>
        <w:shd w:val="clear" w:color="auto" w:fill="FFFFFF"/>
        <w:spacing w:after="120"/>
        <w:rPr>
          <w:rFonts w:ascii="Arial" w:hAnsi="Arial" w:cs="Arial"/>
        </w:rPr>
      </w:pPr>
      <w:r w:rsidRPr="00003217">
        <w:rPr>
          <w:rFonts w:ascii="Arial" w:hAnsi="Arial" w:cs="Arial"/>
        </w:rPr>
        <w:t>Foods intended to carry the HSR system</w:t>
      </w:r>
      <w:r w:rsidRPr="00003217">
        <w:rPr>
          <w:rStyle w:val="FootnoteReference"/>
          <w:rFonts w:ascii="Arial" w:hAnsi="Arial" w:cs="Arial"/>
        </w:rPr>
        <w:footnoteReference w:id="2"/>
      </w:r>
      <w:r w:rsidRPr="00003217">
        <w:rPr>
          <w:rFonts w:ascii="Arial" w:hAnsi="Arial" w:cs="Arial"/>
        </w:rPr>
        <w:t xml:space="preserve"> are those that:</w:t>
      </w:r>
    </w:p>
    <w:p w14:paraId="49D70141" w14:textId="77777777" w:rsidR="00A374E7" w:rsidRPr="00003217" w:rsidRDefault="00A374E7" w:rsidP="00A374E7">
      <w:pPr>
        <w:pStyle w:val="ListParagraph"/>
        <w:numPr>
          <w:ilvl w:val="0"/>
          <w:numId w:val="2"/>
        </w:numPr>
        <w:spacing w:after="120" w:line="240" w:lineRule="auto"/>
        <w:rPr>
          <w:rFonts w:ascii="Arial" w:hAnsi="Arial" w:cs="Arial"/>
        </w:rPr>
      </w:pPr>
      <w:r w:rsidRPr="00003217">
        <w:rPr>
          <w:rFonts w:ascii="Arial" w:hAnsi="Arial" w:cs="Arial"/>
        </w:rPr>
        <w:t>Are permitted to use the system; and</w:t>
      </w:r>
    </w:p>
    <w:p w14:paraId="5857EB63" w14:textId="77777777" w:rsidR="00A374E7" w:rsidRPr="00003217" w:rsidRDefault="00A374E7" w:rsidP="00A374E7">
      <w:pPr>
        <w:pStyle w:val="ListParagraph"/>
        <w:numPr>
          <w:ilvl w:val="0"/>
          <w:numId w:val="2"/>
        </w:numPr>
        <w:spacing w:after="120" w:line="240" w:lineRule="auto"/>
        <w:rPr>
          <w:rFonts w:ascii="Arial" w:hAnsi="Arial" w:cs="Arial"/>
        </w:rPr>
      </w:pPr>
      <w:r w:rsidRPr="00003217">
        <w:rPr>
          <w:rFonts w:ascii="Arial" w:hAnsi="Arial" w:cs="Arial"/>
        </w:rPr>
        <w:t>Are required by the Australia New Zealand Food Standards Code to have a nutrition information panel (NIP); and</w:t>
      </w:r>
    </w:p>
    <w:p w14:paraId="3FEE0776" w14:textId="77777777" w:rsidR="00A374E7" w:rsidRPr="00003217" w:rsidRDefault="00A374E7" w:rsidP="00A374E7">
      <w:pPr>
        <w:pStyle w:val="ListParagraph"/>
        <w:numPr>
          <w:ilvl w:val="0"/>
          <w:numId w:val="2"/>
        </w:numPr>
        <w:spacing w:line="240" w:lineRule="auto"/>
        <w:rPr>
          <w:rFonts w:ascii="Arial" w:hAnsi="Arial" w:cs="Arial"/>
        </w:rPr>
      </w:pPr>
      <w:r w:rsidRPr="00003217">
        <w:rPr>
          <w:rFonts w:ascii="Arial" w:hAnsi="Arial" w:cs="Arial"/>
        </w:rPr>
        <w:t xml:space="preserve">Can vary in nutritional composition. </w:t>
      </w:r>
    </w:p>
    <w:p w14:paraId="29A1132F" w14:textId="77777777" w:rsidR="00A374E7" w:rsidRPr="00003217" w:rsidRDefault="00A374E7" w:rsidP="00A374E7">
      <w:pPr>
        <w:spacing w:after="120"/>
        <w:rPr>
          <w:rFonts w:ascii="Arial" w:hAnsi="Arial" w:cs="Arial"/>
        </w:rPr>
        <w:sectPr w:rsidR="00A374E7" w:rsidRPr="00003217" w:rsidSect="00A374E7">
          <w:headerReference w:type="default" r:id="rId19"/>
          <w:footerReference w:type="default" r:id="rId20"/>
          <w:pgSz w:w="11906" w:h="16838" w:code="9"/>
          <w:pgMar w:top="1134" w:right="1134" w:bottom="709" w:left="1134" w:header="510" w:footer="346" w:gutter="0"/>
          <w:cols w:space="708"/>
          <w:docGrid w:linePitch="360"/>
        </w:sectPr>
      </w:pPr>
    </w:p>
    <w:p w14:paraId="2369B955" w14:textId="77777777" w:rsidR="00A374E7" w:rsidRPr="00003217" w:rsidRDefault="00A374E7" w:rsidP="00A374E7">
      <w:pPr>
        <w:spacing w:after="120"/>
        <w:rPr>
          <w:rFonts w:ascii="Arial" w:hAnsi="Arial" w:cs="Arial"/>
        </w:rPr>
      </w:pPr>
      <w:r w:rsidRPr="00003217">
        <w:rPr>
          <w:rFonts w:ascii="Arial" w:hAnsi="Arial" w:cs="Arial"/>
        </w:rPr>
        <w:lastRenderedPageBreak/>
        <w:t xml:space="preserve">Intended products do </w:t>
      </w:r>
      <w:r w:rsidRPr="00003217">
        <w:rPr>
          <w:rFonts w:ascii="Arial" w:hAnsi="Arial" w:cs="Arial"/>
          <w:i/>
          <w:iCs/>
        </w:rPr>
        <w:t>not</w:t>
      </w:r>
      <w:r w:rsidRPr="00003217">
        <w:rPr>
          <w:rFonts w:ascii="Arial" w:hAnsi="Arial" w:cs="Arial"/>
        </w:rPr>
        <w:t xml:space="preserve"> include:</w:t>
      </w:r>
    </w:p>
    <w:p w14:paraId="29F7C1C1" w14:textId="77777777" w:rsidR="00A374E7" w:rsidRPr="00003217" w:rsidRDefault="00A374E7" w:rsidP="00A374E7">
      <w:pPr>
        <w:pStyle w:val="ListParagraph"/>
        <w:numPr>
          <w:ilvl w:val="0"/>
          <w:numId w:val="2"/>
        </w:numPr>
        <w:spacing w:after="120" w:line="240" w:lineRule="auto"/>
        <w:rPr>
          <w:rFonts w:ascii="Arial" w:hAnsi="Arial" w:cs="Arial"/>
        </w:rPr>
      </w:pPr>
      <w:r w:rsidRPr="00003217">
        <w:rPr>
          <w:rFonts w:ascii="Arial" w:hAnsi="Arial" w:cs="Arial"/>
        </w:rPr>
        <w:t>fresh and minimally processed fruits and vegetables</w:t>
      </w:r>
    </w:p>
    <w:p w14:paraId="20D0D4B8" w14:textId="77777777" w:rsidR="00A374E7" w:rsidRPr="00003217" w:rsidRDefault="00A374E7" w:rsidP="00A374E7">
      <w:pPr>
        <w:pStyle w:val="ListParagraph"/>
        <w:numPr>
          <w:ilvl w:val="0"/>
          <w:numId w:val="2"/>
        </w:numPr>
        <w:spacing w:after="120" w:line="240" w:lineRule="auto"/>
        <w:rPr>
          <w:rFonts w:ascii="Arial" w:hAnsi="Arial" w:cs="Arial"/>
        </w:rPr>
      </w:pPr>
      <w:r w:rsidRPr="00003217">
        <w:rPr>
          <w:rFonts w:ascii="Arial" w:hAnsi="Arial" w:cs="Arial"/>
        </w:rPr>
        <w:t>plain (packaged) water (including sparkling water)</w:t>
      </w:r>
    </w:p>
    <w:p w14:paraId="067D54E3" w14:textId="77777777" w:rsidR="00A374E7" w:rsidRPr="00003217" w:rsidRDefault="00A374E7" w:rsidP="00A374E7">
      <w:pPr>
        <w:pStyle w:val="ListParagraph"/>
        <w:numPr>
          <w:ilvl w:val="0"/>
          <w:numId w:val="2"/>
        </w:numPr>
        <w:spacing w:after="120" w:line="240" w:lineRule="auto"/>
        <w:rPr>
          <w:rFonts w:ascii="Arial" w:hAnsi="Arial" w:cs="Arial"/>
        </w:rPr>
      </w:pPr>
      <w:r w:rsidRPr="00003217">
        <w:rPr>
          <w:rFonts w:ascii="Arial" w:hAnsi="Arial" w:cs="Arial"/>
        </w:rPr>
        <w:t>unpackaged foods and</w:t>
      </w:r>
    </w:p>
    <w:p w14:paraId="112E4B3B" w14:textId="77777777" w:rsidR="00A374E7" w:rsidRPr="00003217" w:rsidRDefault="00A374E7" w:rsidP="00A374E7">
      <w:pPr>
        <w:pStyle w:val="ListParagraph"/>
        <w:numPr>
          <w:ilvl w:val="0"/>
          <w:numId w:val="2"/>
        </w:numPr>
        <w:spacing w:after="120" w:line="240" w:lineRule="auto"/>
        <w:rPr>
          <w:rFonts w:ascii="Arial" w:hAnsi="Arial" w:cs="Arial"/>
        </w:rPr>
      </w:pPr>
      <w:r w:rsidRPr="00003217">
        <w:rPr>
          <w:rFonts w:ascii="Arial" w:hAnsi="Arial" w:cs="Arial"/>
        </w:rPr>
        <w:t>foods not required to bear a NIP.</w:t>
      </w:r>
    </w:p>
    <w:p w14:paraId="3808C3D7" w14:textId="77777777" w:rsidR="00A374E7" w:rsidRPr="00003217" w:rsidRDefault="00A374E7" w:rsidP="00A374E7">
      <w:pPr>
        <w:spacing w:after="120"/>
        <w:rPr>
          <w:rFonts w:ascii="Arial" w:hAnsi="Arial" w:cs="Arial"/>
        </w:rPr>
      </w:pPr>
      <w:r w:rsidRPr="00003217">
        <w:rPr>
          <w:rFonts w:ascii="Arial" w:hAnsi="Arial" w:cs="Arial"/>
        </w:rPr>
        <w:t xml:space="preserve">Further information on intended products can be found at Appendix 1. </w:t>
      </w:r>
    </w:p>
    <w:p w14:paraId="434DEBCB" w14:textId="77777777" w:rsidR="00A374E7" w:rsidRPr="00003217" w:rsidRDefault="00A374E7" w:rsidP="00A374E7">
      <w:pPr>
        <w:pStyle w:val="Heading3"/>
        <w:rPr>
          <w:rFonts w:ascii="Arial" w:hAnsi="Arial" w:cs="Arial"/>
        </w:rPr>
      </w:pPr>
      <w:bookmarkStart w:id="16" w:name="_Toc190429977"/>
      <w:r w:rsidRPr="00003217">
        <w:rPr>
          <w:rFonts w:ascii="Arial" w:hAnsi="Arial" w:cs="Arial"/>
        </w:rPr>
        <w:t xml:space="preserve">HSR monitoring </w:t>
      </w:r>
      <w:bookmarkStart w:id="17" w:name="_Toc508181291"/>
      <w:r w:rsidRPr="00003217">
        <w:rPr>
          <w:rFonts w:ascii="Arial" w:hAnsi="Arial" w:cs="Arial"/>
        </w:rPr>
        <w:t>framework</w:t>
      </w:r>
      <w:bookmarkEnd w:id="16"/>
    </w:p>
    <w:p w14:paraId="1F5B98AD" w14:textId="77777777" w:rsidR="00A374E7" w:rsidRPr="00003217" w:rsidRDefault="00A374E7" w:rsidP="00A374E7">
      <w:pPr>
        <w:spacing w:after="120"/>
        <w:rPr>
          <w:rFonts w:ascii="Arial" w:hAnsi="Arial" w:cs="Arial"/>
        </w:rPr>
      </w:pPr>
      <w:r w:rsidRPr="00003217">
        <w:rPr>
          <w:rFonts w:ascii="Arial" w:hAnsi="Arial" w:cs="Arial"/>
        </w:rPr>
        <w:t>The Food Regulation Standing Committee developed an HSR monitoring framework</w:t>
      </w:r>
      <w:r w:rsidRPr="00003217">
        <w:rPr>
          <w:rStyle w:val="FootnoteReference"/>
          <w:rFonts w:ascii="Arial" w:hAnsi="Arial" w:cs="Arial"/>
        </w:rPr>
        <w:footnoteReference w:id="3"/>
      </w:r>
      <w:r w:rsidRPr="00003217">
        <w:rPr>
          <w:rFonts w:ascii="Arial" w:hAnsi="Arial" w:cs="Arial"/>
        </w:rPr>
        <w:t xml:space="preserve"> to guide priority areas of enquiry for the HSR system in Australia and New Zealand for the period 2023</w:t>
      </w:r>
      <w:r w:rsidRPr="00003217">
        <w:rPr>
          <w:rFonts w:ascii="Arial" w:hAnsi="Arial" w:cs="Arial"/>
        </w:rPr>
        <w:noBreakHyphen/>
        <w:t>2025. The aim of the framework is to both guide monitoring of the updated HSR system post review and maximise consistency of monitoring approaches between Australia and New Zealand. The framework identifies monitoring progress against uptake targets as an ‘essential monitoring requirement’ under the ‘uptake area of enquiry’.</w:t>
      </w:r>
    </w:p>
    <w:p w14:paraId="17FCD4BB" w14:textId="77AB1026" w:rsidR="00A374E7" w:rsidRPr="00003217" w:rsidRDefault="00A374E7" w:rsidP="00A374E7">
      <w:pPr>
        <w:spacing w:after="120"/>
        <w:rPr>
          <w:rFonts w:ascii="Arial" w:hAnsi="Arial" w:cs="Arial"/>
        </w:rPr>
      </w:pPr>
      <w:r w:rsidRPr="00003217">
        <w:rPr>
          <w:rFonts w:ascii="Arial" w:hAnsi="Arial" w:cs="Arial"/>
        </w:rPr>
        <w:t>An HSR monitoring plan for 2024 was developed to provide further detail on monitoring against the second interim uptake target</w:t>
      </w:r>
      <w:r w:rsidRPr="00003217">
        <w:rPr>
          <w:rStyle w:val="FootnoteReference"/>
          <w:rFonts w:ascii="Arial" w:hAnsi="Arial" w:cs="Arial"/>
        </w:rPr>
        <w:footnoteReference w:id="4"/>
      </w:r>
      <w:r w:rsidRPr="00003217">
        <w:rPr>
          <w:rFonts w:ascii="Arial" w:hAnsi="Arial" w:cs="Arial"/>
        </w:rPr>
        <w:t xml:space="preserve">. A monitoring plan for 2025 is being developed. </w:t>
      </w:r>
    </w:p>
    <w:p w14:paraId="5979C008" w14:textId="77777777" w:rsidR="00A374E7" w:rsidRPr="00003217" w:rsidRDefault="00A374E7" w:rsidP="00A374E7">
      <w:pPr>
        <w:pStyle w:val="Heading2"/>
        <w:spacing w:before="240" w:after="240"/>
        <w:rPr>
          <w:rFonts w:ascii="Arial" w:hAnsi="Arial" w:cs="Arial"/>
          <w:sz w:val="36"/>
          <w:szCs w:val="36"/>
        </w:rPr>
      </w:pPr>
      <w:bookmarkStart w:id="18" w:name="_Toc190429978"/>
      <w:bookmarkEnd w:id="17"/>
      <w:r w:rsidRPr="00003217">
        <w:rPr>
          <w:rFonts w:ascii="Arial" w:hAnsi="Arial" w:cs="Arial"/>
          <w:sz w:val="36"/>
          <w:szCs w:val="36"/>
        </w:rPr>
        <w:t>Methodology</w:t>
      </w:r>
      <w:bookmarkEnd w:id="18"/>
    </w:p>
    <w:p w14:paraId="2EC8D24B" w14:textId="77777777" w:rsidR="00A374E7" w:rsidRPr="00003217" w:rsidRDefault="00A374E7" w:rsidP="00A374E7">
      <w:pPr>
        <w:spacing w:after="120"/>
        <w:rPr>
          <w:rFonts w:ascii="Arial" w:hAnsi="Arial" w:cs="Arial"/>
          <w:lang w:val="en-NZ"/>
        </w:rPr>
      </w:pPr>
      <w:r w:rsidRPr="00003217">
        <w:rPr>
          <w:rFonts w:ascii="Arial" w:hAnsi="Arial" w:cs="Arial"/>
          <w:lang w:val="en-NZ"/>
        </w:rPr>
        <w:t xml:space="preserve">To be able to determine HSR uptake as a proportion of intended products, FSANZ determined the total number of products: </w:t>
      </w:r>
    </w:p>
    <w:p w14:paraId="6938437C" w14:textId="77777777" w:rsidR="00A374E7" w:rsidRPr="00003217" w:rsidRDefault="00A374E7" w:rsidP="00A374E7">
      <w:pPr>
        <w:pStyle w:val="ListParagraph"/>
        <w:numPr>
          <w:ilvl w:val="0"/>
          <w:numId w:val="7"/>
        </w:numPr>
        <w:spacing w:after="120" w:line="240" w:lineRule="auto"/>
        <w:ind w:left="709"/>
        <w:rPr>
          <w:rFonts w:ascii="Arial" w:hAnsi="Arial" w:cs="Arial"/>
        </w:rPr>
      </w:pPr>
      <w:r w:rsidRPr="00003217">
        <w:rPr>
          <w:rFonts w:ascii="Arial" w:hAnsi="Arial" w:cs="Arial"/>
          <w:b/>
          <w:bCs/>
          <w:lang w:val="en-NZ"/>
        </w:rPr>
        <w:t>intended to apply the HSR system</w:t>
      </w:r>
      <w:r w:rsidRPr="00003217">
        <w:rPr>
          <w:rFonts w:ascii="Arial" w:hAnsi="Arial" w:cs="Arial"/>
          <w:lang w:val="en-NZ"/>
        </w:rPr>
        <w:t xml:space="preserve"> in the Australian market, as represented by products ranged by </w:t>
      </w:r>
      <w:r w:rsidRPr="00003217">
        <w:rPr>
          <w:rFonts w:ascii="Arial" w:hAnsi="Arial" w:cs="Arial"/>
        </w:rPr>
        <w:t>Australia’s four major retailers (ALDI, Coles, Metcash</w:t>
      </w:r>
      <w:r w:rsidRPr="00003217">
        <w:rPr>
          <w:rStyle w:val="FootnoteReference"/>
          <w:rFonts w:ascii="Arial" w:hAnsi="Arial" w:cs="Arial"/>
        </w:rPr>
        <w:footnoteReference w:id="5"/>
      </w:r>
      <w:r w:rsidRPr="00003217">
        <w:rPr>
          <w:rFonts w:ascii="Arial" w:hAnsi="Arial" w:cs="Arial"/>
        </w:rPr>
        <w:t xml:space="preserve"> and Woolworths) </w:t>
      </w:r>
    </w:p>
    <w:p w14:paraId="2E81EDC0" w14:textId="77777777" w:rsidR="00A374E7" w:rsidRPr="00003217" w:rsidRDefault="00A374E7" w:rsidP="00A374E7">
      <w:pPr>
        <w:pStyle w:val="ListParagraph"/>
        <w:numPr>
          <w:ilvl w:val="0"/>
          <w:numId w:val="7"/>
        </w:numPr>
        <w:spacing w:after="120" w:line="240" w:lineRule="auto"/>
        <w:ind w:left="709"/>
        <w:rPr>
          <w:rFonts w:ascii="Arial" w:hAnsi="Arial" w:cs="Arial"/>
        </w:rPr>
      </w:pPr>
      <w:r w:rsidRPr="00003217">
        <w:rPr>
          <w:rFonts w:ascii="Arial" w:hAnsi="Arial" w:cs="Arial"/>
          <w:b/>
          <w:bCs/>
          <w:lang w:val="en-NZ"/>
        </w:rPr>
        <w:t>intended to AND applying the HSR system</w:t>
      </w:r>
      <w:r w:rsidRPr="00003217">
        <w:rPr>
          <w:rFonts w:ascii="Arial" w:hAnsi="Arial" w:cs="Arial"/>
          <w:lang w:val="en-NZ"/>
        </w:rPr>
        <w:t xml:space="preserve"> in the Australian market, as represented by products ranged by </w:t>
      </w:r>
      <w:r w:rsidRPr="00003217">
        <w:rPr>
          <w:rFonts w:ascii="Arial" w:hAnsi="Arial" w:cs="Arial"/>
        </w:rPr>
        <w:t>Australia’s four major retailers.</w:t>
      </w:r>
    </w:p>
    <w:p w14:paraId="498AA256" w14:textId="77777777" w:rsidR="00A374E7" w:rsidRPr="00003217" w:rsidRDefault="00A374E7" w:rsidP="00A374E7">
      <w:pPr>
        <w:spacing w:after="120"/>
        <w:rPr>
          <w:rFonts w:ascii="Arial" w:hAnsi="Arial" w:cs="Arial"/>
          <w:lang w:val="en-NZ"/>
        </w:rPr>
      </w:pPr>
      <w:r w:rsidRPr="00003217">
        <w:rPr>
          <w:rFonts w:ascii="Arial" w:hAnsi="Arial" w:cs="Arial"/>
          <w:lang w:val="en-NZ"/>
        </w:rPr>
        <w:t xml:space="preserve">Criteria and documented assumptions (refer to Appendix 1) supported the categorisation of intended products across all data files. </w:t>
      </w:r>
      <w:r w:rsidRPr="00003217">
        <w:rPr>
          <w:rFonts w:ascii="Arial" w:hAnsi="Arial" w:cs="Arial"/>
        </w:rPr>
        <w:t xml:space="preserve">Approaches and decisions were discussed with </w:t>
      </w:r>
      <w:r w:rsidRPr="00003217">
        <w:rPr>
          <w:rFonts w:ascii="Arial" w:hAnsi="Arial" w:cs="Arial"/>
          <w:lang w:val="en-NZ"/>
        </w:rPr>
        <w:t>New Zealand Food Safety</w:t>
      </w:r>
      <w:r w:rsidRPr="00003217">
        <w:rPr>
          <w:rFonts w:ascii="Arial" w:hAnsi="Arial" w:cs="Arial"/>
        </w:rPr>
        <w:t xml:space="preserve"> to </w:t>
      </w:r>
      <w:r w:rsidRPr="00003217">
        <w:rPr>
          <w:rFonts w:ascii="Arial" w:hAnsi="Arial" w:cs="Arial"/>
          <w:lang w:val="en-NZ"/>
        </w:rPr>
        <w:t>ensure consistency in categorisation across countries.</w:t>
      </w:r>
    </w:p>
    <w:p w14:paraId="668290EF" w14:textId="77777777" w:rsidR="00A374E7" w:rsidRPr="00003217" w:rsidRDefault="00A374E7" w:rsidP="00A374E7">
      <w:pPr>
        <w:pStyle w:val="Heading3"/>
        <w:rPr>
          <w:rFonts w:ascii="Arial" w:hAnsi="Arial" w:cs="Arial"/>
        </w:rPr>
      </w:pPr>
      <w:bookmarkStart w:id="19" w:name="_Toc190429979"/>
      <w:r w:rsidRPr="00003217">
        <w:rPr>
          <w:rFonts w:ascii="Arial" w:hAnsi="Arial" w:cs="Arial"/>
        </w:rPr>
        <w:t>Determining the Intended Count</w:t>
      </w:r>
      <w:bookmarkEnd w:id="19"/>
    </w:p>
    <w:p w14:paraId="39FF1CE8" w14:textId="686314F5" w:rsidR="00A374E7" w:rsidRPr="00003217" w:rsidRDefault="00760CB7" w:rsidP="00A374E7">
      <w:pPr>
        <w:spacing w:after="120"/>
        <w:rPr>
          <w:rFonts w:ascii="Arial" w:hAnsi="Arial" w:cs="Arial"/>
        </w:rPr>
      </w:pPr>
      <w:r w:rsidRPr="00003217">
        <w:rPr>
          <w:rFonts w:ascii="Arial" w:hAnsi="Arial" w:cs="Arial"/>
        </w:rPr>
        <w:t>FSANZ estimated t</w:t>
      </w:r>
      <w:r w:rsidR="00A374E7" w:rsidRPr="00003217">
        <w:rPr>
          <w:rFonts w:ascii="Arial" w:hAnsi="Arial" w:cs="Arial"/>
        </w:rPr>
        <w:t xml:space="preserve">he total number of intended products available in Australia using data from product range files provided by Australia’s four major retailers to align with the November reporting period. </w:t>
      </w:r>
    </w:p>
    <w:p w14:paraId="0B04C255" w14:textId="77777777" w:rsidR="00A374E7" w:rsidRPr="00003217" w:rsidRDefault="00A374E7" w:rsidP="00A374E7">
      <w:pPr>
        <w:spacing w:after="120"/>
        <w:rPr>
          <w:rFonts w:ascii="Arial" w:hAnsi="Arial" w:cs="Arial"/>
        </w:rPr>
      </w:pPr>
      <w:r w:rsidRPr="00003217">
        <w:rPr>
          <w:rFonts w:ascii="Arial" w:hAnsi="Arial" w:cs="Arial"/>
        </w:rPr>
        <w:t>FSANZ reviewed the data provided by each retailer to identify a unique list of food and beverage products available in-market by removing duplicate records and non-food and festive products</w:t>
      </w:r>
      <w:r w:rsidRPr="00003217">
        <w:rPr>
          <w:rStyle w:val="FootnoteReference"/>
          <w:rFonts w:ascii="Arial" w:hAnsi="Arial" w:cs="Arial"/>
        </w:rPr>
        <w:footnoteReference w:id="6"/>
      </w:r>
      <w:r w:rsidRPr="00003217">
        <w:rPr>
          <w:rFonts w:ascii="Arial" w:hAnsi="Arial" w:cs="Arial"/>
        </w:rPr>
        <w:t>. All remaining products were then categorised as either:</w:t>
      </w:r>
    </w:p>
    <w:p w14:paraId="509FE662" w14:textId="77777777" w:rsidR="00A374E7" w:rsidRPr="00003217" w:rsidRDefault="00A374E7" w:rsidP="00A374E7">
      <w:pPr>
        <w:pStyle w:val="ListParagraph"/>
        <w:numPr>
          <w:ilvl w:val="0"/>
          <w:numId w:val="13"/>
        </w:numPr>
        <w:spacing w:after="120" w:line="240" w:lineRule="auto"/>
        <w:rPr>
          <w:rFonts w:ascii="Arial" w:hAnsi="Arial" w:cs="Arial"/>
        </w:rPr>
      </w:pPr>
      <w:bookmarkStart w:id="20" w:name="_Hlk155787896"/>
      <w:r w:rsidRPr="00003217">
        <w:rPr>
          <w:rFonts w:ascii="Arial" w:hAnsi="Arial" w:cs="Arial"/>
        </w:rPr>
        <w:t xml:space="preserve">permitted and intended to display an HSR </w:t>
      </w:r>
    </w:p>
    <w:p w14:paraId="21561D96" w14:textId="77777777" w:rsidR="00A374E7" w:rsidRPr="00003217" w:rsidRDefault="00A374E7" w:rsidP="00A374E7">
      <w:pPr>
        <w:pStyle w:val="ListParagraph"/>
        <w:numPr>
          <w:ilvl w:val="0"/>
          <w:numId w:val="13"/>
        </w:numPr>
        <w:spacing w:after="120" w:line="240" w:lineRule="auto"/>
        <w:rPr>
          <w:rFonts w:ascii="Arial" w:hAnsi="Arial" w:cs="Arial"/>
        </w:rPr>
      </w:pPr>
      <w:r w:rsidRPr="00003217">
        <w:rPr>
          <w:rFonts w:ascii="Arial" w:hAnsi="Arial" w:cs="Arial"/>
        </w:rPr>
        <w:t xml:space="preserve">permitted but not intended to display an HSR </w:t>
      </w:r>
    </w:p>
    <w:p w14:paraId="7FB9D11D" w14:textId="77777777" w:rsidR="00A374E7" w:rsidRPr="00003217" w:rsidRDefault="00A374E7" w:rsidP="00A374E7">
      <w:pPr>
        <w:pStyle w:val="ListParagraph"/>
        <w:numPr>
          <w:ilvl w:val="0"/>
          <w:numId w:val="13"/>
        </w:numPr>
        <w:spacing w:after="120" w:line="240" w:lineRule="auto"/>
        <w:rPr>
          <w:rFonts w:ascii="Arial" w:hAnsi="Arial" w:cs="Arial"/>
        </w:rPr>
      </w:pPr>
      <w:r w:rsidRPr="00003217">
        <w:rPr>
          <w:rFonts w:ascii="Arial" w:hAnsi="Arial" w:cs="Arial"/>
        </w:rPr>
        <w:t>not permitted to display an HSR</w:t>
      </w:r>
      <w:bookmarkEnd w:id="20"/>
      <w:r w:rsidRPr="00003217">
        <w:rPr>
          <w:rFonts w:ascii="Arial" w:hAnsi="Arial" w:cs="Arial"/>
        </w:rPr>
        <w:t>.</w:t>
      </w:r>
    </w:p>
    <w:p w14:paraId="16984CA2" w14:textId="77777777" w:rsidR="00A374E7" w:rsidRPr="00003217" w:rsidRDefault="00A374E7" w:rsidP="00A374E7">
      <w:pPr>
        <w:pStyle w:val="Heading3"/>
        <w:rPr>
          <w:rFonts w:ascii="Arial" w:hAnsi="Arial" w:cs="Arial"/>
        </w:rPr>
      </w:pPr>
      <w:bookmarkStart w:id="21" w:name="_Toc190429980"/>
      <w:r w:rsidRPr="00003217">
        <w:rPr>
          <w:rFonts w:ascii="Arial" w:hAnsi="Arial" w:cs="Arial"/>
        </w:rPr>
        <w:lastRenderedPageBreak/>
        <w:t>Determining Uptake number</w:t>
      </w:r>
      <w:bookmarkEnd w:id="21"/>
    </w:p>
    <w:p w14:paraId="6BC0A982" w14:textId="77777777" w:rsidR="00A374E7" w:rsidRPr="00003217" w:rsidRDefault="00A374E7" w:rsidP="00A374E7">
      <w:pPr>
        <w:spacing w:after="120"/>
        <w:rPr>
          <w:rFonts w:ascii="Arial" w:hAnsi="Arial" w:cs="Arial"/>
        </w:rPr>
      </w:pPr>
      <w:r w:rsidRPr="00003217">
        <w:rPr>
          <w:rFonts w:ascii="Arial" w:hAnsi="Arial" w:cs="Arial"/>
        </w:rPr>
        <w:t xml:space="preserve">The total number of intended products available in Australia and applying the HSR system was estimated using data provided to FSANZ by brand owners or collected by FSANZ through in-market collection.  </w:t>
      </w:r>
    </w:p>
    <w:p w14:paraId="5933C514" w14:textId="77777777" w:rsidR="00A374E7" w:rsidRPr="00003217" w:rsidRDefault="00A374E7" w:rsidP="00A374E7">
      <w:pPr>
        <w:spacing w:after="120"/>
        <w:rPr>
          <w:rFonts w:ascii="Arial" w:hAnsi="Arial" w:cs="Arial"/>
          <w:lang w:eastAsia="en-GB"/>
        </w:rPr>
      </w:pPr>
      <w:r w:rsidRPr="00003217">
        <w:rPr>
          <w:rFonts w:ascii="Arial" w:hAnsi="Arial" w:cs="Arial"/>
          <w:lang w:eastAsia="en-GB"/>
        </w:rPr>
        <w:t xml:space="preserve">Table 1 provides a summary of the in-market collection which took place during </w:t>
      </w:r>
      <w:r w:rsidRPr="00003217">
        <w:rPr>
          <w:rFonts w:ascii="Arial" w:hAnsi="Arial" w:cs="Arial"/>
        </w:rPr>
        <w:t>October and November 2024 using image collection tools developed by GS1 Australia</w:t>
      </w:r>
      <w:r w:rsidRPr="00003217">
        <w:rPr>
          <w:rFonts w:ascii="Arial" w:hAnsi="Arial" w:cs="Arial"/>
          <w:lang w:eastAsia="en-GB"/>
        </w:rPr>
        <w:t xml:space="preserve">. </w:t>
      </w:r>
      <w:r w:rsidRPr="00003217">
        <w:rPr>
          <w:rFonts w:ascii="Arial" w:hAnsi="Arial" w:cs="Arial"/>
        </w:rPr>
        <w:t xml:space="preserve"> A total of 10,776 products with an HSR were identified using the two collection methods.</w:t>
      </w:r>
      <w:r w:rsidRPr="00003217">
        <w:rPr>
          <w:rFonts w:ascii="Arial" w:hAnsi="Arial" w:cs="Arial"/>
          <w:lang w:eastAsia="en-GB"/>
        </w:rPr>
        <w:t xml:space="preserve"> Of these, 10,060 were categorised as permitted and intended to display an HSR as at 14 November 2024 and were used for further analysis.</w:t>
      </w:r>
    </w:p>
    <w:p w14:paraId="321C7CFD" w14:textId="77777777" w:rsidR="00A374E7" w:rsidRPr="00003217" w:rsidRDefault="00A374E7" w:rsidP="00A374E7">
      <w:pPr>
        <w:pStyle w:val="FSTableFigureHeading"/>
      </w:pPr>
      <w:r w:rsidRPr="00003217">
        <w:t>Table 1: Details of In-store Data Collection*</w:t>
      </w:r>
    </w:p>
    <w:tbl>
      <w:tblPr>
        <w:tblStyle w:val="Table"/>
        <w:tblW w:w="9356" w:type="dxa"/>
        <w:jc w:val="center"/>
        <w:tblLayout w:type="fixed"/>
        <w:tblLook w:val="04A0" w:firstRow="1" w:lastRow="0" w:firstColumn="1" w:lastColumn="0" w:noHBand="0" w:noVBand="1"/>
      </w:tblPr>
      <w:tblGrid>
        <w:gridCol w:w="1560"/>
        <w:gridCol w:w="2835"/>
        <w:gridCol w:w="4961"/>
      </w:tblGrid>
      <w:tr w:rsidR="00A374E7" w:rsidRPr="00003217" w14:paraId="576BCCBA" w14:textId="77777777" w:rsidTr="003D75B4">
        <w:trPr>
          <w:cnfStyle w:val="100000000000" w:firstRow="1" w:lastRow="0" w:firstColumn="0" w:lastColumn="0" w:oddVBand="0" w:evenVBand="0" w:oddHBand="0" w:evenHBand="0" w:firstRowFirstColumn="0" w:firstRowLastColumn="0" w:lastRowFirstColumn="0" w:lastRowLastColumn="0"/>
          <w:trHeight w:val="430"/>
          <w:jc w:val="center"/>
        </w:trPr>
        <w:tc>
          <w:tcPr>
            <w:tcW w:w="1560" w:type="dxa"/>
            <w:tcBorders>
              <w:top w:val="single" w:sz="4" w:space="0" w:color="auto"/>
              <w:left w:val="single" w:sz="4" w:space="0" w:color="auto"/>
              <w:bottom w:val="single" w:sz="4" w:space="0" w:color="auto"/>
              <w:right w:val="single" w:sz="4" w:space="0" w:color="auto"/>
            </w:tcBorders>
          </w:tcPr>
          <w:p w14:paraId="09F3BEE5" w14:textId="77777777" w:rsidR="00A374E7" w:rsidRPr="00003217" w:rsidRDefault="00A374E7" w:rsidP="003D75B4">
            <w:pPr>
              <w:rPr>
                <w:rFonts w:ascii="Arial" w:hAnsi="Arial" w:cs="Arial"/>
                <w:lang w:eastAsia="en-GB"/>
              </w:rPr>
            </w:pPr>
            <w:r w:rsidRPr="00003217">
              <w:rPr>
                <w:rFonts w:ascii="Arial" w:hAnsi="Arial" w:cs="Arial"/>
                <w:lang w:eastAsia="en-GB"/>
              </w:rPr>
              <w:t>Source</w:t>
            </w:r>
          </w:p>
        </w:tc>
        <w:tc>
          <w:tcPr>
            <w:tcW w:w="2835" w:type="dxa"/>
            <w:tcBorders>
              <w:top w:val="single" w:sz="4" w:space="0" w:color="auto"/>
              <w:left w:val="single" w:sz="4" w:space="0" w:color="auto"/>
              <w:bottom w:val="single" w:sz="4" w:space="0" w:color="auto"/>
              <w:right w:val="single" w:sz="4" w:space="0" w:color="auto"/>
            </w:tcBorders>
          </w:tcPr>
          <w:p w14:paraId="66EF0785" w14:textId="77777777" w:rsidR="00A374E7" w:rsidRPr="00003217" w:rsidRDefault="00A374E7" w:rsidP="003D75B4">
            <w:pPr>
              <w:rPr>
                <w:rFonts w:ascii="Arial" w:hAnsi="Arial" w:cs="Arial"/>
                <w:lang w:eastAsia="en-GB"/>
              </w:rPr>
            </w:pPr>
            <w:r w:rsidRPr="00003217">
              <w:rPr>
                <w:rFonts w:ascii="Arial" w:hAnsi="Arial" w:cs="Arial"/>
                <w:lang w:eastAsia="en-GB"/>
              </w:rPr>
              <w:t>Location</w:t>
            </w:r>
          </w:p>
        </w:tc>
        <w:tc>
          <w:tcPr>
            <w:tcW w:w="4961" w:type="dxa"/>
            <w:tcBorders>
              <w:top w:val="single" w:sz="4" w:space="0" w:color="auto"/>
              <w:left w:val="single" w:sz="4" w:space="0" w:color="auto"/>
              <w:bottom w:val="single" w:sz="4" w:space="0" w:color="auto"/>
              <w:right w:val="single" w:sz="4" w:space="0" w:color="auto"/>
            </w:tcBorders>
          </w:tcPr>
          <w:p w14:paraId="7B005939" w14:textId="77777777" w:rsidR="00A374E7" w:rsidRPr="00003217" w:rsidRDefault="00A374E7" w:rsidP="003D75B4">
            <w:pPr>
              <w:rPr>
                <w:rFonts w:ascii="Arial" w:hAnsi="Arial" w:cs="Arial"/>
                <w:lang w:eastAsia="en-GB"/>
              </w:rPr>
            </w:pPr>
            <w:r w:rsidRPr="00003217">
              <w:rPr>
                <w:rFonts w:ascii="Arial" w:hAnsi="Arial" w:cs="Arial"/>
                <w:lang w:eastAsia="en-GB"/>
              </w:rPr>
              <w:t>Products included</w:t>
            </w:r>
          </w:p>
        </w:tc>
      </w:tr>
      <w:tr w:rsidR="00A374E7" w:rsidRPr="00003217" w14:paraId="1291CCBD" w14:textId="77777777" w:rsidTr="003D75B4">
        <w:trPr>
          <w:cnfStyle w:val="000000100000" w:firstRow="0" w:lastRow="0" w:firstColumn="0" w:lastColumn="0" w:oddVBand="0" w:evenVBand="0" w:oddHBand="1" w:evenHBand="0" w:firstRowFirstColumn="0" w:firstRowLastColumn="0" w:lastRowFirstColumn="0" w:lastRowLastColumn="0"/>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99E07F" w14:textId="77777777" w:rsidR="00A374E7" w:rsidRPr="00003217" w:rsidRDefault="00A374E7" w:rsidP="003D75B4">
            <w:pPr>
              <w:spacing w:before="60" w:after="60"/>
              <w:rPr>
                <w:rFonts w:ascii="Arial" w:hAnsi="Arial" w:cs="Arial"/>
                <w:lang w:eastAsia="en-GB"/>
              </w:rPr>
            </w:pPr>
            <w:r w:rsidRPr="00003217">
              <w:rPr>
                <w:rFonts w:ascii="Arial" w:hAnsi="Arial" w:cs="Arial"/>
                <w:lang w:eastAsia="en-GB"/>
              </w:rPr>
              <w:t>Aldi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3465BAC" w14:textId="77777777" w:rsidR="00A374E7" w:rsidRPr="00003217" w:rsidRDefault="00A374E7" w:rsidP="00A374E7">
            <w:pPr>
              <w:pStyle w:val="ListParagraph"/>
              <w:numPr>
                <w:ilvl w:val="0"/>
                <w:numId w:val="14"/>
              </w:numPr>
              <w:spacing w:before="60" w:after="60"/>
              <w:ind w:left="315"/>
              <w:rPr>
                <w:rFonts w:ascii="Arial" w:hAnsi="Arial" w:cs="Arial"/>
                <w:lang w:eastAsia="en-GB"/>
              </w:rPr>
            </w:pPr>
            <w:r w:rsidRPr="00003217">
              <w:rPr>
                <w:rFonts w:ascii="Arial" w:hAnsi="Arial" w:cs="Arial"/>
                <w:lang w:eastAsia="en-GB"/>
              </w:rPr>
              <w:t>Majura Park ACT</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6D37D922" w14:textId="77777777" w:rsidR="00A374E7" w:rsidRPr="00003217" w:rsidRDefault="00A374E7" w:rsidP="003D75B4">
            <w:pPr>
              <w:spacing w:before="60" w:after="60"/>
              <w:rPr>
                <w:rFonts w:ascii="Arial" w:hAnsi="Arial" w:cs="Arial"/>
              </w:rPr>
            </w:pPr>
            <w:r w:rsidRPr="00003217">
              <w:rPr>
                <w:rFonts w:ascii="Arial" w:hAnsi="Arial" w:cs="Arial"/>
              </w:rPr>
              <w:t>All ALDI branded products observed in store on collection days.</w:t>
            </w:r>
          </w:p>
        </w:tc>
      </w:tr>
      <w:tr w:rsidR="00A374E7" w:rsidRPr="00003217" w14:paraId="74E73648" w14:textId="77777777" w:rsidTr="003D75B4">
        <w:trPr>
          <w:cnfStyle w:val="000000010000" w:firstRow="0" w:lastRow="0" w:firstColumn="0" w:lastColumn="0" w:oddVBand="0" w:evenVBand="0" w:oddHBand="0" w:evenHBand="1" w:firstRowFirstColumn="0" w:firstRowLastColumn="0" w:lastRowFirstColumn="0" w:lastRowLastColumn="0"/>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E682AF9" w14:textId="77777777" w:rsidR="00A374E7" w:rsidRPr="00003217" w:rsidRDefault="00A374E7" w:rsidP="003D75B4">
            <w:pPr>
              <w:spacing w:before="60" w:after="60"/>
              <w:rPr>
                <w:rFonts w:ascii="Arial" w:hAnsi="Arial" w:cs="Arial"/>
                <w:lang w:eastAsia="en-GB"/>
              </w:rPr>
            </w:pPr>
            <w:r w:rsidRPr="00003217">
              <w:rPr>
                <w:rFonts w:ascii="Arial" w:hAnsi="Arial" w:cs="Arial"/>
                <w:lang w:eastAsia="en-GB"/>
              </w:rPr>
              <w:t>Woolworths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D459B1F" w14:textId="77777777" w:rsidR="00A374E7" w:rsidRPr="00003217" w:rsidRDefault="00A374E7" w:rsidP="00A374E7">
            <w:pPr>
              <w:pStyle w:val="ListParagraph"/>
              <w:numPr>
                <w:ilvl w:val="0"/>
                <w:numId w:val="15"/>
              </w:numPr>
              <w:spacing w:before="60" w:after="60"/>
              <w:ind w:left="315"/>
              <w:rPr>
                <w:rFonts w:ascii="Arial" w:hAnsi="Arial" w:cs="Arial"/>
                <w:lang w:eastAsia="en-GB"/>
              </w:rPr>
            </w:pPr>
            <w:r w:rsidRPr="00003217">
              <w:rPr>
                <w:rFonts w:ascii="Arial" w:hAnsi="Arial" w:cs="Arial"/>
                <w:lang w:eastAsia="en-GB"/>
              </w:rPr>
              <w:t>Majura Park ACT</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5D0073" w14:textId="77777777" w:rsidR="00A374E7" w:rsidRPr="00003217" w:rsidRDefault="00A374E7" w:rsidP="003D75B4">
            <w:pPr>
              <w:spacing w:before="60" w:after="60"/>
              <w:rPr>
                <w:rFonts w:ascii="Arial" w:hAnsi="Arial" w:cs="Arial"/>
              </w:rPr>
            </w:pPr>
            <w:r w:rsidRPr="00003217">
              <w:rPr>
                <w:rFonts w:ascii="Arial" w:hAnsi="Arial" w:cs="Arial"/>
              </w:rPr>
              <w:t xml:space="preserve">All products observed in store on collection days and not provided by brand owners </w:t>
            </w:r>
            <w:r w:rsidRPr="00003217" w:rsidDel="00CA4EE8">
              <w:rPr>
                <w:rFonts w:ascii="Arial" w:hAnsi="Arial" w:cs="Arial"/>
              </w:rPr>
              <w:t>or obtained through prior in-market collection.</w:t>
            </w:r>
            <w:r w:rsidRPr="00003217">
              <w:rPr>
                <w:rFonts w:ascii="Arial" w:hAnsi="Arial" w:cs="Arial"/>
              </w:rPr>
              <w:t xml:space="preserve"> </w:t>
            </w:r>
          </w:p>
        </w:tc>
      </w:tr>
      <w:tr w:rsidR="00A374E7" w:rsidRPr="00003217" w14:paraId="18F10DAB" w14:textId="77777777" w:rsidTr="003D75B4">
        <w:trPr>
          <w:cnfStyle w:val="000000100000" w:firstRow="0" w:lastRow="0" w:firstColumn="0" w:lastColumn="0" w:oddVBand="0" w:evenVBand="0" w:oddHBand="1" w:evenHBand="0" w:firstRowFirstColumn="0" w:firstRowLastColumn="0" w:lastRowFirstColumn="0" w:lastRowLastColumn="0"/>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1A67C2" w14:textId="77777777" w:rsidR="00A374E7" w:rsidRPr="00003217" w:rsidRDefault="00A374E7" w:rsidP="003D75B4">
            <w:pPr>
              <w:spacing w:before="60" w:after="60"/>
              <w:rPr>
                <w:rFonts w:ascii="Arial" w:hAnsi="Arial" w:cs="Arial"/>
                <w:lang w:eastAsia="en-GB"/>
              </w:rPr>
            </w:pPr>
            <w:r w:rsidRPr="00003217">
              <w:rPr>
                <w:rFonts w:ascii="Arial" w:hAnsi="Arial" w:cs="Arial"/>
                <w:lang w:eastAsia="en-GB"/>
              </w:rPr>
              <w:t>Coles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10B6434" w14:textId="77777777" w:rsidR="00A374E7" w:rsidRPr="00003217" w:rsidRDefault="00A374E7" w:rsidP="00A374E7">
            <w:pPr>
              <w:pStyle w:val="ListParagraph"/>
              <w:numPr>
                <w:ilvl w:val="0"/>
                <w:numId w:val="15"/>
              </w:numPr>
              <w:spacing w:before="60" w:after="60"/>
              <w:ind w:left="315"/>
              <w:rPr>
                <w:rFonts w:ascii="Arial" w:hAnsi="Arial" w:cs="Arial"/>
                <w:lang w:eastAsia="en-GB"/>
              </w:rPr>
            </w:pPr>
            <w:r w:rsidRPr="00003217">
              <w:rPr>
                <w:rFonts w:ascii="Arial" w:hAnsi="Arial" w:cs="Arial"/>
                <w:lang w:eastAsia="en-GB"/>
              </w:rPr>
              <w:t>Dickson ACT</w:t>
            </w:r>
          </w:p>
        </w:tc>
        <w:tc>
          <w:tcPr>
            <w:tcW w:w="4961" w:type="dxa"/>
            <w:vMerge/>
            <w:tcBorders>
              <w:top w:val="single" w:sz="4" w:space="0" w:color="auto"/>
              <w:left w:val="single" w:sz="4" w:space="0" w:color="auto"/>
              <w:bottom w:val="single" w:sz="4" w:space="0" w:color="auto"/>
              <w:right w:val="single" w:sz="4" w:space="0" w:color="auto"/>
            </w:tcBorders>
            <w:vAlign w:val="center"/>
          </w:tcPr>
          <w:p w14:paraId="6D0FF9DA" w14:textId="77777777" w:rsidR="00A374E7" w:rsidRPr="00003217" w:rsidRDefault="00A374E7" w:rsidP="003D75B4">
            <w:pPr>
              <w:spacing w:before="60" w:after="60"/>
              <w:rPr>
                <w:rFonts w:ascii="Arial" w:hAnsi="Arial" w:cs="Arial"/>
              </w:rPr>
            </w:pPr>
          </w:p>
        </w:tc>
      </w:tr>
    </w:tbl>
    <w:p w14:paraId="72A61B21" w14:textId="77777777" w:rsidR="00A374E7" w:rsidRPr="00003217" w:rsidRDefault="00A374E7" w:rsidP="00A374E7">
      <w:pPr>
        <w:spacing w:after="120"/>
        <w:ind w:firstLine="142"/>
        <w:rPr>
          <w:rFonts w:ascii="Arial" w:hAnsi="Arial" w:cs="Arial"/>
          <w:vertAlign w:val="superscript"/>
          <w:lang w:eastAsia="en-GB"/>
        </w:rPr>
      </w:pPr>
      <w:r w:rsidRPr="00003217">
        <w:rPr>
          <w:rFonts w:ascii="Arial" w:hAnsi="Arial" w:cs="Arial"/>
          <w:vertAlign w:val="superscript"/>
          <w:lang w:eastAsia="en-GB"/>
        </w:rPr>
        <w:t>*Metcash supplied data for 2024 so IGA in-store collection was not required.</w:t>
      </w:r>
    </w:p>
    <w:p w14:paraId="696BC22A" w14:textId="77777777" w:rsidR="00A374E7" w:rsidRPr="00003217" w:rsidRDefault="00A374E7" w:rsidP="00A374E7">
      <w:pPr>
        <w:pStyle w:val="Heading2"/>
        <w:spacing w:before="240" w:after="240"/>
        <w:rPr>
          <w:rFonts w:ascii="Arial" w:hAnsi="Arial" w:cs="Arial"/>
          <w:sz w:val="36"/>
          <w:szCs w:val="36"/>
        </w:rPr>
      </w:pPr>
      <w:bookmarkStart w:id="22" w:name="_Toc190429981"/>
      <w:r w:rsidRPr="00003217">
        <w:rPr>
          <w:rFonts w:ascii="Arial" w:hAnsi="Arial" w:cs="Arial"/>
          <w:sz w:val="36"/>
          <w:szCs w:val="36"/>
        </w:rPr>
        <w:t>Results</w:t>
      </w:r>
      <w:bookmarkStart w:id="23" w:name="_Toc508181293"/>
      <w:bookmarkEnd w:id="22"/>
    </w:p>
    <w:p w14:paraId="6604A4CA" w14:textId="77777777" w:rsidR="00A374E7" w:rsidRPr="00003217" w:rsidRDefault="00A374E7" w:rsidP="00A374E7">
      <w:pPr>
        <w:spacing w:after="120"/>
        <w:rPr>
          <w:rFonts w:ascii="Arial" w:hAnsi="Arial" w:cs="Arial"/>
          <w:lang w:eastAsia="en-GB"/>
        </w:rPr>
      </w:pPr>
      <w:r w:rsidRPr="00003217">
        <w:rPr>
          <w:rFonts w:ascii="Arial" w:hAnsi="Arial" w:cs="Arial"/>
          <w:lang w:eastAsia="en-GB"/>
        </w:rPr>
        <w:t>The number of intended products identified as carrying an HSR were calculated as a proportion of the total number of intended products to determine the percent of intended products carrying an HSR in Australia.</w:t>
      </w:r>
    </w:p>
    <w:p w14:paraId="5B32C9EC" w14:textId="7C7FE79A" w:rsidR="00A374E7" w:rsidRPr="00003217" w:rsidRDefault="00A374E7" w:rsidP="00A374E7">
      <w:pPr>
        <w:spacing w:after="120"/>
        <w:rPr>
          <w:rFonts w:ascii="Arial" w:hAnsi="Arial" w:cs="Arial"/>
          <w:lang w:eastAsia="en-GB"/>
        </w:rPr>
      </w:pPr>
      <w:r w:rsidRPr="00003217">
        <w:rPr>
          <w:rFonts w:ascii="Arial" w:hAnsi="Arial" w:cs="Arial"/>
        </w:rPr>
        <w:t xml:space="preserve">FSANZ determined there were </w:t>
      </w:r>
      <w:r w:rsidRPr="00003217">
        <w:rPr>
          <w:rFonts w:ascii="Arial" w:hAnsi="Arial" w:cs="Arial"/>
          <w:lang w:eastAsia="en-GB"/>
        </w:rPr>
        <w:t>28,398 products in the Australian market that are intended to carry an HSR.</w:t>
      </w:r>
    </w:p>
    <w:p w14:paraId="46795C31" w14:textId="77777777" w:rsidR="00A374E7" w:rsidRPr="00003217" w:rsidRDefault="00A374E7" w:rsidP="00A374E7">
      <w:pPr>
        <w:spacing w:after="120"/>
        <w:rPr>
          <w:rFonts w:ascii="Arial" w:hAnsi="Arial" w:cs="Arial"/>
        </w:rPr>
      </w:pPr>
      <w:r w:rsidRPr="00003217">
        <w:rPr>
          <w:rFonts w:ascii="Arial" w:hAnsi="Arial" w:cs="Arial"/>
          <w:lang w:eastAsia="en-GB"/>
        </w:rPr>
        <w:t>T</w:t>
      </w:r>
      <w:r w:rsidRPr="00003217">
        <w:rPr>
          <w:rFonts w:ascii="Arial" w:hAnsi="Arial" w:cs="Arial"/>
        </w:rPr>
        <w:t xml:space="preserve">he HSR system was displayed on </w:t>
      </w:r>
      <w:r w:rsidRPr="00003217">
        <w:rPr>
          <w:rFonts w:ascii="Arial" w:hAnsi="Arial" w:cs="Arial"/>
          <w:lang w:eastAsia="en-GB"/>
        </w:rPr>
        <w:t xml:space="preserve">10,060 </w:t>
      </w:r>
      <w:r w:rsidRPr="00003217">
        <w:rPr>
          <w:rFonts w:ascii="Arial" w:hAnsi="Arial" w:cs="Arial"/>
        </w:rPr>
        <w:t>products that were both intended to carry an HSR and were considered available for purchase at one or more of Australia’s leading four retailers at 14 November 2024.</w:t>
      </w:r>
    </w:p>
    <w:p w14:paraId="38D2AE80" w14:textId="77777777" w:rsidR="00A374E7" w:rsidRPr="00003217" w:rsidRDefault="00A374E7" w:rsidP="00A374E7">
      <w:pPr>
        <w:spacing w:after="120"/>
        <w:rPr>
          <w:rFonts w:ascii="Arial" w:hAnsi="Arial" w:cs="Arial"/>
        </w:rPr>
      </w:pPr>
      <w:r w:rsidRPr="00003217">
        <w:rPr>
          <w:rFonts w:ascii="Arial" w:hAnsi="Arial" w:cs="Arial"/>
        </w:rPr>
        <w:t>Products that are intended to and did display the HSR system therefore account for 35% of all products that are intended to display an HSR at 14 November 2024.</w:t>
      </w:r>
    </w:p>
    <w:p w14:paraId="057D3128" w14:textId="3C27F07E" w:rsidR="00A374E7" w:rsidRPr="00003217" w:rsidRDefault="00A374E7" w:rsidP="00A374E7">
      <w:pPr>
        <w:spacing w:after="120"/>
        <w:rPr>
          <w:rFonts w:ascii="Arial" w:hAnsi="Arial" w:cs="Arial"/>
        </w:rPr>
      </w:pPr>
      <w:r w:rsidRPr="00003217">
        <w:rPr>
          <w:rFonts w:ascii="Arial" w:hAnsi="Arial" w:cs="Arial"/>
        </w:rPr>
        <w:t xml:space="preserve">In addition, an HSR was displayed on </w:t>
      </w:r>
      <w:r w:rsidRPr="00003217">
        <w:rPr>
          <w:rFonts w:ascii="Arial" w:hAnsi="Arial" w:cs="Arial"/>
          <w:lang w:eastAsia="en-GB"/>
        </w:rPr>
        <w:t>623</w:t>
      </w:r>
      <w:r w:rsidRPr="00003217">
        <w:rPr>
          <w:rFonts w:ascii="Arial" w:hAnsi="Arial" w:cs="Arial"/>
        </w:rPr>
        <w:t xml:space="preserve"> products that are permitted but not intended to display an HSR</w:t>
      </w:r>
      <w:r w:rsidR="00760CB7" w:rsidRPr="00003217">
        <w:rPr>
          <w:rFonts w:ascii="Arial" w:hAnsi="Arial" w:cs="Arial"/>
        </w:rPr>
        <w:t>. T</w:t>
      </w:r>
      <w:r w:rsidRPr="00003217">
        <w:rPr>
          <w:rFonts w:ascii="Arial" w:hAnsi="Arial" w:cs="Arial"/>
        </w:rPr>
        <w:t>he majority of these products were single ingredient foods (e.g. sugar, fresh meat), packaged water and fresh and minimally processed fruits and vegetables. An unquantifiable number of additional products displaying an HSR were also viewed for sale outside of the target market e.g. in chemists, other retails stores (such as Costco, Asian grocers) or fuel stations.</w:t>
      </w:r>
    </w:p>
    <w:p w14:paraId="2ED3780A" w14:textId="77777777" w:rsidR="00A374E7" w:rsidRPr="00003217" w:rsidRDefault="00A374E7" w:rsidP="00A374E7">
      <w:pPr>
        <w:spacing w:after="120"/>
        <w:rPr>
          <w:rFonts w:ascii="Arial" w:hAnsi="Arial" w:cs="Arial"/>
        </w:rPr>
      </w:pPr>
      <w:r w:rsidRPr="00003217">
        <w:rPr>
          <w:rFonts w:ascii="Arial" w:hAnsi="Arial" w:cs="Arial"/>
        </w:rPr>
        <w:t>FSANZ did not view an HSR on any product not permitted to display an HSR.</w:t>
      </w:r>
    </w:p>
    <w:bookmarkEnd w:id="23"/>
    <w:p w14:paraId="01B0ED6E" w14:textId="77777777" w:rsidR="00A374E7" w:rsidRPr="00003217" w:rsidRDefault="00A374E7" w:rsidP="00A374E7">
      <w:pPr>
        <w:spacing w:after="120"/>
        <w:rPr>
          <w:rFonts w:ascii="Arial" w:hAnsi="Arial" w:cs="Arial"/>
          <w:b/>
          <w:bCs/>
        </w:rPr>
      </w:pPr>
      <w:r w:rsidRPr="00003217">
        <w:rPr>
          <w:rFonts w:ascii="Arial" w:hAnsi="Arial" w:cs="Arial"/>
        </w:rPr>
        <w:t>The results of this report can be compared to FSANZ’s 2023 report on progress against HSR uptake targets, but cannot be compared to previous HSR uptake estimates for Australia that pre-date the 2023 report due to the different methodology and sources of product data used for the analysis.</w:t>
      </w:r>
    </w:p>
    <w:p w14:paraId="7B91479C" w14:textId="77777777" w:rsidR="00A374E7" w:rsidRPr="00003217" w:rsidRDefault="00A374E7" w:rsidP="00A374E7">
      <w:pPr>
        <w:pStyle w:val="Heading2"/>
        <w:spacing w:before="240" w:after="240"/>
        <w:rPr>
          <w:rFonts w:ascii="Arial" w:hAnsi="Arial" w:cs="Arial"/>
          <w:sz w:val="36"/>
          <w:szCs w:val="36"/>
        </w:rPr>
      </w:pPr>
      <w:bookmarkStart w:id="24" w:name="_Toc190429982"/>
      <w:r w:rsidRPr="00003217">
        <w:rPr>
          <w:rFonts w:ascii="Arial" w:hAnsi="Arial" w:cs="Arial"/>
          <w:sz w:val="36"/>
          <w:szCs w:val="36"/>
        </w:rPr>
        <w:t>Conclusion</w:t>
      </w:r>
      <w:bookmarkEnd w:id="24"/>
    </w:p>
    <w:p w14:paraId="0F7523CA" w14:textId="77777777" w:rsidR="00A374E7" w:rsidRPr="00003217" w:rsidRDefault="00A374E7" w:rsidP="00A374E7">
      <w:pPr>
        <w:spacing w:after="120"/>
        <w:rPr>
          <w:rFonts w:ascii="Arial" w:hAnsi="Arial" w:cs="Arial"/>
        </w:rPr>
      </w:pPr>
      <w:r w:rsidRPr="00003217">
        <w:rPr>
          <w:rFonts w:ascii="Arial" w:hAnsi="Arial" w:cs="Arial"/>
        </w:rPr>
        <w:t xml:space="preserve">HSR was observed on </w:t>
      </w:r>
      <w:r w:rsidRPr="00003217">
        <w:rPr>
          <w:rFonts w:ascii="Arial" w:hAnsi="Arial" w:cs="Arial"/>
          <w:lang w:eastAsia="en-GB"/>
        </w:rPr>
        <w:t>35</w:t>
      </w:r>
      <w:r w:rsidRPr="00003217">
        <w:rPr>
          <w:rFonts w:ascii="Arial" w:hAnsi="Arial" w:cs="Arial"/>
        </w:rPr>
        <w:t xml:space="preserve">% of products intended to display the system in Australia. </w:t>
      </w:r>
    </w:p>
    <w:p w14:paraId="14162BDB" w14:textId="33CB82E8" w:rsidR="00A374E7" w:rsidRPr="00003217" w:rsidRDefault="00A374E7" w:rsidP="00A374E7">
      <w:pPr>
        <w:spacing w:after="120"/>
        <w:rPr>
          <w:rFonts w:ascii="Arial" w:hAnsi="Arial" w:cs="Arial"/>
          <w:highlight w:val="yellow"/>
          <w:lang w:val="en-NZ"/>
        </w:rPr>
      </w:pPr>
      <w:r w:rsidRPr="00003217">
        <w:rPr>
          <w:rFonts w:ascii="Arial" w:hAnsi="Arial" w:cs="Arial"/>
        </w:rPr>
        <w:t xml:space="preserve">This result is below the HSR system Interim target 2 - </w:t>
      </w:r>
      <w:r w:rsidRPr="00003217">
        <w:rPr>
          <w:rFonts w:ascii="Arial" w:hAnsi="Arial" w:cs="Arial"/>
          <w:lang w:eastAsia="en-GB"/>
        </w:rPr>
        <w:t>60</w:t>
      </w:r>
      <w:r w:rsidRPr="00003217">
        <w:rPr>
          <w:rFonts w:ascii="Arial" w:hAnsi="Arial" w:cs="Arial"/>
        </w:rPr>
        <w:t>% of intended products have applied the HSR system by 14 November 2024.</w:t>
      </w:r>
    </w:p>
    <w:p w14:paraId="319D3D83" w14:textId="77777777" w:rsidR="00A374E7" w:rsidRPr="002F0AC3" w:rsidRDefault="00A374E7" w:rsidP="00A374E7">
      <w:pPr>
        <w:pStyle w:val="Heading2"/>
        <w:jc w:val="right"/>
        <w:rPr>
          <w:sz w:val="36"/>
          <w:szCs w:val="36"/>
        </w:rPr>
      </w:pPr>
      <w:bookmarkStart w:id="25" w:name="_Toc190429983"/>
      <w:r w:rsidRPr="002F0AC3">
        <w:rPr>
          <w:sz w:val="36"/>
          <w:szCs w:val="36"/>
        </w:rPr>
        <w:lastRenderedPageBreak/>
        <w:t>Appendix 1</w:t>
      </w:r>
      <w:bookmarkEnd w:id="25"/>
    </w:p>
    <w:p w14:paraId="784D92F8" w14:textId="77777777" w:rsidR="00A374E7" w:rsidRPr="00003217" w:rsidRDefault="00A374E7" w:rsidP="00A374E7">
      <w:pPr>
        <w:rPr>
          <w:rFonts w:ascii="Arial" w:hAnsi="Arial" w:cs="Arial"/>
          <w:b/>
          <w:sz w:val="24"/>
          <w:highlight w:val="yellow"/>
          <w:lang w:val="en-NZ"/>
        </w:rPr>
      </w:pPr>
      <w:r w:rsidRPr="00003217">
        <w:rPr>
          <w:rFonts w:ascii="Arial" w:hAnsi="Arial" w:cs="Arial"/>
          <w:b/>
          <w:bCs/>
          <w:sz w:val="24"/>
          <w:szCs w:val="24"/>
        </w:rPr>
        <w:t>Guidance</w:t>
      </w:r>
      <w:r w:rsidRPr="00003217">
        <w:rPr>
          <w:rFonts w:ascii="Arial" w:hAnsi="Arial" w:cs="Arial"/>
          <w:b/>
          <w:sz w:val="24"/>
        </w:rPr>
        <w:t xml:space="preserve"> on </w:t>
      </w:r>
      <w:r w:rsidRPr="00003217">
        <w:rPr>
          <w:rFonts w:ascii="Arial" w:hAnsi="Arial" w:cs="Arial"/>
          <w:b/>
          <w:bCs/>
          <w:sz w:val="24"/>
          <w:szCs w:val="24"/>
        </w:rPr>
        <w:t xml:space="preserve">the </w:t>
      </w:r>
      <w:r w:rsidRPr="00003217">
        <w:rPr>
          <w:rFonts w:ascii="Arial" w:hAnsi="Arial" w:cs="Arial"/>
          <w:b/>
          <w:sz w:val="24"/>
        </w:rPr>
        <w:t xml:space="preserve">classification of foods as </w:t>
      </w:r>
      <w:r w:rsidRPr="00003217">
        <w:rPr>
          <w:rFonts w:ascii="Arial" w:hAnsi="Arial" w:cs="Arial"/>
          <w:b/>
          <w:bCs/>
          <w:sz w:val="24"/>
          <w:szCs w:val="24"/>
        </w:rPr>
        <w:t>‘intended’, ‘</w:t>
      </w:r>
      <w:r w:rsidRPr="00003217">
        <w:rPr>
          <w:rFonts w:ascii="Arial" w:hAnsi="Arial" w:cs="Arial"/>
          <w:b/>
          <w:sz w:val="24"/>
        </w:rPr>
        <w:t xml:space="preserve">permitted but not </w:t>
      </w:r>
      <w:r w:rsidRPr="00003217">
        <w:rPr>
          <w:rFonts w:ascii="Arial" w:hAnsi="Arial" w:cs="Arial"/>
          <w:b/>
          <w:bCs/>
          <w:sz w:val="24"/>
          <w:szCs w:val="24"/>
        </w:rPr>
        <w:t>intended’</w:t>
      </w:r>
      <w:r w:rsidRPr="00003217">
        <w:rPr>
          <w:rFonts w:ascii="Arial" w:hAnsi="Arial" w:cs="Arial"/>
          <w:b/>
          <w:sz w:val="24"/>
        </w:rPr>
        <w:t xml:space="preserve">, or </w:t>
      </w:r>
      <w:r w:rsidRPr="00003217">
        <w:rPr>
          <w:rFonts w:ascii="Arial" w:hAnsi="Arial" w:cs="Arial"/>
          <w:b/>
          <w:bCs/>
          <w:sz w:val="24"/>
          <w:szCs w:val="24"/>
        </w:rPr>
        <w:t>‘</w:t>
      </w:r>
      <w:r w:rsidRPr="00003217">
        <w:rPr>
          <w:rFonts w:ascii="Arial" w:hAnsi="Arial" w:cs="Arial"/>
          <w:b/>
          <w:sz w:val="24"/>
        </w:rPr>
        <w:t xml:space="preserve">not </w:t>
      </w:r>
      <w:r w:rsidRPr="00003217">
        <w:rPr>
          <w:rFonts w:ascii="Arial" w:hAnsi="Arial" w:cs="Arial"/>
          <w:b/>
          <w:bCs/>
          <w:sz w:val="24"/>
          <w:szCs w:val="24"/>
        </w:rPr>
        <w:t>permitted’</w:t>
      </w:r>
      <w:r w:rsidRPr="00003217">
        <w:rPr>
          <w:rFonts w:ascii="Arial" w:hAnsi="Arial" w:cs="Arial"/>
          <w:b/>
          <w:sz w:val="24"/>
        </w:rPr>
        <w:t xml:space="preserve"> to display </w:t>
      </w:r>
      <w:r w:rsidRPr="00003217">
        <w:rPr>
          <w:rFonts w:ascii="Arial" w:hAnsi="Arial" w:cs="Arial"/>
          <w:b/>
          <w:bCs/>
          <w:sz w:val="24"/>
          <w:szCs w:val="24"/>
        </w:rPr>
        <w:t>a Health Star Rating (</w:t>
      </w:r>
      <w:r w:rsidRPr="00003217">
        <w:rPr>
          <w:rFonts w:ascii="Arial" w:hAnsi="Arial" w:cs="Arial"/>
          <w:b/>
          <w:sz w:val="24"/>
        </w:rPr>
        <w:t>HSR</w:t>
      </w:r>
      <w:r w:rsidRPr="00003217">
        <w:rPr>
          <w:rFonts w:ascii="Arial" w:hAnsi="Arial" w:cs="Arial"/>
          <w:b/>
          <w:bCs/>
          <w:sz w:val="24"/>
          <w:szCs w:val="24"/>
        </w:rPr>
        <w:t>)</w:t>
      </w:r>
    </w:p>
    <w:p w14:paraId="530C1FC4" w14:textId="77777777" w:rsidR="00A374E7" w:rsidRPr="00003217" w:rsidRDefault="00A374E7" w:rsidP="00A374E7">
      <w:pPr>
        <w:spacing w:before="60" w:after="60"/>
        <w:rPr>
          <w:rFonts w:ascii="Arial" w:hAnsi="Arial" w:cs="Arial"/>
          <w:b/>
          <w:bCs/>
          <w:i/>
          <w:iCs/>
        </w:rPr>
      </w:pPr>
      <w:r w:rsidRPr="00003217">
        <w:rPr>
          <w:rFonts w:ascii="Arial" w:hAnsi="Arial" w:cs="Arial"/>
          <w:b/>
          <w:bCs/>
          <w:i/>
          <w:iCs/>
        </w:rPr>
        <w:t>Table 1: Intended foods</w:t>
      </w:r>
    </w:p>
    <w:tbl>
      <w:tblPr>
        <w:tblStyle w:val="TableGrid"/>
        <w:tblW w:w="5000" w:type="pct"/>
        <w:tblLook w:val="04A0" w:firstRow="1" w:lastRow="0" w:firstColumn="1" w:lastColumn="0" w:noHBand="0" w:noVBand="1"/>
      </w:tblPr>
      <w:tblGrid>
        <w:gridCol w:w="9628"/>
      </w:tblGrid>
      <w:tr w:rsidR="00A374E7" w:rsidRPr="00003217" w14:paraId="065F4261" w14:textId="77777777" w:rsidTr="003D75B4">
        <w:tc>
          <w:tcPr>
            <w:tcW w:w="5000" w:type="pct"/>
            <w:shd w:val="clear" w:color="auto" w:fill="D9D9D9" w:themeFill="background1" w:themeFillShade="D9"/>
          </w:tcPr>
          <w:p w14:paraId="132B7CCB" w14:textId="77777777" w:rsidR="00A374E7" w:rsidRPr="00003217" w:rsidRDefault="00A374E7" w:rsidP="003D75B4">
            <w:pPr>
              <w:spacing w:before="60" w:after="60"/>
              <w:rPr>
                <w:rFonts w:ascii="Arial" w:hAnsi="Arial" w:cs="Arial"/>
                <w:b/>
                <w:bCs/>
              </w:rPr>
            </w:pPr>
            <w:r w:rsidRPr="00003217">
              <w:rPr>
                <w:rFonts w:ascii="Arial" w:hAnsi="Arial" w:cs="Arial"/>
                <w:b/>
                <w:bCs/>
              </w:rPr>
              <w:t>Products intended to display an HSR</w:t>
            </w:r>
          </w:p>
        </w:tc>
      </w:tr>
      <w:tr w:rsidR="00A374E7" w:rsidRPr="00003217" w14:paraId="1026667D" w14:textId="77777777" w:rsidTr="003D75B4">
        <w:tc>
          <w:tcPr>
            <w:tcW w:w="5000" w:type="pct"/>
          </w:tcPr>
          <w:p w14:paraId="0F82336C" w14:textId="77777777" w:rsidR="00A374E7" w:rsidRPr="00003217" w:rsidRDefault="00A374E7" w:rsidP="003D75B4">
            <w:pPr>
              <w:spacing w:before="60" w:after="60"/>
              <w:rPr>
                <w:rFonts w:ascii="Arial" w:hAnsi="Arial" w:cs="Arial"/>
              </w:rPr>
            </w:pPr>
            <w:r w:rsidRPr="00003217">
              <w:rPr>
                <w:rFonts w:ascii="Arial" w:hAnsi="Arial" w:cs="Arial"/>
              </w:rPr>
              <w:t>Packaged food product for retail sale:</w:t>
            </w:r>
          </w:p>
          <w:p w14:paraId="10FB61D9" w14:textId="77777777" w:rsidR="00A374E7" w:rsidRPr="00003217" w:rsidRDefault="00A374E7" w:rsidP="00A374E7">
            <w:pPr>
              <w:pStyle w:val="ListParagraph"/>
              <w:numPr>
                <w:ilvl w:val="0"/>
                <w:numId w:val="8"/>
              </w:numPr>
              <w:spacing w:before="60" w:after="60"/>
              <w:ind w:left="457" w:hanging="283"/>
              <w:contextualSpacing w:val="0"/>
              <w:rPr>
                <w:rFonts w:ascii="Arial" w:hAnsi="Arial" w:cs="Arial"/>
              </w:rPr>
            </w:pPr>
            <w:r w:rsidRPr="00003217">
              <w:rPr>
                <w:rFonts w:ascii="Arial" w:hAnsi="Arial" w:cs="Arial"/>
              </w:rPr>
              <w:t xml:space="preserve">NOT specifically noted in tables 2 and 3 below </w:t>
            </w:r>
          </w:p>
          <w:p w14:paraId="16E56A5F" w14:textId="77777777" w:rsidR="00A374E7" w:rsidRPr="00003217" w:rsidRDefault="00A374E7" w:rsidP="00A374E7">
            <w:pPr>
              <w:pStyle w:val="ListParagraph"/>
              <w:numPr>
                <w:ilvl w:val="0"/>
                <w:numId w:val="8"/>
              </w:numPr>
              <w:spacing w:before="60" w:after="60"/>
              <w:ind w:left="457" w:hanging="283"/>
              <w:contextualSpacing w:val="0"/>
              <w:rPr>
                <w:rFonts w:ascii="Arial" w:hAnsi="Arial" w:cs="Arial"/>
              </w:rPr>
            </w:pPr>
            <w:r w:rsidRPr="00003217">
              <w:rPr>
                <w:rFonts w:ascii="Arial" w:hAnsi="Arial" w:cs="Arial"/>
              </w:rPr>
              <w:t>that ARE required to carry a nutrition information panel (NIP) (per Australia New Zealand food Standards Code (FSC) Standard 1.2.8), and</w:t>
            </w:r>
          </w:p>
          <w:p w14:paraId="7A2E7C40" w14:textId="77777777" w:rsidR="00A374E7" w:rsidRPr="00003217" w:rsidRDefault="00A374E7" w:rsidP="00A374E7">
            <w:pPr>
              <w:pStyle w:val="ListParagraph"/>
              <w:numPr>
                <w:ilvl w:val="0"/>
                <w:numId w:val="8"/>
              </w:numPr>
              <w:spacing w:before="60" w:after="60"/>
              <w:ind w:left="457" w:hanging="283"/>
              <w:contextualSpacing w:val="0"/>
              <w:rPr>
                <w:rFonts w:ascii="Arial" w:hAnsi="Arial" w:cs="Arial"/>
              </w:rPr>
            </w:pPr>
            <w:r w:rsidRPr="00003217">
              <w:rPr>
                <w:rFonts w:ascii="Arial" w:hAnsi="Arial" w:cs="Arial"/>
              </w:rPr>
              <w:t>that CAN vary in nutrient composition. This includes:</w:t>
            </w:r>
          </w:p>
          <w:p w14:paraId="646196DD" w14:textId="77777777" w:rsidR="00A374E7" w:rsidRPr="00003217" w:rsidRDefault="00A374E7" w:rsidP="00A374E7">
            <w:pPr>
              <w:pStyle w:val="ListParagraph"/>
              <w:numPr>
                <w:ilvl w:val="0"/>
                <w:numId w:val="9"/>
              </w:numPr>
              <w:spacing w:before="60" w:after="60"/>
              <w:ind w:left="883"/>
              <w:contextualSpacing w:val="0"/>
              <w:rPr>
                <w:rFonts w:ascii="Arial" w:hAnsi="Arial" w:cs="Arial"/>
              </w:rPr>
            </w:pPr>
            <w:r w:rsidRPr="00003217">
              <w:rPr>
                <w:rFonts w:ascii="Arial" w:hAnsi="Arial" w:cs="Arial"/>
              </w:rPr>
              <w:t>Products for which composition can be altered -  i.e. multi-ingredient processed packaged foods</w:t>
            </w:r>
          </w:p>
          <w:p w14:paraId="0EE5809E" w14:textId="77777777" w:rsidR="00A374E7" w:rsidRPr="00003217" w:rsidRDefault="00A374E7" w:rsidP="00A374E7">
            <w:pPr>
              <w:pStyle w:val="ListParagraph"/>
              <w:numPr>
                <w:ilvl w:val="0"/>
                <w:numId w:val="9"/>
              </w:numPr>
              <w:spacing w:before="60" w:after="60"/>
              <w:ind w:left="883"/>
              <w:contextualSpacing w:val="0"/>
              <w:rPr>
                <w:rFonts w:ascii="Arial" w:hAnsi="Arial" w:cs="Arial"/>
              </w:rPr>
            </w:pPr>
            <w:r w:rsidRPr="00003217">
              <w:rPr>
                <w:rFonts w:ascii="Arial" w:hAnsi="Arial" w:cs="Arial"/>
              </w:rPr>
              <w:t>Foods that can vary in nutritional composition when compared to other varieties of the same food – e.g. single ingredient foods such as flours and starches, grains, nuts and legumes, milk, edible oils, cocoa and carob powders and canned fruits and vegetables</w:t>
            </w:r>
          </w:p>
          <w:p w14:paraId="1583E932" w14:textId="77777777" w:rsidR="00A374E7" w:rsidRPr="00003217" w:rsidRDefault="00A374E7" w:rsidP="00A374E7">
            <w:pPr>
              <w:pStyle w:val="ListParagraph"/>
              <w:numPr>
                <w:ilvl w:val="0"/>
                <w:numId w:val="9"/>
              </w:numPr>
              <w:spacing w:before="60" w:after="60"/>
              <w:ind w:left="883"/>
              <w:contextualSpacing w:val="0"/>
              <w:rPr>
                <w:rFonts w:ascii="Arial" w:hAnsi="Arial" w:cs="Arial"/>
              </w:rPr>
            </w:pPr>
            <w:r w:rsidRPr="00003217">
              <w:rPr>
                <w:rFonts w:ascii="Arial" w:hAnsi="Arial" w:cs="Arial"/>
              </w:rPr>
              <w:t>Foods whose processing changes the nutritional composition significantly compared to the unprocessed variety – e.g. dried fruits and vegetables (including freeze dried and powders), juiced fruit and vegetables</w:t>
            </w:r>
          </w:p>
          <w:p w14:paraId="0095D4B2" w14:textId="77777777" w:rsidR="00A374E7" w:rsidRPr="00003217" w:rsidRDefault="00A374E7" w:rsidP="00A374E7">
            <w:pPr>
              <w:pStyle w:val="ListParagraph"/>
              <w:numPr>
                <w:ilvl w:val="0"/>
                <w:numId w:val="9"/>
              </w:numPr>
              <w:spacing w:before="60" w:after="60"/>
              <w:ind w:left="883"/>
              <w:contextualSpacing w:val="0"/>
              <w:rPr>
                <w:rFonts w:ascii="Arial" w:hAnsi="Arial" w:cs="Arial"/>
              </w:rPr>
            </w:pPr>
            <w:r w:rsidRPr="00003217">
              <w:rPr>
                <w:rFonts w:ascii="Arial" w:hAnsi="Arial" w:cs="Arial"/>
              </w:rPr>
              <w:t>Fresh single ingredient fruits, vegetables, poultry, meat and fish with added ingredients (including sugar and/or salt and/or fat)</w:t>
            </w:r>
          </w:p>
          <w:p w14:paraId="0F0D669E" w14:textId="77777777" w:rsidR="00A374E7" w:rsidRPr="00003217" w:rsidRDefault="00A374E7" w:rsidP="00A374E7">
            <w:pPr>
              <w:pStyle w:val="ListParagraph"/>
              <w:numPr>
                <w:ilvl w:val="0"/>
                <w:numId w:val="9"/>
              </w:numPr>
              <w:spacing w:before="60" w:after="60"/>
              <w:ind w:left="883"/>
              <w:contextualSpacing w:val="0"/>
              <w:rPr>
                <w:rFonts w:ascii="Arial" w:hAnsi="Arial" w:cs="Arial"/>
              </w:rPr>
            </w:pPr>
            <w:r w:rsidRPr="00003217">
              <w:rPr>
                <w:rFonts w:ascii="Arial" w:hAnsi="Arial" w:cs="Arial"/>
              </w:rPr>
              <w:t>Meat, poultry and fish mixtures that comprise more than one category of ingredient</w:t>
            </w:r>
          </w:p>
        </w:tc>
      </w:tr>
    </w:tbl>
    <w:p w14:paraId="2C367309" w14:textId="77777777" w:rsidR="00A374E7" w:rsidRPr="00003217" w:rsidRDefault="00A374E7" w:rsidP="00A374E7">
      <w:pPr>
        <w:spacing w:before="120" w:after="60"/>
        <w:rPr>
          <w:rFonts w:ascii="Arial" w:hAnsi="Arial" w:cs="Arial"/>
          <w:b/>
          <w:bCs/>
          <w:i/>
          <w:iCs/>
        </w:rPr>
      </w:pPr>
      <w:r w:rsidRPr="00003217">
        <w:rPr>
          <w:rFonts w:ascii="Arial" w:hAnsi="Arial" w:cs="Arial"/>
          <w:b/>
          <w:bCs/>
          <w:i/>
          <w:iCs/>
        </w:rPr>
        <w:t>Table 2: Not - intended foods</w:t>
      </w:r>
    </w:p>
    <w:tbl>
      <w:tblPr>
        <w:tblStyle w:val="TableGrid"/>
        <w:tblW w:w="5077" w:type="pct"/>
        <w:tblLook w:val="04A0" w:firstRow="1" w:lastRow="0" w:firstColumn="1" w:lastColumn="0" w:noHBand="0" w:noVBand="1"/>
      </w:tblPr>
      <w:tblGrid>
        <w:gridCol w:w="9776"/>
      </w:tblGrid>
      <w:tr w:rsidR="00A374E7" w:rsidRPr="00003217" w14:paraId="3E01CD7C" w14:textId="77777777" w:rsidTr="003D75B4">
        <w:trPr>
          <w:trHeight w:val="199"/>
          <w:tblHeader/>
        </w:trPr>
        <w:tc>
          <w:tcPr>
            <w:tcW w:w="5000" w:type="pct"/>
            <w:shd w:val="clear" w:color="auto" w:fill="D9D9D9" w:themeFill="background1" w:themeFillShade="D9"/>
          </w:tcPr>
          <w:p w14:paraId="3FE7E325" w14:textId="77777777" w:rsidR="00A374E7" w:rsidRPr="00003217" w:rsidRDefault="00A374E7" w:rsidP="003D75B4">
            <w:pPr>
              <w:spacing w:before="60" w:after="60"/>
              <w:rPr>
                <w:rFonts w:ascii="Arial" w:hAnsi="Arial" w:cs="Arial"/>
                <w:b/>
                <w:bCs/>
                <w:i/>
                <w:iCs/>
              </w:rPr>
            </w:pPr>
            <w:r w:rsidRPr="00003217">
              <w:rPr>
                <w:rFonts w:ascii="Arial" w:hAnsi="Arial" w:cs="Arial"/>
                <w:b/>
                <w:bCs/>
              </w:rPr>
              <w:t>Products permitted but not intended to display an HSR</w:t>
            </w:r>
          </w:p>
        </w:tc>
      </w:tr>
      <w:tr w:rsidR="00A374E7" w:rsidRPr="00003217" w14:paraId="134F8811" w14:textId="77777777" w:rsidTr="003D75B4">
        <w:trPr>
          <w:trHeight w:val="357"/>
        </w:trPr>
        <w:tc>
          <w:tcPr>
            <w:tcW w:w="5000" w:type="pct"/>
          </w:tcPr>
          <w:p w14:paraId="6634D155" w14:textId="77777777" w:rsidR="00A374E7" w:rsidRPr="00003217" w:rsidRDefault="00A374E7" w:rsidP="003D75B4">
            <w:pPr>
              <w:spacing w:before="60" w:after="60"/>
              <w:rPr>
                <w:rFonts w:ascii="Arial" w:hAnsi="Arial" w:cs="Arial"/>
              </w:rPr>
            </w:pPr>
            <w:r w:rsidRPr="00003217">
              <w:rPr>
                <w:rFonts w:ascii="Arial" w:hAnsi="Arial" w:cs="Arial"/>
              </w:rPr>
              <w:t>Fruit and vegetables: All whole fresh fruit (except coconut) and vegetables, fungi and legumes (except peanuts) as sold with no processing, plus these same products that have only been peeled, cut and/or surface treated and/or blanched and/or frozen (not dried).</w:t>
            </w:r>
          </w:p>
        </w:tc>
      </w:tr>
      <w:tr w:rsidR="00A374E7" w:rsidRPr="00003217" w14:paraId="0DBDCE01" w14:textId="77777777" w:rsidTr="003D75B4">
        <w:trPr>
          <w:trHeight w:val="211"/>
        </w:trPr>
        <w:tc>
          <w:tcPr>
            <w:tcW w:w="5000" w:type="pct"/>
          </w:tcPr>
          <w:p w14:paraId="6D23B403" w14:textId="77777777" w:rsidR="00A374E7" w:rsidRPr="00003217" w:rsidRDefault="00A374E7" w:rsidP="003D75B4">
            <w:pPr>
              <w:spacing w:before="60" w:after="60"/>
              <w:rPr>
                <w:rFonts w:ascii="Arial" w:hAnsi="Arial" w:cs="Arial"/>
              </w:rPr>
            </w:pPr>
            <w:r w:rsidRPr="00003217">
              <w:rPr>
                <w:rFonts w:ascii="Arial" w:hAnsi="Arial" w:cs="Arial"/>
              </w:rPr>
              <w:t>Meat, poultry, and fish that comprise a single ingredient or category of ingredients with nothing added - fresh and frozen included</w:t>
            </w:r>
          </w:p>
        </w:tc>
      </w:tr>
      <w:tr w:rsidR="00A374E7" w:rsidRPr="00003217" w14:paraId="75B18B30" w14:textId="77777777" w:rsidTr="003D75B4">
        <w:trPr>
          <w:trHeight w:val="342"/>
        </w:trPr>
        <w:tc>
          <w:tcPr>
            <w:tcW w:w="5000" w:type="pct"/>
          </w:tcPr>
          <w:p w14:paraId="4594BA07" w14:textId="77777777" w:rsidR="00A374E7" w:rsidRPr="00003217" w:rsidRDefault="00A374E7" w:rsidP="003D75B4">
            <w:pPr>
              <w:spacing w:before="60" w:after="60"/>
              <w:rPr>
                <w:rFonts w:ascii="Arial" w:hAnsi="Arial" w:cs="Arial"/>
              </w:rPr>
            </w:pPr>
            <w:r w:rsidRPr="00003217">
              <w:rPr>
                <w:rFonts w:ascii="Arial" w:hAnsi="Arial" w:cs="Arial"/>
              </w:rPr>
              <w:t xml:space="preserve">Plain and sparkling water/mineral water and ice (FSC </w:t>
            </w:r>
            <w:r w:rsidRPr="00003217">
              <w:rPr>
                <w:rFonts w:ascii="Arial" w:hAnsi="Arial" w:cs="Arial"/>
                <w:iCs/>
              </w:rPr>
              <w:t>Standard 2.6.2)</w:t>
            </w:r>
          </w:p>
        </w:tc>
      </w:tr>
      <w:tr w:rsidR="00A374E7" w:rsidRPr="00003217" w14:paraId="1E343E74" w14:textId="77777777" w:rsidTr="003D75B4">
        <w:trPr>
          <w:trHeight w:val="342"/>
        </w:trPr>
        <w:tc>
          <w:tcPr>
            <w:tcW w:w="5000" w:type="pct"/>
          </w:tcPr>
          <w:p w14:paraId="373598D0" w14:textId="77777777" w:rsidR="00A374E7" w:rsidRPr="00003217" w:rsidRDefault="00A374E7" w:rsidP="003D75B4">
            <w:pPr>
              <w:spacing w:before="60" w:after="60"/>
              <w:rPr>
                <w:rFonts w:ascii="Arial" w:hAnsi="Arial" w:cs="Arial"/>
              </w:rPr>
            </w:pPr>
            <w:r w:rsidRPr="00003217">
              <w:rPr>
                <w:rFonts w:ascii="Arial" w:hAnsi="Arial" w:cs="Arial"/>
              </w:rPr>
              <w:t>Prepared filled rolls, sandwiches, bagels and similar products (</w:t>
            </w:r>
            <w:r w:rsidRPr="00003217">
              <w:rPr>
                <w:rFonts w:ascii="Arial" w:hAnsi="Arial" w:cs="Arial"/>
                <w:i/>
                <w:iCs/>
              </w:rPr>
              <w:t xml:space="preserve">N.B. </w:t>
            </w:r>
            <w:r w:rsidRPr="00003217">
              <w:rPr>
                <w:rFonts w:ascii="Arial" w:hAnsi="Arial" w:cs="Arial"/>
                <w:i/>
              </w:rPr>
              <w:t>frozen are considered standardised and are considered ‘intended’</w:t>
            </w:r>
            <w:r w:rsidRPr="00003217">
              <w:rPr>
                <w:rFonts w:ascii="Arial" w:hAnsi="Arial" w:cs="Arial"/>
              </w:rPr>
              <w:t>)</w:t>
            </w:r>
          </w:p>
        </w:tc>
      </w:tr>
      <w:tr w:rsidR="00A374E7" w:rsidRPr="00003217" w14:paraId="78E09836" w14:textId="77777777" w:rsidTr="003D75B4">
        <w:trPr>
          <w:trHeight w:val="342"/>
        </w:trPr>
        <w:tc>
          <w:tcPr>
            <w:tcW w:w="5000" w:type="pct"/>
          </w:tcPr>
          <w:p w14:paraId="554CA847" w14:textId="77777777" w:rsidR="00A374E7" w:rsidRPr="00003217" w:rsidRDefault="00A374E7" w:rsidP="003D75B4">
            <w:pPr>
              <w:spacing w:before="60" w:after="60"/>
              <w:rPr>
                <w:rFonts w:ascii="Arial" w:hAnsi="Arial" w:cs="Arial"/>
              </w:rPr>
            </w:pPr>
            <w:r w:rsidRPr="00003217">
              <w:rPr>
                <w:rFonts w:ascii="Arial" w:hAnsi="Arial" w:cs="Arial"/>
              </w:rPr>
              <w:t>Tea or coffee, or instant tea or instant coffee – includes freeze dried coffee and herbal and fruit teas</w:t>
            </w:r>
          </w:p>
        </w:tc>
      </w:tr>
      <w:tr w:rsidR="00A374E7" w:rsidRPr="00003217" w14:paraId="32DAA81B" w14:textId="77777777" w:rsidTr="003D75B4">
        <w:trPr>
          <w:trHeight w:val="342"/>
        </w:trPr>
        <w:tc>
          <w:tcPr>
            <w:tcW w:w="5000" w:type="pct"/>
          </w:tcPr>
          <w:p w14:paraId="5B3C4973" w14:textId="77777777" w:rsidR="00A374E7" w:rsidRPr="00003217" w:rsidRDefault="00A374E7" w:rsidP="003D75B4">
            <w:pPr>
              <w:spacing w:before="60" w:after="60"/>
              <w:rPr>
                <w:rFonts w:ascii="Arial" w:hAnsi="Arial" w:cs="Arial"/>
              </w:rPr>
            </w:pPr>
            <w:r w:rsidRPr="00003217">
              <w:rPr>
                <w:rFonts w:ascii="Arial" w:hAnsi="Arial" w:cs="Arial"/>
              </w:rPr>
              <w:t>A herb, a spice or a herbal infusion</w:t>
            </w:r>
          </w:p>
        </w:tc>
      </w:tr>
      <w:tr w:rsidR="00A374E7" w:rsidRPr="00003217" w14:paraId="23030D40" w14:textId="77777777" w:rsidTr="003D75B4">
        <w:trPr>
          <w:trHeight w:val="342"/>
        </w:trPr>
        <w:tc>
          <w:tcPr>
            <w:tcW w:w="5000" w:type="pct"/>
          </w:tcPr>
          <w:p w14:paraId="096FD9CC" w14:textId="77777777" w:rsidR="00A374E7" w:rsidRPr="00003217" w:rsidRDefault="00A374E7" w:rsidP="003D75B4">
            <w:pPr>
              <w:spacing w:before="60" w:after="60"/>
              <w:rPr>
                <w:rFonts w:ascii="Arial" w:hAnsi="Arial" w:cs="Arial"/>
              </w:rPr>
            </w:pPr>
            <w:r w:rsidRPr="00003217">
              <w:rPr>
                <w:rFonts w:ascii="Arial" w:hAnsi="Arial" w:cs="Arial"/>
              </w:rPr>
              <w:t>Iodised salt, reduced sodium salt mixture, salt or salt substitute</w:t>
            </w:r>
          </w:p>
        </w:tc>
      </w:tr>
      <w:tr w:rsidR="00A374E7" w:rsidRPr="00003217" w14:paraId="34D98A1C" w14:textId="77777777" w:rsidTr="003D75B4">
        <w:trPr>
          <w:trHeight w:val="342"/>
        </w:trPr>
        <w:tc>
          <w:tcPr>
            <w:tcW w:w="5000" w:type="pct"/>
          </w:tcPr>
          <w:p w14:paraId="4720152F" w14:textId="77777777" w:rsidR="00A374E7" w:rsidRPr="00003217" w:rsidRDefault="00A374E7" w:rsidP="003D75B4">
            <w:pPr>
              <w:spacing w:before="60" w:after="60"/>
              <w:rPr>
                <w:rFonts w:ascii="Arial" w:hAnsi="Arial" w:cs="Arial"/>
              </w:rPr>
            </w:pPr>
            <w:r w:rsidRPr="00003217">
              <w:rPr>
                <w:rFonts w:ascii="Arial" w:hAnsi="Arial" w:cs="Arial"/>
              </w:rPr>
              <w:t xml:space="preserve">Vinegar or imitation vinegar </w:t>
            </w:r>
          </w:p>
        </w:tc>
      </w:tr>
      <w:tr w:rsidR="00A374E7" w:rsidRPr="00003217" w14:paraId="07799D7B" w14:textId="77777777" w:rsidTr="003D75B4">
        <w:trPr>
          <w:trHeight w:val="342"/>
        </w:trPr>
        <w:tc>
          <w:tcPr>
            <w:tcW w:w="5000" w:type="pct"/>
          </w:tcPr>
          <w:p w14:paraId="18942C71" w14:textId="77777777" w:rsidR="00A374E7" w:rsidRPr="00003217" w:rsidRDefault="00A374E7" w:rsidP="003D75B4">
            <w:pPr>
              <w:spacing w:before="60" w:after="60"/>
              <w:rPr>
                <w:rFonts w:ascii="Arial" w:hAnsi="Arial" w:cs="Arial"/>
              </w:rPr>
            </w:pPr>
            <w:r w:rsidRPr="00003217">
              <w:rPr>
                <w:rFonts w:ascii="Arial" w:hAnsi="Arial" w:cs="Arial"/>
              </w:rPr>
              <w:t>A substance that is approved for use as a food additive</w:t>
            </w:r>
          </w:p>
        </w:tc>
      </w:tr>
      <w:tr w:rsidR="00A374E7" w:rsidRPr="00003217" w14:paraId="603AE566" w14:textId="77777777" w:rsidTr="003D75B4">
        <w:trPr>
          <w:trHeight w:val="342"/>
        </w:trPr>
        <w:tc>
          <w:tcPr>
            <w:tcW w:w="5000" w:type="pct"/>
          </w:tcPr>
          <w:p w14:paraId="5F9B3486" w14:textId="77777777" w:rsidR="00A374E7" w:rsidRPr="00003217" w:rsidRDefault="00A374E7" w:rsidP="003D75B4">
            <w:pPr>
              <w:spacing w:before="60" w:after="60"/>
              <w:rPr>
                <w:rFonts w:ascii="Arial" w:hAnsi="Arial" w:cs="Arial"/>
              </w:rPr>
            </w:pPr>
            <w:r w:rsidRPr="00003217">
              <w:rPr>
                <w:rFonts w:ascii="Arial" w:hAnsi="Arial" w:cs="Arial"/>
              </w:rPr>
              <w:t>A substance that is approved for use as and/or is used as a processing aid</w:t>
            </w:r>
          </w:p>
        </w:tc>
      </w:tr>
      <w:tr w:rsidR="00A374E7" w:rsidRPr="00003217" w14:paraId="08FB44C0" w14:textId="77777777" w:rsidTr="003D75B4">
        <w:trPr>
          <w:trHeight w:val="342"/>
        </w:trPr>
        <w:tc>
          <w:tcPr>
            <w:tcW w:w="5000" w:type="pct"/>
          </w:tcPr>
          <w:p w14:paraId="4E7F6966" w14:textId="77777777" w:rsidR="00A374E7" w:rsidRPr="00003217" w:rsidRDefault="00A374E7" w:rsidP="003D75B4">
            <w:pPr>
              <w:tabs>
                <w:tab w:val="center" w:pos="4780"/>
              </w:tabs>
              <w:spacing w:before="60" w:after="60"/>
              <w:rPr>
                <w:rFonts w:ascii="Arial" w:hAnsi="Arial" w:cs="Arial"/>
              </w:rPr>
            </w:pPr>
            <w:r w:rsidRPr="00003217">
              <w:rPr>
                <w:rFonts w:ascii="Arial" w:hAnsi="Arial" w:cs="Arial"/>
              </w:rPr>
              <w:t xml:space="preserve">Gelatine (also excluded agar) </w:t>
            </w:r>
            <w:r w:rsidRPr="00003217">
              <w:rPr>
                <w:rFonts w:ascii="Arial" w:hAnsi="Arial" w:cs="Arial"/>
              </w:rPr>
              <w:tab/>
            </w:r>
          </w:p>
        </w:tc>
      </w:tr>
      <w:tr w:rsidR="00A374E7" w:rsidRPr="00003217" w14:paraId="6C81B144" w14:textId="77777777" w:rsidTr="003D75B4">
        <w:trPr>
          <w:trHeight w:val="342"/>
        </w:trPr>
        <w:tc>
          <w:tcPr>
            <w:tcW w:w="5000" w:type="pct"/>
          </w:tcPr>
          <w:p w14:paraId="2A89334C" w14:textId="77777777" w:rsidR="00A374E7" w:rsidRPr="00003217" w:rsidRDefault="00A374E7" w:rsidP="003D75B4">
            <w:pPr>
              <w:spacing w:before="60" w:after="60"/>
              <w:rPr>
                <w:rFonts w:ascii="Arial" w:hAnsi="Arial" w:cs="Arial"/>
              </w:rPr>
            </w:pPr>
            <w:r w:rsidRPr="00003217">
              <w:rPr>
                <w:rFonts w:ascii="Arial" w:hAnsi="Arial" w:cs="Arial"/>
              </w:rPr>
              <w:t>Jam setting compounds</w:t>
            </w:r>
          </w:p>
        </w:tc>
      </w:tr>
      <w:tr w:rsidR="00A374E7" w:rsidRPr="00003217" w14:paraId="6023CE4E" w14:textId="77777777" w:rsidTr="003D75B4">
        <w:trPr>
          <w:trHeight w:val="342"/>
        </w:trPr>
        <w:tc>
          <w:tcPr>
            <w:tcW w:w="5000" w:type="pct"/>
          </w:tcPr>
          <w:p w14:paraId="467A628E" w14:textId="77777777" w:rsidR="00A374E7" w:rsidRPr="00003217" w:rsidRDefault="00A374E7" w:rsidP="003D75B4">
            <w:pPr>
              <w:spacing w:before="60" w:after="60"/>
              <w:rPr>
                <w:rFonts w:ascii="Arial" w:hAnsi="Arial" w:cs="Arial"/>
              </w:rPr>
            </w:pPr>
            <w:r w:rsidRPr="00003217">
              <w:rPr>
                <w:rFonts w:ascii="Arial" w:hAnsi="Arial" w:cs="Arial"/>
              </w:rPr>
              <w:t xml:space="preserve">A food in a small package </w:t>
            </w:r>
          </w:p>
        </w:tc>
      </w:tr>
      <w:tr w:rsidR="00A374E7" w:rsidRPr="00003217" w14:paraId="71D46169" w14:textId="77777777" w:rsidTr="003D75B4">
        <w:trPr>
          <w:trHeight w:val="342"/>
        </w:trPr>
        <w:tc>
          <w:tcPr>
            <w:tcW w:w="5000" w:type="pct"/>
          </w:tcPr>
          <w:p w14:paraId="58AE75AE" w14:textId="77777777" w:rsidR="00A374E7" w:rsidRPr="00003217" w:rsidRDefault="00A374E7" w:rsidP="003D75B4">
            <w:pPr>
              <w:spacing w:before="60" w:after="60"/>
              <w:rPr>
                <w:rFonts w:ascii="Arial" w:hAnsi="Arial" w:cs="Arial"/>
              </w:rPr>
            </w:pPr>
            <w:r w:rsidRPr="00003217">
              <w:rPr>
                <w:rFonts w:ascii="Arial" w:hAnsi="Arial" w:cs="Arial"/>
              </w:rPr>
              <w:t>Foods that do not vary in nutritional composition</w:t>
            </w:r>
          </w:p>
          <w:p w14:paraId="37E56AE7" w14:textId="77777777" w:rsidR="00A374E7" w:rsidRPr="00003217" w:rsidRDefault="00A374E7" w:rsidP="003D75B4">
            <w:pPr>
              <w:spacing w:before="60" w:after="60"/>
              <w:ind w:left="741" w:hanging="567"/>
              <w:rPr>
                <w:rFonts w:ascii="Arial" w:hAnsi="Arial" w:cs="Arial"/>
              </w:rPr>
            </w:pPr>
            <w:r w:rsidRPr="00003217">
              <w:rPr>
                <w:rFonts w:ascii="Arial" w:hAnsi="Arial" w:cs="Arial"/>
              </w:rPr>
              <w:t>e.g.</w:t>
            </w:r>
            <w:r w:rsidRPr="00003217">
              <w:rPr>
                <w:rFonts w:ascii="Arial" w:hAnsi="Arial" w:cs="Arial"/>
              </w:rPr>
              <w:tab/>
              <w:t>Sugar, sugar substitutes, glucose and glucose syrups</w:t>
            </w:r>
          </w:p>
          <w:p w14:paraId="7742FFD3" w14:textId="77777777" w:rsidR="00A374E7" w:rsidRPr="00003217" w:rsidRDefault="00A374E7" w:rsidP="003D75B4">
            <w:pPr>
              <w:spacing w:before="60" w:after="60"/>
              <w:ind w:left="741" w:hanging="567"/>
              <w:rPr>
                <w:rFonts w:ascii="Arial" w:hAnsi="Arial" w:cs="Arial"/>
              </w:rPr>
            </w:pPr>
            <w:r w:rsidRPr="00003217">
              <w:rPr>
                <w:rFonts w:ascii="Arial" w:hAnsi="Arial" w:cs="Arial"/>
              </w:rPr>
              <w:lastRenderedPageBreak/>
              <w:tab/>
              <w:t>Eggs</w:t>
            </w:r>
          </w:p>
          <w:p w14:paraId="605D2EAC" w14:textId="77777777" w:rsidR="00A374E7" w:rsidRPr="00003217" w:rsidRDefault="00A374E7" w:rsidP="003D75B4">
            <w:pPr>
              <w:spacing w:before="60" w:after="60"/>
              <w:ind w:left="741" w:hanging="567"/>
              <w:rPr>
                <w:rFonts w:ascii="Arial" w:hAnsi="Arial" w:cs="Arial"/>
              </w:rPr>
            </w:pPr>
            <w:r w:rsidRPr="00003217">
              <w:rPr>
                <w:rFonts w:ascii="Arial" w:hAnsi="Arial" w:cs="Arial"/>
              </w:rPr>
              <w:tab/>
              <w:t>Baking additives such as citric acid, tartaric acid, baking soda, cream of tartar, extracts, essences, food colouring, xantham gum, agar agar</w:t>
            </w:r>
          </w:p>
        </w:tc>
      </w:tr>
    </w:tbl>
    <w:p w14:paraId="7BA9ECAE" w14:textId="77777777" w:rsidR="00A374E7" w:rsidRPr="00003217" w:rsidRDefault="00A374E7" w:rsidP="00A374E7">
      <w:pPr>
        <w:spacing w:before="60" w:after="60"/>
        <w:rPr>
          <w:rFonts w:ascii="Arial" w:hAnsi="Arial" w:cs="Arial"/>
        </w:rPr>
      </w:pPr>
    </w:p>
    <w:p w14:paraId="40E9D303" w14:textId="77777777" w:rsidR="00A374E7" w:rsidRPr="00003217" w:rsidRDefault="00A374E7" w:rsidP="00A374E7">
      <w:pPr>
        <w:spacing w:before="60" w:after="60"/>
        <w:rPr>
          <w:rFonts w:ascii="Arial" w:hAnsi="Arial" w:cs="Arial"/>
          <w:b/>
          <w:bCs/>
        </w:rPr>
      </w:pPr>
      <w:r w:rsidRPr="00003217">
        <w:rPr>
          <w:rFonts w:ascii="Arial" w:hAnsi="Arial" w:cs="Arial"/>
          <w:b/>
          <w:bCs/>
        </w:rPr>
        <w:t>Table 3: Not permitted</w:t>
      </w:r>
    </w:p>
    <w:tbl>
      <w:tblPr>
        <w:tblStyle w:val="TableGrid"/>
        <w:tblW w:w="5077" w:type="pct"/>
        <w:tblLook w:val="04A0" w:firstRow="1" w:lastRow="0" w:firstColumn="1" w:lastColumn="0" w:noHBand="0" w:noVBand="1"/>
      </w:tblPr>
      <w:tblGrid>
        <w:gridCol w:w="9776"/>
      </w:tblGrid>
      <w:tr w:rsidR="00A374E7" w:rsidRPr="00003217" w14:paraId="6AD663B8" w14:textId="77777777" w:rsidTr="003D75B4">
        <w:trPr>
          <w:trHeight w:val="428"/>
        </w:trPr>
        <w:tc>
          <w:tcPr>
            <w:tcW w:w="5000" w:type="pct"/>
            <w:shd w:val="clear" w:color="auto" w:fill="D9D9D9" w:themeFill="background1" w:themeFillShade="D9"/>
          </w:tcPr>
          <w:p w14:paraId="6550E10C" w14:textId="77777777" w:rsidR="00A374E7" w:rsidRPr="00003217" w:rsidRDefault="00A374E7" w:rsidP="003D75B4">
            <w:pPr>
              <w:spacing w:before="60" w:after="60"/>
              <w:rPr>
                <w:rFonts w:ascii="Arial" w:hAnsi="Arial" w:cs="Arial"/>
                <w:b/>
                <w:bCs/>
              </w:rPr>
            </w:pPr>
            <w:r w:rsidRPr="00003217">
              <w:rPr>
                <w:rFonts w:ascii="Arial" w:hAnsi="Arial" w:cs="Arial"/>
                <w:b/>
                <w:bCs/>
              </w:rPr>
              <w:t>Products not permitted to display an HSR</w:t>
            </w:r>
          </w:p>
        </w:tc>
      </w:tr>
      <w:tr w:rsidR="00A374E7" w:rsidRPr="00003217" w14:paraId="055EFC3B" w14:textId="77777777" w:rsidTr="003D75B4">
        <w:trPr>
          <w:trHeight w:val="50"/>
        </w:trPr>
        <w:tc>
          <w:tcPr>
            <w:tcW w:w="5000" w:type="pct"/>
            <w:shd w:val="clear" w:color="auto" w:fill="FFFFFF" w:themeFill="background1"/>
          </w:tcPr>
          <w:p w14:paraId="3DBC8C4B" w14:textId="77777777" w:rsidR="00A374E7" w:rsidRPr="00003217" w:rsidRDefault="00A374E7" w:rsidP="003D75B4">
            <w:pPr>
              <w:spacing w:before="60" w:after="60"/>
              <w:rPr>
                <w:rFonts w:ascii="Arial" w:hAnsi="Arial" w:cs="Arial"/>
                <w:b/>
                <w:bCs/>
              </w:rPr>
            </w:pPr>
            <w:r w:rsidRPr="00003217">
              <w:rPr>
                <w:rFonts w:ascii="Arial" w:hAnsi="Arial" w:cs="Arial"/>
              </w:rPr>
              <w:t>Infant formula (FSC Standard 2.9.1)</w:t>
            </w:r>
          </w:p>
        </w:tc>
      </w:tr>
      <w:tr w:rsidR="00A374E7" w:rsidRPr="00003217" w14:paraId="7FD11DCE" w14:textId="77777777" w:rsidTr="003D75B4">
        <w:trPr>
          <w:trHeight w:val="50"/>
        </w:trPr>
        <w:tc>
          <w:tcPr>
            <w:tcW w:w="5000" w:type="pct"/>
            <w:shd w:val="clear" w:color="auto" w:fill="FFFFFF" w:themeFill="background1"/>
          </w:tcPr>
          <w:p w14:paraId="27FF14E3" w14:textId="77777777" w:rsidR="00A374E7" w:rsidRPr="00003217" w:rsidRDefault="00A374E7" w:rsidP="003D75B4">
            <w:pPr>
              <w:spacing w:before="60" w:after="60"/>
              <w:rPr>
                <w:rFonts w:ascii="Arial" w:hAnsi="Arial" w:cs="Arial"/>
              </w:rPr>
            </w:pPr>
            <w:r w:rsidRPr="00003217">
              <w:rPr>
                <w:rFonts w:ascii="Arial" w:hAnsi="Arial" w:cs="Arial"/>
              </w:rPr>
              <w:t>Food for infants:  First foods with age range that starts &lt;12 months (FSC Standard 2.9.2)</w:t>
            </w:r>
          </w:p>
        </w:tc>
      </w:tr>
      <w:tr w:rsidR="00A374E7" w:rsidRPr="00003217" w14:paraId="5D0D40D3" w14:textId="77777777" w:rsidTr="003D75B4">
        <w:trPr>
          <w:trHeight w:val="428"/>
        </w:trPr>
        <w:tc>
          <w:tcPr>
            <w:tcW w:w="5000" w:type="pct"/>
            <w:shd w:val="clear" w:color="auto" w:fill="FFFFFF" w:themeFill="background1"/>
          </w:tcPr>
          <w:p w14:paraId="147163C5" w14:textId="77777777" w:rsidR="00A374E7" w:rsidRPr="00003217" w:rsidRDefault="00A374E7" w:rsidP="003D75B4">
            <w:pPr>
              <w:spacing w:before="60" w:after="60"/>
              <w:rPr>
                <w:rFonts w:ascii="Arial" w:hAnsi="Arial" w:cs="Arial"/>
              </w:rPr>
            </w:pPr>
            <w:r w:rsidRPr="00003217">
              <w:rPr>
                <w:rFonts w:ascii="Arial" w:hAnsi="Arial" w:cs="Arial"/>
              </w:rPr>
              <w:t>Formulated Supplementary Foods for young children (FSC Standard 2.9.3 Div 4) - includes toddler milks and formulated supplementary</w:t>
            </w:r>
            <w:r w:rsidRPr="00003217">
              <w:rPr>
                <w:rFonts w:ascii="Arial" w:hAnsi="Arial" w:cs="Arial"/>
                <w:b/>
                <w:bCs/>
                <w:i/>
                <w:iCs/>
              </w:rPr>
              <w:t xml:space="preserve"> </w:t>
            </w:r>
            <w:r w:rsidRPr="00003217">
              <w:rPr>
                <w:rFonts w:ascii="Arial" w:hAnsi="Arial" w:cs="Arial"/>
              </w:rPr>
              <w:t>foods intended for young children.</w:t>
            </w:r>
          </w:p>
        </w:tc>
      </w:tr>
      <w:tr w:rsidR="00A374E7" w:rsidRPr="00003217" w14:paraId="2E790C05" w14:textId="77777777" w:rsidTr="003D75B4">
        <w:trPr>
          <w:trHeight w:val="428"/>
        </w:trPr>
        <w:tc>
          <w:tcPr>
            <w:tcW w:w="5000" w:type="pct"/>
            <w:shd w:val="clear" w:color="auto" w:fill="FFFFFF" w:themeFill="background1"/>
          </w:tcPr>
          <w:p w14:paraId="607CCAB3" w14:textId="77777777" w:rsidR="00A374E7" w:rsidRPr="00003217" w:rsidRDefault="00A374E7" w:rsidP="003D75B4">
            <w:pPr>
              <w:spacing w:before="60" w:after="60"/>
              <w:rPr>
                <w:rFonts w:ascii="Arial" w:hAnsi="Arial" w:cs="Arial"/>
              </w:rPr>
            </w:pPr>
            <w:r w:rsidRPr="00003217">
              <w:rPr>
                <w:rFonts w:ascii="Arial" w:hAnsi="Arial" w:cs="Arial"/>
              </w:rPr>
              <w:t>Formulated Supplementary Sports Foods (FSC Standard 2.9.4) – assessed as such if products carries the prescribed name “formulated supplementary sports food”</w:t>
            </w:r>
          </w:p>
        </w:tc>
      </w:tr>
      <w:tr w:rsidR="00A374E7" w:rsidRPr="00003217" w14:paraId="42096755" w14:textId="77777777" w:rsidTr="003D75B4">
        <w:trPr>
          <w:trHeight w:val="50"/>
        </w:trPr>
        <w:tc>
          <w:tcPr>
            <w:tcW w:w="5000" w:type="pct"/>
            <w:shd w:val="clear" w:color="auto" w:fill="FFFFFF" w:themeFill="background1"/>
          </w:tcPr>
          <w:p w14:paraId="74CEF13B" w14:textId="77777777" w:rsidR="00A374E7" w:rsidRPr="00003217" w:rsidRDefault="00A374E7" w:rsidP="003D75B4">
            <w:pPr>
              <w:spacing w:before="60" w:after="60"/>
              <w:rPr>
                <w:rFonts w:ascii="Arial" w:hAnsi="Arial" w:cs="Arial"/>
                <w:b/>
                <w:bCs/>
              </w:rPr>
            </w:pPr>
            <w:r w:rsidRPr="00003217">
              <w:rPr>
                <w:rFonts w:ascii="Arial" w:hAnsi="Arial" w:cs="Arial"/>
              </w:rPr>
              <w:t>Foods for special medical purposes (FSC Standard 2.9.5)</w:t>
            </w:r>
          </w:p>
        </w:tc>
      </w:tr>
      <w:tr w:rsidR="00A374E7" w:rsidRPr="00003217" w14:paraId="6507ABC9" w14:textId="77777777" w:rsidTr="003D75B4">
        <w:trPr>
          <w:trHeight w:val="428"/>
        </w:trPr>
        <w:tc>
          <w:tcPr>
            <w:tcW w:w="5000" w:type="pct"/>
            <w:shd w:val="clear" w:color="auto" w:fill="FFFFFF" w:themeFill="background1"/>
          </w:tcPr>
          <w:p w14:paraId="7DCE0E4D" w14:textId="77777777" w:rsidR="00A374E7" w:rsidRPr="00003217" w:rsidRDefault="00A374E7" w:rsidP="003D75B4">
            <w:pPr>
              <w:spacing w:before="60" w:after="60"/>
              <w:rPr>
                <w:rFonts w:ascii="Arial" w:hAnsi="Arial" w:cs="Arial"/>
                <w:b/>
                <w:bCs/>
              </w:rPr>
            </w:pPr>
            <w:r w:rsidRPr="00003217">
              <w:rPr>
                <w:rFonts w:ascii="Arial" w:hAnsi="Arial" w:cs="Arial"/>
              </w:rPr>
              <w:t>Beverages containing more than 0.5% alcohol by volume – examples may include kombuchas and/or other fermented beverages</w:t>
            </w:r>
          </w:p>
        </w:tc>
      </w:tr>
      <w:tr w:rsidR="00A374E7" w:rsidRPr="00003217" w14:paraId="714D65FF" w14:textId="77777777" w:rsidTr="003D75B4">
        <w:trPr>
          <w:trHeight w:val="428"/>
        </w:trPr>
        <w:tc>
          <w:tcPr>
            <w:tcW w:w="5000" w:type="pct"/>
            <w:shd w:val="clear" w:color="auto" w:fill="FFFFFF" w:themeFill="background1"/>
          </w:tcPr>
          <w:p w14:paraId="72563C1F" w14:textId="77777777" w:rsidR="00A374E7" w:rsidRPr="00003217" w:rsidRDefault="00A374E7" w:rsidP="003D75B4">
            <w:pPr>
              <w:spacing w:before="60" w:after="60"/>
              <w:rPr>
                <w:rFonts w:ascii="Arial" w:hAnsi="Arial" w:cs="Arial"/>
              </w:rPr>
            </w:pPr>
            <w:r w:rsidRPr="00003217">
              <w:rPr>
                <w:rFonts w:ascii="Arial" w:hAnsi="Arial" w:cs="Arial"/>
              </w:rPr>
              <w:t xml:space="preserve">Beverages that contain less than or equal to 0.5% alcohol by volume that resemble an alcoholic beverage and are marketed as a non-alcoholic variant or brand extension of an alcoholic beverage </w:t>
            </w:r>
          </w:p>
        </w:tc>
      </w:tr>
      <w:tr w:rsidR="00A374E7" w:rsidRPr="00003217" w14:paraId="0B20F4DB" w14:textId="77777777" w:rsidTr="003D75B4">
        <w:trPr>
          <w:trHeight w:val="50"/>
        </w:trPr>
        <w:tc>
          <w:tcPr>
            <w:tcW w:w="5000" w:type="pct"/>
            <w:shd w:val="clear" w:color="auto" w:fill="FFFFFF" w:themeFill="background1"/>
          </w:tcPr>
          <w:p w14:paraId="414EE7D7" w14:textId="77777777" w:rsidR="00A374E7" w:rsidRPr="00003217" w:rsidRDefault="00A374E7" w:rsidP="003D75B4">
            <w:pPr>
              <w:spacing w:before="60" w:after="60"/>
              <w:rPr>
                <w:rFonts w:ascii="Arial" w:hAnsi="Arial" w:cs="Arial"/>
                <w:b/>
                <w:bCs/>
              </w:rPr>
            </w:pPr>
            <w:r w:rsidRPr="00003217">
              <w:rPr>
                <w:rFonts w:ascii="Arial" w:hAnsi="Arial" w:cs="Arial"/>
              </w:rPr>
              <w:t xml:space="preserve">Alcohol kits - including mixes designed to be used to make alcoholic drinks (e.g. cocktail kits). </w:t>
            </w:r>
          </w:p>
        </w:tc>
      </w:tr>
      <w:tr w:rsidR="00A374E7" w:rsidRPr="00003217" w14:paraId="5A5324B0" w14:textId="77777777" w:rsidTr="003D75B4">
        <w:trPr>
          <w:trHeight w:val="50"/>
        </w:trPr>
        <w:tc>
          <w:tcPr>
            <w:tcW w:w="5000" w:type="pct"/>
            <w:shd w:val="clear" w:color="auto" w:fill="FFFFFF" w:themeFill="background1"/>
          </w:tcPr>
          <w:p w14:paraId="0A5E2F8F" w14:textId="77777777" w:rsidR="00A374E7" w:rsidRPr="00003217" w:rsidRDefault="00A374E7" w:rsidP="003D75B4">
            <w:pPr>
              <w:spacing w:before="60" w:after="60"/>
              <w:rPr>
                <w:rFonts w:ascii="Arial" w:hAnsi="Arial" w:cs="Arial"/>
              </w:rPr>
            </w:pPr>
            <w:r w:rsidRPr="00003217">
              <w:rPr>
                <w:rFonts w:ascii="Arial" w:hAnsi="Arial" w:cs="Arial"/>
              </w:rPr>
              <w:t>Kava</w:t>
            </w:r>
          </w:p>
        </w:tc>
      </w:tr>
      <w:tr w:rsidR="00A374E7" w:rsidRPr="00003217" w14:paraId="021C674F" w14:textId="77777777" w:rsidTr="003D75B4">
        <w:trPr>
          <w:trHeight w:val="50"/>
        </w:trPr>
        <w:tc>
          <w:tcPr>
            <w:tcW w:w="5000" w:type="pct"/>
            <w:shd w:val="clear" w:color="auto" w:fill="FFFFFF" w:themeFill="background1"/>
          </w:tcPr>
          <w:p w14:paraId="42B3666E" w14:textId="77777777" w:rsidR="00A374E7" w:rsidRPr="00003217" w:rsidRDefault="00A374E7" w:rsidP="003D75B4">
            <w:pPr>
              <w:spacing w:before="60" w:after="60"/>
              <w:rPr>
                <w:rFonts w:ascii="Arial" w:hAnsi="Arial" w:cs="Arial"/>
                <w:iCs/>
              </w:rPr>
            </w:pPr>
            <w:r w:rsidRPr="00003217">
              <w:rPr>
                <w:rFonts w:ascii="Arial" w:hAnsi="Arial" w:cs="Arial"/>
              </w:rPr>
              <w:t xml:space="preserve">Products not eligible to carry a nutrition content claims and health claims, as listed in FSC </w:t>
            </w:r>
            <w:r w:rsidRPr="00003217">
              <w:rPr>
                <w:rFonts w:ascii="Arial" w:hAnsi="Arial" w:cs="Arial"/>
                <w:iCs/>
              </w:rPr>
              <w:t>Standard 1.2.7</w:t>
            </w:r>
          </w:p>
          <w:p w14:paraId="776D526A" w14:textId="77777777" w:rsidR="00A374E7" w:rsidRPr="00003217" w:rsidRDefault="00A374E7" w:rsidP="003D75B4">
            <w:pPr>
              <w:tabs>
                <w:tab w:val="left" w:pos="599"/>
              </w:tabs>
              <w:spacing w:before="60" w:after="60"/>
              <w:ind w:left="741" w:hanging="567"/>
              <w:rPr>
                <w:rFonts w:ascii="Arial" w:hAnsi="Arial" w:cs="Arial"/>
              </w:rPr>
            </w:pPr>
            <w:r w:rsidRPr="00003217">
              <w:rPr>
                <w:rFonts w:ascii="Arial" w:hAnsi="Arial" w:cs="Arial"/>
                <w:iCs/>
              </w:rPr>
              <w:t>i.</w:t>
            </w:r>
            <w:r w:rsidRPr="00003217">
              <w:rPr>
                <w:rFonts w:ascii="Arial" w:hAnsi="Arial" w:cs="Arial"/>
              </w:rPr>
              <w:t>e.</w:t>
            </w:r>
            <w:r w:rsidRPr="00003217">
              <w:rPr>
                <w:rFonts w:ascii="Arial" w:hAnsi="Arial" w:cs="Arial"/>
              </w:rPr>
              <w:tab/>
              <w:t xml:space="preserve">Foods intended for further processing or labelled prior to retail sale </w:t>
            </w:r>
          </w:p>
          <w:p w14:paraId="37FF9F26" w14:textId="77777777" w:rsidR="00A374E7" w:rsidRPr="00003217" w:rsidRDefault="00A374E7" w:rsidP="003D75B4">
            <w:pPr>
              <w:tabs>
                <w:tab w:val="left" w:pos="599"/>
              </w:tabs>
              <w:spacing w:before="60" w:after="60"/>
              <w:ind w:left="741" w:hanging="567"/>
              <w:rPr>
                <w:rFonts w:ascii="Arial" w:hAnsi="Arial" w:cs="Arial"/>
              </w:rPr>
            </w:pPr>
            <w:r w:rsidRPr="00003217">
              <w:rPr>
                <w:rFonts w:ascii="Arial" w:hAnsi="Arial" w:cs="Arial"/>
              </w:rPr>
              <w:tab/>
              <w:t>Foods delivered to a vulnerable person by a delivered meal organisation</w:t>
            </w:r>
          </w:p>
          <w:p w14:paraId="64894B58" w14:textId="77777777" w:rsidR="00A374E7" w:rsidRPr="00003217" w:rsidRDefault="00A374E7" w:rsidP="003D75B4">
            <w:pPr>
              <w:tabs>
                <w:tab w:val="left" w:pos="599"/>
              </w:tabs>
              <w:spacing w:before="60" w:after="60"/>
              <w:ind w:left="741" w:hanging="567"/>
              <w:rPr>
                <w:rFonts w:ascii="Arial" w:hAnsi="Arial" w:cs="Arial"/>
              </w:rPr>
            </w:pPr>
            <w:r w:rsidRPr="00003217">
              <w:rPr>
                <w:rFonts w:ascii="Arial" w:hAnsi="Arial" w:cs="Arial"/>
              </w:rPr>
              <w:tab/>
              <w:t>Foods provided as an institutional meal</w:t>
            </w:r>
          </w:p>
        </w:tc>
      </w:tr>
    </w:tbl>
    <w:p w14:paraId="16B3EA3D" w14:textId="77777777" w:rsidR="00A374E7" w:rsidRPr="00003217" w:rsidRDefault="00A374E7" w:rsidP="00A374E7">
      <w:pPr>
        <w:rPr>
          <w:rFonts w:ascii="Arial" w:hAnsi="Arial" w:cs="Arial"/>
        </w:rPr>
      </w:pPr>
    </w:p>
    <w:p w14:paraId="0F2DE3E8" w14:textId="77777777" w:rsidR="00A374E7" w:rsidRPr="00003217" w:rsidRDefault="00A374E7" w:rsidP="00A374E7">
      <w:pPr>
        <w:rPr>
          <w:rFonts w:ascii="Arial" w:hAnsi="Arial" w:cs="Arial"/>
          <w:b/>
          <w:bCs/>
        </w:rPr>
      </w:pPr>
      <w:r w:rsidRPr="00003217">
        <w:rPr>
          <w:rFonts w:ascii="Arial" w:hAnsi="Arial" w:cs="Arial"/>
          <w:b/>
          <w:bCs/>
        </w:rPr>
        <w:br w:type="page"/>
      </w:r>
    </w:p>
    <w:p w14:paraId="6E8CF92B" w14:textId="77777777" w:rsidR="00A374E7" w:rsidRPr="00003217" w:rsidRDefault="00A374E7" w:rsidP="00A374E7">
      <w:pPr>
        <w:spacing w:after="120"/>
        <w:rPr>
          <w:rFonts w:ascii="Arial" w:hAnsi="Arial" w:cs="Arial"/>
          <w:b/>
          <w:sz w:val="24"/>
        </w:rPr>
      </w:pPr>
      <w:r w:rsidRPr="00003217">
        <w:rPr>
          <w:rFonts w:ascii="Arial" w:hAnsi="Arial" w:cs="Arial"/>
          <w:b/>
          <w:sz w:val="24"/>
        </w:rPr>
        <w:lastRenderedPageBreak/>
        <w:t>Additional decisions</w:t>
      </w:r>
      <w:r w:rsidRPr="00003217" w:rsidDel="0090703C">
        <w:rPr>
          <w:rFonts w:ascii="Arial" w:hAnsi="Arial" w:cs="Arial"/>
          <w:b/>
          <w:sz w:val="24"/>
        </w:rPr>
        <w:t xml:space="preserve"> </w:t>
      </w:r>
      <w:r w:rsidRPr="00003217">
        <w:rPr>
          <w:rFonts w:ascii="Arial" w:hAnsi="Arial" w:cs="Arial"/>
          <w:b/>
          <w:sz w:val="24"/>
        </w:rPr>
        <w:t xml:space="preserve">made by </w:t>
      </w:r>
      <w:r w:rsidRPr="00003217">
        <w:rPr>
          <w:rFonts w:ascii="Arial" w:hAnsi="Arial" w:cs="Arial"/>
          <w:b/>
          <w:bCs/>
          <w:sz w:val="24"/>
          <w:szCs w:val="24"/>
        </w:rPr>
        <w:t>FSANZ</w:t>
      </w:r>
      <w:r w:rsidRPr="00003217">
        <w:rPr>
          <w:rFonts w:ascii="Arial" w:hAnsi="Arial" w:cs="Arial"/>
          <w:b/>
          <w:sz w:val="24"/>
        </w:rPr>
        <w:t xml:space="preserve"> in assessing whether a product was intended, not-intended, not-permitted, excluded from scope or not in-scope</w:t>
      </w:r>
      <w:r w:rsidRPr="00003217">
        <w:rPr>
          <w:rFonts w:ascii="Arial" w:hAnsi="Arial" w:cs="Arial"/>
          <w:b/>
          <w:bCs/>
          <w:sz w:val="24"/>
          <w:szCs w:val="24"/>
        </w:rPr>
        <w:t>.</w:t>
      </w:r>
    </w:p>
    <w:p w14:paraId="313FE82C" w14:textId="77777777" w:rsidR="00A374E7" w:rsidRPr="00003217" w:rsidRDefault="00A374E7" w:rsidP="00A374E7">
      <w:pPr>
        <w:spacing w:after="60"/>
        <w:rPr>
          <w:rFonts w:ascii="Arial" w:hAnsi="Arial" w:cs="Arial"/>
        </w:rPr>
      </w:pPr>
      <w:r w:rsidRPr="00003217">
        <w:rPr>
          <w:rFonts w:ascii="Arial" w:hAnsi="Arial" w:cs="Arial"/>
          <w:i/>
          <w:u w:val="single"/>
        </w:rPr>
        <w:t>Not in scope</w:t>
      </w:r>
      <w:r w:rsidRPr="00003217">
        <w:rPr>
          <w:rFonts w:ascii="Arial" w:hAnsi="Arial" w:cs="Arial"/>
        </w:rPr>
        <w:t>:</w:t>
      </w:r>
    </w:p>
    <w:p w14:paraId="7BBABC11" w14:textId="77777777" w:rsidR="00A374E7" w:rsidRPr="00003217" w:rsidRDefault="00A374E7" w:rsidP="00A374E7">
      <w:pPr>
        <w:pStyle w:val="ListParagraph"/>
        <w:numPr>
          <w:ilvl w:val="0"/>
          <w:numId w:val="11"/>
        </w:numPr>
        <w:spacing w:after="60" w:line="240" w:lineRule="auto"/>
        <w:ind w:left="426"/>
        <w:contextualSpacing w:val="0"/>
        <w:rPr>
          <w:rFonts w:ascii="Arial" w:hAnsi="Arial" w:cs="Arial"/>
        </w:rPr>
      </w:pPr>
      <w:r w:rsidRPr="00003217">
        <w:rPr>
          <w:rFonts w:ascii="Arial" w:hAnsi="Arial" w:cs="Arial"/>
        </w:rPr>
        <w:t>Any product that is not a food, e.g. coupons, display units, general merchandise</w:t>
      </w:r>
    </w:p>
    <w:p w14:paraId="45CDE172" w14:textId="77777777" w:rsidR="00A374E7" w:rsidRPr="00003217" w:rsidRDefault="00A374E7" w:rsidP="00A374E7">
      <w:pPr>
        <w:pStyle w:val="ListParagraph"/>
        <w:numPr>
          <w:ilvl w:val="0"/>
          <w:numId w:val="11"/>
        </w:numPr>
        <w:spacing w:after="60" w:line="240" w:lineRule="auto"/>
        <w:ind w:left="426"/>
        <w:contextualSpacing w:val="0"/>
        <w:rPr>
          <w:rFonts w:ascii="Arial" w:hAnsi="Arial" w:cs="Arial"/>
        </w:rPr>
      </w:pPr>
      <w:r w:rsidRPr="00003217">
        <w:rPr>
          <w:rFonts w:ascii="Arial" w:hAnsi="Arial" w:cs="Arial"/>
        </w:rPr>
        <w:t>Any product that is not a packaged/labelled food, e.g. clearly intended for sale in the delicatessen, or in bulk bins</w:t>
      </w:r>
    </w:p>
    <w:p w14:paraId="064EA344" w14:textId="77777777" w:rsidR="00A374E7" w:rsidRPr="00003217" w:rsidRDefault="00A374E7" w:rsidP="00A374E7">
      <w:pPr>
        <w:pStyle w:val="ListParagraph"/>
        <w:numPr>
          <w:ilvl w:val="0"/>
          <w:numId w:val="11"/>
        </w:numPr>
        <w:spacing w:after="60" w:line="240" w:lineRule="auto"/>
        <w:ind w:left="426"/>
        <w:contextualSpacing w:val="0"/>
        <w:rPr>
          <w:rFonts w:ascii="Arial" w:hAnsi="Arial" w:cs="Arial"/>
        </w:rPr>
      </w:pPr>
      <w:r w:rsidRPr="00003217">
        <w:rPr>
          <w:rFonts w:ascii="Arial" w:hAnsi="Arial" w:cs="Arial"/>
        </w:rPr>
        <w:t>Any product not intended for the consumer in the form listed, e.g. pallets, cartons of meat, food service items, bulk salads, bulk cheese</w:t>
      </w:r>
    </w:p>
    <w:p w14:paraId="11DA1ACF" w14:textId="77777777" w:rsidR="00A374E7" w:rsidRPr="00003217" w:rsidRDefault="00A374E7" w:rsidP="00A374E7">
      <w:pPr>
        <w:pStyle w:val="ListParagraph"/>
        <w:numPr>
          <w:ilvl w:val="0"/>
          <w:numId w:val="11"/>
        </w:numPr>
        <w:spacing w:after="60" w:line="240" w:lineRule="auto"/>
        <w:ind w:left="426"/>
        <w:contextualSpacing w:val="0"/>
        <w:rPr>
          <w:rFonts w:ascii="Arial" w:hAnsi="Arial" w:cs="Arial"/>
        </w:rPr>
      </w:pPr>
      <w:r w:rsidRPr="00003217">
        <w:rPr>
          <w:rFonts w:ascii="Arial" w:hAnsi="Arial" w:cs="Arial"/>
        </w:rPr>
        <w:t>Products sold by retailer online only and as a wholesale product</w:t>
      </w:r>
    </w:p>
    <w:p w14:paraId="77432607" w14:textId="77777777" w:rsidR="00A374E7" w:rsidRPr="00003217" w:rsidRDefault="00A374E7" w:rsidP="00A374E7">
      <w:pPr>
        <w:pStyle w:val="ListParagraph"/>
        <w:numPr>
          <w:ilvl w:val="0"/>
          <w:numId w:val="11"/>
        </w:numPr>
        <w:spacing w:after="60" w:line="240" w:lineRule="auto"/>
        <w:ind w:left="426"/>
        <w:contextualSpacing w:val="0"/>
        <w:rPr>
          <w:rFonts w:ascii="Arial" w:hAnsi="Arial" w:cs="Arial"/>
        </w:rPr>
      </w:pPr>
      <w:r w:rsidRPr="00003217">
        <w:rPr>
          <w:rFonts w:ascii="Arial" w:hAnsi="Arial" w:cs="Arial"/>
        </w:rPr>
        <w:t>Products presented as medicinal - e.g. throat lozenges</w:t>
      </w:r>
    </w:p>
    <w:p w14:paraId="6616C889" w14:textId="77777777" w:rsidR="00A374E7" w:rsidRPr="00003217" w:rsidRDefault="00A374E7" w:rsidP="00A374E7">
      <w:pPr>
        <w:pStyle w:val="ListParagraph"/>
        <w:numPr>
          <w:ilvl w:val="0"/>
          <w:numId w:val="12"/>
        </w:numPr>
        <w:spacing w:after="60" w:line="240" w:lineRule="auto"/>
        <w:ind w:left="426"/>
        <w:contextualSpacing w:val="0"/>
        <w:rPr>
          <w:rFonts w:ascii="Arial" w:hAnsi="Arial" w:cs="Arial"/>
        </w:rPr>
      </w:pPr>
      <w:r w:rsidRPr="00003217">
        <w:rPr>
          <w:rFonts w:ascii="Arial" w:hAnsi="Arial" w:cs="Arial"/>
        </w:rPr>
        <w:t xml:space="preserve">Festive items – any product that is/is known to be an ‘Easter’, ‘Christmas’, ‘Halloween’, Mother’s/Father’s Day’ product. </w:t>
      </w:r>
    </w:p>
    <w:p w14:paraId="1318227D" w14:textId="77777777" w:rsidR="00A374E7" w:rsidRPr="00003217" w:rsidRDefault="00A374E7" w:rsidP="00A374E7">
      <w:pPr>
        <w:spacing w:after="60"/>
        <w:rPr>
          <w:rFonts w:ascii="Arial" w:hAnsi="Arial" w:cs="Arial"/>
        </w:rPr>
      </w:pPr>
      <w:r w:rsidRPr="00003217">
        <w:rPr>
          <w:rFonts w:ascii="Arial" w:hAnsi="Arial" w:cs="Arial"/>
          <w:i/>
          <w:u w:val="single"/>
        </w:rPr>
        <w:t>Intended</w:t>
      </w:r>
      <w:r w:rsidRPr="00003217">
        <w:rPr>
          <w:rFonts w:ascii="Arial" w:hAnsi="Arial" w:cs="Arial"/>
        </w:rPr>
        <w:t>:</w:t>
      </w:r>
    </w:p>
    <w:p w14:paraId="1FEFCC69" w14:textId="77777777" w:rsidR="00A374E7" w:rsidRPr="00003217" w:rsidRDefault="00A374E7" w:rsidP="00A374E7">
      <w:pPr>
        <w:pStyle w:val="ListParagraph"/>
        <w:numPr>
          <w:ilvl w:val="0"/>
          <w:numId w:val="10"/>
        </w:numPr>
        <w:spacing w:after="60" w:line="240" w:lineRule="auto"/>
        <w:ind w:left="425" w:hanging="357"/>
        <w:contextualSpacing w:val="0"/>
        <w:rPr>
          <w:rFonts w:ascii="Arial" w:hAnsi="Arial" w:cs="Arial"/>
        </w:rPr>
      </w:pPr>
      <w:r w:rsidRPr="00003217">
        <w:rPr>
          <w:rFonts w:ascii="Arial" w:hAnsi="Arial" w:cs="Arial"/>
        </w:rPr>
        <w:t>Products ‘not intended’ in whole form, but reformed and presented on shelf with other ‘like’ products that are intended - e.g. whole canned tomatoes with nothing added presented on shelf with canned tomatoes with added ingredients.</w:t>
      </w:r>
    </w:p>
    <w:p w14:paraId="4D81980F" w14:textId="77777777" w:rsidR="00A374E7" w:rsidRPr="00003217" w:rsidRDefault="00A374E7" w:rsidP="00A374E7">
      <w:pPr>
        <w:pStyle w:val="ListParagraph"/>
        <w:numPr>
          <w:ilvl w:val="0"/>
          <w:numId w:val="10"/>
        </w:numPr>
        <w:spacing w:after="60" w:line="240" w:lineRule="auto"/>
        <w:ind w:left="425" w:hanging="357"/>
        <w:contextualSpacing w:val="0"/>
        <w:rPr>
          <w:rFonts w:ascii="Arial" w:hAnsi="Arial" w:cs="Arial"/>
        </w:rPr>
      </w:pPr>
      <w:r w:rsidRPr="00003217">
        <w:rPr>
          <w:rFonts w:ascii="Arial" w:hAnsi="Arial" w:cs="Arial"/>
        </w:rPr>
        <w:t>Eggs out of their shell – e.g. Packages contained fresh or frozen whole eggs, egg whites, egg yolks with shell removed.</w:t>
      </w:r>
    </w:p>
    <w:p w14:paraId="7FB34EF6" w14:textId="77777777" w:rsidR="00A374E7" w:rsidRPr="00003217" w:rsidRDefault="00A374E7" w:rsidP="00A374E7">
      <w:pPr>
        <w:pStyle w:val="ListParagraph"/>
        <w:numPr>
          <w:ilvl w:val="0"/>
          <w:numId w:val="10"/>
        </w:numPr>
        <w:spacing w:after="60" w:line="240" w:lineRule="auto"/>
        <w:ind w:left="425" w:hanging="357"/>
        <w:contextualSpacing w:val="0"/>
        <w:rPr>
          <w:rFonts w:ascii="Arial" w:hAnsi="Arial" w:cs="Arial"/>
        </w:rPr>
      </w:pPr>
      <w:r w:rsidRPr="00003217">
        <w:rPr>
          <w:rFonts w:ascii="Arial" w:hAnsi="Arial" w:cs="Arial"/>
        </w:rPr>
        <w:t xml:space="preserve">‘Sugar like products’ often used in place of sugars that are not 100% sugar – e.g. golden syrup, agave syrup, treacle, maple syrup </w:t>
      </w:r>
    </w:p>
    <w:p w14:paraId="1CE93991" w14:textId="77777777" w:rsidR="00A374E7" w:rsidRPr="00003217" w:rsidRDefault="00A374E7" w:rsidP="00A374E7">
      <w:pPr>
        <w:pStyle w:val="ListParagraph"/>
        <w:numPr>
          <w:ilvl w:val="0"/>
          <w:numId w:val="10"/>
        </w:numPr>
        <w:spacing w:after="60" w:line="240" w:lineRule="auto"/>
        <w:ind w:left="425" w:hanging="357"/>
        <w:contextualSpacing w:val="0"/>
        <w:rPr>
          <w:rFonts w:ascii="Arial" w:hAnsi="Arial" w:cs="Arial"/>
        </w:rPr>
      </w:pPr>
      <w:r w:rsidRPr="00003217">
        <w:rPr>
          <w:rFonts w:ascii="Arial" w:hAnsi="Arial" w:cs="Arial"/>
        </w:rPr>
        <w:t>Vegetable and protein (meat, poultry, fish) mixtures that do not have any additional ingredients or added sugar and/or salt and/or fat (mixed dish).</w:t>
      </w:r>
    </w:p>
    <w:p w14:paraId="3A522F71" w14:textId="77777777" w:rsidR="00A374E7" w:rsidRPr="00003217" w:rsidRDefault="00A374E7" w:rsidP="00A374E7">
      <w:pPr>
        <w:pStyle w:val="ListParagraph"/>
        <w:numPr>
          <w:ilvl w:val="0"/>
          <w:numId w:val="10"/>
        </w:numPr>
        <w:spacing w:after="60" w:line="240" w:lineRule="auto"/>
        <w:ind w:left="425" w:hanging="357"/>
        <w:contextualSpacing w:val="0"/>
        <w:rPr>
          <w:rFonts w:ascii="Arial" w:hAnsi="Arial" w:cs="Arial"/>
        </w:rPr>
      </w:pPr>
      <w:r w:rsidRPr="00003217">
        <w:rPr>
          <w:rFonts w:ascii="Arial" w:hAnsi="Arial" w:cs="Arial"/>
        </w:rPr>
        <w:t>Vinegars noted to be a ‘glaze’.</w:t>
      </w:r>
    </w:p>
    <w:p w14:paraId="7DF2CBA0" w14:textId="77777777" w:rsidR="00A374E7" w:rsidRPr="00003217" w:rsidRDefault="00A374E7" w:rsidP="00A374E7">
      <w:pPr>
        <w:pStyle w:val="ListParagraph"/>
        <w:numPr>
          <w:ilvl w:val="0"/>
          <w:numId w:val="10"/>
        </w:numPr>
        <w:spacing w:after="60" w:line="240" w:lineRule="auto"/>
        <w:ind w:left="425" w:hanging="357"/>
        <w:contextualSpacing w:val="0"/>
        <w:rPr>
          <w:rFonts w:ascii="Arial" w:hAnsi="Arial" w:cs="Arial"/>
        </w:rPr>
      </w:pPr>
      <w:r w:rsidRPr="00003217">
        <w:rPr>
          <w:rFonts w:ascii="Arial" w:hAnsi="Arial" w:cs="Arial"/>
        </w:rPr>
        <w:t>Mixtures of herbs, spices, salts, salt substitutes with additional ingredients such as rice flour and/or seeds and/or nuts -  e.g. steak seasoning, zaatar, dukkah</w:t>
      </w:r>
    </w:p>
    <w:p w14:paraId="667AC790" w14:textId="77777777" w:rsidR="00A374E7" w:rsidRPr="00003217" w:rsidRDefault="00A374E7" w:rsidP="00A374E7">
      <w:pPr>
        <w:pStyle w:val="ListParagraph"/>
        <w:numPr>
          <w:ilvl w:val="0"/>
          <w:numId w:val="10"/>
        </w:numPr>
        <w:spacing w:after="60" w:line="240" w:lineRule="auto"/>
        <w:ind w:left="425" w:hanging="357"/>
        <w:contextualSpacing w:val="0"/>
        <w:rPr>
          <w:rFonts w:ascii="Arial" w:hAnsi="Arial" w:cs="Arial"/>
        </w:rPr>
      </w:pPr>
      <w:r w:rsidRPr="00003217">
        <w:rPr>
          <w:rFonts w:ascii="Arial" w:hAnsi="Arial" w:cs="Arial"/>
        </w:rPr>
        <w:t>Instore bakery products (excepting single and loose items)</w:t>
      </w:r>
    </w:p>
    <w:p w14:paraId="0F46C4B2" w14:textId="77777777" w:rsidR="00A374E7" w:rsidRPr="00003217" w:rsidRDefault="00A374E7" w:rsidP="00A374E7">
      <w:pPr>
        <w:pStyle w:val="ListParagraph"/>
        <w:numPr>
          <w:ilvl w:val="0"/>
          <w:numId w:val="10"/>
        </w:numPr>
        <w:spacing w:after="60" w:line="240" w:lineRule="auto"/>
        <w:ind w:left="425" w:hanging="357"/>
        <w:contextualSpacing w:val="0"/>
        <w:rPr>
          <w:rFonts w:ascii="Arial" w:hAnsi="Arial" w:cs="Arial"/>
        </w:rPr>
      </w:pPr>
      <w:r w:rsidRPr="00003217">
        <w:rPr>
          <w:rFonts w:ascii="Arial" w:hAnsi="Arial" w:cs="Arial"/>
        </w:rPr>
        <w:t>Frozen (but not crumbed/battered/flavoured) seafood products with added mineral salts and/or preservatives.</w:t>
      </w:r>
    </w:p>
    <w:p w14:paraId="28F48AED" w14:textId="77777777" w:rsidR="00A374E7" w:rsidRPr="00003217" w:rsidRDefault="00A374E7" w:rsidP="00A374E7">
      <w:pPr>
        <w:pStyle w:val="ListParagraph"/>
        <w:numPr>
          <w:ilvl w:val="0"/>
          <w:numId w:val="10"/>
        </w:numPr>
        <w:spacing w:after="60" w:line="240" w:lineRule="auto"/>
        <w:ind w:left="425" w:hanging="357"/>
        <w:contextualSpacing w:val="0"/>
        <w:rPr>
          <w:rFonts w:ascii="Arial" w:hAnsi="Arial" w:cs="Arial"/>
        </w:rPr>
      </w:pPr>
      <w:r w:rsidRPr="00003217">
        <w:rPr>
          <w:rFonts w:ascii="Arial" w:hAnsi="Arial" w:cs="Arial"/>
        </w:rPr>
        <w:t>Liqueur custards/creams and foods containing alcohol – i.e. these were not excluded on the basis of the alcohol exclusions for beverages.</w:t>
      </w:r>
    </w:p>
    <w:p w14:paraId="48826AA8" w14:textId="77777777" w:rsidR="00A374E7" w:rsidRPr="00003217" w:rsidRDefault="00A374E7" w:rsidP="00A374E7">
      <w:pPr>
        <w:pStyle w:val="ListParagraph"/>
        <w:numPr>
          <w:ilvl w:val="0"/>
          <w:numId w:val="10"/>
        </w:numPr>
        <w:spacing w:after="60" w:line="240" w:lineRule="auto"/>
        <w:ind w:left="425" w:hanging="357"/>
        <w:contextualSpacing w:val="0"/>
        <w:rPr>
          <w:rFonts w:ascii="Arial" w:hAnsi="Arial" w:cs="Arial"/>
        </w:rPr>
      </w:pPr>
      <w:r w:rsidRPr="00003217">
        <w:rPr>
          <w:rFonts w:ascii="Arial" w:hAnsi="Arial" w:cs="Arial"/>
        </w:rPr>
        <w:t>Chewing gum</w:t>
      </w:r>
    </w:p>
    <w:p w14:paraId="4E429096" w14:textId="77777777" w:rsidR="00A374E7" w:rsidRPr="00003217" w:rsidRDefault="00A374E7" w:rsidP="00A374E7">
      <w:pPr>
        <w:spacing w:after="60"/>
        <w:rPr>
          <w:rFonts w:ascii="Arial" w:hAnsi="Arial" w:cs="Arial"/>
        </w:rPr>
      </w:pPr>
      <w:r w:rsidRPr="00003217">
        <w:rPr>
          <w:rFonts w:ascii="Arial" w:hAnsi="Arial" w:cs="Arial"/>
          <w:i/>
          <w:u w:val="single"/>
        </w:rPr>
        <w:t>Not intended</w:t>
      </w:r>
      <w:r w:rsidRPr="00003217">
        <w:rPr>
          <w:rFonts w:ascii="Arial" w:hAnsi="Arial" w:cs="Arial"/>
        </w:rPr>
        <w:t>:</w:t>
      </w:r>
    </w:p>
    <w:p w14:paraId="6AB1B75C" w14:textId="77777777" w:rsidR="00A374E7" w:rsidRPr="00003217" w:rsidRDefault="00A374E7" w:rsidP="00A374E7">
      <w:pPr>
        <w:pStyle w:val="ListParagraph"/>
        <w:numPr>
          <w:ilvl w:val="0"/>
          <w:numId w:val="10"/>
        </w:numPr>
        <w:spacing w:after="60" w:line="240" w:lineRule="auto"/>
        <w:ind w:left="425" w:hanging="357"/>
        <w:contextualSpacing w:val="0"/>
        <w:rPr>
          <w:rFonts w:ascii="Arial" w:hAnsi="Arial" w:cs="Arial"/>
        </w:rPr>
      </w:pPr>
      <w:r w:rsidRPr="00003217">
        <w:rPr>
          <w:rFonts w:ascii="Arial" w:hAnsi="Arial" w:cs="Arial"/>
        </w:rPr>
        <w:t xml:space="preserve">Vinegar - all varieties of vinegar including those noted as caramelised  </w:t>
      </w:r>
    </w:p>
    <w:p w14:paraId="3ED441B4" w14:textId="77777777" w:rsidR="00A374E7" w:rsidRPr="00003217" w:rsidRDefault="00A374E7" w:rsidP="00A374E7">
      <w:pPr>
        <w:pStyle w:val="ListParagraph"/>
        <w:numPr>
          <w:ilvl w:val="0"/>
          <w:numId w:val="10"/>
        </w:numPr>
        <w:spacing w:after="60" w:line="240" w:lineRule="auto"/>
        <w:ind w:left="425" w:hanging="357"/>
        <w:contextualSpacing w:val="0"/>
        <w:rPr>
          <w:rFonts w:ascii="Arial" w:hAnsi="Arial" w:cs="Arial"/>
        </w:rPr>
      </w:pPr>
      <w:r w:rsidRPr="00003217">
        <w:rPr>
          <w:rFonts w:ascii="Arial" w:hAnsi="Arial" w:cs="Arial"/>
        </w:rPr>
        <w:t>Bread rolls and instore bakery products noted as ‘single’ or ‘loose’</w:t>
      </w:r>
    </w:p>
    <w:p w14:paraId="6FE964D7" w14:textId="77777777" w:rsidR="00A374E7" w:rsidRPr="00003217" w:rsidRDefault="00A374E7" w:rsidP="00A374E7">
      <w:pPr>
        <w:pStyle w:val="ListParagraph"/>
        <w:numPr>
          <w:ilvl w:val="0"/>
          <w:numId w:val="10"/>
        </w:numPr>
        <w:spacing w:after="60" w:line="240" w:lineRule="auto"/>
        <w:ind w:left="425" w:hanging="357"/>
        <w:contextualSpacing w:val="0"/>
        <w:rPr>
          <w:rFonts w:ascii="Arial" w:hAnsi="Arial" w:cs="Arial"/>
        </w:rPr>
      </w:pPr>
      <w:r w:rsidRPr="00003217">
        <w:rPr>
          <w:rFonts w:ascii="Arial" w:hAnsi="Arial" w:cs="Arial"/>
        </w:rPr>
        <w:t>Products other than bakery that are cooked in store – e.g. roast chicken, roast beef</w:t>
      </w:r>
    </w:p>
    <w:p w14:paraId="67CE6CC3" w14:textId="77777777" w:rsidR="00A374E7" w:rsidRPr="00003217" w:rsidRDefault="00A374E7" w:rsidP="00A374E7">
      <w:pPr>
        <w:pStyle w:val="ListParagraph"/>
        <w:numPr>
          <w:ilvl w:val="0"/>
          <w:numId w:val="10"/>
        </w:numPr>
        <w:spacing w:after="60" w:line="240" w:lineRule="auto"/>
        <w:ind w:left="425" w:hanging="357"/>
        <w:contextualSpacing w:val="0"/>
        <w:rPr>
          <w:rFonts w:ascii="Arial" w:hAnsi="Arial" w:cs="Arial"/>
        </w:rPr>
      </w:pPr>
      <w:r w:rsidRPr="00003217">
        <w:rPr>
          <w:rFonts w:ascii="Arial" w:hAnsi="Arial" w:cs="Arial"/>
        </w:rPr>
        <w:t>In-store food service items and non-standardised prepared/fresh foods that did not – e.g. sushi stations</w:t>
      </w:r>
    </w:p>
    <w:p w14:paraId="752F5AF7" w14:textId="77777777" w:rsidR="00A374E7" w:rsidRPr="00003217" w:rsidRDefault="00A374E7" w:rsidP="00A374E7">
      <w:pPr>
        <w:pStyle w:val="ListParagraph"/>
        <w:numPr>
          <w:ilvl w:val="0"/>
          <w:numId w:val="10"/>
        </w:numPr>
        <w:spacing w:after="60" w:line="240" w:lineRule="auto"/>
        <w:ind w:left="425" w:hanging="357"/>
        <w:contextualSpacing w:val="0"/>
        <w:rPr>
          <w:rFonts w:ascii="Arial" w:hAnsi="Arial" w:cs="Arial"/>
        </w:rPr>
      </w:pPr>
      <w:r w:rsidRPr="00003217">
        <w:rPr>
          <w:rFonts w:ascii="Arial" w:hAnsi="Arial" w:cs="Arial"/>
        </w:rPr>
        <w:t>Mixtures of herbs and/or spices and/or salts and/or salt substitutes without additional ingredients.</w:t>
      </w:r>
    </w:p>
    <w:p w14:paraId="34C1A5AD" w14:textId="77777777" w:rsidR="00A374E7" w:rsidRPr="00003217" w:rsidRDefault="00A374E7" w:rsidP="00A374E7">
      <w:pPr>
        <w:pStyle w:val="ListParagraph"/>
        <w:numPr>
          <w:ilvl w:val="0"/>
          <w:numId w:val="10"/>
        </w:numPr>
        <w:spacing w:after="60" w:line="240" w:lineRule="auto"/>
        <w:ind w:left="425" w:hanging="357"/>
        <w:contextualSpacing w:val="0"/>
        <w:rPr>
          <w:rFonts w:ascii="Arial" w:hAnsi="Arial" w:cs="Arial"/>
        </w:rPr>
      </w:pPr>
      <w:r w:rsidRPr="00003217">
        <w:rPr>
          <w:rFonts w:ascii="Arial" w:hAnsi="Arial" w:cs="Arial"/>
        </w:rPr>
        <w:t>All cooking wines – e.g. rice wine, Chinese cooking wine</w:t>
      </w:r>
    </w:p>
    <w:p w14:paraId="03FD9FB7" w14:textId="77777777" w:rsidR="00A374E7" w:rsidRPr="00003217" w:rsidRDefault="00A374E7" w:rsidP="00A374E7">
      <w:pPr>
        <w:pStyle w:val="ListParagraph"/>
        <w:numPr>
          <w:ilvl w:val="0"/>
          <w:numId w:val="10"/>
        </w:numPr>
        <w:spacing w:after="60" w:line="240" w:lineRule="auto"/>
        <w:ind w:left="425" w:hanging="357"/>
        <w:contextualSpacing w:val="0"/>
        <w:rPr>
          <w:rFonts w:ascii="Arial" w:hAnsi="Arial" w:cs="Arial"/>
        </w:rPr>
      </w:pPr>
      <w:r w:rsidRPr="00003217">
        <w:rPr>
          <w:rFonts w:ascii="Arial" w:hAnsi="Arial" w:cs="Arial"/>
        </w:rPr>
        <w:t>Fruit and vegetable mixtures – e.g. carrot sticks and watermelon snack pot</w:t>
      </w:r>
      <w:r w:rsidRPr="00003217">
        <w:rPr>
          <w:rFonts w:ascii="Arial" w:hAnsi="Arial" w:cs="Arial"/>
          <w:lang w:val="en-NZ"/>
        </w:rPr>
        <w:t>s</w:t>
      </w:r>
    </w:p>
    <w:p w14:paraId="33E4D5FF" w14:textId="77777777" w:rsidR="00A374E7" w:rsidRPr="00003217" w:rsidRDefault="00A374E7" w:rsidP="00A374E7">
      <w:pPr>
        <w:pStyle w:val="ListParagraph"/>
        <w:numPr>
          <w:ilvl w:val="0"/>
          <w:numId w:val="10"/>
        </w:numPr>
        <w:spacing w:after="60" w:line="240" w:lineRule="auto"/>
        <w:ind w:left="425" w:hanging="357"/>
        <w:contextualSpacing w:val="0"/>
        <w:rPr>
          <w:rFonts w:ascii="Arial" w:hAnsi="Arial" w:cs="Arial"/>
        </w:rPr>
      </w:pPr>
      <w:r w:rsidRPr="00003217">
        <w:rPr>
          <w:rFonts w:ascii="Arial" w:hAnsi="Arial" w:cs="Arial"/>
          <w:lang w:val="en-NZ"/>
        </w:rPr>
        <w:t>Confectionery products known to be exempt from NIP labelling (small package)</w:t>
      </w:r>
    </w:p>
    <w:p w14:paraId="6CF2590C" w14:textId="77777777" w:rsidR="00A374E7" w:rsidRPr="00003217" w:rsidRDefault="00A374E7" w:rsidP="00A374E7">
      <w:pPr>
        <w:rPr>
          <w:rFonts w:ascii="Arial" w:hAnsi="Arial" w:cs="Arial"/>
        </w:rPr>
      </w:pPr>
    </w:p>
    <w:p w14:paraId="6BF0A0E1" w14:textId="77777777" w:rsidR="00A374E7" w:rsidRPr="00003217" w:rsidRDefault="00A374E7" w:rsidP="00A374E7">
      <w:pPr>
        <w:tabs>
          <w:tab w:val="left" w:pos="1420"/>
        </w:tabs>
        <w:rPr>
          <w:rFonts w:ascii="Arial" w:hAnsi="Arial" w:cs="Arial"/>
        </w:rPr>
      </w:pPr>
      <w:r w:rsidRPr="00003217">
        <w:rPr>
          <w:rFonts w:ascii="Arial" w:hAnsi="Arial" w:cs="Arial"/>
        </w:rPr>
        <w:tab/>
      </w:r>
    </w:p>
    <w:p w14:paraId="5BEB91D5" w14:textId="77777777" w:rsidR="00A374E7" w:rsidRDefault="00A374E7">
      <w:pPr>
        <w:sectPr w:rsidR="00A374E7" w:rsidSect="00A374E7">
          <w:pgSz w:w="11906" w:h="16838" w:code="9"/>
          <w:pgMar w:top="1134" w:right="1134" w:bottom="709" w:left="1134" w:header="510" w:footer="346" w:gutter="0"/>
          <w:cols w:space="708"/>
          <w:docGrid w:linePitch="360"/>
        </w:sectPr>
      </w:pPr>
    </w:p>
    <w:p w14:paraId="37A1AA21" w14:textId="77777777" w:rsidR="00A374E7" w:rsidRPr="00003217" w:rsidRDefault="00A374E7" w:rsidP="00A374E7">
      <w:pPr>
        <w:pStyle w:val="Title"/>
        <w:rPr>
          <w:rFonts w:ascii="Arial" w:hAnsi="Arial" w:cs="Arial"/>
          <w:b/>
          <w:bCs/>
        </w:rPr>
      </w:pPr>
      <w:r w:rsidRPr="00003217">
        <w:rPr>
          <w:rFonts w:ascii="Arial" w:hAnsi="Arial" w:cs="Arial"/>
          <w:b/>
          <w:bCs/>
        </w:rPr>
        <w:lastRenderedPageBreak/>
        <w:t xml:space="preserve">Uptake of Health Star Rating in New Zealand in 2024 </w:t>
      </w:r>
    </w:p>
    <w:p w14:paraId="50087FE4" w14:textId="77777777" w:rsidR="00A374E7" w:rsidRPr="004D312D" w:rsidRDefault="00A374E7" w:rsidP="00A374E7">
      <w:pPr>
        <w:pStyle w:val="Title"/>
      </w:pPr>
    </w:p>
    <w:p w14:paraId="711F27BD" w14:textId="77777777" w:rsidR="00A374E7" w:rsidRPr="00003217" w:rsidRDefault="00A374E7" w:rsidP="00A374E7">
      <w:pPr>
        <w:pStyle w:val="Subtitle"/>
        <w:rPr>
          <w:rFonts w:ascii="Arial" w:hAnsi="Arial" w:cs="Arial"/>
        </w:rPr>
      </w:pPr>
      <w:r w:rsidRPr="00003217">
        <w:rPr>
          <w:rFonts w:ascii="Arial" w:hAnsi="Arial" w:cs="Arial"/>
          <w:bCs/>
          <w:color w:val="833C0B" w:themeColor="accent2" w:themeShade="80"/>
        </w:rPr>
        <w:t xml:space="preserve">Report of progress against the second interim Health Star Rating uptake target in New Zealand </w:t>
      </w:r>
    </w:p>
    <w:p w14:paraId="53447CAA" w14:textId="77777777" w:rsidR="00A374E7" w:rsidRDefault="00A374E7" w:rsidP="00A374E7">
      <w:pPr>
        <w:pStyle w:val="ReturnAddress"/>
        <w:jc w:val="left"/>
        <w:rPr>
          <w:rFonts w:ascii="Arial Narrow" w:hAnsi="Arial Narrow"/>
          <w:color w:val="808080"/>
          <w:sz w:val="24"/>
        </w:rPr>
      </w:pPr>
    </w:p>
    <w:p w14:paraId="056F5B1B" w14:textId="77777777" w:rsidR="00A374E7" w:rsidRDefault="00A374E7" w:rsidP="00A374E7">
      <w:pPr>
        <w:pStyle w:val="ReturnAddress"/>
        <w:jc w:val="left"/>
        <w:outlineLvl w:val="0"/>
        <w:rPr>
          <w:rFonts w:ascii="Arial Narrow" w:hAnsi="Arial Narrow"/>
          <w:sz w:val="24"/>
        </w:rPr>
      </w:pPr>
    </w:p>
    <w:p w14:paraId="1C06CA04" w14:textId="77777777" w:rsidR="00A374E7" w:rsidRDefault="00A374E7" w:rsidP="00A374E7">
      <w:pPr>
        <w:pStyle w:val="ReturnAddress"/>
        <w:jc w:val="left"/>
        <w:rPr>
          <w:rFonts w:ascii="Arial Narrow" w:hAnsi="Arial Narrow"/>
          <w:sz w:val="24"/>
        </w:rPr>
      </w:pPr>
    </w:p>
    <w:p w14:paraId="4B80BF90" w14:textId="77777777" w:rsidR="00A374E7" w:rsidRDefault="00A374E7" w:rsidP="00A374E7">
      <w:pPr>
        <w:pStyle w:val="ReturnAddress"/>
        <w:jc w:val="left"/>
        <w:rPr>
          <w:rFonts w:ascii="Arial Narrow" w:hAnsi="Arial Narrow"/>
          <w:sz w:val="24"/>
        </w:rPr>
      </w:pPr>
    </w:p>
    <w:p w14:paraId="2541D56D" w14:textId="77777777" w:rsidR="00A374E7" w:rsidRDefault="00A374E7" w:rsidP="00A374E7">
      <w:pPr>
        <w:pStyle w:val="ReturnAddress"/>
        <w:jc w:val="left"/>
        <w:outlineLvl w:val="0"/>
        <w:rPr>
          <w:rFonts w:ascii="Arial Narrow" w:hAnsi="Arial Narrow"/>
          <w:sz w:val="24"/>
        </w:rPr>
      </w:pPr>
    </w:p>
    <w:p w14:paraId="69A56F77" w14:textId="77777777" w:rsidR="00A374E7" w:rsidRPr="00606CE2" w:rsidRDefault="00A374E7" w:rsidP="00A374E7">
      <w:pPr>
        <w:pStyle w:val="Date-frontpage"/>
        <w:tabs>
          <w:tab w:val="left" w:pos="5040"/>
        </w:tabs>
        <w:sectPr w:rsidR="00A374E7" w:rsidRPr="00606CE2" w:rsidSect="00A374E7">
          <w:headerReference w:type="even" r:id="rId21"/>
          <w:headerReference w:type="default" r:id="rId22"/>
          <w:footerReference w:type="even" r:id="rId23"/>
          <w:footerReference w:type="default" r:id="rId24"/>
          <w:headerReference w:type="first" r:id="rId25"/>
          <w:footerReference w:type="first" r:id="rId26"/>
          <w:pgSz w:w="11906" w:h="16838" w:code="9"/>
          <w:pgMar w:top="4536" w:right="907" w:bottom="567" w:left="3402" w:header="720" w:footer="720" w:gutter="0"/>
          <w:cols w:space="720"/>
        </w:sectPr>
      </w:pPr>
      <w:r>
        <w:t>December 2024</w:t>
      </w:r>
      <w:r>
        <w:tab/>
      </w:r>
    </w:p>
    <w:p w14:paraId="0AB22344" w14:textId="2E796F37" w:rsidR="00A374E7" w:rsidRDefault="00003217" w:rsidP="00003217">
      <w:pPr>
        <w:tabs>
          <w:tab w:val="left" w:pos="5040"/>
        </w:tabs>
      </w:pPr>
      <w:r>
        <w:lastRenderedPageBreak/>
        <w:tab/>
      </w:r>
    </w:p>
    <w:p w14:paraId="6066B492" w14:textId="77777777" w:rsidR="00A374E7" w:rsidRDefault="00A374E7" w:rsidP="00A374E7"/>
    <w:p w14:paraId="5F2A1FC7" w14:textId="77777777" w:rsidR="00A374E7" w:rsidRPr="00003217" w:rsidRDefault="00A374E7" w:rsidP="00A374E7">
      <w:pPr>
        <w:pStyle w:val="Disclaimer"/>
      </w:pPr>
      <w:r w:rsidRPr="00003217">
        <w:t>Disclaimer</w:t>
      </w:r>
    </w:p>
    <w:p w14:paraId="6E11EDDB" w14:textId="77777777" w:rsidR="00A374E7" w:rsidRDefault="00A374E7" w:rsidP="00A374E7">
      <w:pPr>
        <w:ind w:right="1395"/>
      </w:pPr>
    </w:p>
    <w:p w14:paraId="41266081" w14:textId="530BFF50" w:rsidR="00A374E7" w:rsidRPr="00003217" w:rsidRDefault="00A374E7" w:rsidP="00A374E7">
      <w:pPr>
        <w:rPr>
          <w:rFonts w:ascii="Arial" w:hAnsi="Arial" w:cs="Arial"/>
        </w:rPr>
      </w:pPr>
      <w:r w:rsidRPr="00003217">
        <w:rPr>
          <w:rFonts w:ascii="Arial" w:hAnsi="Arial" w:cs="Arial"/>
        </w:rPr>
        <w:t xml:space="preserve">While every effort has been made to ensure the information in this publication is accurate, the </w:t>
      </w:r>
      <w:r w:rsidRPr="00003217">
        <w:rPr>
          <w:rFonts w:ascii="Arial" w:hAnsi="Arial" w:cs="Arial"/>
        </w:rPr>
        <w:br/>
        <w:t>Ministry for Primary Industries does not accept any responsibility or liability for error of fact, omission, interpretation or opinion that may be present, nor for the consequences of any decisions based on this information.</w:t>
      </w:r>
    </w:p>
    <w:p w14:paraId="785103AF" w14:textId="77777777" w:rsidR="00A374E7" w:rsidRPr="00003217" w:rsidRDefault="00A374E7" w:rsidP="00A374E7">
      <w:pPr>
        <w:rPr>
          <w:rFonts w:ascii="Arial" w:hAnsi="Arial" w:cs="Arial"/>
        </w:rPr>
      </w:pPr>
    </w:p>
    <w:p w14:paraId="57075413" w14:textId="77777777" w:rsidR="00A374E7" w:rsidRPr="00003217" w:rsidRDefault="00A374E7" w:rsidP="00A374E7">
      <w:pPr>
        <w:rPr>
          <w:rFonts w:ascii="Arial" w:hAnsi="Arial" w:cs="Arial"/>
        </w:rPr>
      </w:pPr>
    </w:p>
    <w:p w14:paraId="4F312E59" w14:textId="77777777" w:rsidR="00A374E7" w:rsidRPr="00003217" w:rsidRDefault="00A374E7" w:rsidP="00A374E7">
      <w:pPr>
        <w:rPr>
          <w:rFonts w:ascii="Arial" w:hAnsi="Arial" w:cs="Arial"/>
        </w:rPr>
      </w:pPr>
      <w:r w:rsidRPr="00003217">
        <w:rPr>
          <w:rFonts w:ascii="Arial" w:hAnsi="Arial" w:cs="Arial"/>
          <w:b/>
        </w:rPr>
        <w:t>© Crown Copyright - Ministry for Primary Industries</w:t>
      </w:r>
    </w:p>
    <w:p w14:paraId="2CCBF72E" w14:textId="77777777" w:rsidR="00A374E7" w:rsidRDefault="00A374E7" w:rsidP="00A374E7"/>
    <w:p w14:paraId="27D67A4D" w14:textId="77777777" w:rsidR="00A374E7" w:rsidRPr="00BD7285" w:rsidRDefault="00A374E7" w:rsidP="00A374E7"/>
    <w:p w14:paraId="6A1EA699" w14:textId="77777777" w:rsidR="00A374E7" w:rsidRPr="00BD7285" w:rsidRDefault="00A374E7" w:rsidP="00A374E7"/>
    <w:p w14:paraId="34EA387D" w14:textId="77777777" w:rsidR="00A374E7" w:rsidRPr="00BD7285" w:rsidRDefault="00A374E7" w:rsidP="00A374E7"/>
    <w:p w14:paraId="1885E562" w14:textId="77777777" w:rsidR="00A374E7" w:rsidRPr="00BD7285" w:rsidRDefault="00A374E7" w:rsidP="00A374E7"/>
    <w:p w14:paraId="63BDAF80" w14:textId="77777777" w:rsidR="00A374E7" w:rsidRPr="00BD7285" w:rsidRDefault="00A374E7" w:rsidP="00A374E7"/>
    <w:p w14:paraId="7F02A59A" w14:textId="77777777" w:rsidR="00A374E7" w:rsidRPr="00BD7285" w:rsidRDefault="00A374E7" w:rsidP="00A374E7"/>
    <w:p w14:paraId="2397F890" w14:textId="77777777" w:rsidR="00A374E7" w:rsidRPr="00BD7285" w:rsidRDefault="00A374E7" w:rsidP="00A374E7"/>
    <w:p w14:paraId="18276A48" w14:textId="77777777" w:rsidR="00A374E7" w:rsidRDefault="00A374E7" w:rsidP="00A374E7"/>
    <w:p w14:paraId="3B2507F3" w14:textId="77777777" w:rsidR="00A374E7" w:rsidRDefault="00A374E7" w:rsidP="00A374E7">
      <w:pPr>
        <w:tabs>
          <w:tab w:val="left" w:pos="6540"/>
        </w:tabs>
      </w:pPr>
      <w:r>
        <w:tab/>
      </w:r>
    </w:p>
    <w:p w14:paraId="16AECD2C" w14:textId="77777777" w:rsidR="00A374E7" w:rsidRPr="00BD7285" w:rsidRDefault="00A374E7" w:rsidP="00A374E7">
      <w:pPr>
        <w:tabs>
          <w:tab w:val="left" w:pos="6540"/>
        </w:tabs>
        <w:sectPr w:rsidR="00A374E7" w:rsidRPr="00BD7285" w:rsidSect="00A374E7">
          <w:headerReference w:type="default" r:id="rId27"/>
          <w:footerReference w:type="default" r:id="rId28"/>
          <w:pgSz w:w="11906" w:h="16838"/>
          <w:pgMar w:top="1134" w:right="1418" w:bottom="1134" w:left="1418" w:header="720" w:footer="720" w:gutter="0"/>
          <w:cols w:space="720"/>
        </w:sectPr>
      </w:pPr>
      <w:r>
        <w:tab/>
      </w:r>
    </w:p>
    <w:p w14:paraId="4B01C6EF" w14:textId="57D93685" w:rsidR="00A374E7" w:rsidRPr="00CC36A6" w:rsidRDefault="00CC36A6" w:rsidP="00CC36A6">
      <w:pPr>
        <w:pStyle w:val="Heading1NZ"/>
        <w:rPr>
          <w:rFonts w:ascii="Arial" w:hAnsi="Arial"/>
        </w:rPr>
      </w:pPr>
      <w:bookmarkStart w:id="26" w:name="_Toc190429984"/>
      <w:bookmarkStart w:id="27" w:name="_Toc155358690"/>
      <w:r w:rsidRPr="00CC36A6">
        <w:lastRenderedPageBreak/>
        <w:t>1</w:t>
      </w:r>
      <w:r w:rsidRPr="00CC36A6">
        <w:tab/>
      </w:r>
      <w:r w:rsidR="00A374E7" w:rsidRPr="00CC36A6">
        <w:t>Executive summary</w:t>
      </w:r>
      <w:bookmarkEnd w:id="26"/>
      <w:r w:rsidR="00A374E7" w:rsidRPr="00CC36A6">
        <w:rPr>
          <w:rFonts w:ascii="Arial" w:hAnsi="Arial"/>
        </w:rPr>
        <w:t xml:space="preserve"> </w:t>
      </w:r>
    </w:p>
    <w:p w14:paraId="216091EB" w14:textId="63E54318" w:rsidR="00A374E7" w:rsidRDefault="00A374E7" w:rsidP="00CC36A6">
      <w:pPr>
        <w:spacing w:before="120" w:after="120" w:line="240" w:lineRule="auto"/>
        <w:rPr>
          <w:rFonts w:ascii="Arial" w:hAnsi="Arial" w:cs="Arial"/>
        </w:rPr>
      </w:pPr>
      <w:r w:rsidRPr="00003217">
        <w:rPr>
          <w:rFonts w:ascii="Arial" w:hAnsi="Arial" w:cs="Arial"/>
        </w:rPr>
        <w:t>The Health Star Rating (HSR) system is a voluntary front of pack labelling system</w:t>
      </w:r>
      <w:r w:rsidR="00760CB7" w:rsidRPr="00003217">
        <w:rPr>
          <w:rFonts w:ascii="Arial" w:hAnsi="Arial" w:cs="Arial"/>
        </w:rPr>
        <w:t>. It</w:t>
      </w:r>
      <w:r w:rsidRPr="00003217">
        <w:rPr>
          <w:rFonts w:ascii="Arial" w:hAnsi="Arial" w:cs="Arial"/>
        </w:rPr>
        <w:t xml:space="preserve"> aims to help consumers identify healthier choices when comparing similar foods. The system uses a rating scale of 0.5 to 5 stars. Foods with more stars are healthier than similar foods with fewer stars. </w:t>
      </w:r>
    </w:p>
    <w:p w14:paraId="474CF036" w14:textId="77777777" w:rsidR="00A374E7" w:rsidRDefault="00A374E7" w:rsidP="00CC36A6">
      <w:pPr>
        <w:spacing w:after="120" w:line="240" w:lineRule="auto"/>
        <w:rPr>
          <w:rFonts w:ascii="Arial" w:hAnsi="Arial" w:cs="Arial"/>
        </w:rPr>
      </w:pPr>
      <w:r w:rsidRPr="00003217">
        <w:rPr>
          <w:rFonts w:ascii="Arial" w:hAnsi="Arial" w:cs="Arial"/>
        </w:rPr>
        <w:t xml:space="preserve">The HSR is a joint initiative between the New Zealand and Australian state and territory governments. </w:t>
      </w:r>
    </w:p>
    <w:p w14:paraId="3B9C438B" w14:textId="24A341F0" w:rsidR="00CC36A6" w:rsidRPr="00003217" w:rsidRDefault="00A374E7" w:rsidP="00CC36A6">
      <w:pPr>
        <w:spacing w:after="120" w:line="240" w:lineRule="auto"/>
        <w:rPr>
          <w:rFonts w:ascii="Arial" w:hAnsi="Arial" w:cs="Arial"/>
        </w:rPr>
      </w:pPr>
      <w:r w:rsidRPr="00003217">
        <w:rPr>
          <w:rFonts w:ascii="Arial" w:hAnsi="Arial" w:cs="Arial"/>
        </w:rPr>
        <w:t>Most packaged foods are permitted to use the system. Foods intended to carry the HSR system are those that are</w:t>
      </w:r>
      <w:r w:rsidR="00760CB7" w:rsidRPr="00003217">
        <w:rPr>
          <w:rFonts w:ascii="Arial" w:hAnsi="Arial" w:cs="Arial"/>
        </w:rPr>
        <w:t>:</w:t>
      </w:r>
    </w:p>
    <w:p w14:paraId="77A07232" w14:textId="6D4BCDE7" w:rsidR="00760CB7" w:rsidRPr="00003217" w:rsidRDefault="00A374E7" w:rsidP="00CC36A6">
      <w:pPr>
        <w:pStyle w:val="ListParagraph"/>
        <w:numPr>
          <w:ilvl w:val="0"/>
          <w:numId w:val="1"/>
        </w:numPr>
        <w:spacing w:after="0" w:line="240" w:lineRule="auto"/>
        <w:contextualSpacing w:val="0"/>
        <w:rPr>
          <w:rFonts w:ascii="Arial" w:hAnsi="Arial" w:cs="Arial"/>
        </w:rPr>
      </w:pPr>
      <w:r w:rsidRPr="00003217">
        <w:rPr>
          <w:rFonts w:ascii="Arial" w:hAnsi="Arial" w:cs="Arial"/>
        </w:rPr>
        <w:t xml:space="preserve">permitted to use the system, </w:t>
      </w:r>
    </w:p>
    <w:p w14:paraId="03A773DE" w14:textId="77777777" w:rsidR="00760CB7" w:rsidRPr="00003217" w:rsidRDefault="00A374E7" w:rsidP="00CC36A6">
      <w:pPr>
        <w:pStyle w:val="ListParagraph"/>
        <w:numPr>
          <w:ilvl w:val="0"/>
          <w:numId w:val="1"/>
        </w:numPr>
        <w:spacing w:after="0" w:line="240" w:lineRule="auto"/>
        <w:contextualSpacing w:val="0"/>
        <w:rPr>
          <w:rFonts w:ascii="Arial" w:hAnsi="Arial" w:cs="Arial"/>
        </w:rPr>
      </w:pPr>
      <w:r w:rsidRPr="00003217">
        <w:rPr>
          <w:rFonts w:ascii="Arial" w:hAnsi="Arial" w:cs="Arial"/>
        </w:rPr>
        <w:t>required by the Australia New Zealand Food Standards Code to have a nutrition information panel</w:t>
      </w:r>
      <w:r w:rsidR="00760CB7" w:rsidRPr="00003217">
        <w:rPr>
          <w:rFonts w:ascii="Arial" w:hAnsi="Arial" w:cs="Arial"/>
        </w:rPr>
        <w:t>,</w:t>
      </w:r>
      <w:r w:rsidRPr="00003217">
        <w:rPr>
          <w:rFonts w:ascii="Arial" w:hAnsi="Arial" w:cs="Arial"/>
        </w:rPr>
        <w:t xml:space="preserve"> and that </w:t>
      </w:r>
    </w:p>
    <w:p w14:paraId="3CBA6B51" w14:textId="77777777" w:rsidR="00760CB7" w:rsidRDefault="00A374E7" w:rsidP="00CC36A6">
      <w:pPr>
        <w:pStyle w:val="ListParagraph"/>
        <w:numPr>
          <w:ilvl w:val="0"/>
          <w:numId w:val="1"/>
        </w:numPr>
        <w:spacing w:after="120" w:line="240" w:lineRule="auto"/>
        <w:ind w:left="714" w:hanging="357"/>
        <w:contextualSpacing w:val="0"/>
        <w:rPr>
          <w:rFonts w:ascii="Arial" w:hAnsi="Arial" w:cs="Arial"/>
        </w:rPr>
      </w:pPr>
      <w:r w:rsidRPr="00003217">
        <w:rPr>
          <w:rFonts w:ascii="Arial" w:hAnsi="Arial" w:cs="Arial"/>
        </w:rPr>
        <w:t xml:space="preserve">can vary in nutritional composition. </w:t>
      </w:r>
    </w:p>
    <w:p w14:paraId="6599DCDD" w14:textId="01588A33" w:rsidR="00A374E7" w:rsidRPr="00003217" w:rsidRDefault="00A374E7" w:rsidP="00CC36A6">
      <w:pPr>
        <w:spacing w:after="0" w:line="240" w:lineRule="auto"/>
        <w:rPr>
          <w:rFonts w:ascii="Arial" w:hAnsi="Arial" w:cs="Arial"/>
        </w:rPr>
      </w:pPr>
      <w:r w:rsidRPr="00003217">
        <w:rPr>
          <w:rFonts w:ascii="Arial" w:hAnsi="Arial" w:cs="Arial"/>
        </w:rPr>
        <w:t xml:space="preserve">Foods prohibited from using the system include alcohol, infant formula, certain special purpose foods and kava. </w:t>
      </w:r>
    </w:p>
    <w:p w14:paraId="52F041B4" w14:textId="77777777" w:rsidR="00A374E7" w:rsidRPr="00003217" w:rsidRDefault="00A374E7" w:rsidP="00CC36A6">
      <w:pPr>
        <w:spacing w:after="120" w:line="240" w:lineRule="auto"/>
        <w:rPr>
          <w:rFonts w:ascii="Arial" w:hAnsi="Arial" w:cs="Arial"/>
        </w:rPr>
      </w:pPr>
      <w:r w:rsidRPr="00003217">
        <w:rPr>
          <w:rFonts w:ascii="Arial" w:hAnsi="Arial" w:cs="Arial"/>
        </w:rPr>
        <w:t>In 2020, Food Ministers in Australia and New Zealand set the following uptake targets for the voluntary HSR system:</w:t>
      </w:r>
    </w:p>
    <w:p w14:paraId="621FFAD7" w14:textId="5BB728D0" w:rsidR="00A374E7" w:rsidRPr="00003217" w:rsidRDefault="00A374E7" w:rsidP="00CC36A6">
      <w:pPr>
        <w:pStyle w:val="ListParagraph"/>
        <w:numPr>
          <w:ilvl w:val="0"/>
          <w:numId w:val="1"/>
        </w:numPr>
        <w:spacing w:after="0" w:line="240" w:lineRule="auto"/>
        <w:contextualSpacing w:val="0"/>
        <w:rPr>
          <w:rFonts w:ascii="Arial" w:hAnsi="Arial" w:cs="Arial"/>
        </w:rPr>
      </w:pPr>
      <w:r w:rsidRPr="00003217">
        <w:rPr>
          <w:rFonts w:ascii="Arial" w:hAnsi="Arial" w:cs="Arial"/>
        </w:rPr>
        <w:t>Interim target 1 (at 3 years): 50% of intended products apply the HSR by 14</w:t>
      </w:r>
      <w:r w:rsidR="00CC36A6">
        <w:rPr>
          <w:rFonts w:ascii="Arial" w:hAnsi="Arial" w:cs="Arial"/>
        </w:rPr>
        <w:t> </w:t>
      </w:r>
      <w:r w:rsidRPr="00003217">
        <w:rPr>
          <w:rFonts w:ascii="Arial" w:hAnsi="Arial" w:cs="Arial"/>
        </w:rPr>
        <w:t>November</w:t>
      </w:r>
      <w:r w:rsidR="00CC36A6">
        <w:rPr>
          <w:rFonts w:ascii="Arial" w:hAnsi="Arial" w:cs="Arial"/>
        </w:rPr>
        <w:t> </w:t>
      </w:r>
      <w:r w:rsidRPr="00003217">
        <w:rPr>
          <w:rFonts w:ascii="Arial" w:hAnsi="Arial" w:cs="Arial"/>
        </w:rPr>
        <w:t>2023</w:t>
      </w:r>
    </w:p>
    <w:p w14:paraId="7FE7049C" w14:textId="30A82740" w:rsidR="00A374E7" w:rsidRPr="00003217" w:rsidRDefault="00A374E7" w:rsidP="00CC36A6">
      <w:pPr>
        <w:pStyle w:val="ListParagraph"/>
        <w:numPr>
          <w:ilvl w:val="0"/>
          <w:numId w:val="1"/>
        </w:numPr>
        <w:spacing w:after="0" w:line="240" w:lineRule="auto"/>
        <w:contextualSpacing w:val="0"/>
        <w:rPr>
          <w:rFonts w:ascii="Arial" w:hAnsi="Arial" w:cs="Arial"/>
        </w:rPr>
      </w:pPr>
      <w:r w:rsidRPr="00003217">
        <w:rPr>
          <w:rFonts w:ascii="Arial" w:hAnsi="Arial" w:cs="Arial"/>
        </w:rPr>
        <w:t>Interim target 2 (at 4 years): 60% of intended products apply the HSR by 14</w:t>
      </w:r>
      <w:r w:rsidR="00CC36A6">
        <w:rPr>
          <w:rFonts w:ascii="Arial" w:hAnsi="Arial" w:cs="Arial"/>
        </w:rPr>
        <w:t> </w:t>
      </w:r>
      <w:r w:rsidRPr="00003217">
        <w:rPr>
          <w:rFonts w:ascii="Arial" w:hAnsi="Arial" w:cs="Arial"/>
        </w:rPr>
        <w:t>November</w:t>
      </w:r>
      <w:r w:rsidR="00CC36A6">
        <w:rPr>
          <w:rFonts w:ascii="Arial" w:hAnsi="Arial" w:cs="Arial"/>
        </w:rPr>
        <w:t> </w:t>
      </w:r>
      <w:r w:rsidRPr="00003217">
        <w:rPr>
          <w:rFonts w:ascii="Arial" w:hAnsi="Arial" w:cs="Arial"/>
        </w:rPr>
        <w:t>2024</w:t>
      </w:r>
    </w:p>
    <w:p w14:paraId="5CA8D433" w14:textId="2923C449" w:rsidR="00A374E7" w:rsidRPr="00003217" w:rsidRDefault="00A374E7" w:rsidP="00CC36A6">
      <w:pPr>
        <w:pStyle w:val="ListParagraph"/>
        <w:numPr>
          <w:ilvl w:val="0"/>
          <w:numId w:val="1"/>
        </w:numPr>
        <w:spacing w:after="120" w:line="240" w:lineRule="auto"/>
        <w:ind w:left="714" w:hanging="357"/>
        <w:contextualSpacing w:val="0"/>
        <w:rPr>
          <w:rFonts w:ascii="Arial" w:hAnsi="Arial" w:cs="Arial"/>
        </w:rPr>
      </w:pPr>
      <w:r w:rsidRPr="00003217">
        <w:rPr>
          <w:rFonts w:ascii="Arial" w:hAnsi="Arial" w:cs="Arial"/>
        </w:rPr>
        <w:t>Final target (at 5 years): 70% of intended products apply the HSR by 14</w:t>
      </w:r>
      <w:r w:rsidR="00CC36A6">
        <w:rPr>
          <w:rFonts w:ascii="Arial" w:hAnsi="Arial" w:cs="Arial"/>
        </w:rPr>
        <w:t> </w:t>
      </w:r>
      <w:r w:rsidRPr="00003217">
        <w:rPr>
          <w:rFonts w:ascii="Arial" w:hAnsi="Arial" w:cs="Arial"/>
        </w:rPr>
        <w:t>November</w:t>
      </w:r>
      <w:r w:rsidR="00CC36A6">
        <w:rPr>
          <w:rFonts w:ascii="Arial" w:hAnsi="Arial" w:cs="Arial"/>
        </w:rPr>
        <w:t> </w:t>
      </w:r>
      <w:r w:rsidRPr="00003217">
        <w:rPr>
          <w:rFonts w:ascii="Arial" w:hAnsi="Arial" w:cs="Arial"/>
        </w:rPr>
        <w:t>2025.</w:t>
      </w:r>
    </w:p>
    <w:p w14:paraId="0E39177A" w14:textId="3D5E9596" w:rsidR="00A374E7" w:rsidRPr="00003217" w:rsidRDefault="00A374E7" w:rsidP="00CC36A6">
      <w:pPr>
        <w:spacing w:after="120" w:line="240" w:lineRule="auto"/>
        <w:rPr>
          <w:rFonts w:ascii="Arial" w:hAnsi="Arial" w:cs="Arial"/>
        </w:rPr>
      </w:pPr>
      <w:r w:rsidRPr="00003217">
        <w:rPr>
          <w:rFonts w:ascii="Arial" w:hAnsi="Arial" w:cs="Arial"/>
        </w:rPr>
        <w:t>New Zealand Food Safety administers the HSR system in New Zealand and is responsible for monitoring the implementation of the system in New Zealand. The purpose of this document is to report the uptake against interim target 2 of HSR on intended products in New Zealand as determined from the GS1 On Pack Database. The On Pack database is an inventory of label information from packaged food products that are or were available in New</w:t>
      </w:r>
      <w:r w:rsidR="00CC36A6">
        <w:rPr>
          <w:rFonts w:ascii="Arial" w:hAnsi="Arial" w:cs="Arial"/>
        </w:rPr>
        <w:t> </w:t>
      </w:r>
      <w:r w:rsidRPr="00003217">
        <w:rPr>
          <w:rFonts w:ascii="Arial" w:hAnsi="Arial" w:cs="Arial"/>
        </w:rPr>
        <w:t>Zealand supermarkets.</w:t>
      </w:r>
    </w:p>
    <w:p w14:paraId="0AC147A9" w14:textId="1026FD20" w:rsidR="00A374E7" w:rsidRPr="00003217" w:rsidRDefault="00A374E7" w:rsidP="00CC36A6">
      <w:pPr>
        <w:spacing w:after="120" w:line="240" w:lineRule="auto"/>
        <w:rPr>
          <w:rFonts w:ascii="Arial" w:hAnsi="Arial" w:cs="Arial"/>
        </w:rPr>
      </w:pPr>
      <w:r w:rsidRPr="00003217">
        <w:rPr>
          <w:rFonts w:ascii="Arial" w:hAnsi="Arial" w:cs="Arial"/>
        </w:rPr>
        <w:t>Data on total products currently available in the New Zealand market was extracted from the On Pack database in December 2024</w:t>
      </w:r>
      <w:r w:rsidR="00760CB7" w:rsidRPr="00003217">
        <w:rPr>
          <w:rFonts w:ascii="Arial" w:hAnsi="Arial" w:cs="Arial"/>
        </w:rPr>
        <w:t>. T</w:t>
      </w:r>
      <w:r w:rsidRPr="00003217">
        <w:rPr>
          <w:rFonts w:ascii="Arial" w:hAnsi="Arial" w:cs="Arial"/>
        </w:rPr>
        <w:t>he 26,628 products were classified into one of the following groups:</w:t>
      </w:r>
    </w:p>
    <w:p w14:paraId="3AB7968B" w14:textId="77777777" w:rsidR="00A374E7" w:rsidRPr="00003217" w:rsidRDefault="00A374E7" w:rsidP="00CC36A6">
      <w:pPr>
        <w:pStyle w:val="ListParagraph"/>
        <w:numPr>
          <w:ilvl w:val="0"/>
          <w:numId w:val="20"/>
        </w:numPr>
        <w:spacing w:after="0" w:line="240" w:lineRule="auto"/>
        <w:contextualSpacing w:val="0"/>
        <w:rPr>
          <w:rFonts w:ascii="Arial" w:hAnsi="Arial" w:cs="Arial"/>
        </w:rPr>
      </w:pPr>
      <w:r w:rsidRPr="00003217">
        <w:rPr>
          <w:rFonts w:ascii="Arial" w:hAnsi="Arial" w:cs="Arial"/>
        </w:rPr>
        <w:t xml:space="preserve">Permitted and intended to display an HSR (n=18,993) </w:t>
      </w:r>
    </w:p>
    <w:p w14:paraId="30172FC8" w14:textId="77777777" w:rsidR="00A374E7" w:rsidRPr="00003217" w:rsidRDefault="00A374E7" w:rsidP="00CC36A6">
      <w:pPr>
        <w:pStyle w:val="ListParagraph"/>
        <w:numPr>
          <w:ilvl w:val="0"/>
          <w:numId w:val="20"/>
        </w:numPr>
        <w:spacing w:after="0" w:line="240" w:lineRule="auto"/>
        <w:contextualSpacing w:val="0"/>
        <w:rPr>
          <w:rFonts w:ascii="Arial" w:hAnsi="Arial" w:cs="Arial"/>
        </w:rPr>
      </w:pPr>
      <w:r w:rsidRPr="00003217">
        <w:rPr>
          <w:rFonts w:ascii="Arial" w:hAnsi="Arial" w:cs="Arial"/>
        </w:rPr>
        <w:t xml:space="preserve">Permitted but not intended to display an HSR (n=3,351) </w:t>
      </w:r>
    </w:p>
    <w:p w14:paraId="0490EAF8" w14:textId="77777777" w:rsidR="00A374E7" w:rsidRPr="00003217" w:rsidRDefault="00A374E7" w:rsidP="00CC36A6">
      <w:pPr>
        <w:pStyle w:val="ListParagraph"/>
        <w:numPr>
          <w:ilvl w:val="0"/>
          <w:numId w:val="20"/>
        </w:numPr>
        <w:spacing w:after="120" w:line="240" w:lineRule="auto"/>
        <w:ind w:left="782" w:hanging="357"/>
        <w:contextualSpacing w:val="0"/>
        <w:rPr>
          <w:rFonts w:ascii="Arial" w:hAnsi="Arial" w:cs="Arial"/>
        </w:rPr>
      </w:pPr>
      <w:r w:rsidRPr="00003217">
        <w:rPr>
          <w:rFonts w:ascii="Arial" w:hAnsi="Arial" w:cs="Arial"/>
        </w:rPr>
        <w:t xml:space="preserve">Not permitted to display an HSR (n=4,284) </w:t>
      </w:r>
    </w:p>
    <w:p w14:paraId="0BDCB29C" w14:textId="77777777" w:rsidR="00A374E7" w:rsidRPr="00003217" w:rsidRDefault="00A374E7" w:rsidP="00CC36A6">
      <w:pPr>
        <w:spacing w:after="120" w:line="240" w:lineRule="auto"/>
        <w:rPr>
          <w:rFonts w:ascii="Arial" w:hAnsi="Arial" w:cs="Arial"/>
        </w:rPr>
      </w:pPr>
      <w:r w:rsidRPr="00003217">
        <w:rPr>
          <w:rFonts w:ascii="Arial" w:hAnsi="Arial" w:cs="Arial"/>
        </w:rPr>
        <w:t xml:space="preserve">In December 2024, 33% of products in the On Pack database (n=6,170) intended to use HSR in New Zealand displayed the HSR system. This is substantially below the interim target 2 of 60%.  </w:t>
      </w:r>
    </w:p>
    <w:p w14:paraId="62332E51" w14:textId="77777777" w:rsidR="00A374E7" w:rsidRPr="00003217" w:rsidRDefault="00A374E7" w:rsidP="00CC36A6">
      <w:pPr>
        <w:spacing w:after="120" w:line="240" w:lineRule="auto"/>
        <w:rPr>
          <w:rFonts w:ascii="Arial" w:hAnsi="Arial" w:cs="Arial"/>
        </w:rPr>
      </w:pPr>
      <w:r w:rsidRPr="00003217">
        <w:rPr>
          <w:rFonts w:ascii="Arial" w:hAnsi="Arial" w:cs="Arial"/>
        </w:rPr>
        <w:t xml:space="preserve">An additional 401 products such as meat, water, eggs and fresh/minimally processed fruit and vegetables permitted, but not intended, to display an HSR did so.  Products prohibited from using the system did not display an HSR. </w:t>
      </w:r>
    </w:p>
    <w:p w14:paraId="60566CEC" w14:textId="77777777" w:rsidR="00A374E7" w:rsidRPr="00003217" w:rsidRDefault="00A374E7" w:rsidP="00CC36A6">
      <w:pPr>
        <w:spacing w:after="120" w:line="240" w:lineRule="auto"/>
        <w:rPr>
          <w:rFonts w:ascii="Arial" w:hAnsi="Arial" w:cs="Arial"/>
        </w:rPr>
      </w:pPr>
      <w:r w:rsidRPr="00003217">
        <w:rPr>
          <w:rFonts w:ascii="Arial" w:hAnsi="Arial" w:cs="Arial"/>
        </w:rPr>
        <w:t xml:space="preserve">Uptake of the HSR has risen by 3% since late 2023, when monitoring found that the HSR was on 30% of intended products in New Zealand. This was below the interim target 1 of 50%.  </w:t>
      </w:r>
    </w:p>
    <w:p w14:paraId="6D841A64" w14:textId="5BB13828" w:rsidR="00A374E7" w:rsidRPr="00003217" w:rsidRDefault="00A374E7" w:rsidP="00CC36A6">
      <w:pPr>
        <w:spacing w:after="0" w:line="240" w:lineRule="auto"/>
        <w:rPr>
          <w:rFonts w:ascii="Arial" w:hAnsi="Arial" w:cs="Arial"/>
        </w:rPr>
      </w:pPr>
      <w:r w:rsidRPr="00003217">
        <w:rPr>
          <w:rFonts w:ascii="Arial" w:hAnsi="Arial" w:cs="Arial"/>
        </w:rPr>
        <w:t xml:space="preserve">New Zealand Food Safety will use the same methodology and database to evaluate uptake against the final target in 2025 (70%) to ensure results are comparable. </w:t>
      </w:r>
      <w:r w:rsidRPr="00003217">
        <w:rPr>
          <w:rFonts w:ascii="Arial" w:hAnsi="Arial" w:cs="Arial"/>
        </w:rPr>
        <w:br w:type="page"/>
      </w:r>
    </w:p>
    <w:p w14:paraId="7FF55A5F" w14:textId="2A1F53DB" w:rsidR="00A374E7" w:rsidRPr="00003217" w:rsidRDefault="00CC36A6" w:rsidP="00CC36A6">
      <w:pPr>
        <w:pStyle w:val="Heading1NZ"/>
      </w:pPr>
      <w:bookmarkStart w:id="28" w:name="_Toc190429985"/>
      <w:r>
        <w:lastRenderedPageBreak/>
        <w:t>2</w:t>
      </w:r>
      <w:r>
        <w:tab/>
      </w:r>
      <w:r w:rsidR="00A374E7" w:rsidRPr="00003217">
        <w:t>Purpose</w:t>
      </w:r>
      <w:bookmarkEnd w:id="27"/>
      <w:bookmarkEnd w:id="28"/>
    </w:p>
    <w:p w14:paraId="0298EC05" w14:textId="77777777" w:rsidR="00A374E7" w:rsidRPr="00003217" w:rsidRDefault="00A374E7" w:rsidP="008F39C5">
      <w:pPr>
        <w:spacing w:after="120" w:line="240" w:lineRule="auto"/>
        <w:rPr>
          <w:rFonts w:ascii="Arial" w:hAnsi="Arial" w:cs="Arial"/>
        </w:rPr>
      </w:pPr>
      <w:bookmarkStart w:id="29" w:name="_Hlk156552008"/>
    </w:p>
    <w:p w14:paraId="3FA338E2" w14:textId="3A4FE334" w:rsidR="00A374E7" w:rsidRPr="00003217" w:rsidRDefault="00A374E7" w:rsidP="008F39C5">
      <w:pPr>
        <w:spacing w:after="120" w:line="240" w:lineRule="auto"/>
        <w:rPr>
          <w:rFonts w:ascii="Arial" w:hAnsi="Arial" w:cs="Arial"/>
        </w:rPr>
      </w:pPr>
      <w:r w:rsidRPr="00003217">
        <w:rPr>
          <w:rFonts w:ascii="Arial" w:hAnsi="Arial" w:cs="Arial"/>
        </w:rPr>
        <w:t>The purpose of this document is to report the uptake of Health Star Rating (HSR) in New</w:t>
      </w:r>
      <w:r w:rsidR="008F39C5">
        <w:rPr>
          <w:rFonts w:ascii="Arial" w:hAnsi="Arial" w:cs="Arial"/>
        </w:rPr>
        <w:t> </w:t>
      </w:r>
      <w:r w:rsidRPr="00003217">
        <w:rPr>
          <w:rFonts w:ascii="Arial" w:hAnsi="Arial" w:cs="Arial"/>
        </w:rPr>
        <w:t xml:space="preserve">Zealand against the second interim HSR uptake target. The second interim uptake target is </w:t>
      </w:r>
      <w:bookmarkStart w:id="30" w:name="_Hlk155778966"/>
      <w:r w:rsidRPr="00003217">
        <w:rPr>
          <w:rFonts w:ascii="Arial" w:hAnsi="Arial" w:cs="Arial"/>
        </w:rPr>
        <w:t>60% of intended products have applied the HSR system by 14 November 202</w:t>
      </w:r>
      <w:bookmarkEnd w:id="30"/>
      <w:r w:rsidRPr="00003217">
        <w:rPr>
          <w:rFonts w:ascii="Arial" w:hAnsi="Arial" w:cs="Arial"/>
        </w:rPr>
        <w:t xml:space="preserve">4. </w:t>
      </w:r>
    </w:p>
    <w:p w14:paraId="73CA115D" w14:textId="3078AEB5" w:rsidR="00A374E7" w:rsidRPr="00003217" w:rsidRDefault="00CC36A6" w:rsidP="008F39C5">
      <w:pPr>
        <w:pStyle w:val="Heading1NZ"/>
        <w:spacing w:before="0" w:after="120"/>
      </w:pPr>
      <w:bookmarkStart w:id="31" w:name="_Toc155358691"/>
      <w:bookmarkStart w:id="32" w:name="_Toc190429986"/>
      <w:bookmarkEnd w:id="29"/>
      <w:r>
        <w:t>3</w:t>
      </w:r>
      <w:r>
        <w:tab/>
      </w:r>
      <w:r w:rsidR="00A374E7" w:rsidRPr="00003217">
        <w:t>Introduction</w:t>
      </w:r>
      <w:bookmarkEnd w:id="31"/>
      <w:bookmarkEnd w:id="32"/>
      <w:r w:rsidR="00A374E7" w:rsidRPr="00003217">
        <w:t xml:space="preserve"> </w:t>
      </w:r>
    </w:p>
    <w:p w14:paraId="2A0916C5" w14:textId="728B7B6A" w:rsidR="00A374E7" w:rsidRPr="00CC36A6" w:rsidRDefault="00CC36A6" w:rsidP="008F39C5">
      <w:pPr>
        <w:pStyle w:val="Heading2NZ"/>
        <w:spacing w:after="120"/>
      </w:pPr>
      <w:bookmarkStart w:id="33" w:name="_Toc155358692"/>
      <w:bookmarkStart w:id="34" w:name="_Toc190429987"/>
      <w:r w:rsidRPr="00CC36A6">
        <w:t>3.1</w:t>
      </w:r>
      <w:r w:rsidRPr="00CC36A6">
        <w:tab/>
      </w:r>
      <w:r w:rsidR="00A374E7" w:rsidRPr="00CC36A6">
        <w:t>Health Star Rating system</w:t>
      </w:r>
      <w:bookmarkEnd w:id="33"/>
      <w:bookmarkEnd w:id="34"/>
      <w:r w:rsidR="00A374E7" w:rsidRPr="00CC36A6">
        <w:t xml:space="preserve"> </w:t>
      </w:r>
    </w:p>
    <w:p w14:paraId="39BB5251" w14:textId="77777777" w:rsidR="00A374E7" w:rsidRPr="00003217" w:rsidRDefault="00A374E7" w:rsidP="008F39C5">
      <w:pPr>
        <w:spacing w:after="120" w:line="240" w:lineRule="auto"/>
        <w:rPr>
          <w:rFonts w:ascii="Arial" w:hAnsi="Arial" w:cs="Arial"/>
        </w:rPr>
      </w:pPr>
      <w:bookmarkStart w:id="35" w:name="_Hlk156552281"/>
      <w:r w:rsidRPr="00003217">
        <w:rPr>
          <w:rFonts w:ascii="Arial" w:hAnsi="Arial" w:cs="Arial"/>
        </w:rPr>
        <w:t xml:space="preserve">The HSR system is a joint initiative between the New Zealand and Australian state and territory governments. </w:t>
      </w:r>
      <w:bookmarkEnd w:id="35"/>
      <w:r w:rsidRPr="00003217">
        <w:rPr>
          <w:rFonts w:ascii="Arial" w:hAnsi="Arial" w:cs="Arial"/>
        </w:rPr>
        <w:t xml:space="preserve">It was developed in collaboration with the food industry, public health and consumer groups and has been implemented in Australia and New Zealand since 2014. </w:t>
      </w:r>
    </w:p>
    <w:p w14:paraId="75C973B5" w14:textId="78A5284B" w:rsidR="00A374E7" w:rsidRPr="00003217" w:rsidRDefault="00A374E7" w:rsidP="008F39C5">
      <w:pPr>
        <w:spacing w:after="120" w:line="240" w:lineRule="auto"/>
        <w:rPr>
          <w:rFonts w:ascii="Arial" w:hAnsi="Arial" w:cs="Arial"/>
        </w:rPr>
      </w:pPr>
      <w:bookmarkStart w:id="36" w:name="_Hlk156552309"/>
      <w:r w:rsidRPr="00003217">
        <w:rPr>
          <w:rFonts w:ascii="Arial" w:hAnsi="Arial" w:cs="Arial"/>
        </w:rPr>
        <w:t>The HSR is an interpretive front of pack labelling system</w:t>
      </w:r>
      <w:r w:rsidR="00E45BF2" w:rsidRPr="00003217">
        <w:rPr>
          <w:rFonts w:ascii="Arial" w:hAnsi="Arial" w:cs="Arial"/>
        </w:rPr>
        <w:t>. It</w:t>
      </w:r>
      <w:r w:rsidRPr="00003217">
        <w:rPr>
          <w:rFonts w:ascii="Arial" w:hAnsi="Arial" w:cs="Arial"/>
        </w:rPr>
        <w:t xml:space="preserve"> rates the overall nutrient profile of packaged foods and assigns a rating from 0.5 star to 5 stars. The HSR system makes it quicker and easier to choose the healthier option when comparing similar packaged food</w:t>
      </w:r>
      <w:bookmarkEnd w:id="36"/>
      <w:r w:rsidRPr="00003217">
        <w:rPr>
          <w:rFonts w:ascii="Arial" w:hAnsi="Arial" w:cs="Arial"/>
        </w:rPr>
        <w:t xml:space="preserve"> (e.g. breakfast cereals). When comparing similar foods, foods with more stars are healthier than similar foods with fewer stars. The system cannot be used to compare dissimilar foods, such as a yoghurt with a soft drink. </w:t>
      </w:r>
    </w:p>
    <w:p w14:paraId="4C68F09F" w14:textId="738484EC" w:rsidR="00A374E7" w:rsidRPr="00003217" w:rsidRDefault="008F39C5" w:rsidP="008F39C5">
      <w:pPr>
        <w:pStyle w:val="Heading2NZ"/>
        <w:spacing w:after="120"/>
      </w:pPr>
      <w:bookmarkStart w:id="37" w:name="_Toc155358693"/>
      <w:bookmarkStart w:id="38" w:name="_Toc190429988"/>
      <w:r>
        <w:t>3.2</w:t>
      </w:r>
      <w:r>
        <w:tab/>
      </w:r>
      <w:r w:rsidR="00A374E7" w:rsidRPr="00003217">
        <w:t>Uptake targets</w:t>
      </w:r>
      <w:bookmarkEnd w:id="37"/>
      <w:bookmarkEnd w:id="38"/>
      <w:r w:rsidR="00A374E7" w:rsidRPr="00003217">
        <w:t xml:space="preserve"> </w:t>
      </w:r>
    </w:p>
    <w:p w14:paraId="70E3E5FD" w14:textId="77777777" w:rsidR="00A374E7" w:rsidRPr="00003217" w:rsidRDefault="00A374E7" w:rsidP="008F39C5">
      <w:pPr>
        <w:spacing w:after="120" w:line="240" w:lineRule="auto"/>
        <w:rPr>
          <w:rFonts w:ascii="Arial" w:hAnsi="Arial" w:cs="Arial"/>
        </w:rPr>
      </w:pPr>
      <w:r w:rsidRPr="00003217">
        <w:rPr>
          <w:rFonts w:ascii="Arial" w:hAnsi="Arial" w:cs="Arial"/>
        </w:rPr>
        <w:t xml:space="preserve">The HSR system underwent a major review in 2019 after five years of implementation. The independent reviewers recommended that the system remain voluntary, but that if the HSR is not displayed on 70% of intended products within five years that the system should be mandated. </w:t>
      </w:r>
    </w:p>
    <w:p w14:paraId="4A0C90B1" w14:textId="77777777" w:rsidR="00A374E7" w:rsidRPr="00003217" w:rsidRDefault="00A374E7" w:rsidP="008F39C5">
      <w:pPr>
        <w:spacing w:after="0" w:line="240" w:lineRule="auto"/>
        <w:rPr>
          <w:rFonts w:ascii="Arial" w:hAnsi="Arial" w:cs="Arial"/>
        </w:rPr>
      </w:pPr>
      <w:r w:rsidRPr="00003217">
        <w:rPr>
          <w:rFonts w:ascii="Arial" w:hAnsi="Arial" w:cs="Arial"/>
        </w:rPr>
        <w:t>In 2020, Food Ministers in Australia and New Zealand set the following uptake targets for the HSR:</w:t>
      </w:r>
    </w:p>
    <w:p w14:paraId="5F17B622" w14:textId="602BFBEE" w:rsidR="00A374E7" w:rsidRPr="00003217" w:rsidRDefault="00A374E7" w:rsidP="008F39C5">
      <w:pPr>
        <w:pStyle w:val="ListParagraph"/>
        <w:numPr>
          <w:ilvl w:val="0"/>
          <w:numId w:val="1"/>
        </w:numPr>
        <w:spacing w:after="0" w:line="240" w:lineRule="auto"/>
        <w:contextualSpacing w:val="0"/>
        <w:rPr>
          <w:rFonts w:ascii="Arial" w:hAnsi="Arial" w:cs="Arial"/>
        </w:rPr>
      </w:pPr>
      <w:r w:rsidRPr="00003217">
        <w:rPr>
          <w:rFonts w:ascii="Arial" w:hAnsi="Arial" w:cs="Arial"/>
        </w:rPr>
        <w:t>Interim target 1 (at 3 years): 50% of intended products apply the HSR by 14</w:t>
      </w:r>
      <w:r w:rsidR="004F338B">
        <w:rPr>
          <w:rFonts w:ascii="Arial" w:hAnsi="Arial" w:cs="Arial"/>
        </w:rPr>
        <w:t> </w:t>
      </w:r>
      <w:r w:rsidRPr="00003217">
        <w:rPr>
          <w:rFonts w:ascii="Arial" w:hAnsi="Arial" w:cs="Arial"/>
        </w:rPr>
        <w:t>November 2023</w:t>
      </w:r>
    </w:p>
    <w:p w14:paraId="2BB31C68" w14:textId="5BF306F2" w:rsidR="00A374E7" w:rsidRPr="00003217" w:rsidRDefault="00A374E7" w:rsidP="008F39C5">
      <w:pPr>
        <w:pStyle w:val="ListParagraph"/>
        <w:numPr>
          <w:ilvl w:val="0"/>
          <w:numId w:val="1"/>
        </w:numPr>
        <w:spacing w:after="0" w:line="240" w:lineRule="auto"/>
        <w:contextualSpacing w:val="0"/>
        <w:rPr>
          <w:rFonts w:ascii="Arial" w:hAnsi="Arial" w:cs="Arial"/>
        </w:rPr>
      </w:pPr>
      <w:r w:rsidRPr="00003217">
        <w:rPr>
          <w:rFonts w:ascii="Arial" w:hAnsi="Arial" w:cs="Arial"/>
        </w:rPr>
        <w:t>Interim target 2 (at 4 years): 60% of intended products apply the HSR by 14</w:t>
      </w:r>
      <w:r w:rsidR="004F338B">
        <w:rPr>
          <w:rFonts w:ascii="Arial" w:hAnsi="Arial" w:cs="Arial"/>
        </w:rPr>
        <w:t> </w:t>
      </w:r>
      <w:r w:rsidRPr="00003217">
        <w:rPr>
          <w:rFonts w:ascii="Arial" w:hAnsi="Arial" w:cs="Arial"/>
        </w:rPr>
        <w:t>November 2024</w:t>
      </w:r>
    </w:p>
    <w:p w14:paraId="11558465" w14:textId="5A7505A6" w:rsidR="00A374E7" w:rsidRPr="00003217" w:rsidRDefault="00A374E7" w:rsidP="008F39C5">
      <w:pPr>
        <w:pStyle w:val="ListParagraph"/>
        <w:numPr>
          <w:ilvl w:val="0"/>
          <w:numId w:val="1"/>
        </w:numPr>
        <w:spacing w:after="120" w:line="240" w:lineRule="auto"/>
        <w:contextualSpacing w:val="0"/>
        <w:rPr>
          <w:rFonts w:ascii="Arial" w:hAnsi="Arial" w:cs="Arial"/>
        </w:rPr>
      </w:pPr>
      <w:r w:rsidRPr="00003217">
        <w:rPr>
          <w:rFonts w:ascii="Arial" w:hAnsi="Arial" w:cs="Arial"/>
        </w:rPr>
        <w:t>Final target (at 5 years): 70% of intended products apply the HSR by 14</w:t>
      </w:r>
      <w:r w:rsidR="004F338B">
        <w:rPr>
          <w:rFonts w:ascii="Arial" w:hAnsi="Arial" w:cs="Arial"/>
        </w:rPr>
        <w:t> </w:t>
      </w:r>
      <w:r w:rsidRPr="00003217">
        <w:rPr>
          <w:rFonts w:ascii="Arial" w:hAnsi="Arial" w:cs="Arial"/>
        </w:rPr>
        <w:t>November</w:t>
      </w:r>
      <w:r w:rsidR="004F338B">
        <w:rPr>
          <w:rFonts w:ascii="Arial" w:hAnsi="Arial" w:cs="Arial"/>
        </w:rPr>
        <w:t> </w:t>
      </w:r>
      <w:r w:rsidRPr="00003217">
        <w:rPr>
          <w:rFonts w:ascii="Arial" w:hAnsi="Arial" w:cs="Arial"/>
        </w:rPr>
        <w:t>2025.</w:t>
      </w:r>
    </w:p>
    <w:p w14:paraId="18C4DC87" w14:textId="5F7CF747" w:rsidR="00A374E7" w:rsidRPr="00003217" w:rsidRDefault="008F39C5" w:rsidP="008F39C5">
      <w:pPr>
        <w:pStyle w:val="Heading2NZ"/>
        <w:spacing w:after="120"/>
      </w:pPr>
      <w:bookmarkStart w:id="39" w:name="_Toc190429989"/>
      <w:r>
        <w:t>3.3</w:t>
      </w:r>
      <w:r>
        <w:tab/>
      </w:r>
      <w:r w:rsidR="00A374E7" w:rsidRPr="00003217">
        <w:t>Products intended to display a Health Star Rating</w:t>
      </w:r>
      <w:bookmarkEnd w:id="39"/>
      <w:r w:rsidR="00A374E7" w:rsidRPr="00003217">
        <w:t xml:space="preserve"> </w:t>
      </w:r>
    </w:p>
    <w:p w14:paraId="534CE59B" w14:textId="77777777" w:rsidR="00A374E7" w:rsidRPr="00003217" w:rsidRDefault="00A374E7" w:rsidP="008F39C5">
      <w:pPr>
        <w:spacing w:after="0" w:line="240" w:lineRule="auto"/>
        <w:rPr>
          <w:rFonts w:ascii="Arial" w:hAnsi="Arial" w:cs="Arial"/>
        </w:rPr>
      </w:pPr>
      <w:bookmarkStart w:id="40" w:name="_Hlk156552022"/>
      <w:r w:rsidRPr="00003217">
        <w:rPr>
          <w:rFonts w:ascii="Arial" w:hAnsi="Arial" w:cs="Arial"/>
        </w:rPr>
        <w:t>Foods intended to carry the HSR system are those that</w:t>
      </w:r>
      <w:r w:rsidRPr="00003217">
        <w:rPr>
          <w:rStyle w:val="FootnoteReference"/>
          <w:rFonts w:ascii="Arial" w:hAnsi="Arial" w:cs="Arial"/>
        </w:rPr>
        <w:footnoteReference w:id="7"/>
      </w:r>
      <w:r w:rsidRPr="00003217">
        <w:rPr>
          <w:rFonts w:ascii="Arial" w:hAnsi="Arial" w:cs="Arial"/>
        </w:rPr>
        <w:t xml:space="preserve">: </w:t>
      </w:r>
    </w:p>
    <w:p w14:paraId="48115ED9" w14:textId="77777777" w:rsidR="00A374E7" w:rsidRPr="00003217" w:rsidRDefault="00A374E7" w:rsidP="008F39C5">
      <w:pPr>
        <w:pStyle w:val="ListParagraph"/>
        <w:numPr>
          <w:ilvl w:val="0"/>
          <w:numId w:val="16"/>
        </w:numPr>
        <w:spacing w:after="0" w:line="240" w:lineRule="auto"/>
        <w:contextualSpacing w:val="0"/>
        <w:rPr>
          <w:rFonts w:ascii="Arial" w:hAnsi="Arial" w:cs="Arial"/>
        </w:rPr>
      </w:pPr>
      <w:r w:rsidRPr="00003217">
        <w:rPr>
          <w:rFonts w:ascii="Arial" w:hAnsi="Arial" w:cs="Arial"/>
        </w:rPr>
        <w:t xml:space="preserve">Are permitted to use the system (foods prohibited from using the system include alcohol, infant formula, certain special purpose foods and kava); and </w:t>
      </w:r>
    </w:p>
    <w:p w14:paraId="5D70881E" w14:textId="77777777" w:rsidR="00A374E7" w:rsidRPr="00003217" w:rsidRDefault="00A374E7" w:rsidP="008F39C5">
      <w:pPr>
        <w:pStyle w:val="ListParagraph"/>
        <w:numPr>
          <w:ilvl w:val="0"/>
          <w:numId w:val="16"/>
        </w:numPr>
        <w:spacing w:after="0" w:line="240" w:lineRule="auto"/>
        <w:contextualSpacing w:val="0"/>
        <w:rPr>
          <w:rFonts w:ascii="Arial" w:hAnsi="Arial" w:cs="Arial"/>
        </w:rPr>
      </w:pPr>
      <w:r w:rsidRPr="00003217">
        <w:rPr>
          <w:rFonts w:ascii="Arial" w:hAnsi="Arial" w:cs="Arial"/>
        </w:rPr>
        <w:t>Are required by the Australia New Zealand Food Standards Code (Code) to have a nutrition information panel (NIP); and</w:t>
      </w:r>
    </w:p>
    <w:p w14:paraId="4122C635" w14:textId="77777777" w:rsidR="00A374E7" w:rsidRPr="00003217" w:rsidRDefault="00A374E7" w:rsidP="008F39C5">
      <w:pPr>
        <w:pStyle w:val="ListParagraph"/>
        <w:numPr>
          <w:ilvl w:val="0"/>
          <w:numId w:val="16"/>
        </w:numPr>
        <w:spacing w:after="120" w:line="240" w:lineRule="auto"/>
        <w:contextualSpacing w:val="0"/>
        <w:rPr>
          <w:rFonts w:ascii="Arial" w:hAnsi="Arial" w:cs="Arial"/>
        </w:rPr>
      </w:pPr>
      <w:r w:rsidRPr="00003217">
        <w:rPr>
          <w:rFonts w:ascii="Arial" w:hAnsi="Arial" w:cs="Arial"/>
        </w:rPr>
        <w:t xml:space="preserve">Can vary in nutritional composition. </w:t>
      </w:r>
      <w:bookmarkEnd w:id="40"/>
    </w:p>
    <w:p w14:paraId="2409DB5C" w14:textId="77777777" w:rsidR="00E45BF2" w:rsidRPr="00003217" w:rsidRDefault="00A374E7" w:rsidP="008F39C5">
      <w:pPr>
        <w:spacing w:after="120" w:line="240" w:lineRule="auto"/>
        <w:rPr>
          <w:rFonts w:ascii="Arial" w:hAnsi="Arial" w:cs="Arial"/>
        </w:rPr>
      </w:pPr>
      <w:r w:rsidRPr="00003217">
        <w:rPr>
          <w:rFonts w:ascii="Arial" w:hAnsi="Arial" w:cs="Arial"/>
        </w:rPr>
        <w:t>Foods considered to vary in nutritional composition are</w:t>
      </w:r>
      <w:r w:rsidR="00E45BF2" w:rsidRPr="00003217">
        <w:rPr>
          <w:rFonts w:ascii="Arial" w:hAnsi="Arial" w:cs="Arial"/>
        </w:rPr>
        <w:t>:</w:t>
      </w:r>
    </w:p>
    <w:p w14:paraId="7A778950" w14:textId="105D7E0E" w:rsidR="00E45BF2" w:rsidRPr="00003217" w:rsidRDefault="00A374E7" w:rsidP="004F338B">
      <w:pPr>
        <w:pStyle w:val="ListParagraph"/>
        <w:numPr>
          <w:ilvl w:val="0"/>
          <w:numId w:val="16"/>
        </w:numPr>
        <w:spacing w:after="0" w:line="240" w:lineRule="auto"/>
        <w:ind w:left="714" w:hanging="357"/>
        <w:contextualSpacing w:val="0"/>
        <w:rPr>
          <w:rFonts w:ascii="Arial" w:hAnsi="Arial" w:cs="Arial"/>
        </w:rPr>
      </w:pPr>
      <w:r w:rsidRPr="00003217">
        <w:rPr>
          <w:rFonts w:ascii="Arial" w:hAnsi="Arial" w:cs="Arial"/>
        </w:rPr>
        <w:t>individual foods that have a nutrient composition that can be altered intentionally (multi-ingredient processed packaged foods)</w:t>
      </w:r>
      <w:r w:rsidR="00E45BF2" w:rsidRPr="00003217">
        <w:rPr>
          <w:rFonts w:ascii="Arial" w:hAnsi="Arial" w:cs="Arial"/>
        </w:rPr>
        <w:t>,</w:t>
      </w:r>
      <w:r w:rsidRPr="00003217">
        <w:rPr>
          <w:rFonts w:ascii="Arial" w:hAnsi="Arial" w:cs="Arial"/>
        </w:rPr>
        <w:t xml:space="preserve"> and </w:t>
      </w:r>
    </w:p>
    <w:p w14:paraId="12809C4A" w14:textId="01A38D7C" w:rsidR="00A374E7" w:rsidRPr="00003217" w:rsidRDefault="00A374E7" w:rsidP="0065585F">
      <w:pPr>
        <w:pStyle w:val="ListParagraph"/>
        <w:numPr>
          <w:ilvl w:val="0"/>
          <w:numId w:val="16"/>
        </w:numPr>
        <w:spacing w:after="120" w:line="240" w:lineRule="auto"/>
        <w:contextualSpacing w:val="0"/>
        <w:rPr>
          <w:rFonts w:ascii="Arial" w:hAnsi="Arial" w:cs="Arial"/>
        </w:rPr>
      </w:pPr>
      <w:r w:rsidRPr="00003217">
        <w:rPr>
          <w:rFonts w:ascii="Arial" w:hAnsi="Arial" w:cs="Arial"/>
        </w:rPr>
        <w:t>foods where similar products can vary in nutritional composition (for example foods such as flours and oils).</w:t>
      </w:r>
    </w:p>
    <w:p w14:paraId="6AF8863E" w14:textId="77777777" w:rsidR="00A374E7" w:rsidRPr="00003217" w:rsidRDefault="00A374E7" w:rsidP="008F39C5">
      <w:pPr>
        <w:pStyle w:val="NormalWeb"/>
        <w:shd w:val="clear" w:color="auto" w:fill="FFFFFF"/>
        <w:spacing w:before="0" w:beforeAutospacing="0" w:after="120" w:afterAutospacing="0"/>
        <w:rPr>
          <w:rFonts w:ascii="Arial" w:hAnsi="Arial" w:cs="Arial"/>
          <w:sz w:val="20"/>
          <w:szCs w:val="20"/>
          <w:lang w:eastAsia="en-US"/>
        </w:rPr>
      </w:pPr>
    </w:p>
    <w:p w14:paraId="5B42DDAD" w14:textId="15644605" w:rsidR="00A374E7" w:rsidRPr="00003217" w:rsidRDefault="008F39C5" w:rsidP="008F39C5">
      <w:pPr>
        <w:pStyle w:val="Heading2NZ"/>
        <w:spacing w:after="120"/>
      </w:pPr>
      <w:bookmarkStart w:id="41" w:name="_Toc155358694"/>
      <w:bookmarkStart w:id="42" w:name="_Toc190429990"/>
      <w:r>
        <w:lastRenderedPageBreak/>
        <w:t>3.4</w:t>
      </w:r>
      <w:r>
        <w:tab/>
      </w:r>
      <w:r w:rsidR="00A374E7" w:rsidRPr="00003217">
        <w:t>Health Star Rating monitoring and evaluation framework</w:t>
      </w:r>
      <w:bookmarkEnd w:id="41"/>
      <w:bookmarkEnd w:id="42"/>
    </w:p>
    <w:p w14:paraId="2F3F1814" w14:textId="77777777" w:rsidR="00A374E7" w:rsidRPr="00003217" w:rsidRDefault="00A374E7" w:rsidP="008F39C5">
      <w:pPr>
        <w:spacing w:after="120" w:line="240" w:lineRule="auto"/>
        <w:rPr>
          <w:rFonts w:ascii="Arial" w:hAnsi="Arial" w:cs="Arial"/>
        </w:rPr>
      </w:pPr>
      <w:r w:rsidRPr="00003217">
        <w:rPr>
          <w:rFonts w:ascii="Arial" w:hAnsi="Arial" w:cs="Arial"/>
        </w:rPr>
        <w:t xml:space="preserve">New Zealand Food Safety administers the HSR system in New Zealand and is responsible for monitoring the implementation of the system in New Zealand. The HSR Unit, Department of Health and Aged Care Australia is responsible for monitoring implementation of the system in Australia. Monitoring HSR uptake in Australia has been contracted to Food Standards Australia New Zealand (FSANZ). </w:t>
      </w:r>
    </w:p>
    <w:p w14:paraId="600B21D0" w14:textId="77777777" w:rsidR="00A374E7" w:rsidRDefault="00A374E7" w:rsidP="008F39C5">
      <w:pPr>
        <w:spacing w:after="240" w:line="240" w:lineRule="auto"/>
        <w:rPr>
          <w:rFonts w:ascii="Arial" w:hAnsi="Arial" w:cs="Arial"/>
        </w:rPr>
      </w:pPr>
      <w:r w:rsidRPr="00003217">
        <w:rPr>
          <w:rFonts w:ascii="Arial" w:hAnsi="Arial" w:cs="Arial"/>
        </w:rPr>
        <w:t>The HSR monitoring framework</w:t>
      </w:r>
      <w:r w:rsidRPr="00003217">
        <w:rPr>
          <w:rStyle w:val="FootnoteReference"/>
          <w:rFonts w:ascii="Arial" w:hAnsi="Arial" w:cs="Arial"/>
        </w:rPr>
        <w:footnoteReference w:id="8"/>
      </w:r>
      <w:r w:rsidRPr="00003217">
        <w:rPr>
          <w:rFonts w:ascii="Arial" w:hAnsi="Arial" w:cs="Arial"/>
        </w:rPr>
        <w:t xml:space="preserve"> has been developed by the Food Regulation Standing Committee to guide priority areas of enquiry for the HSR system over the period 2023-2025 in both Australia and New Zealand. Monitoring against the established uptake targets is identified in this framework as an essential monitoring requirement. An HSR monitoring plan for 2024 was also developed which provided more details on how monitoring against the second interim uptake target was to be undertaken</w:t>
      </w:r>
      <w:r w:rsidRPr="00003217">
        <w:rPr>
          <w:rStyle w:val="FootnoteReference"/>
          <w:rFonts w:ascii="Arial" w:hAnsi="Arial" w:cs="Arial"/>
        </w:rPr>
        <w:footnoteReference w:id="9"/>
      </w:r>
      <w:r w:rsidRPr="00003217">
        <w:rPr>
          <w:rFonts w:ascii="Arial" w:hAnsi="Arial" w:cs="Arial"/>
        </w:rPr>
        <w:t xml:space="preserve">. There will also be a separate monitoring plan for 2025. </w:t>
      </w:r>
    </w:p>
    <w:p w14:paraId="261D20C0" w14:textId="26913F01" w:rsidR="00A374E7" w:rsidRPr="00003217" w:rsidRDefault="008F39C5" w:rsidP="008F39C5">
      <w:pPr>
        <w:pStyle w:val="Heading1NZ"/>
        <w:spacing w:before="0" w:after="120"/>
      </w:pPr>
      <w:bookmarkStart w:id="43" w:name="_Toc155358695"/>
      <w:bookmarkStart w:id="44" w:name="_Toc190429991"/>
      <w:r>
        <w:t>4</w:t>
      </w:r>
      <w:r>
        <w:tab/>
      </w:r>
      <w:r w:rsidR="00A374E7" w:rsidRPr="00003217">
        <w:t>Method</w:t>
      </w:r>
      <w:bookmarkEnd w:id="43"/>
      <w:r w:rsidR="00A374E7" w:rsidRPr="00003217">
        <w:t>s</w:t>
      </w:r>
      <w:bookmarkEnd w:id="44"/>
      <w:r w:rsidR="00A374E7" w:rsidRPr="00003217">
        <w:t xml:space="preserve"> </w:t>
      </w:r>
    </w:p>
    <w:p w14:paraId="467E26B6" w14:textId="1283080E" w:rsidR="00A374E7" w:rsidRPr="00003217" w:rsidRDefault="008F39C5" w:rsidP="008F39C5">
      <w:pPr>
        <w:pStyle w:val="Heading2NZ"/>
        <w:spacing w:after="120"/>
      </w:pPr>
      <w:bookmarkStart w:id="45" w:name="_Toc155358696"/>
      <w:bookmarkStart w:id="46" w:name="_Toc190429992"/>
      <w:r>
        <w:t>4.1</w:t>
      </w:r>
      <w:r>
        <w:tab/>
      </w:r>
      <w:r w:rsidR="00A374E7" w:rsidRPr="00003217">
        <w:t>GS1 on pack label database</w:t>
      </w:r>
      <w:bookmarkEnd w:id="45"/>
      <w:bookmarkEnd w:id="46"/>
      <w:r w:rsidR="00A374E7" w:rsidRPr="00003217">
        <w:t xml:space="preserve"> </w:t>
      </w:r>
    </w:p>
    <w:p w14:paraId="70A00076" w14:textId="77777777" w:rsidR="00A374E7" w:rsidRPr="00003217" w:rsidRDefault="00A374E7" w:rsidP="008F39C5">
      <w:pPr>
        <w:spacing w:after="120" w:line="240" w:lineRule="auto"/>
        <w:rPr>
          <w:rFonts w:ascii="Arial" w:hAnsi="Arial" w:cs="Arial"/>
        </w:rPr>
      </w:pPr>
      <w:r w:rsidRPr="00003217">
        <w:rPr>
          <w:rFonts w:ascii="Arial" w:hAnsi="Arial" w:cs="Arial"/>
        </w:rPr>
        <w:t>New Zealand Food Safety contracts access to the GS1 On Pack Database</w:t>
      </w:r>
      <w:r w:rsidRPr="00003217">
        <w:rPr>
          <w:rStyle w:val="FootnoteReference"/>
          <w:rFonts w:ascii="Arial" w:hAnsi="Arial" w:cs="Arial"/>
        </w:rPr>
        <w:footnoteReference w:id="10"/>
      </w:r>
      <w:r w:rsidRPr="00003217">
        <w:rPr>
          <w:rFonts w:ascii="Arial" w:hAnsi="Arial" w:cs="Arial"/>
        </w:rPr>
        <w:t xml:space="preserve">. </w:t>
      </w:r>
      <w:bookmarkStart w:id="47" w:name="_Hlk156552196"/>
      <w:r w:rsidRPr="00003217">
        <w:rPr>
          <w:rFonts w:ascii="Arial" w:hAnsi="Arial" w:cs="Arial"/>
        </w:rPr>
        <w:t xml:space="preserve">This is an inventory of label information from ~58,000 packaged food products that are or were available in the New Zealand market. The database includes images of products and searchable digitised label information including ingredient lists, nutritional information, allergens, country of origin, health star ratings and claims. </w:t>
      </w:r>
    </w:p>
    <w:p w14:paraId="0ECF6E4F" w14:textId="77777777" w:rsidR="00A374E7" w:rsidRPr="00003217" w:rsidRDefault="00A374E7" w:rsidP="008F39C5">
      <w:pPr>
        <w:spacing w:after="120" w:line="240" w:lineRule="auto"/>
        <w:rPr>
          <w:rFonts w:ascii="Arial" w:hAnsi="Arial" w:cs="Arial"/>
        </w:rPr>
      </w:pPr>
      <w:bookmarkStart w:id="48" w:name="_Hlk156552700"/>
      <w:bookmarkEnd w:id="47"/>
      <w:r w:rsidRPr="00003217">
        <w:rPr>
          <w:rFonts w:ascii="Arial" w:hAnsi="Arial" w:cs="Arial"/>
        </w:rPr>
        <w:t xml:space="preserve">The database predominantly includes food product information from the two major supermarket retailers, Foodstuffs New Zealand (New World, Pak’nSave, Four Square) and Progressive Enterprises (Woolworths, Foodtown, FreshChoice). </w:t>
      </w:r>
      <w:bookmarkEnd w:id="48"/>
      <w:r w:rsidRPr="00003217">
        <w:rPr>
          <w:rFonts w:ascii="Arial" w:hAnsi="Arial" w:cs="Arial"/>
        </w:rPr>
        <w:t>It also has limited data from other retailers, such as liquor stores and specialty stores where there has been specified collection activity. Every six months the database is matched to Circana sales information to estimate product category coverage. As at September 2024, the database is estimated to represent over 90% of pre-packaged food sales in New Zealand.</w:t>
      </w:r>
    </w:p>
    <w:p w14:paraId="70395CBF" w14:textId="77777777" w:rsidR="00A374E7" w:rsidRPr="00003217" w:rsidRDefault="00A374E7" w:rsidP="008F39C5">
      <w:pPr>
        <w:spacing w:after="0" w:line="240" w:lineRule="auto"/>
        <w:rPr>
          <w:rFonts w:ascii="Arial" w:hAnsi="Arial" w:cs="Arial"/>
        </w:rPr>
      </w:pPr>
      <w:r w:rsidRPr="00003217">
        <w:rPr>
          <w:rFonts w:ascii="Arial" w:hAnsi="Arial" w:cs="Arial"/>
        </w:rPr>
        <w:t>The On Pack database has a rolling data collection, where products are continuously uploaded to the database when available. Product data comes into the database through the following channels:</w:t>
      </w:r>
    </w:p>
    <w:p w14:paraId="63A80AEA" w14:textId="77777777" w:rsidR="00A374E7" w:rsidRPr="00003217" w:rsidRDefault="00A374E7" w:rsidP="008F39C5">
      <w:pPr>
        <w:pStyle w:val="ListParagraph"/>
        <w:numPr>
          <w:ilvl w:val="0"/>
          <w:numId w:val="19"/>
        </w:numPr>
        <w:spacing w:after="0" w:line="240" w:lineRule="auto"/>
        <w:contextualSpacing w:val="0"/>
        <w:rPr>
          <w:rFonts w:ascii="Arial" w:hAnsi="Arial" w:cs="Arial"/>
        </w:rPr>
      </w:pPr>
      <w:r w:rsidRPr="00003217">
        <w:rPr>
          <w:rFonts w:ascii="Arial" w:hAnsi="Arial" w:cs="Arial"/>
        </w:rPr>
        <w:t>Physical product received by GS1 through ProductFlow</w:t>
      </w:r>
      <w:r w:rsidRPr="00003217">
        <w:rPr>
          <w:rStyle w:val="FootnoteReference"/>
          <w:rFonts w:ascii="Arial" w:hAnsi="Arial" w:cs="Arial"/>
        </w:rPr>
        <w:footnoteReference w:id="11"/>
      </w:r>
      <w:r w:rsidRPr="00003217">
        <w:rPr>
          <w:rFonts w:ascii="Arial" w:hAnsi="Arial" w:cs="Arial"/>
        </w:rPr>
        <w:t xml:space="preserve"> </w:t>
      </w:r>
    </w:p>
    <w:p w14:paraId="40B792D7" w14:textId="77777777" w:rsidR="00A374E7" w:rsidRPr="00003217" w:rsidRDefault="00A374E7" w:rsidP="008F39C5">
      <w:pPr>
        <w:pStyle w:val="ListParagraph"/>
        <w:numPr>
          <w:ilvl w:val="0"/>
          <w:numId w:val="19"/>
        </w:numPr>
        <w:spacing w:after="0" w:line="240" w:lineRule="auto"/>
        <w:contextualSpacing w:val="0"/>
        <w:rPr>
          <w:rFonts w:ascii="Arial" w:hAnsi="Arial" w:cs="Arial"/>
        </w:rPr>
      </w:pPr>
      <w:r w:rsidRPr="00003217">
        <w:rPr>
          <w:rFonts w:ascii="Arial" w:hAnsi="Arial" w:cs="Arial"/>
        </w:rPr>
        <w:t xml:space="preserve">Through an in-market collection programme (audit or in-market collection) </w:t>
      </w:r>
    </w:p>
    <w:p w14:paraId="5D892828" w14:textId="77777777" w:rsidR="00A374E7" w:rsidRPr="00003217" w:rsidRDefault="00A374E7" w:rsidP="008F39C5">
      <w:pPr>
        <w:pStyle w:val="ListParagraph"/>
        <w:numPr>
          <w:ilvl w:val="0"/>
          <w:numId w:val="19"/>
        </w:numPr>
        <w:spacing w:after="120" w:line="240" w:lineRule="auto"/>
        <w:contextualSpacing w:val="0"/>
        <w:rPr>
          <w:rFonts w:ascii="Arial" w:hAnsi="Arial" w:cs="Arial"/>
        </w:rPr>
      </w:pPr>
      <w:r w:rsidRPr="00003217">
        <w:rPr>
          <w:rFonts w:ascii="Arial" w:hAnsi="Arial" w:cs="Arial"/>
        </w:rPr>
        <w:t>Directly from the supplier (in select cases)</w:t>
      </w:r>
    </w:p>
    <w:p w14:paraId="4A80940F" w14:textId="77777777" w:rsidR="00A374E7" w:rsidRPr="00003217" w:rsidRDefault="00A374E7" w:rsidP="008F39C5">
      <w:pPr>
        <w:keepNext/>
        <w:keepLines/>
        <w:spacing w:after="120" w:line="240" w:lineRule="auto"/>
        <w:rPr>
          <w:rFonts w:ascii="Arial" w:hAnsi="Arial" w:cs="Arial"/>
        </w:rPr>
      </w:pPr>
      <w:r w:rsidRPr="00003217">
        <w:rPr>
          <w:rFonts w:ascii="Arial" w:hAnsi="Arial" w:cs="Arial"/>
        </w:rPr>
        <w:lastRenderedPageBreak/>
        <w:t>The On Pack database categorises products according to the GS1 Global Product Classification (GPC)</w:t>
      </w:r>
      <w:r w:rsidRPr="00003217">
        <w:rPr>
          <w:rStyle w:val="FootnoteReference"/>
          <w:rFonts w:ascii="Arial" w:hAnsi="Arial" w:cs="Arial"/>
        </w:rPr>
        <w:footnoteReference w:id="12"/>
      </w:r>
      <w:r w:rsidRPr="00003217">
        <w:rPr>
          <w:rFonts w:ascii="Arial" w:hAnsi="Arial" w:cs="Arial"/>
        </w:rPr>
        <w:t xml:space="preserve">. This groups products into categories based on their essential properties as well as their relationships to other products. This contains a hierarchy of classification, the highest level of classification is a ‘segment’ - this represents an industry sector (e.g. food/beverage/tobacco). The lowest level of classification is a ‘brick’ - this is a category of similar products (e.g. perishable milk). </w:t>
      </w:r>
    </w:p>
    <w:p w14:paraId="072B9E6B" w14:textId="6DB998EE" w:rsidR="00A374E7" w:rsidRPr="00003217" w:rsidRDefault="00A374E7" w:rsidP="008F39C5">
      <w:pPr>
        <w:spacing w:after="120" w:line="240" w:lineRule="auto"/>
        <w:rPr>
          <w:rFonts w:ascii="Arial" w:hAnsi="Arial" w:cs="Arial"/>
        </w:rPr>
      </w:pPr>
      <w:r w:rsidRPr="00003217">
        <w:rPr>
          <w:rFonts w:ascii="Arial" w:hAnsi="Arial" w:cs="Arial"/>
        </w:rPr>
        <w:t>Accuracy of the database is routinely checked through biannual audits. For each audit, GS1 randomly selects approximately 500 products in one supermarket (alternating between the different major supermarket retailers)</w:t>
      </w:r>
      <w:r w:rsidR="00E45BF2" w:rsidRPr="00003217">
        <w:rPr>
          <w:rFonts w:ascii="Arial" w:hAnsi="Arial" w:cs="Arial"/>
        </w:rPr>
        <w:t xml:space="preserve">. Each </w:t>
      </w:r>
      <w:r w:rsidRPr="00003217">
        <w:rPr>
          <w:rFonts w:ascii="Arial" w:hAnsi="Arial" w:cs="Arial"/>
        </w:rPr>
        <w:t xml:space="preserve"> product record is checked in the On Pack database. If the product is not already in the On Pack database this is added, or the necessary updates are made if the data needs to be updated. In-market collections can also be commissioned to fill identified data gaps or to ensure accuracy of the database for areas of interest. </w:t>
      </w:r>
    </w:p>
    <w:p w14:paraId="2F6925CB" w14:textId="263B80DB" w:rsidR="00A374E7" w:rsidRPr="00003217" w:rsidRDefault="008F39C5" w:rsidP="008F39C5">
      <w:pPr>
        <w:pStyle w:val="Heading2NZ"/>
        <w:spacing w:after="120"/>
      </w:pPr>
      <w:bookmarkStart w:id="49" w:name="_Toc190429993"/>
      <w:r>
        <w:t>4.2</w:t>
      </w:r>
      <w:r>
        <w:tab/>
      </w:r>
      <w:r w:rsidR="00A374E7" w:rsidRPr="00003217">
        <w:t>Data analysis</w:t>
      </w:r>
      <w:bookmarkEnd w:id="49"/>
      <w:r w:rsidR="00A374E7" w:rsidRPr="00003217">
        <w:t xml:space="preserve"> </w:t>
      </w:r>
    </w:p>
    <w:p w14:paraId="6FDBBC0D" w14:textId="77777777" w:rsidR="00A374E7" w:rsidRPr="00003217" w:rsidRDefault="00A374E7" w:rsidP="008F39C5">
      <w:pPr>
        <w:spacing w:after="120" w:line="240" w:lineRule="auto"/>
        <w:rPr>
          <w:rFonts w:ascii="Arial" w:hAnsi="Arial" w:cs="Arial"/>
        </w:rPr>
      </w:pPr>
      <w:bookmarkStart w:id="50" w:name="_Hlk156552208"/>
      <w:r w:rsidRPr="00003217">
        <w:rPr>
          <w:rFonts w:ascii="Arial" w:hAnsi="Arial" w:cs="Arial"/>
        </w:rPr>
        <w:t>All products in the On Pack database which had been purchased in the last 12 months were included in the analysis (excluding festive products</w:t>
      </w:r>
      <w:r w:rsidRPr="00003217">
        <w:rPr>
          <w:rStyle w:val="FootnoteReference"/>
          <w:rFonts w:ascii="Arial" w:hAnsi="Arial" w:cs="Arial"/>
        </w:rPr>
        <w:footnoteReference w:id="13"/>
      </w:r>
      <w:r w:rsidRPr="00003217">
        <w:rPr>
          <w:rFonts w:ascii="Arial" w:hAnsi="Arial" w:cs="Arial"/>
        </w:rPr>
        <w:t xml:space="preserve">). Data was extracted from the database in December 2024. </w:t>
      </w:r>
    </w:p>
    <w:p w14:paraId="7921D8BD" w14:textId="77777777" w:rsidR="00A374E7" w:rsidRPr="00003217" w:rsidRDefault="00A374E7" w:rsidP="008F39C5">
      <w:pPr>
        <w:spacing w:after="0" w:line="240" w:lineRule="auto"/>
        <w:rPr>
          <w:rFonts w:ascii="Arial" w:hAnsi="Arial" w:cs="Arial"/>
        </w:rPr>
      </w:pPr>
      <w:bookmarkStart w:id="51" w:name="_Hlk156552032"/>
      <w:bookmarkEnd w:id="50"/>
      <w:r w:rsidRPr="00003217">
        <w:rPr>
          <w:rFonts w:ascii="Arial" w:hAnsi="Arial" w:cs="Arial"/>
        </w:rPr>
        <w:t>All products included in the analysis (n=26,628) were classified into one of the following groups:</w:t>
      </w:r>
    </w:p>
    <w:p w14:paraId="2284BB34" w14:textId="77777777" w:rsidR="00A374E7" w:rsidRPr="00003217" w:rsidRDefault="00A374E7" w:rsidP="008F39C5">
      <w:pPr>
        <w:pStyle w:val="ListParagraph"/>
        <w:numPr>
          <w:ilvl w:val="0"/>
          <w:numId w:val="21"/>
        </w:numPr>
        <w:spacing w:after="0" w:line="240" w:lineRule="auto"/>
        <w:contextualSpacing w:val="0"/>
        <w:rPr>
          <w:rFonts w:ascii="Arial" w:hAnsi="Arial" w:cs="Arial"/>
        </w:rPr>
      </w:pPr>
      <w:r w:rsidRPr="00003217">
        <w:rPr>
          <w:rFonts w:ascii="Arial" w:hAnsi="Arial" w:cs="Arial"/>
        </w:rPr>
        <w:t xml:space="preserve">Permitted and intended to display an HSR (n=18,993) </w:t>
      </w:r>
    </w:p>
    <w:p w14:paraId="590E8D22" w14:textId="77777777" w:rsidR="00A374E7" w:rsidRPr="00003217" w:rsidRDefault="00A374E7" w:rsidP="008F39C5">
      <w:pPr>
        <w:pStyle w:val="ListParagraph"/>
        <w:numPr>
          <w:ilvl w:val="0"/>
          <w:numId w:val="21"/>
        </w:numPr>
        <w:spacing w:after="0" w:line="240" w:lineRule="auto"/>
        <w:contextualSpacing w:val="0"/>
        <w:rPr>
          <w:rFonts w:ascii="Arial" w:hAnsi="Arial" w:cs="Arial"/>
        </w:rPr>
      </w:pPr>
      <w:r w:rsidRPr="00003217">
        <w:rPr>
          <w:rFonts w:ascii="Arial" w:hAnsi="Arial" w:cs="Arial"/>
        </w:rPr>
        <w:t xml:space="preserve">Permitted but not intended to display an HSR (n=3,351) </w:t>
      </w:r>
    </w:p>
    <w:p w14:paraId="1E4949FD" w14:textId="77777777" w:rsidR="00A374E7" w:rsidRPr="00003217" w:rsidRDefault="00A374E7" w:rsidP="008F39C5">
      <w:pPr>
        <w:pStyle w:val="ListParagraph"/>
        <w:numPr>
          <w:ilvl w:val="0"/>
          <w:numId w:val="21"/>
        </w:numPr>
        <w:spacing w:after="120" w:line="240" w:lineRule="auto"/>
        <w:contextualSpacing w:val="0"/>
        <w:rPr>
          <w:rFonts w:ascii="Arial" w:hAnsi="Arial" w:cs="Arial"/>
        </w:rPr>
      </w:pPr>
      <w:r w:rsidRPr="00003217">
        <w:rPr>
          <w:rFonts w:ascii="Arial" w:hAnsi="Arial" w:cs="Arial"/>
        </w:rPr>
        <w:t xml:space="preserve">Not permitted to display an HSR (n=4,284) </w:t>
      </w:r>
      <w:bookmarkEnd w:id="51"/>
    </w:p>
    <w:p w14:paraId="5BC5A468" w14:textId="77777777" w:rsidR="00A374E7" w:rsidRPr="00003217" w:rsidRDefault="00A374E7" w:rsidP="008F39C5">
      <w:pPr>
        <w:spacing w:after="120" w:line="240" w:lineRule="auto"/>
        <w:rPr>
          <w:rFonts w:ascii="Arial" w:hAnsi="Arial" w:cs="Arial"/>
        </w:rPr>
      </w:pPr>
      <w:r w:rsidRPr="00003217">
        <w:rPr>
          <w:rFonts w:ascii="Arial" w:hAnsi="Arial" w:cs="Arial"/>
        </w:rPr>
        <w:t xml:space="preserve">Where possible, all products in a GPC brick were automatically classified to one of these groups based on a previous analysis undertaken in 2022. For the current analysis, it was assumed that the 2022 classifications were still accurate. In 2023, FSANZ also independently classified GPC bricks into these three groups. This was compared with the New Zealand Food Safety 2022 classification of GPC bricks to ensure consistency between the analysis in Australia and New Zealand. </w:t>
      </w:r>
    </w:p>
    <w:p w14:paraId="054B0D5D" w14:textId="77777777" w:rsidR="00A374E7" w:rsidRPr="00003217" w:rsidRDefault="00A374E7" w:rsidP="008F39C5">
      <w:pPr>
        <w:spacing w:after="240" w:line="240" w:lineRule="auto"/>
        <w:rPr>
          <w:rFonts w:ascii="Arial" w:hAnsi="Arial" w:cs="Arial"/>
        </w:rPr>
      </w:pPr>
      <w:bookmarkStart w:id="52" w:name="_Hlk157081784"/>
      <w:r w:rsidRPr="00003217">
        <w:rPr>
          <w:rFonts w:ascii="Arial" w:hAnsi="Arial" w:cs="Arial"/>
        </w:rPr>
        <w:t>For GPC bricks that could not be automatically classified</w:t>
      </w:r>
      <w:r w:rsidRPr="00003217">
        <w:rPr>
          <w:rStyle w:val="FootnoteReference"/>
          <w:rFonts w:ascii="Arial" w:hAnsi="Arial" w:cs="Arial"/>
        </w:rPr>
        <w:footnoteReference w:id="14"/>
      </w:r>
      <w:r w:rsidRPr="00003217">
        <w:rPr>
          <w:rFonts w:ascii="Arial" w:hAnsi="Arial" w:cs="Arial"/>
        </w:rPr>
        <w:t>, each product in these GPC bricks (</w:t>
      </w:r>
      <w:bookmarkEnd w:id="52"/>
      <w:r w:rsidRPr="00003217">
        <w:rPr>
          <w:rFonts w:ascii="Arial" w:hAnsi="Arial" w:cs="Arial"/>
        </w:rPr>
        <w:t xml:space="preserve">5,588 products) was individually classified into one of these three groups. Appendix 1 provides guidance on how products were classified into groups 1-3. </w:t>
      </w:r>
    </w:p>
    <w:p w14:paraId="2B4C57EB" w14:textId="6CE6E269" w:rsidR="00A374E7" w:rsidRPr="00003217" w:rsidRDefault="008F39C5" w:rsidP="008F39C5">
      <w:pPr>
        <w:pStyle w:val="Heading1NZ"/>
        <w:spacing w:before="0" w:after="120"/>
      </w:pPr>
      <w:bookmarkStart w:id="53" w:name="_Toc155358697"/>
      <w:bookmarkStart w:id="54" w:name="_Toc190429994"/>
      <w:r>
        <w:t>5</w:t>
      </w:r>
      <w:r>
        <w:tab/>
      </w:r>
      <w:r w:rsidR="00A374E7" w:rsidRPr="00003217">
        <w:t>Results</w:t>
      </w:r>
      <w:bookmarkEnd w:id="53"/>
      <w:bookmarkEnd w:id="54"/>
      <w:r w:rsidR="00A374E7" w:rsidRPr="00003217">
        <w:t xml:space="preserve"> </w:t>
      </w:r>
    </w:p>
    <w:p w14:paraId="2AD58F84" w14:textId="77777777" w:rsidR="00A374E7" w:rsidRPr="00003217" w:rsidRDefault="00A374E7" w:rsidP="008F39C5">
      <w:pPr>
        <w:spacing w:after="120" w:line="240" w:lineRule="auto"/>
        <w:rPr>
          <w:rFonts w:ascii="Arial" w:hAnsi="Arial" w:cs="Arial"/>
        </w:rPr>
      </w:pPr>
      <w:bookmarkStart w:id="55" w:name="_Hlk156552038"/>
      <w:r w:rsidRPr="00003217">
        <w:rPr>
          <w:rFonts w:ascii="Arial" w:hAnsi="Arial" w:cs="Arial"/>
        </w:rPr>
        <w:t xml:space="preserve">In December 2024, the HSR system was displayed in the New Zealand On Pack database on 6,170 products intended to carry the system. This represents 33% of all products intended to display the system in this database. This is below the second interim uptake target of 60% of intended products having applied the HSR system by 14 November 2024. </w:t>
      </w:r>
    </w:p>
    <w:p w14:paraId="46AE3526" w14:textId="77777777" w:rsidR="00A374E7" w:rsidRPr="00003217" w:rsidRDefault="00A374E7" w:rsidP="008F39C5">
      <w:pPr>
        <w:spacing w:after="120" w:line="240" w:lineRule="auto"/>
        <w:rPr>
          <w:rFonts w:ascii="Arial" w:hAnsi="Arial" w:cs="Arial"/>
        </w:rPr>
      </w:pPr>
      <w:r w:rsidRPr="00003217">
        <w:rPr>
          <w:rFonts w:ascii="Arial" w:hAnsi="Arial" w:cs="Arial"/>
        </w:rPr>
        <w:t xml:space="preserve">In addition, an HSR was displayed on 401 products that are permitted to display an HSR but on which it was not intended. This includes unprocessed meat (n=20), water (n=34), eggs (n=58) and fresh/minimally processed fruit and vegetables (n=211). </w:t>
      </w:r>
    </w:p>
    <w:p w14:paraId="582D6A75" w14:textId="77777777" w:rsidR="00A374E7" w:rsidRPr="00003217" w:rsidRDefault="00A374E7" w:rsidP="004F338B">
      <w:pPr>
        <w:spacing w:after="240" w:line="240" w:lineRule="auto"/>
        <w:rPr>
          <w:rFonts w:ascii="Arial" w:hAnsi="Arial" w:cs="Arial"/>
        </w:rPr>
      </w:pPr>
      <w:r w:rsidRPr="00003217">
        <w:rPr>
          <w:rFonts w:ascii="Arial" w:hAnsi="Arial" w:cs="Arial"/>
        </w:rPr>
        <w:lastRenderedPageBreak/>
        <w:t xml:space="preserve">None of the products prohibited from using the system were displaying an HSR. Alcoholic beverages or line extensions of alcoholic beverages made up the vast majority (91%) of products prohibited from using the system. </w:t>
      </w:r>
      <w:bookmarkEnd w:id="55"/>
    </w:p>
    <w:p w14:paraId="6159F1D4" w14:textId="60833FF2" w:rsidR="00A374E7" w:rsidRPr="00003217" w:rsidRDefault="008F39C5" w:rsidP="008F39C5">
      <w:pPr>
        <w:pStyle w:val="Heading1NZ"/>
        <w:spacing w:before="0" w:after="120"/>
      </w:pPr>
      <w:bookmarkStart w:id="56" w:name="_Toc190429995"/>
      <w:r>
        <w:t>6</w:t>
      </w:r>
      <w:r>
        <w:tab/>
      </w:r>
      <w:r w:rsidR="00A374E7" w:rsidRPr="00003217">
        <w:t>Discussion</w:t>
      </w:r>
      <w:bookmarkEnd w:id="56"/>
    </w:p>
    <w:p w14:paraId="529F3E5C" w14:textId="77777777" w:rsidR="00A374E7" w:rsidRPr="00003217" w:rsidRDefault="00A374E7" w:rsidP="008F39C5">
      <w:pPr>
        <w:spacing w:after="120" w:line="240" w:lineRule="auto"/>
        <w:rPr>
          <w:rFonts w:ascii="Arial" w:hAnsi="Arial" w:cs="Arial"/>
        </w:rPr>
      </w:pPr>
      <w:r w:rsidRPr="00003217">
        <w:rPr>
          <w:rFonts w:ascii="Arial" w:hAnsi="Arial" w:cs="Arial"/>
        </w:rPr>
        <w:t xml:space="preserve">An HSR was displayed on 33% of products intended to display the system. This is below the second interim uptake target of 60% of intended products having applied the HSR system by 14 November 2024. </w:t>
      </w:r>
    </w:p>
    <w:p w14:paraId="1D83D5D2" w14:textId="77777777" w:rsidR="00A374E7" w:rsidRPr="00003217" w:rsidRDefault="00A374E7" w:rsidP="008F39C5">
      <w:pPr>
        <w:spacing w:after="120" w:line="240" w:lineRule="auto"/>
        <w:rPr>
          <w:rFonts w:ascii="Arial" w:hAnsi="Arial" w:cs="Arial"/>
        </w:rPr>
      </w:pPr>
      <w:r w:rsidRPr="00003217">
        <w:rPr>
          <w:rFonts w:ascii="Arial" w:hAnsi="Arial" w:cs="Arial"/>
        </w:rPr>
        <w:t>New Zealand Food Safety used the same methodology and database as for the monitoring undertaken in 2023 against interim target 1. Uptake is slightly higher than in 2023, which found that the HSR was on 30% of intended products in New Zealand</w:t>
      </w:r>
      <w:r w:rsidRPr="00003217">
        <w:rPr>
          <w:rStyle w:val="FootnoteReference"/>
          <w:rFonts w:ascii="Arial" w:hAnsi="Arial" w:cs="Arial"/>
        </w:rPr>
        <w:footnoteReference w:id="15"/>
      </w:r>
      <w:r w:rsidRPr="00003217">
        <w:rPr>
          <w:rFonts w:ascii="Arial" w:hAnsi="Arial" w:cs="Arial"/>
        </w:rPr>
        <w:t xml:space="preserve">. Compared to 2023, 344 more products were now displaying the system. There were 752 fewer products intended to display the system on the market in 2024 compared to 2023 (19,745 in 2023 and 18,993 in 2024). Both the increase in products displaying the system and the overall decrease in products intended to display the system contributed to the 3% increase in uptake shown between 2023 and 2024. </w:t>
      </w:r>
    </w:p>
    <w:p w14:paraId="74FC05A1" w14:textId="77777777" w:rsidR="00A374E7" w:rsidRPr="00003217" w:rsidRDefault="00A374E7" w:rsidP="008F39C5">
      <w:pPr>
        <w:spacing w:after="120" w:line="240" w:lineRule="auto"/>
        <w:rPr>
          <w:rFonts w:ascii="Arial" w:hAnsi="Arial" w:cs="Arial"/>
        </w:rPr>
      </w:pPr>
      <w:r w:rsidRPr="00003217">
        <w:rPr>
          <w:rFonts w:ascii="Arial" w:hAnsi="Arial" w:cs="Arial"/>
        </w:rPr>
        <w:t xml:space="preserve">New Zealand Food Safety will use this same methodology and database to evaluate uptake against the final target in 2025 (70%) to ensure results are comparable. </w:t>
      </w:r>
    </w:p>
    <w:p w14:paraId="1ECCA6DC" w14:textId="042CC4FF" w:rsidR="00A374E7" w:rsidRPr="00003217" w:rsidRDefault="00A374E7" w:rsidP="008F39C5">
      <w:pPr>
        <w:spacing w:after="120" w:line="240" w:lineRule="auto"/>
        <w:rPr>
          <w:rFonts w:ascii="Arial" w:hAnsi="Arial" w:cs="Arial"/>
        </w:rPr>
      </w:pPr>
      <w:bookmarkStart w:id="57" w:name="_Hlk156552127"/>
      <w:r w:rsidRPr="00003217">
        <w:rPr>
          <w:rFonts w:ascii="Arial" w:hAnsi="Arial" w:cs="Arial"/>
        </w:rPr>
        <w:t>The results from the monitoring in 2023 and 2024 cannot be compared to previous HSR uptake estimates undertaken in 2016 and 2018 in New Zealand. This is due to differences in methodology and databases</w:t>
      </w:r>
      <w:bookmarkEnd w:id="57"/>
      <w:r w:rsidRPr="00003217">
        <w:rPr>
          <w:rFonts w:ascii="Arial" w:hAnsi="Arial" w:cs="Arial"/>
        </w:rPr>
        <w:t>. In 2018 and 2016, HSR uptake in New Zealand was calculated using the Nutritrack database</w:t>
      </w:r>
      <w:r w:rsidRPr="00003217">
        <w:rPr>
          <w:rStyle w:val="FootnoteReference"/>
          <w:rFonts w:ascii="Arial" w:hAnsi="Arial" w:cs="Arial"/>
        </w:rPr>
        <w:footnoteReference w:id="16"/>
      </w:r>
      <w:r w:rsidRPr="00003217">
        <w:rPr>
          <w:rFonts w:ascii="Arial" w:hAnsi="Arial" w:cs="Arial"/>
        </w:rPr>
        <w:t>, which New Zealand Food Safety contracted access to at that time</w:t>
      </w:r>
      <w:r w:rsidR="00E45BF2" w:rsidRPr="00003217">
        <w:rPr>
          <w:rFonts w:ascii="Arial" w:hAnsi="Arial" w:cs="Arial"/>
        </w:rPr>
        <w:t>. T</w:t>
      </w:r>
      <w:r w:rsidRPr="00003217">
        <w:rPr>
          <w:rFonts w:ascii="Arial" w:hAnsi="Arial" w:cs="Arial"/>
        </w:rPr>
        <w:t xml:space="preserve">the uptake was </w:t>
      </w:r>
      <w:r w:rsidR="00E45BF2" w:rsidRPr="00003217">
        <w:rPr>
          <w:rFonts w:ascii="Arial" w:hAnsi="Arial" w:cs="Arial"/>
        </w:rPr>
        <w:t xml:space="preserve">then </w:t>
      </w:r>
      <w:r w:rsidRPr="00003217">
        <w:rPr>
          <w:rFonts w:ascii="Arial" w:hAnsi="Arial" w:cs="Arial"/>
        </w:rPr>
        <w:t xml:space="preserve">estimated on products eligible to display an HSR (both groups 1 and 2 above) rather than only products intended to display an HSR (group 1 above) as was the case in this monitoring. </w:t>
      </w:r>
    </w:p>
    <w:p w14:paraId="6531431B" w14:textId="77777777" w:rsidR="00A374E7" w:rsidRPr="00003217" w:rsidRDefault="00A374E7" w:rsidP="008F39C5">
      <w:pPr>
        <w:spacing w:after="120" w:line="240" w:lineRule="auto"/>
        <w:rPr>
          <w:rFonts w:ascii="Arial" w:hAnsi="Arial" w:cs="Arial"/>
        </w:rPr>
      </w:pPr>
      <w:r w:rsidRPr="00003217">
        <w:rPr>
          <w:rFonts w:ascii="Arial" w:hAnsi="Arial" w:cs="Arial"/>
        </w:rPr>
        <w:t xml:space="preserve">New Zealand Food Safety identified two potential limitations as the HSR monitoring programme was being designed and implemented and undertook measures to mitigate the issues. </w:t>
      </w:r>
    </w:p>
    <w:p w14:paraId="46C0E08C" w14:textId="77777777" w:rsidR="00A374E7" w:rsidRPr="00003217" w:rsidRDefault="00A374E7" w:rsidP="008F39C5">
      <w:pPr>
        <w:spacing w:after="120" w:line="240" w:lineRule="auto"/>
        <w:rPr>
          <w:rFonts w:ascii="Arial" w:hAnsi="Arial" w:cs="Arial"/>
          <w:highlight w:val="yellow"/>
        </w:rPr>
      </w:pPr>
      <w:r w:rsidRPr="00003217">
        <w:rPr>
          <w:rFonts w:ascii="Arial" w:hAnsi="Arial" w:cs="Arial"/>
        </w:rPr>
        <w:t xml:space="preserve">Firstly, it is possible that the On Pack database has not captured all products currently displaying an HSR in New Zealand. This was mitigated prior to monitoring through regular audits and in-market collections by GS1. GS1 and New Zealand Food Safety have also been engaging with industry to encourage them to ensure their product information was up to date in the On Pack database. </w:t>
      </w:r>
    </w:p>
    <w:p w14:paraId="0E82EB29" w14:textId="74EAEB91" w:rsidR="0065585F" w:rsidRDefault="00A374E7" w:rsidP="008F39C5">
      <w:pPr>
        <w:spacing w:after="240" w:line="240" w:lineRule="auto"/>
        <w:rPr>
          <w:rFonts w:ascii="Arial" w:hAnsi="Arial" w:cs="Arial"/>
        </w:rPr>
      </w:pPr>
      <w:r w:rsidRPr="00003217">
        <w:rPr>
          <w:rFonts w:ascii="Arial" w:hAnsi="Arial" w:cs="Arial"/>
        </w:rPr>
        <w:t>Secondly, there is a possibility that some products could have been misclassified as intended or not intended to display the HSR. This was mitigated by the same New Zealand Food Safety scientist undertaking the classification in 2023 and 2024. In 2023 the analysis was independently undertaken by two New Zealand Food Safety scientists and any differences discussed and reconciled. Broad categorisation approaches were discussed with FSANZ to ensure harmonisation with the parallel monitoring programme being carried out in Australia. These classification approaches were also applied in the 2024 monitoring.</w:t>
      </w:r>
    </w:p>
    <w:p w14:paraId="735BFCCE" w14:textId="77777777" w:rsidR="0065585F" w:rsidRDefault="0065585F">
      <w:pPr>
        <w:rPr>
          <w:rFonts w:ascii="Arial" w:hAnsi="Arial" w:cs="Arial"/>
        </w:rPr>
      </w:pPr>
      <w:r>
        <w:rPr>
          <w:rFonts w:ascii="Arial" w:hAnsi="Arial" w:cs="Arial"/>
        </w:rPr>
        <w:br w:type="page"/>
      </w:r>
    </w:p>
    <w:p w14:paraId="4F843892" w14:textId="7166F920" w:rsidR="00A374E7" w:rsidRPr="00003217" w:rsidRDefault="008F39C5" w:rsidP="008F39C5">
      <w:pPr>
        <w:pStyle w:val="Heading1NZ"/>
        <w:spacing w:before="0" w:after="120"/>
      </w:pPr>
      <w:bookmarkStart w:id="58" w:name="_Toc190429996"/>
      <w:r>
        <w:lastRenderedPageBreak/>
        <w:t>7</w:t>
      </w:r>
      <w:r>
        <w:tab/>
      </w:r>
      <w:r w:rsidR="00A374E7" w:rsidRPr="00003217">
        <w:t>Conclusions</w:t>
      </w:r>
      <w:bookmarkEnd w:id="58"/>
    </w:p>
    <w:p w14:paraId="1E7B071E" w14:textId="77777777" w:rsidR="00A374E7" w:rsidRPr="00003217" w:rsidRDefault="00A374E7" w:rsidP="008F39C5">
      <w:pPr>
        <w:spacing w:after="120" w:line="240" w:lineRule="auto"/>
        <w:rPr>
          <w:rFonts w:ascii="Arial" w:hAnsi="Arial" w:cs="Arial"/>
        </w:rPr>
      </w:pPr>
      <w:r w:rsidRPr="00003217">
        <w:rPr>
          <w:rFonts w:ascii="Arial" w:hAnsi="Arial" w:cs="Arial"/>
        </w:rPr>
        <w:t>In 2024 in New Zealand, the HSR was observed on 33% of products intended to display the system. This is significantly below the second interim uptake target of 60% of intended products having applied the HSR system by 14 November 2024. Uptake is 3% higher than in 2023, which found that the HSR was on 30% of intended products in New Zealand.</w:t>
      </w:r>
    </w:p>
    <w:p w14:paraId="248BB039" w14:textId="77777777" w:rsidR="004F338B" w:rsidRDefault="004F338B">
      <w:pPr>
        <w:rPr>
          <w:rFonts w:ascii="Arial Narrow" w:eastAsiaTheme="majorEastAsia" w:hAnsi="Arial Narrow" w:cs="Arial"/>
          <w:b/>
          <w:bCs/>
          <w:sz w:val="36"/>
          <w:szCs w:val="36"/>
        </w:rPr>
      </w:pPr>
      <w:bookmarkStart w:id="59" w:name="_Toc155358699"/>
      <w:r>
        <w:br w:type="page"/>
      </w:r>
    </w:p>
    <w:p w14:paraId="7B168BB2" w14:textId="16826C91" w:rsidR="00A374E7" w:rsidRPr="00003217" w:rsidRDefault="00A374E7" w:rsidP="008F39C5">
      <w:pPr>
        <w:pStyle w:val="Heading1NZ"/>
      </w:pPr>
      <w:bookmarkStart w:id="60" w:name="_Toc190429997"/>
      <w:r w:rsidRPr="00003217">
        <w:lastRenderedPageBreak/>
        <w:t>Appendi</w:t>
      </w:r>
      <w:bookmarkEnd w:id="59"/>
      <w:r w:rsidRPr="00003217">
        <w:t>x 1</w:t>
      </w:r>
      <w:bookmarkStart w:id="61" w:name="_Toc155358700"/>
      <w:r w:rsidRPr="00003217">
        <w:t>: Guidance on classification of foods as intended, permitted but not intended, or not permitted to display an HSR</w:t>
      </w:r>
      <w:bookmarkEnd w:id="61"/>
      <w:r w:rsidRPr="00003217">
        <w:t>.</w:t>
      </w:r>
      <w:bookmarkEnd w:id="60"/>
      <w:r w:rsidRPr="00003217">
        <w:t xml:space="preserve"> </w:t>
      </w:r>
    </w:p>
    <w:p w14:paraId="2AFA3229" w14:textId="77777777" w:rsidR="00A374E7" w:rsidRPr="00003217" w:rsidRDefault="00A374E7" w:rsidP="00A374E7">
      <w:pPr>
        <w:rPr>
          <w:rFonts w:ascii="Arial" w:hAnsi="Arial" w:cs="Arial"/>
        </w:rPr>
      </w:pPr>
    </w:p>
    <w:tbl>
      <w:tblPr>
        <w:tblStyle w:val="TableGrid"/>
        <w:tblW w:w="5000" w:type="pct"/>
        <w:tblLook w:val="04A0" w:firstRow="1" w:lastRow="0" w:firstColumn="1" w:lastColumn="0" w:noHBand="0" w:noVBand="1"/>
      </w:tblPr>
      <w:tblGrid>
        <w:gridCol w:w="9070"/>
      </w:tblGrid>
      <w:tr w:rsidR="00A374E7" w:rsidRPr="00003217" w14:paraId="066382DE" w14:textId="77777777" w:rsidTr="003D75B4">
        <w:trPr>
          <w:trHeight w:val="428"/>
        </w:trPr>
        <w:tc>
          <w:tcPr>
            <w:tcW w:w="5000" w:type="pct"/>
            <w:tcBorders>
              <w:top w:val="single" w:sz="12" w:space="0" w:color="auto"/>
              <w:left w:val="nil"/>
              <w:bottom w:val="nil"/>
              <w:right w:val="nil"/>
            </w:tcBorders>
            <w:shd w:val="clear" w:color="auto" w:fill="D9D9D9" w:themeFill="background1" w:themeFillShade="D9"/>
          </w:tcPr>
          <w:p w14:paraId="5B632A88" w14:textId="77777777" w:rsidR="00A374E7" w:rsidRPr="00003217" w:rsidRDefault="00A374E7" w:rsidP="003D75B4">
            <w:pPr>
              <w:spacing w:before="60" w:after="60"/>
              <w:rPr>
                <w:rFonts w:ascii="Arial" w:hAnsi="Arial" w:cs="Arial"/>
                <w:b/>
                <w:bCs/>
                <w:sz w:val="24"/>
                <w:szCs w:val="24"/>
              </w:rPr>
            </w:pPr>
            <w:r w:rsidRPr="00003217">
              <w:rPr>
                <w:rFonts w:ascii="Arial" w:hAnsi="Arial" w:cs="Arial"/>
                <w:b/>
                <w:bCs/>
                <w:sz w:val="24"/>
                <w:szCs w:val="24"/>
              </w:rPr>
              <w:t>Not permitted to display an HSR</w:t>
            </w:r>
          </w:p>
        </w:tc>
      </w:tr>
      <w:tr w:rsidR="00A374E7" w:rsidRPr="00003217" w14:paraId="490B6C23" w14:textId="77777777" w:rsidTr="003D75B4">
        <w:trPr>
          <w:trHeight w:val="428"/>
        </w:trPr>
        <w:tc>
          <w:tcPr>
            <w:tcW w:w="5000" w:type="pct"/>
            <w:tcBorders>
              <w:top w:val="single" w:sz="12" w:space="0" w:color="auto"/>
              <w:left w:val="nil"/>
              <w:bottom w:val="nil"/>
              <w:right w:val="nil"/>
            </w:tcBorders>
            <w:shd w:val="clear" w:color="auto" w:fill="FFFFFF" w:themeFill="background1"/>
          </w:tcPr>
          <w:p w14:paraId="32A041DC" w14:textId="77777777" w:rsidR="00A374E7" w:rsidRPr="00003217" w:rsidRDefault="00A374E7" w:rsidP="003D75B4">
            <w:pPr>
              <w:spacing w:before="60" w:after="60"/>
              <w:rPr>
                <w:rFonts w:ascii="Arial" w:hAnsi="Arial" w:cs="Arial"/>
                <w:b/>
                <w:bCs/>
                <w:sz w:val="24"/>
                <w:szCs w:val="24"/>
              </w:rPr>
            </w:pPr>
            <w:r w:rsidRPr="00003217">
              <w:rPr>
                <w:rFonts w:ascii="Arial" w:hAnsi="Arial" w:cs="Arial"/>
              </w:rPr>
              <w:t>Foods with the prescribed name “formulated supplementary sports food”</w:t>
            </w:r>
          </w:p>
        </w:tc>
      </w:tr>
      <w:tr w:rsidR="00A374E7" w:rsidRPr="00003217" w14:paraId="7F7100CD" w14:textId="77777777" w:rsidTr="003D75B4">
        <w:trPr>
          <w:trHeight w:val="428"/>
        </w:trPr>
        <w:tc>
          <w:tcPr>
            <w:tcW w:w="5000" w:type="pct"/>
            <w:tcBorders>
              <w:top w:val="single" w:sz="12" w:space="0" w:color="auto"/>
              <w:left w:val="nil"/>
              <w:bottom w:val="nil"/>
              <w:right w:val="nil"/>
            </w:tcBorders>
            <w:shd w:val="clear" w:color="auto" w:fill="FFFFFF" w:themeFill="background1"/>
          </w:tcPr>
          <w:p w14:paraId="56406509" w14:textId="77777777" w:rsidR="00A374E7" w:rsidRPr="00003217" w:rsidRDefault="00A374E7" w:rsidP="003D75B4">
            <w:pPr>
              <w:spacing w:before="60" w:after="60"/>
              <w:rPr>
                <w:rFonts w:ascii="Arial" w:hAnsi="Arial" w:cs="Arial"/>
                <w:b/>
                <w:bCs/>
                <w:sz w:val="24"/>
                <w:szCs w:val="24"/>
              </w:rPr>
            </w:pPr>
            <w:r w:rsidRPr="00003217">
              <w:rPr>
                <w:rFonts w:ascii="Arial" w:hAnsi="Arial" w:cs="Arial"/>
              </w:rPr>
              <w:t>Foods for special medical purposes such as Optislim</w:t>
            </w:r>
          </w:p>
        </w:tc>
      </w:tr>
      <w:tr w:rsidR="00A374E7" w:rsidRPr="00003217" w14:paraId="761CBF0E" w14:textId="77777777" w:rsidTr="003D75B4">
        <w:trPr>
          <w:trHeight w:val="428"/>
        </w:trPr>
        <w:tc>
          <w:tcPr>
            <w:tcW w:w="5000" w:type="pct"/>
            <w:tcBorders>
              <w:top w:val="single" w:sz="12" w:space="0" w:color="auto"/>
              <w:left w:val="nil"/>
              <w:bottom w:val="nil"/>
              <w:right w:val="nil"/>
            </w:tcBorders>
            <w:shd w:val="clear" w:color="auto" w:fill="FFFFFF" w:themeFill="background1"/>
          </w:tcPr>
          <w:p w14:paraId="2D38C650" w14:textId="77777777" w:rsidR="00A374E7" w:rsidRPr="00003217" w:rsidRDefault="00A374E7" w:rsidP="003D75B4">
            <w:pPr>
              <w:spacing w:before="60" w:after="60"/>
              <w:rPr>
                <w:rFonts w:ascii="Arial" w:hAnsi="Arial" w:cs="Arial"/>
                <w:b/>
                <w:bCs/>
                <w:sz w:val="24"/>
                <w:szCs w:val="24"/>
              </w:rPr>
            </w:pPr>
            <w:r w:rsidRPr="00003217">
              <w:rPr>
                <w:rFonts w:ascii="Arial" w:hAnsi="Arial" w:cs="Arial"/>
              </w:rPr>
              <w:t>Products designed for infants &lt;1 year - includes infant formula and first foods with age range starting below 12 months</w:t>
            </w:r>
          </w:p>
        </w:tc>
      </w:tr>
      <w:tr w:rsidR="00A374E7" w:rsidRPr="00003217" w14:paraId="21AE6DC6" w14:textId="77777777" w:rsidTr="003D75B4">
        <w:trPr>
          <w:trHeight w:val="428"/>
        </w:trPr>
        <w:tc>
          <w:tcPr>
            <w:tcW w:w="5000" w:type="pct"/>
            <w:tcBorders>
              <w:top w:val="single" w:sz="12" w:space="0" w:color="auto"/>
              <w:left w:val="nil"/>
              <w:bottom w:val="nil"/>
              <w:right w:val="nil"/>
            </w:tcBorders>
            <w:shd w:val="clear" w:color="auto" w:fill="FFFFFF" w:themeFill="background1"/>
          </w:tcPr>
          <w:p w14:paraId="47DA6DAD" w14:textId="77777777" w:rsidR="00A374E7" w:rsidRPr="00003217" w:rsidRDefault="00A374E7" w:rsidP="003D75B4">
            <w:pPr>
              <w:spacing w:before="60" w:after="60"/>
              <w:rPr>
                <w:rFonts w:ascii="Arial" w:hAnsi="Arial" w:cs="Arial"/>
                <w:b/>
                <w:bCs/>
                <w:sz w:val="24"/>
                <w:szCs w:val="24"/>
              </w:rPr>
            </w:pPr>
            <w:r w:rsidRPr="00003217">
              <w:rPr>
                <w:rFonts w:ascii="Arial" w:hAnsi="Arial" w:cs="Arial"/>
              </w:rPr>
              <w:t>Alcohol or non-alcoholic beverages presented as a line extension of alcohol (e.g., alcohol free beer) or mixes designed to be used to make alcoholic drinks (e.g. cocktail kits). This includes Kombucha with ≥0.5% ABV.</w:t>
            </w:r>
          </w:p>
        </w:tc>
      </w:tr>
      <w:tr w:rsidR="00A374E7" w:rsidRPr="00003217" w14:paraId="54686181" w14:textId="77777777" w:rsidTr="003D75B4">
        <w:trPr>
          <w:trHeight w:val="428"/>
        </w:trPr>
        <w:tc>
          <w:tcPr>
            <w:tcW w:w="5000" w:type="pct"/>
            <w:tcBorders>
              <w:top w:val="single" w:sz="12" w:space="0" w:color="auto"/>
              <w:left w:val="nil"/>
              <w:bottom w:val="nil"/>
              <w:right w:val="nil"/>
            </w:tcBorders>
            <w:shd w:val="clear" w:color="auto" w:fill="FFFFFF" w:themeFill="background1"/>
          </w:tcPr>
          <w:p w14:paraId="3BB61C4C" w14:textId="77777777" w:rsidR="00A374E7" w:rsidRPr="00003217" w:rsidRDefault="00A374E7" w:rsidP="003D75B4">
            <w:pPr>
              <w:spacing w:before="60" w:after="60"/>
              <w:rPr>
                <w:rFonts w:ascii="Arial" w:hAnsi="Arial" w:cs="Arial"/>
                <w:b/>
                <w:bCs/>
                <w:sz w:val="24"/>
                <w:szCs w:val="24"/>
              </w:rPr>
            </w:pPr>
            <w:r w:rsidRPr="00003217">
              <w:rPr>
                <w:rFonts w:ascii="Arial" w:hAnsi="Arial" w:cs="Arial"/>
              </w:rPr>
              <w:t>Dietary supplements - e.g. capsules and tablets</w:t>
            </w:r>
          </w:p>
        </w:tc>
      </w:tr>
      <w:tr w:rsidR="00A374E7" w:rsidRPr="00003217" w14:paraId="744E66C1" w14:textId="77777777" w:rsidTr="008F39C5">
        <w:trPr>
          <w:trHeight w:val="533"/>
        </w:trPr>
        <w:tc>
          <w:tcPr>
            <w:tcW w:w="5000" w:type="pct"/>
            <w:tcBorders>
              <w:top w:val="single" w:sz="12" w:space="0" w:color="auto"/>
              <w:left w:val="nil"/>
              <w:right w:val="nil"/>
            </w:tcBorders>
            <w:shd w:val="clear" w:color="auto" w:fill="FFFFFF" w:themeFill="background1"/>
          </w:tcPr>
          <w:p w14:paraId="43718028" w14:textId="77777777" w:rsidR="00A374E7" w:rsidRPr="00003217" w:rsidRDefault="00A374E7" w:rsidP="003D75B4">
            <w:pPr>
              <w:spacing w:before="60" w:after="60"/>
              <w:rPr>
                <w:rFonts w:ascii="Arial" w:hAnsi="Arial" w:cs="Arial"/>
              </w:rPr>
            </w:pPr>
          </w:p>
        </w:tc>
      </w:tr>
      <w:tr w:rsidR="00A374E7" w:rsidRPr="00003217" w14:paraId="7D467D9E" w14:textId="77777777" w:rsidTr="003D75B4">
        <w:trPr>
          <w:trHeight w:val="428"/>
        </w:trPr>
        <w:tc>
          <w:tcPr>
            <w:tcW w:w="5000" w:type="pct"/>
            <w:tcBorders>
              <w:top w:val="single" w:sz="12" w:space="0" w:color="auto"/>
              <w:left w:val="nil"/>
              <w:bottom w:val="nil"/>
              <w:right w:val="nil"/>
            </w:tcBorders>
            <w:shd w:val="clear" w:color="auto" w:fill="D9D9D9" w:themeFill="background1" w:themeFillShade="D9"/>
          </w:tcPr>
          <w:p w14:paraId="7EC8ED59" w14:textId="77777777" w:rsidR="00A374E7" w:rsidRPr="00003217" w:rsidRDefault="00A374E7" w:rsidP="003D75B4">
            <w:pPr>
              <w:spacing w:before="60" w:after="60"/>
              <w:rPr>
                <w:rFonts w:ascii="Arial" w:hAnsi="Arial" w:cs="Arial"/>
                <w:b/>
                <w:bCs/>
                <w:i/>
                <w:iCs/>
              </w:rPr>
            </w:pPr>
            <w:r w:rsidRPr="00003217">
              <w:rPr>
                <w:rFonts w:ascii="Arial" w:hAnsi="Arial" w:cs="Arial"/>
                <w:b/>
                <w:bCs/>
                <w:sz w:val="24"/>
                <w:szCs w:val="24"/>
              </w:rPr>
              <w:t>Permitted but not intended to display an HSR</w:t>
            </w:r>
          </w:p>
        </w:tc>
      </w:tr>
      <w:tr w:rsidR="00A374E7" w:rsidRPr="00003217" w14:paraId="1269E7D5" w14:textId="77777777" w:rsidTr="003D75B4">
        <w:trPr>
          <w:trHeight w:val="345"/>
        </w:trPr>
        <w:tc>
          <w:tcPr>
            <w:tcW w:w="5000" w:type="pct"/>
            <w:tcBorders>
              <w:top w:val="single" w:sz="12" w:space="0" w:color="auto"/>
              <w:left w:val="nil"/>
              <w:bottom w:val="nil"/>
              <w:right w:val="nil"/>
            </w:tcBorders>
            <w:shd w:val="clear" w:color="auto" w:fill="auto"/>
          </w:tcPr>
          <w:p w14:paraId="144E1435" w14:textId="77777777" w:rsidR="00A374E7" w:rsidRPr="00003217" w:rsidRDefault="00A374E7" w:rsidP="003D75B4">
            <w:pPr>
              <w:spacing w:before="60" w:after="60"/>
              <w:rPr>
                <w:rFonts w:ascii="Arial" w:hAnsi="Arial" w:cs="Arial"/>
                <w:b/>
                <w:bCs/>
                <w:i/>
                <w:iCs/>
              </w:rPr>
            </w:pPr>
            <w:r w:rsidRPr="00003217">
              <w:rPr>
                <w:rFonts w:ascii="Arial" w:hAnsi="Arial" w:cs="Arial"/>
                <w:b/>
                <w:bCs/>
                <w:i/>
                <w:iCs/>
              </w:rPr>
              <w:t>Foods not displaying a NIP or not intended to display a NIP</w:t>
            </w:r>
            <w:r w:rsidRPr="00003217">
              <w:rPr>
                <w:rFonts w:ascii="Arial" w:hAnsi="Arial" w:cs="Arial"/>
                <w:b/>
                <w:bCs/>
                <w:i/>
                <w:iCs/>
                <w:vertAlign w:val="superscript"/>
              </w:rPr>
              <w:t>1</w:t>
            </w:r>
            <w:r w:rsidRPr="00003217">
              <w:rPr>
                <w:rFonts w:ascii="Arial" w:hAnsi="Arial" w:cs="Arial"/>
                <w:b/>
                <w:bCs/>
                <w:i/>
                <w:iCs/>
              </w:rPr>
              <w:t>:</w:t>
            </w:r>
          </w:p>
        </w:tc>
      </w:tr>
      <w:tr w:rsidR="00A374E7" w:rsidRPr="00003217" w14:paraId="1B066003" w14:textId="77777777" w:rsidTr="003D75B4">
        <w:trPr>
          <w:trHeight w:val="714"/>
        </w:trPr>
        <w:tc>
          <w:tcPr>
            <w:tcW w:w="5000" w:type="pct"/>
            <w:tcBorders>
              <w:top w:val="nil"/>
              <w:left w:val="nil"/>
              <w:bottom w:val="nil"/>
              <w:right w:val="nil"/>
            </w:tcBorders>
          </w:tcPr>
          <w:p w14:paraId="03EFA129" w14:textId="77777777" w:rsidR="00A374E7" w:rsidRPr="00003217" w:rsidRDefault="00A374E7" w:rsidP="003D75B4">
            <w:pPr>
              <w:spacing w:before="60" w:after="60"/>
              <w:ind w:left="720"/>
              <w:rPr>
                <w:rFonts w:ascii="Arial" w:hAnsi="Arial" w:cs="Arial"/>
              </w:rPr>
            </w:pPr>
            <w:r w:rsidRPr="00003217">
              <w:rPr>
                <w:rFonts w:ascii="Arial" w:hAnsi="Arial" w:cs="Arial"/>
              </w:rPr>
              <w:t>Foods which contain just a mixture of fruits or vegetables (except canned, dried or juiced varieties)</w:t>
            </w:r>
          </w:p>
        </w:tc>
      </w:tr>
      <w:tr w:rsidR="00A374E7" w:rsidRPr="00003217" w14:paraId="72C473EF" w14:textId="77777777" w:rsidTr="003D75B4">
        <w:trPr>
          <w:trHeight w:val="211"/>
        </w:trPr>
        <w:tc>
          <w:tcPr>
            <w:tcW w:w="5000" w:type="pct"/>
            <w:tcBorders>
              <w:top w:val="nil"/>
              <w:left w:val="nil"/>
              <w:bottom w:val="nil"/>
              <w:right w:val="nil"/>
            </w:tcBorders>
          </w:tcPr>
          <w:p w14:paraId="5E9E1CD1" w14:textId="77777777" w:rsidR="00A374E7" w:rsidRPr="00003217" w:rsidRDefault="00A374E7" w:rsidP="003D75B4">
            <w:pPr>
              <w:spacing w:before="60" w:after="60"/>
              <w:ind w:left="720"/>
              <w:rPr>
                <w:rFonts w:ascii="Arial" w:hAnsi="Arial" w:cs="Arial"/>
              </w:rPr>
            </w:pPr>
            <w:r w:rsidRPr="00003217">
              <w:rPr>
                <w:rFonts w:ascii="Arial" w:hAnsi="Arial" w:cs="Arial"/>
              </w:rPr>
              <w:t>Fresh meat/seafood with no added ingredients</w:t>
            </w:r>
          </w:p>
        </w:tc>
      </w:tr>
      <w:tr w:rsidR="00A374E7" w:rsidRPr="00003217" w14:paraId="2D70B0CE" w14:textId="77777777" w:rsidTr="003D75B4">
        <w:trPr>
          <w:trHeight w:val="342"/>
        </w:trPr>
        <w:tc>
          <w:tcPr>
            <w:tcW w:w="5000" w:type="pct"/>
            <w:tcBorders>
              <w:top w:val="nil"/>
              <w:left w:val="nil"/>
              <w:bottom w:val="nil"/>
              <w:right w:val="nil"/>
            </w:tcBorders>
          </w:tcPr>
          <w:p w14:paraId="75A09B3F" w14:textId="77777777" w:rsidR="00A374E7" w:rsidRPr="00003217" w:rsidRDefault="00A374E7" w:rsidP="003D75B4">
            <w:pPr>
              <w:spacing w:before="60" w:after="60"/>
              <w:ind w:left="720"/>
              <w:rPr>
                <w:rFonts w:ascii="Arial" w:hAnsi="Arial" w:cs="Arial"/>
              </w:rPr>
            </w:pPr>
            <w:r w:rsidRPr="00003217">
              <w:rPr>
                <w:rFonts w:ascii="Arial" w:hAnsi="Arial" w:cs="Arial"/>
              </w:rPr>
              <w:t>Plain and sparkling water/mineral water</w:t>
            </w:r>
          </w:p>
        </w:tc>
      </w:tr>
      <w:tr w:rsidR="00A374E7" w:rsidRPr="00003217" w14:paraId="253BD81C" w14:textId="77777777" w:rsidTr="003D75B4">
        <w:trPr>
          <w:trHeight w:val="342"/>
        </w:trPr>
        <w:tc>
          <w:tcPr>
            <w:tcW w:w="5000" w:type="pct"/>
            <w:tcBorders>
              <w:top w:val="nil"/>
              <w:left w:val="nil"/>
              <w:bottom w:val="nil"/>
              <w:right w:val="nil"/>
            </w:tcBorders>
          </w:tcPr>
          <w:p w14:paraId="573B9E7C" w14:textId="77777777" w:rsidR="00A374E7" w:rsidRPr="00003217" w:rsidRDefault="00A374E7" w:rsidP="003D75B4">
            <w:pPr>
              <w:spacing w:before="60" w:after="60"/>
              <w:ind w:left="720"/>
              <w:rPr>
                <w:rFonts w:ascii="Arial" w:hAnsi="Arial" w:cs="Arial"/>
              </w:rPr>
            </w:pPr>
            <w:r w:rsidRPr="00003217">
              <w:rPr>
                <w:rFonts w:ascii="Arial" w:hAnsi="Arial" w:cs="Arial"/>
              </w:rPr>
              <w:t>Prepared sandwiches, filled rolls and similar</w:t>
            </w:r>
          </w:p>
        </w:tc>
      </w:tr>
      <w:tr w:rsidR="00A374E7" w:rsidRPr="00003217" w14:paraId="082B1368" w14:textId="77777777" w:rsidTr="003D75B4">
        <w:trPr>
          <w:trHeight w:val="342"/>
        </w:trPr>
        <w:tc>
          <w:tcPr>
            <w:tcW w:w="5000" w:type="pct"/>
            <w:tcBorders>
              <w:top w:val="nil"/>
              <w:left w:val="nil"/>
              <w:bottom w:val="nil"/>
              <w:right w:val="nil"/>
            </w:tcBorders>
          </w:tcPr>
          <w:p w14:paraId="03DE7494" w14:textId="77777777" w:rsidR="00A374E7" w:rsidRPr="00003217" w:rsidRDefault="00A374E7" w:rsidP="003D75B4">
            <w:pPr>
              <w:spacing w:before="60" w:after="60"/>
              <w:ind w:left="720"/>
              <w:rPr>
                <w:rFonts w:ascii="Arial" w:hAnsi="Arial" w:cs="Arial"/>
              </w:rPr>
            </w:pPr>
            <w:r w:rsidRPr="00003217">
              <w:rPr>
                <w:rFonts w:ascii="Arial" w:hAnsi="Arial" w:cs="Arial"/>
              </w:rPr>
              <w:t xml:space="preserve">Plain tea and coffee (including freeze dried coffee and herbal teas) </w:t>
            </w:r>
          </w:p>
        </w:tc>
      </w:tr>
      <w:tr w:rsidR="00A374E7" w:rsidRPr="00003217" w14:paraId="0BB89DE4" w14:textId="77777777" w:rsidTr="003D75B4">
        <w:trPr>
          <w:trHeight w:val="342"/>
        </w:trPr>
        <w:tc>
          <w:tcPr>
            <w:tcW w:w="5000" w:type="pct"/>
            <w:tcBorders>
              <w:top w:val="nil"/>
              <w:left w:val="nil"/>
              <w:bottom w:val="nil"/>
              <w:right w:val="nil"/>
            </w:tcBorders>
          </w:tcPr>
          <w:p w14:paraId="779434C0" w14:textId="77777777" w:rsidR="00A374E7" w:rsidRPr="00003217" w:rsidRDefault="00A374E7" w:rsidP="003D75B4">
            <w:pPr>
              <w:spacing w:before="60" w:after="60"/>
              <w:ind w:left="720"/>
              <w:rPr>
                <w:rFonts w:ascii="Arial" w:hAnsi="Arial" w:cs="Arial"/>
              </w:rPr>
            </w:pPr>
            <w:r w:rsidRPr="00003217">
              <w:rPr>
                <w:rFonts w:ascii="Arial" w:hAnsi="Arial" w:cs="Arial"/>
              </w:rPr>
              <w:t xml:space="preserve">Herbs and spices (without salt) </w:t>
            </w:r>
          </w:p>
        </w:tc>
      </w:tr>
      <w:tr w:rsidR="00A374E7" w:rsidRPr="00003217" w14:paraId="161448CD" w14:textId="77777777" w:rsidTr="003D75B4">
        <w:trPr>
          <w:trHeight w:val="342"/>
        </w:trPr>
        <w:tc>
          <w:tcPr>
            <w:tcW w:w="5000" w:type="pct"/>
            <w:tcBorders>
              <w:top w:val="nil"/>
              <w:left w:val="nil"/>
              <w:bottom w:val="nil"/>
              <w:right w:val="nil"/>
            </w:tcBorders>
          </w:tcPr>
          <w:p w14:paraId="448DFC49" w14:textId="77777777" w:rsidR="00A374E7" w:rsidRPr="00003217" w:rsidRDefault="00A374E7" w:rsidP="003D75B4">
            <w:pPr>
              <w:spacing w:before="60" w:after="60"/>
              <w:ind w:left="720"/>
              <w:rPr>
                <w:rFonts w:ascii="Arial" w:hAnsi="Arial" w:cs="Arial"/>
              </w:rPr>
            </w:pPr>
            <w:r w:rsidRPr="00003217">
              <w:rPr>
                <w:rFonts w:ascii="Arial" w:hAnsi="Arial" w:cs="Arial"/>
              </w:rPr>
              <w:t>Salt (including iodised salt and those with just anti-caking agents)</w:t>
            </w:r>
          </w:p>
        </w:tc>
      </w:tr>
      <w:tr w:rsidR="00A374E7" w:rsidRPr="00003217" w14:paraId="726968E5" w14:textId="77777777" w:rsidTr="003D75B4">
        <w:trPr>
          <w:trHeight w:val="342"/>
        </w:trPr>
        <w:tc>
          <w:tcPr>
            <w:tcW w:w="5000" w:type="pct"/>
            <w:tcBorders>
              <w:top w:val="nil"/>
              <w:left w:val="nil"/>
              <w:bottom w:val="nil"/>
              <w:right w:val="nil"/>
            </w:tcBorders>
          </w:tcPr>
          <w:p w14:paraId="23399081" w14:textId="77777777" w:rsidR="00A374E7" w:rsidRPr="00003217" w:rsidRDefault="00A374E7" w:rsidP="003D75B4">
            <w:pPr>
              <w:spacing w:before="60" w:after="60"/>
              <w:ind w:left="720"/>
              <w:rPr>
                <w:rFonts w:ascii="Arial" w:hAnsi="Arial" w:cs="Arial"/>
              </w:rPr>
            </w:pPr>
            <w:r w:rsidRPr="00003217">
              <w:rPr>
                <w:rFonts w:ascii="Arial" w:hAnsi="Arial" w:cs="Arial"/>
              </w:rPr>
              <w:t xml:space="preserve">Vinegar </w:t>
            </w:r>
          </w:p>
        </w:tc>
      </w:tr>
      <w:tr w:rsidR="00A374E7" w:rsidRPr="00003217" w14:paraId="3F758E18" w14:textId="77777777" w:rsidTr="003D75B4">
        <w:trPr>
          <w:trHeight w:val="342"/>
        </w:trPr>
        <w:tc>
          <w:tcPr>
            <w:tcW w:w="5000" w:type="pct"/>
            <w:tcBorders>
              <w:top w:val="nil"/>
              <w:left w:val="nil"/>
              <w:bottom w:val="nil"/>
              <w:right w:val="nil"/>
            </w:tcBorders>
          </w:tcPr>
          <w:p w14:paraId="50EA16B2" w14:textId="77777777" w:rsidR="00A374E7" w:rsidRPr="00003217" w:rsidRDefault="00A374E7" w:rsidP="003D75B4">
            <w:pPr>
              <w:spacing w:before="60" w:after="60"/>
              <w:ind w:left="720"/>
              <w:rPr>
                <w:rFonts w:ascii="Arial" w:hAnsi="Arial" w:cs="Arial"/>
              </w:rPr>
            </w:pPr>
            <w:r w:rsidRPr="00003217">
              <w:rPr>
                <w:rFonts w:ascii="Arial" w:hAnsi="Arial" w:cs="Arial"/>
              </w:rPr>
              <w:t xml:space="preserve">Gelatine (also excluded agar) </w:t>
            </w:r>
          </w:p>
        </w:tc>
      </w:tr>
      <w:tr w:rsidR="00A374E7" w:rsidRPr="00003217" w14:paraId="7060C529" w14:textId="77777777" w:rsidTr="003D75B4">
        <w:trPr>
          <w:trHeight w:val="342"/>
        </w:trPr>
        <w:tc>
          <w:tcPr>
            <w:tcW w:w="5000" w:type="pct"/>
            <w:tcBorders>
              <w:top w:val="nil"/>
              <w:left w:val="nil"/>
              <w:bottom w:val="nil"/>
              <w:right w:val="nil"/>
            </w:tcBorders>
          </w:tcPr>
          <w:p w14:paraId="1BD909FC" w14:textId="77777777" w:rsidR="00A374E7" w:rsidRPr="00003217" w:rsidRDefault="00A374E7" w:rsidP="003D75B4">
            <w:pPr>
              <w:spacing w:before="60" w:after="60"/>
              <w:ind w:left="720"/>
              <w:rPr>
                <w:rFonts w:ascii="Arial" w:hAnsi="Arial" w:cs="Arial"/>
              </w:rPr>
            </w:pPr>
            <w:r w:rsidRPr="00003217">
              <w:rPr>
                <w:rFonts w:ascii="Arial" w:hAnsi="Arial" w:cs="Arial"/>
              </w:rPr>
              <w:t>Jam setting compounds</w:t>
            </w:r>
          </w:p>
        </w:tc>
      </w:tr>
      <w:tr w:rsidR="00A374E7" w:rsidRPr="00003217" w14:paraId="70A1123E" w14:textId="77777777" w:rsidTr="003D75B4">
        <w:tc>
          <w:tcPr>
            <w:tcW w:w="5000" w:type="pct"/>
            <w:tcBorders>
              <w:top w:val="single" w:sz="12" w:space="0" w:color="auto"/>
              <w:left w:val="nil"/>
              <w:bottom w:val="nil"/>
              <w:right w:val="nil"/>
            </w:tcBorders>
          </w:tcPr>
          <w:p w14:paraId="4B78B413" w14:textId="77777777" w:rsidR="00A374E7" w:rsidRPr="00003217" w:rsidRDefault="00A374E7" w:rsidP="003D75B4">
            <w:pPr>
              <w:spacing w:before="60" w:after="60"/>
              <w:rPr>
                <w:rFonts w:ascii="Arial" w:hAnsi="Arial" w:cs="Arial"/>
                <w:b/>
                <w:bCs/>
                <w:i/>
                <w:iCs/>
              </w:rPr>
            </w:pPr>
            <w:r w:rsidRPr="00003217">
              <w:rPr>
                <w:rFonts w:ascii="Arial" w:hAnsi="Arial" w:cs="Arial"/>
                <w:b/>
                <w:bCs/>
                <w:i/>
                <w:iCs/>
              </w:rPr>
              <w:t>Foods which cannot vary in nutritional composition</w:t>
            </w:r>
            <w:r w:rsidRPr="00003217">
              <w:rPr>
                <w:rFonts w:ascii="Arial" w:hAnsi="Arial" w:cs="Arial"/>
                <w:b/>
                <w:bCs/>
                <w:i/>
                <w:iCs/>
                <w:vertAlign w:val="superscript"/>
              </w:rPr>
              <w:t>2</w:t>
            </w:r>
            <w:r w:rsidRPr="00003217">
              <w:rPr>
                <w:rFonts w:ascii="Arial" w:hAnsi="Arial" w:cs="Arial"/>
                <w:b/>
                <w:bCs/>
                <w:i/>
                <w:iCs/>
              </w:rPr>
              <w:t xml:space="preserve">: </w:t>
            </w:r>
          </w:p>
        </w:tc>
      </w:tr>
      <w:tr w:rsidR="00A374E7" w:rsidRPr="00003217" w14:paraId="075ADCC4" w14:textId="77777777" w:rsidTr="003D75B4">
        <w:tc>
          <w:tcPr>
            <w:tcW w:w="5000" w:type="pct"/>
            <w:tcBorders>
              <w:top w:val="nil"/>
              <w:left w:val="nil"/>
              <w:bottom w:val="nil"/>
              <w:right w:val="nil"/>
            </w:tcBorders>
          </w:tcPr>
          <w:p w14:paraId="6E45D074" w14:textId="77777777" w:rsidR="00A374E7" w:rsidRPr="00003217" w:rsidRDefault="00A374E7" w:rsidP="003D75B4">
            <w:pPr>
              <w:spacing w:before="60" w:after="60"/>
              <w:ind w:left="720"/>
              <w:rPr>
                <w:rFonts w:ascii="Arial" w:hAnsi="Arial" w:cs="Arial"/>
                <w:vertAlign w:val="superscript"/>
              </w:rPr>
            </w:pPr>
            <w:r w:rsidRPr="00003217">
              <w:rPr>
                <w:rFonts w:ascii="Arial" w:hAnsi="Arial" w:cs="Arial"/>
              </w:rPr>
              <w:t>Sugar, sugar substitutes, glucose and glucose syrups</w:t>
            </w:r>
            <w:r w:rsidRPr="00003217">
              <w:rPr>
                <w:rFonts w:ascii="Arial" w:hAnsi="Arial" w:cs="Arial"/>
                <w:vertAlign w:val="superscript"/>
              </w:rPr>
              <w:t>3</w:t>
            </w:r>
          </w:p>
        </w:tc>
      </w:tr>
      <w:tr w:rsidR="00A374E7" w:rsidRPr="00003217" w14:paraId="399B8B54" w14:textId="77777777" w:rsidTr="003D75B4">
        <w:tc>
          <w:tcPr>
            <w:tcW w:w="5000" w:type="pct"/>
            <w:tcBorders>
              <w:top w:val="nil"/>
              <w:left w:val="nil"/>
              <w:bottom w:val="nil"/>
              <w:right w:val="nil"/>
            </w:tcBorders>
          </w:tcPr>
          <w:p w14:paraId="43D410F6" w14:textId="77777777" w:rsidR="00A374E7" w:rsidRPr="00003217" w:rsidRDefault="00A374E7" w:rsidP="003D75B4">
            <w:pPr>
              <w:spacing w:before="60" w:after="60"/>
              <w:ind w:left="720"/>
              <w:rPr>
                <w:rFonts w:ascii="Arial" w:hAnsi="Arial" w:cs="Arial"/>
              </w:rPr>
            </w:pPr>
            <w:r w:rsidRPr="00003217">
              <w:rPr>
                <w:rFonts w:ascii="Arial" w:hAnsi="Arial" w:cs="Arial"/>
              </w:rPr>
              <w:t>Eggs</w:t>
            </w:r>
          </w:p>
        </w:tc>
      </w:tr>
      <w:tr w:rsidR="00A374E7" w:rsidRPr="00003217" w14:paraId="7E6F9678" w14:textId="77777777" w:rsidTr="003D75B4">
        <w:tc>
          <w:tcPr>
            <w:tcW w:w="5000" w:type="pct"/>
            <w:tcBorders>
              <w:top w:val="nil"/>
              <w:left w:val="nil"/>
              <w:bottom w:val="single" w:sz="18" w:space="0" w:color="auto"/>
              <w:right w:val="nil"/>
            </w:tcBorders>
          </w:tcPr>
          <w:p w14:paraId="1F3CE6D1" w14:textId="77777777" w:rsidR="00A374E7" w:rsidRPr="00003217" w:rsidRDefault="00A374E7" w:rsidP="003D75B4">
            <w:pPr>
              <w:spacing w:before="60" w:after="60"/>
              <w:ind w:left="720"/>
              <w:rPr>
                <w:rFonts w:ascii="Arial" w:hAnsi="Arial" w:cs="Arial"/>
              </w:rPr>
            </w:pPr>
            <w:r w:rsidRPr="00003217">
              <w:rPr>
                <w:rFonts w:ascii="Arial" w:hAnsi="Arial" w:cs="Arial"/>
              </w:rPr>
              <w:t>Baking additives such as citric acid, tartaric acid, baking soda, cream of tartar, extracts, essences, food colouring, Xantham gum</w:t>
            </w:r>
          </w:p>
        </w:tc>
      </w:tr>
    </w:tbl>
    <w:p w14:paraId="19EC82CA" w14:textId="77777777" w:rsidR="00A374E7" w:rsidRPr="00003217" w:rsidRDefault="00A374E7" w:rsidP="00A374E7">
      <w:pPr>
        <w:pStyle w:val="ListParagraph"/>
        <w:numPr>
          <w:ilvl w:val="0"/>
          <w:numId w:val="17"/>
        </w:numPr>
        <w:spacing w:before="240"/>
        <w:rPr>
          <w:rFonts w:ascii="Arial" w:hAnsi="Arial" w:cs="Arial"/>
        </w:rPr>
      </w:pPr>
      <w:r w:rsidRPr="00003217">
        <w:rPr>
          <w:rFonts w:ascii="Arial" w:hAnsi="Arial" w:cs="Arial"/>
        </w:rPr>
        <w:t>Did not assess small pack exemption as this is difficult to do from images. Instead, excluded those not displaying a NIP</w:t>
      </w:r>
    </w:p>
    <w:p w14:paraId="21624957" w14:textId="77777777" w:rsidR="00A374E7" w:rsidRPr="00003217" w:rsidRDefault="00A374E7" w:rsidP="00A374E7">
      <w:pPr>
        <w:pStyle w:val="ListParagraph"/>
        <w:numPr>
          <w:ilvl w:val="0"/>
          <w:numId w:val="17"/>
        </w:numPr>
        <w:rPr>
          <w:rFonts w:ascii="Arial" w:hAnsi="Arial" w:cs="Arial"/>
        </w:rPr>
      </w:pPr>
      <w:r w:rsidRPr="00003217">
        <w:rPr>
          <w:rFonts w:ascii="Arial" w:hAnsi="Arial" w:cs="Arial"/>
        </w:rPr>
        <w:t xml:space="preserve">Preservatives and flavourings with no salt/sugar/fat were deemed to not alter the nutritional profile of food therefore foods containing these which met one of the above criteria were assessed as ‘not intended’ e.g. minted peas. </w:t>
      </w:r>
    </w:p>
    <w:p w14:paraId="52A44CCC" w14:textId="77777777" w:rsidR="00A374E7" w:rsidRPr="00003217" w:rsidRDefault="00A374E7" w:rsidP="00A374E7">
      <w:pPr>
        <w:pStyle w:val="ListParagraph"/>
        <w:numPr>
          <w:ilvl w:val="0"/>
          <w:numId w:val="17"/>
        </w:numPr>
        <w:rPr>
          <w:rFonts w:ascii="Arial" w:hAnsi="Arial" w:cs="Arial"/>
        </w:rPr>
      </w:pPr>
      <w:r w:rsidRPr="00003217">
        <w:rPr>
          <w:rFonts w:ascii="Arial" w:hAnsi="Arial" w:cs="Arial"/>
        </w:rPr>
        <w:t xml:space="preserve">Note only these products by themselves were deemed ‘not intended'. </w:t>
      </w:r>
    </w:p>
    <w:tbl>
      <w:tblPr>
        <w:tblStyle w:val="TableGrid"/>
        <w:tblW w:w="5000" w:type="pct"/>
        <w:tblLook w:val="04A0" w:firstRow="1" w:lastRow="0" w:firstColumn="1" w:lastColumn="0" w:noHBand="0" w:noVBand="1"/>
      </w:tblPr>
      <w:tblGrid>
        <w:gridCol w:w="9070"/>
      </w:tblGrid>
      <w:tr w:rsidR="00A374E7" w:rsidRPr="00003217" w14:paraId="11F2BB02" w14:textId="77777777" w:rsidTr="003D75B4">
        <w:tc>
          <w:tcPr>
            <w:tcW w:w="5000" w:type="pct"/>
            <w:tcBorders>
              <w:top w:val="single" w:sz="12" w:space="0" w:color="auto"/>
              <w:left w:val="nil"/>
              <w:bottom w:val="single" w:sz="12" w:space="0" w:color="auto"/>
              <w:right w:val="nil"/>
            </w:tcBorders>
            <w:shd w:val="clear" w:color="auto" w:fill="D9D9D9" w:themeFill="background1" w:themeFillShade="D9"/>
          </w:tcPr>
          <w:p w14:paraId="4D9616BA" w14:textId="77777777" w:rsidR="00A374E7" w:rsidRPr="00003217" w:rsidRDefault="00A374E7" w:rsidP="003D75B4">
            <w:pPr>
              <w:spacing w:before="60" w:after="60"/>
              <w:rPr>
                <w:rFonts w:ascii="Arial" w:hAnsi="Arial" w:cs="Arial"/>
                <w:b/>
                <w:bCs/>
              </w:rPr>
            </w:pPr>
            <w:r w:rsidRPr="00003217">
              <w:rPr>
                <w:rFonts w:ascii="Arial" w:hAnsi="Arial" w:cs="Arial"/>
                <w:b/>
                <w:bCs/>
                <w:sz w:val="24"/>
                <w:szCs w:val="24"/>
              </w:rPr>
              <w:lastRenderedPageBreak/>
              <w:t xml:space="preserve">Permitted and intended to display an HSR </w:t>
            </w:r>
          </w:p>
        </w:tc>
      </w:tr>
      <w:tr w:rsidR="00A374E7" w:rsidRPr="00003217" w14:paraId="3059EE11" w14:textId="77777777" w:rsidTr="003D75B4">
        <w:tc>
          <w:tcPr>
            <w:tcW w:w="5000" w:type="pct"/>
            <w:tcBorders>
              <w:top w:val="single" w:sz="12" w:space="0" w:color="auto"/>
              <w:left w:val="nil"/>
              <w:bottom w:val="single" w:sz="12" w:space="0" w:color="auto"/>
              <w:right w:val="nil"/>
            </w:tcBorders>
          </w:tcPr>
          <w:p w14:paraId="27FD029C" w14:textId="77777777" w:rsidR="00A374E7" w:rsidRPr="00003217" w:rsidRDefault="00A374E7" w:rsidP="003D75B4">
            <w:pPr>
              <w:spacing w:before="60" w:after="60"/>
              <w:rPr>
                <w:rFonts w:ascii="Arial" w:hAnsi="Arial" w:cs="Arial"/>
                <w:b/>
                <w:bCs/>
                <w:i/>
                <w:iCs/>
              </w:rPr>
            </w:pPr>
            <w:r w:rsidRPr="00003217">
              <w:rPr>
                <w:rFonts w:ascii="Arial" w:hAnsi="Arial" w:cs="Arial"/>
                <w:b/>
                <w:bCs/>
                <w:i/>
                <w:iCs/>
              </w:rPr>
              <w:t>Foods which are not included in the above Tables</w:t>
            </w:r>
          </w:p>
        </w:tc>
      </w:tr>
      <w:tr w:rsidR="00A374E7" w:rsidRPr="00003217" w14:paraId="270FAC22" w14:textId="77777777" w:rsidTr="003D75B4">
        <w:tc>
          <w:tcPr>
            <w:tcW w:w="5000" w:type="pct"/>
            <w:tcBorders>
              <w:top w:val="single" w:sz="12" w:space="0" w:color="auto"/>
              <w:left w:val="nil"/>
              <w:bottom w:val="nil"/>
              <w:right w:val="nil"/>
            </w:tcBorders>
          </w:tcPr>
          <w:p w14:paraId="050EE263" w14:textId="77777777" w:rsidR="00A374E7" w:rsidRPr="00003217" w:rsidRDefault="00A374E7" w:rsidP="003D75B4">
            <w:pPr>
              <w:spacing w:before="60" w:after="60"/>
              <w:rPr>
                <w:rFonts w:ascii="Arial" w:hAnsi="Arial" w:cs="Arial"/>
                <w:b/>
                <w:bCs/>
                <w:i/>
                <w:iCs/>
              </w:rPr>
            </w:pPr>
            <w:r w:rsidRPr="00003217">
              <w:rPr>
                <w:rFonts w:ascii="Arial" w:hAnsi="Arial" w:cs="Arial"/>
                <w:b/>
                <w:bCs/>
                <w:i/>
                <w:iCs/>
              </w:rPr>
              <w:t>Foods which vary in nutritional composition:</w:t>
            </w:r>
          </w:p>
        </w:tc>
      </w:tr>
      <w:tr w:rsidR="00A374E7" w:rsidRPr="00003217" w14:paraId="2AFD48EA" w14:textId="77777777" w:rsidTr="003D75B4">
        <w:tc>
          <w:tcPr>
            <w:tcW w:w="5000" w:type="pct"/>
            <w:tcBorders>
              <w:top w:val="nil"/>
              <w:left w:val="nil"/>
              <w:bottom w:val="single" w:sz="12" w:space="0" w:color="auto"/>
              <w:right w:val="nil"/>
            </w:tcBorders>
          </w:tcPr>
          <w:p w14:paraId="1F4B68B9" w14:textId="77777777" w:rsidR="00A374E7" w:rsidRPr="00003217" w:rsidRDefault="00A374E7" w:rsidP="003D75B4">
            <w:pPr>
              <w:spacing w:before="60" w:after="60"/>
              <w:ind w:left="720"/>
              <w:rPr>
                <w:rFonts w:ascii="Arial" w:hAnsi="Arial" w:cs="Arial"/>
              </w:rPr>
            </w:pPr>
            <w:r w:rsidRPr="00003217">
              <w:rPr>
                <w:rFonts w:ascii="Arial" w:hAnsi="Arial" w:cs="Arial"/>
              </w:rPr>
              <w:t>Foods with added salt, fat, sugar/sweeteners</w:t>
            </w:r>
          </w:p>
        </w:tc>
      </w:tr>
      <w:tr w:rsidR="00A374E7" w:rsidRPr="00003217" w14:paraId="0E5CCBC2" w14:textId="77777777" w:rsidTr="003D75B4">
        <w:tc>
          <w:tcPr>
            <w:tcW w:w="5000" w:type="pct"/>
            <w:tcBorders>
              <w:top w:val="single" w:sz="12" w:space="0" w:color="auto"/>
              <w:left w:val="nil"/>
              <w:bottom w:val="nil"/>
              <w:right w:val="nil"/>
            </w:tcBorders>
          </w:tcPr>
          <w:p w14:paraId="51E30C54" w14:textId="77777777" w:rsidR="00A374E7" w:rsidRPr="00003217" w:rsidRDefault="00A374E7" w:rsidP="003D75B4">
            <w:pPr>
              <w:spacing w:before="60" w:after="60"/>
              <w:rPr>
                <w:rFonts w:ascii="Arial" w:hAnsi="Arial" w:cs="Arial"/>
                <w:b/>
                <w:bCs/>
                <w:i/>
                <w:iCs/>
              </w:rPr>
            </w:pPr>
            <w:r w:rsidRPr="00003217">
              <w:rPr>
                <w:rFonts w:ascii="Arial" w:hAnsi="Arial" w:cs="Arial"/>
                <w:b/>
                <w:bCs/>
                <w:i/>
                <w:iCs/>
              </w:rPr>
              <w:t>Foods which can vary in nutritional composition when compared to other varieties:</w:t>
            </w:r>
          </w:p>
        </w:tc>
      </w:tr>
      <w:tr w:rsidR="00A374E7" w:rsidRPr="00003217" w14:paraId="3642CFC2" w14:textId="77777777" w:rsidTr="003D75B4">
        <w:tc>
          <w:tcPr>
            <w:tcW w:w="5000" w:type="pct"/>
            <w:tcBorders>
              <w:top w:val="nil"/>
              <w:left w:val="nil"/>
              <w:bottom w:val="nil"/>
              <w:right w:val="nil"/>
            </w:tcBorders>
          </w:tcPr>
          <w:p w14:paraId="190191C5" w14:textId="77777777" w:rsidR="00A374E7" w:rsidRPr="00003217" w:rsidRDefault="00A374E7" w:rsidP="003D75B4">
            <w:pPr>
              <w:spacing w:before="60" w:after="60"/>
              <w:ind w:left="720"/>
              <w:rPr>
                <w:rFonts w:ascii="Arial" w:hAnsi="Arial" w:cs="Arial"/>
              </w:rPr>
            </w:pPr>
            <w:r w:rsidRPr="00003217">
              <w:rPr>
                <w:rFonts w:ascii="Arial" w:hAnsi="Arial" w:cs="Arial"/>
              </w:rPr>
              <w:t>Milk</w:t>
            </w:r>
          </w:p>
          <w:p w14:paraId="6C41E032" w14:textId="77777777" w:rsidR="00A374E7" w:rsidRPr="00003217" w:rsidRDefault="00A374E7" w:rsidP="003D75B4">
            <w:pPr>
              <w:spacing w:before="60" w:after="60"/>
              <w:ind w:left="720"/>
              <w:rPr>
                <w:rFonts w:ascii="Arial" w:hAnsi="Arial" w:cs="Arial"/>
              </w:rPr>
            </w:pPr>
            <w:r w:rsidRPr="00003217">
              <w:rPr>
                <w:rFonts w:ascii="Arial" w:hAnsi="Arial" w:cs="Arial"/>
              </w:rPr>
              <w:t>Flour (including corn starch)</w:t>
            </w:r>
          </w:p>
        </w:tc>
      </w:tr>
      <w:tr w:rsidR="00A374E7" w:rsidRPr="00003217" w14:paraId="0CFFE201" w14:textId="77777777" w:rsidTr="003D75B4">
        <w:tc>
          <w:tcPr>
            <w:tcW w:w="5000" w:type="pct"/>
            <w:tcBorders>
              <w:top w:val="nil"/>
              <w:left w:val="nil"/>
              <w:bottom w:val="nil"/>
              <w:right w:val="nil"/>
            </w:tcBorders>
          </w:tcPr>
          <w:p w14:paraId="3C29070A" w14:textId="77777777" w:rsidR="00A374E7" w:rsidRPr="00003217" w:rsidRDefault="00A374E7" w:rsidP="003D75B4">
            <w:pPr>
              <w:spacing w:before="60" w:after="60"/>
              <w:ind w:left="720"/>
              <w:rPr>
                <w:rFonts w:ascii="Arial" w:hAnsi="Arial" w:cs="Arial"/>
              </w:rPr>
            </w:pPr>
            <w:r w:rsidRPr="00003217">
              <w:rPr>
                <w:rFonts w:ascii="Arial" w:hAnsi="Arial" w:cs="Arial"/>
              </w:rPr>
              <w:t xml:space="preserve">Grains </w:t>
            </w:r>
          </w:p>
        </w:tc>
      </w:tr>
      <w:tr w:rsidR="00A374E7" w:rsidRPr="00003217" w14:paraId="129F9E7D" w14:textId="77777777" w:rsidTr="003D75B4">
        <w:tc>
          <w:tcPr>
            <w:tcW w:w="5000" w:type="pct"/>
            <w:tcBorders>
              <w:top w:val="nil"/>
              <w:left w:val="nil"/>
              <w:bottom w:val="nil"/>
              <w:right w:val="nil"/>
            </w:tcBorders>
          </w:tcPr>
          <w:p w14:paraId="4F8DEBE5" w14:textId="77777777" w:rsidR="00A374E7" w:rsidRPr="00003217" w:rsidRDefault="00A374E7" w:rsidP="003D75B4">
            <w:pPr>
              <w:spacing w:before="60" w:after="60"/>
              <w:ind w:left="720"/>
              <w:rPr>
                <w:rFonts w:ascii="Arial" w:hAnsi="Arial" w:cs="Arial"/>
              </w:rPr>
            </w:pPr>
            <w:r w:rsidRPr="00003217">
              <w:rPr>
                <w:rFonts w:ascii="Arial" w:hAnsi="Arial" w:cs="Arial"/>
              </w:rPr>
              <w:t>Legumes</w:t>
            </w:r>
          </w:p>
        </w:tc>
      </w:tr>
      <w:tr w:rsidR="00A374E7" w:rsidRPr="00003217" w14:paraId="7B0EC14E" w14:textId="77777777" w:rsidTr="003D75B4">
        <w:tc>
          <w:tcPr>
            <w:tcW w:w="5000" w:type="pct"/>
            <w:tcBorders>
              <w:top w:val="nil"/>
              <w:left w:val="nil"/>
              <w:bottom w:val="nil"/>
              <w:right w:val="nil"/>
            </w:tcBorders>
          </w:tcPr>
          <w:p w14:paraId="108FE346" w14:textId="77777777" w:rsidR="00A374E7" w:rsidRPr="00003217" w:rsidRDefault="00A374E7" w:rsidP="003D75B4">
            <w:pPr>
              <w:spacing w:before="60" w:after="60"/>
              <w:ind w:left="720"/>
              <w:rPr>
                <w:rFonts w:ascii="Arial" w:hAnsi="Arial" w:cs="Arial"/>
                <w:vertAlign w:val="superscript"/>
              </w:rPr>
            </w:pPr>
            <w:r w:rsidRPr="00003217">
              <w:rPr>
                <w:rFonts w:ascii="Arial" w:hAnsi="Arial" w:cs="Arial"/>
              </w:rPr>
              <w:t>Canned vegetables and fruit</w:t>
            </w:r>
            <w:r w:rsidRPr="00003217">
              <w:rPr>
                <w:rFonts w:ascii="Arial" w:hAnsi="Arial" w:cs="Arial"/>
                <w:vertAlign w:val="superscript"/>
              </w:rPr>
              <w:t>1</w:t>
            </w:r>
          </w:p>
        </w:tc>
      </w:tr>
      <w:tr w:rsidR="00A374E7" w:rsidRPr="00003217" w14:paraId="1BA2E30B" w14:textId="77777777" w:rsidTr="003D75B4">
        <w:tc>
          <w:tcPr>
            <w:tcW w:w="5000" w:type="pct"/>
            <w:tcBorders>
              <w:top w:val="nil"/>
              <w:left w:val="nil"/>
              <w:bottom w:val="single" w:sz="12" w:space="0" w:color="auto"/>
              <w:right w:val="nil"/>
            </w:tcBorders>
          </w:tcPr>
          <w:p w14:paraId="001AB51E" w14:textId="77777777" w:rsidR="00A374E7" w:rsidRPr="00003217" w:rsidRDefault="00A374E7" w:rsidP="003D75B4">
            <w:pPr>
              <w:spacing w:before="60" w:after="60"/>
              <w:ind w:left="720"/>
              <w:rPr>
                <w:rFonts w:ascii="Arial" w:hAnsi="Arial" w:cs="Arial"/>
              </w:rPr>
            </w:pPr>
            <w:r w:rsidRPr="00003217">
              <w:rPr>
                <w:rFonts w:ascii="Arial" w:hAnsi="Arial" w:cs="Arial"/>
              </w:rPr>
              <w:t>Cocoa and carob powders</w:t>
            </w:r>
          </w:p>
        </w:tc>
      </w:tr>
      <w:tr w:rsidR="00A374E7" w:rsidRPr="00003217" w14:paraId="631D6578" w14:textId="77777777" w:rsidTr="003D75B4">
        <w:tc>
          <w:tcPr>
            <w:tcW w:w="5000" w:type="pct"/>
            <w:tcBorders>
              <w:top w:val="single" w:sz="12" w:space="0" w:color="auto"/>
              <w:left w:val="nil"/>
              <w:bottom w:val="nil"/>
              <w:right w:val="nil"/>
            </w:tcBorders>
          </w:tcPr>
          <w:p w14:paraId="52ECD7BE" w14:textId="77777777" w:rsidR="00A374E7" w:rsidRPr="00003217" w:rsidRDefault="00A374E7" w:rsidP="003D75B4">
            <w:pPr>
              <w:spacing w:before="60" w:after="60"/>
              <w:rPr>
                <w:rFonts w:ascii="Arial" w:hAnsi="Arial" w:cs="Arial"/>
                <w:b/>
                <w:bCs/>
                <w:i/>
                <w:iCs/>
              </w:rPr>
            </w:pPr>
            <w:r w:rsidRPr="00003217">
              <w:rPr>
                <w:rFonts w:ascii="Arial" w:hAnsi="Arial" w:cs="Arial"/>
                <w:b/>
                <w:bCs/>
                <w:i/>
                <w:iCs/>
              </w:rPr>
              <w:t xml:space="preserve">Foods whose processing changes the nutritional composition significantly compared to the unprocessed variety: </w:t>
            </w:r>
          </w:p>
        </w:tc>
      </w:tr>
      <w:tr w:rsidR="00A374E7" w:rsidRPr="00003217" w14:paraId="6C20A4A3" w14:textId="77777777" w:rsidTr="003D75B4">
        <w:tc>
          <w:tcPr>
            <w:tcW w:w="5000" w:type="pct"/>
            <w:tcBorders>
              <w:top w:val="nil"/>
              <w:left w:val="nil"/>
              <w:bottom w:val="nil"/>
              <w:right w:val="nil"/>
            </w:tcBorders>
          </w:tcPr>
          <w:p w14:paraId="79CA9770" w14:textId="77777777" w:rsidR="00A374E7" w:rsidRPr="00003217" w:rsidRDefault="00A374E7" w:rsidP="003D75B4">
            <w:pPr>
              <w:spacing w:before="60" w:after="60"/>
              <w:ind w:left="720"/>
              <w:rPr>
                <w:rFonts w:ascii="Arial" w:hAnsi="Arial" w:cs="Arial"/>
                <w:vertAlign w:val="superscript"/>
              </w:rPr>
            </w:pPr>
            <w:r w:rsidRPr="00003217">
              <w:rPr>
                <w:rFonts w:ascii="Arial" w:hAnsi="Arial" w:cs="Arial"/>
              </w:rPr>
              <w:t>Dried fruit and vegetables (including freeze dried and powders)</w:t>
            </w:r>
          </w:p>
        </w:tc>
      </w:tr>
      <w:tr w:rsidR="00A374E7" w:rsidRPr="00003217" w14:paraId="5E5391BD" w14:textId="77777777" w:rsidTr="003D75B4">
        <w:tc>
          <w:tcPr>
            <w:tcW w:w="5000" w:type="pct"/>
            <w:tcBorders>
              <w:top w:val="nil"/>
              <w:left w:val="nil"/>
              <w:bottom w:val="single" w:sz="12" w:space="0" w:color="auto"/>
              <w:right w:val="nil"/>
            </w:tcBorders>
          </w:tcPr>
          <w:p w14:paraId="3B58F248" w14:textId="77777777" w:rsidR="00A374E7" w:rsidRPr="00003217" w:rsidRDefault="00A374E7" w:rsidP="003D75B4">
            <w:pPr>
              <w:spacing w:before="60" w:after="60"/>
              <w:ind w:left="720"/>
              <w:rPr>
                <w:rFonts w:ascii="Arial" w:hAnsi="Arial" w:cs="Arial"/>
              </w:rPr>
            </w:pPr>
            <w:r w:rsidRPr="00003217">
              <w:rPr>
                <w:rFonts w:ascii="Arial" w:hAnsi="Arial" w:cs="Arial"/>
              </w:rPr>
              <w:t>Juiced fruit and vegetables</w:t>
            </w:r>
          </w:p>
        </w:tc>
      </w:tr>
    </w:tbl>
    <w:p w14:paraId="470AFAD8" w14:textId="77777777" w:rsidR="00A374E7" w:rsidRPr="00003217" w:rsidRDefault="00A374E7" w:rsidP="00A374E7">
      <w:pPr>
        <w:pStyle w:val="ListParagraph"/>
        <w:numPr>
          <w:ilvl w:val="0"/>
          <w:numId w:val="18"/>
        </w:numPr>
        <w:spacing w:before="240"/>
        <w:rPr>
          <w:rFonts w:ascii="Arial" w:hAnsi="Arial" w:cs="Arial"/>
        </w:rPr>
      </w:pPr>
      <w:r w:rsidRPr="00003217">
        <w:rPr>
          <w:rFonts w:ascii="Arial" w:hAnsi="Arial" w:cs="Arial"/>
        </w:rPr>
        <w:t xml:space="preserve">Include all canned varieties even if they don’t have added salt/fat/sugar. This is because consumers will likely be comparing between canned varieties and many of these can have added salt/fat/sugar. </w:t>
      </w:r>
    </w:p>
    <w:p w14:paraId="0B45FBA0" w14:textId="77777777" w:rsidR="00A374E7" w:rsidRPr="00003217" w:rsidRDefault="00A374E7" w:rsidP="00A374E7">
      <w:pPr>
        <w:rPr>
          <w:rFonts w:ascii="Arial" w:hAnsi="Arial" w:cs="Arial"/>
        </w:rPr>
      </w:pPr>
    </w:p>
    <w:p w14:paraId="16D2E3B9" w14:textId="77777777" w:rsidR="00A374E7" w:rsidRPr="00003217" w:rsidRDefault="00A374E7" w:rsidP="00A374E7">
      <w:pPr>
        <w:rPr>
          <w:rFonts w:ascii="Arial" w:hAnsi="Arial" w:cs="Arial"/>
        </w:rPr>
      </w:pPr>
    </w:p>
    <w:p w14:paraId="3376E555" w14:textId="77777777" w:rsidR="00A374E7" w:rsidRPr="00003217" w:rsidRDefault="00A374E7" w:rsidP="00A374E7">
      <w:pPr>
        <w:rPr>
          <w:rFonts w:ascii="Arial" w:hAnsi="Arial" w:cs="Arial"/>
        </w:rPr>
      </w:pPr>
    </w:p>
    <w:p w14:paraId="7348BF66" w14:textId="77777777" w:rsidR="00A374E7" w:rsidRPr="00003217" w:rsidRDefault="00A374E7" w:rsidP="00A374E7">
      <w:pPr>
        <w:rPr>
          <w:rFonts w:ascii="Arial" w:hAnsi="Arial" w:cs="Arial"/>
        </w:rPr>
      </w:pPr>
    </w:p>
    <w:p w14:paraId="48E39DDF" w14:textId="77777777" w:rsidR="00A374E7" w:rsidRPr="00003217" w:rsidRDefault="00A374E7" w:rsidP="00A374E7">
      <w:pPr>
        <w:rPr>
          <w:rFonts w:ascii="Arial" w:hAnsi="Arial" w:cs="Arial"/>
        </w:rPr>
      </w:pPr>
    </w:p>
    <w:p w14:paraId="5F2C4A8D" w14:textId="77777777" w:rsidR="00A374E7" w:rsidRPr="00003217" w:rsidRDefault="00A374E7" w:rsidP="00A374E7">
      <w:pPr>
        <w:rPr>
          <w:rFonts w:ascii="Arial" w:hAnsi="Arial" w:cs="Arial"/>
        </w:rPr>
      </w:pPr>
    </w:p>
    <w:p w14:paraId="4134FB8F" w14:textId="77777777" w:rsidR="00A374E7" w:rsidRPr="00003217" w:rsidRDefault="00A374E7" w:rsidP="00A374E7">
      <w:pPr>
        <w:rPr>
          <w:rFonts w:ascii="Arial" w:hAnsi="Arial" w:cs="Arial"/>
        </w:rPr>
      </w:pPr>
    </w:p>
    <w:p w14:paraId="28A36BDA" w14:textId="77777777" w:rsidR="00A374E7" w:rsidRPr="00003217" w:rsidRDefault="00A374E7" w:rsidP="00A374E7">
      <w:pPr>
        <w:rPr>
          <w:rFonts w:ascii="Arial" w:hAnsi="Arial" w:cs="Arial"/>
        </w:rPr>
      </w:pPr>
    </w:p>
    <w:p w14:paraId="206D47F0" w14:textId="77777777" w:rsidR="00A374E7" w:rsidRPr="00003217" w:rsidRDefault="00A374E7" w:rsidP="00A374E7">
      <w:pPr>
        <w:rPr>
          <w:rFonts w:ascii="Arial" w:hAnsi="Arial" w:cs="Arial"/>
        </w:rPr>
      </w:pPr>
    </w:p>
    <w:p w14:paraId="1B6D8F71" w14:textId="77777777" w:rsidR="00A374E7" w:rsidRPr="00003217" w:rsidRDefault="00A374E7" w:rsidP="00A374E7">
      <w:pPr>
        <w:rPr>
          <w:rFonts w:ascii="Arial" w:hAnsi="Arial" w:cs="Arial"/>
        </w:rPr>
      </w:pPr>
    </w:p>
    <w:p w14:paraId="55249FF1" w14:textId="77777777" w:rsidR="00A374E7" w:rsidRPr="00D11083" w:rsidRDefault="00A374E7" w:rsidP="00A374E7"/>
    <w:p w14:paraId="44E71DAC" w14:textId="77777777" w:rsidR="00A374E7" w:rsidRPr="00D11083" w:rsidRDefault="00A374E7" w:rsidP="00A374E7"/>
    <w:p w14:paraId="716A2B6B" w14:textId="77777777" w:rsidR="00A374E7" w:rsidRDefault="00A374E7" w:rsidP="00A374E7"/>
    <w:p w14:paraId="1110A335" w14:textId="77777777" w:rsidR="00A374E7" w:rsidRPr="00D11083" w:rsidRDefault="00A374E7" w:rsidP="00A374E7"/>
    <w:p w14:paraId="4651DB21" w14:textId="77777777" w:rsidR="00A374E7" w:rsidRDefault="00A374E7" w:rsidP="00A374E7"/>
    <w:p w14:paraId="0D789E2F" w14:textId="1DF4415E" w:rsidR="00A374E7" w:rsidRDefault="00A374E7" w:rsidP="004F338B">
      <w:pPr>
        <w:tabs>
          <w:tab w:val="left" w:pos="2970"/>
        </w:tabs>
      </w:pPr>
      <w:r>
        <w:tab/>
      </w:r>
    </w:p>
    <w:p w14:paraId="472066C9" w14:textId="77777777" w:rsidR="004F338B" w:rsidRDefault="004F338B" w:rsidP="004F338B">
      <w:pPr>
        <w:tabs>
          <w:tab w:val="left" w:pos="2970"/>
        </w:tabs>
      </w:pPr>
    </w:p>
    <w:sectPr w:rsidR="004F338B" w:rsidSect="00A374E7">
      <w:headerReference w:type="even" r:id="rId29"/>
      <w:headerReference w:type="default" r:id="rId30"/>
      <w:footerReference w:type="even" r:id="rId31"/>
      <w:footerReference w:type="default" r:id="rId32"/>
      <w:headerReference w:type="first" r:id="rId33"/>
      <w:type w:val="oddPage"/>
      <w:pgSz w:w="11906" w:h="16838"/>
      <w:pgMar w:top="1134" w:right="1418"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2B712" w14:textId="77777777" w:rsidR="00026DE4" w:rsidRDefault="00026DE4" w:rsidP="0021112C">
      <w:pPr>
        <w:spacing w:after="0" w:line="240" w:lineRule="auto"/>
      </w:pPr>
      <w:r>
        <w:separator/>
      </w:r>
    </w:p>
  </w:endnote>
  <w:endnote w:type="continuationSeparator" w:id="0">
    <w:p w14:paraId="5ADF39B6" w14:textId="77777777" w:rsidR="00026DE4" w:rsidRDefault="00026DE4" w:rsidP="00211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0199F" w14:textId="7ECC8FEC" w:rsidR="00A374E7" w:rsidRPr="008A4F26" w:rsidRDefault="00A374E7" w:rsidP="008A4F26">
    <w:pPr>
      <w:pStyle w:val="Footer"/>
    </w:pPr>
    <w:r w:rsidRPr="00003217">
      <w:rPr>
        <w:noProof/>
        <w:lang w:val="en-GB" w:eastAsia="en-GB"/>
      </w:rPr>
      <mc:AlternateContent>
        <mc:Choice Requires="wps">
          <w:drawing>
            <wp:anchor distT="0" distB="0" distL="114300" distR="114300" simplePos="0" relativeHeight="251659264" behindDoc="1" locked="0" layoutInCell="1" allowOverlap="1" wp14:anchorId="221126A3" wp14:editId="07040061">
              <wp:simplePos x="0" y="0"/>
              <wp:positionH relativeFrom="column">
                <wp:posOffset>-1090295</wp:posOffset>
              </wp:positionH>
              <wp:positionV relativeFrom="paragraph">
                <wp:posOffset>612511</wp:posOffset>
              </wp:positionV>
              <wp:extent cx="7878445" cy="159385"/>
              <wp:effectExtent l="0" t="0" r="8255" b="0"/>
              <wp:wrapNone/>
              <wp:docPr id="8" name="Rectangle 8" descr="&quot;&quot;"/>
              <wp:cNvGraphicFramePr/>
              <a:graphic xmlns:a="http://schemas.openxmlformats.org/drawingml/2006/main">
                <a:graphicData uri="http://schemas.microsoft.com/office/word/2010/wordprocessingShape">
                  <wps:wsp>
                    <wps:cNvSpPr/>
                    <wps:spPr>
                      <a:xfrm>
                        <a:off x="0" y="0"/>
                        <a:ext cx="7878445" cy="159385"/>
                      </a:xfrm>
                      <a:prstGeom prst="rect">
                        <a:avLst/>
                      </a:prstGeom>
                      <a:solidFill>
                        <a:srgbClr val="0E49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C915F" id="Rectangle 8" o:spid="_x0000_s1026" alt="&quot;&quot;" style="position:absolute;margin-left:-85.85pt;margin-top:48.25pt;width:620.35pt;height:1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" fillcolor="#0e495d" stroked="f" strokeweight="1pt"/>
          </w:pict>
        </mc:Fallback>
      </mc:AlternateContent>
    </w:r>
    <w:r w:rsidR="00003217" w:rsidRPr="00003217">
      <w:t xml:space="preserve">Attachment 1 - </w:t>
    </w:r>
    <w:r>
      <w:t>Health Star Rating Uptake in Australia</w:t>
    </w:r>
    <w:r w:rsidRPr="008149EB">
      <w:br/>
    </w:r>
    <w:r>
      <w:t>January 2025</w:t>
    </w:r>
    <w:r>
      <w:tab/>
    </w:r>
    <w:r w:rsidRPr="008149EB">
      <w:fldChar w:fldCharType="begin"/>
    </w:r>
    <w:r w:rsidRPr="008149EB">
      <w:instrText xml:space="preserve"> PAGE   \* MERGEFORMAT </w:instrText>
    </w:r>
    <w:r w:rsidRPr="008149EB">
      <w:fldChar w:fldCharType="separate"/>
    </w:r>
    <w:r>
      <w:rPr>
        <w:noProof/>
      </w:rPr>
      <w:t>3</w:t>
    </w:r>
    <w:r w:rsidRPr="008149E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106D1" w14:textId="219142E3" w:rsidR="00A374E7" w:rsidRPr="008A4F26" w:rsidRDefault="00A374E7" w:rsidP="008A4F26">
    <w:pPr>
      <w:pStyle w:val="Footer"/>
    </w:pPr>
    <w:r w:rsidRPr="000A7432">
      <w:rPr>
        <w:noProof/>
        <w:lang w:val="en-GB" w:eastAsia="en-GB"/>
      </w:rPr>
      <mc:AlternateContent>
        <mc:Choice Requires="wps">
          <w:drawing>
            <wp:anchor distT="0" distB="0" distL="114300" distR="114300" simplePos="0" relativeHeight="251660288" behindDoc="1" locked="0" layoutInCell="1" allowOverlap="1" wp14:anchorId="3F8F2F74" wp14:editId="731C410A">
              <wp:simplePos x="0" y="0"/>
              <wp:positionH relativeFrom="column">
                <wp:posOffset>-1090295</wp:posOffset>
              </wp:positionH>
              <wp:positionV relativeFrom="paragraph">
                <wp:posOffset>612511</wp:posOffset>
              </wp:positionV>
              <wp:extent cx="7878445" cy="159385"/>
              <wp:effectExtent l="0" t="0" r="8255" b="0"/>
              <wp:wrapNone/>
              <wp:docPr id="22" name="Rectangle 22" descr="&quot;&quot;"/>
              <wp:cNvGraphicFramePr/>
              <a:graphic xmlns:a="http://schemas.openxmlformats.org/drawingml/2006/main">
                <a:graphicData uri="http://schemas.microsoft.com/office/word/2010/wordprocessingShape">
                  <wps:wsp>
                    <wps:cNvSpPr/>
                    <wps:spPr>
                      <a:xfrm>
                        <a:off x="0" y="0"/>
                        <a:ext cx="7878445" cy="159385"/>
                      </a:xfrm>
                      <a:prstGeom prst="rect">
                        <a:avLst/>
                      </a:prstGeom>
                      <a:solidFill>
                        <a:srgbClr val="0E49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89A12" id="Rectangle 22" o:spid="_x0000_s1026" alt="&quot;&quot;" style="position:absolute;margin-left:-85.85pt;margin-top:48.25pt;width:620.35pt;height:1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" fillcolor="#0e495d" stroked="f" strokeweight="1pt"/>
          </w:pict>
        </mc:Fallback>
      </mc:AlternateContent>
    </w:r>
    <w:r w:rsidR="00003217">
      <w:t xml:space="preserve">Attachment 1 - </w:t>
    </w:r>
    <w:r>
      <w:t>Health Star Rating Uptake in Australia</w:t>
    </w:r>
    <w:r w:rsidRPr="008149EB">
      <w:br/>
    </w:r>
    <w:r w:rsidR="00FD7ED1">
      <w:t>January</w:t>
    </w:r>
    <w:r>
      <w:t xml:space="preserve"> 202</w:t>
    </w:r>
    <w:r w:rsidR="00FD7ED1">
      <w:t>5</w:t>
    </w:r>
    <w:r>
      <w:tab/>
    </w:r>
    <w:r w:rsidRPr="008149EB">
      <w:fldChar w:fldCharType="begin"/>
    </w:r>
    <w:r w:rsidRPr="008149EB">
      <w:instrText xml:space="preserve"> PAGE   \* MERGEFORMAT </w:instrText>
    </w:r>
    <w:r w:rsidRPr="008149EB">
      <w:fldChar w:fldCharType="separate"/>
    </w:r>
    <w:r>
      <w:rPr>
        <w:noProof/>
      </w:rPr>
      <w:t>3</w:t>
    </w:r>
    <w:r w:rsidRPr="008149E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3536A" w14:textId="77777777" w:rsidR="00A374E7" w:rsidRDefault="00A374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3B7E5" w14:textId="77777777" w:rsidR="00A374E7" w:rsidRDefault="00A374E7">
    <w:pPr>
      <w:pStyle w:val="Footer"/>
    </w:pPr>
    <w:r>
      <w:rPr>
        <w:noProof/>
      </w:rPr>
      <w:drawing>
        <wp:anchor distT="0" distB="0" distL="114300" distR="114300" simplePos="0" relativeHeight="251664384" behindDoc="1" locked="0" layoutInCell="1" allowOverlap="1" wp14:anchorId="0EEC0099" wp14:editId="494EA69B">
          <wp:simplePos x="0" y="0"/>
          <wp:positionH relativeFrom="column">
            <wp:posOffset>-1645920</wp:posOffset>
          </wp:positionH>
          <wp:positionV relativeFrom="paragraph">
            <wp:posOffset>-177800</wp:posOffset>
          </wp:positionV>
          <wp:extent cx="1785620" cy="324485"/>
          <wp:effectExtent l="0" t="0" r="5080" b="0"/>
          <wp:wrapNone/>
          <wp:docPr id="1112597405" name="Picture 1112597405" descr="Te Kawanatanga o Aotearoa &#10;New Zealand Government"/>
          <wp:cNvGraphicFramePr/>
          <a:graphic xmlns:a="http://schemas.openxmlformats.org/drawingml/2006/main">
            <a:graphicData uri="http://schemas.openxmlformats.org/drawingml/2006/picture">
              <pic:pic xmlns:pic="http://schemas.openxmlformats.org/drawingml/2006/picture">
                <pic:nvPicPr>
                  <pic:cNvPr id="1177070454" name="Picture 1177070454" descr="Te Kawanatanga o Aotearoa &#10;New Zealand Government"/>
                  <pic:cNvPicPr/>
                </pic:nvPicPr>
                <pic:blipFill>
                  <a:blip r:embed="rId1">
                    <a:extLst>
                      <a:ext uri="{28A0092B-C50C-407E-A947-70E740481C1C}">
                        <a14:useLocalDpi xmlns:a14="http://schemas.microsoft.com/office/drawing/2010/main" val="0"/>
                      </a:ext>
                    </a:extLst>
                  </a:blip>
                  <a:stretch>
                    <a:fillRect/>
                  </a:stretch>
                </pic:blipFill>
                <pic:spPr>
                  <a:xfrm>
                    <a:off x="0" y="0"/>
                    <a:ext cx="1785620" cy="324485"/>
                  </a:xfrm>
                  <a:prstGeom prst="rect">
                    <a:avLst/>
                  </a:prstGeom>
                </pic:spPr>
              </pic:pic>
            </a:graphicData>
          </a:graphic>
          <wp14:sizeRelH relativeFrom="page">
            <wp14:pctWidth>0</wp14:pctWidth>
          </wp14:sizeRelH>
          <wp14:sizeRelV relativeFrom="page">
            <wp14:pctHeight>0</wp14:pctHeight>
          </wp14:sizeRelV>
        </wp:anchor>
      </w:drawing>
    </w:r>
    <w:r>
      <w:rPr>
        <w:noProof/>
        <w:lang w:eastAsia="en-NZ"/>
      </w:rPr>
      <w:drawing>
        <wp:anchor distT="0" distB="0" distL="114300" distR="114300" simplePos="0" relativeHeight="251662336" behindDoc="1" locked="0" layoutInCell="1" allowOverlap="1" wp14:anchorId="35A27D91" wp14:editId="51D8CC64">
          <wp:simplePos x="0" y="0"/>
          <wp:positionH relativeFrom="column">
            <wp:posOffset>2712720</wp:posOffset>
          </wp:positionH>
          <wp:positionV relativeFrom="paragraph">
            <wp:posOffset>-246380</wp:posOffset>
          </wp:positionV>
          <wp:extent cx="1925955" cy="467995"/>
          <wp:effectExtent l="0" t="0" r="0" b="8255"/>
          <wp:wrapNone/>
          <wp:docPr id="1522488156" name="Picture 1522488156" descr="Ministry for Primary Industries&#10;Manatu Au Mat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080943" name="Picture 2128080943" descr="Ministry for Primary Industries&#10;Manatu Au Matua"/>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25955" cy="467995"/>
                  </a:xfrm>
                  <a:prstGeom prst="rect">
                    <a:avLst/>
                  </a:prstGeom>
                </pic:spPr>
              </pic:pic>
            </a:graphicData>
          </a:graphic>
          <wp14:sizeRelH relativeFrom="page">
            <wp14:pctWidth>0</wp14:pctWidth>
          </wp14:sizeRelH>
          <wp14:sizeRelV relativeFrom="page">
            <wp14:pctHeight>0</wp14:pctHeight>
          </wp14:sizeRelV>
        </wp:anchor>
      </w:drawing>
    </w:r>
    <w:r>
      <w:rPr>
        <w:noProof/>
        <w:lang w:eastAsia="en-NZ"/>
      </w:rPr>
      <mc:AlternateContent>
        <mc:Choice Requires="wps">
          <w:drawing>
            <wp:anchor distT="0" distB="0" distL="114300" distR="114300" simplePos="0" relativeHeight="251663360" behindDoc="0" locked="0" layoutInCell="1" allowOverlap="1" wp14:anchorId="6FE432D8" wp14:editId="0525FADD">
              <wp:simplePos x="0" y="0"/>
              <wp:positionH relativeFrom="column">
                <wp:posOffset>-2324100</wp:posOffset>
              </wp:positionH>
              <wp:positionV relativeFrom="paragraph">
                <wp:posOffset>322580</wp:posOffset>
              </wp:positionV>
              <wp:extent cx="7877175" cy="322580"/>
              <wp:effectExtent l="0" t="0" r="9525" b="127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77175" cy="322580"/>
                      </a:xfrm>
                      <a:prstGeom prst="rect">
                        <a:avLst/>
                      </a:prstGeom>
                      <a:solidFill>
                        <a:srgbClr val="CD5D1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7EEA9" id="Rectangle 3" o:spid="_x0000_s1026" alt="&quot;&quot;" style="position:absolute;margin-left:-183pt;margin-top:25.4pt;width:620.25pt;height:2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" fillcolor="#cd5d18" stroked="f" strokeweight="1p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4B605" w14:textId="1763BF4F" w:rsidR="00A374E7" w:rsidRDefault="00A374E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29D8D" w14:textId="2184C4B5" w:rsidR="00003217" w:rsidRDefault="0000321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A9469" w14:textId="77777777" w:rsidR="003C3CAB" w:rsidRPr="0063707E" w:rsidRDefault="003C5C2F" w:rsidP="00785F13">
    <w:pPr>
      <w:pStyle w:val="Footer"/>
      <w:pBdr>
        <w:top w:val="single" w:sz="4" w:space="1" w:color="auto"/>
      </w:pBdr>
      <w:tabs>
        <w:tab w:val="right" w:pos="9072"/>
      </w:tabs>
    </w:pPr>
    <w:r w:rsidRPr="0063707E">
      <w:rPr>
        <w:rStyle w:val="PageNumber"/>
      </w:rPr>
      <w:fldChar w:fldCharType="begin"/>
    </w:r>
    <w:r w:rsidRPr="0063707E">
      <w:rPr>
        <w:rStyle w:val="PageNumber"/>
      </w:rPr>
      <w:instrText xml:space="preserve"> PAGE </w:instrText>
    </w:r>
    <w:r w:rsidRPr="0063707E">
      <w:rPr>
        <w:rStyle w:val="PageNumber"/>
      </w:rPr>
      <w:fldChar w:fldCharType="separate"/>
    </w:r>
    <w:r>
      <w:rPr>
        <w:rStyle w:val="PageNumber"/>
        <w:noProof/>
      </w:rPr>
      <w:t>2</w:t>
    </w:r>
    <w:r w:rsidRPr="0063707E">
      <w:rPr>
        <w:rStyle w:val="PageNumber"/>
      </w:rPr>
      <w:fldChar w:fldCharType="end"/>
    </w:r>
    <w:r w:rsidRPr="0063707E">
      <w:rPr>
        <w:rStyle w:val="PageNumber"/>
      </w:rPr>
      <w:t xml:space="preserve"> </w:t>
    </w:r>
    <w:r w:rsidRPr="0063707E">
      <w:sym w:font="Symbol" w:char="F0B7"/>
    </w:r>
    <w:r w:rsidRPr="0063707E">
      <w:t xml:space="preserve"> </w:t>
    </w:r>
    <w:r>
      <w:t xml:space="preserve">Health Star </w:t>
    </w:r>
    <w:r>
      <w:t>Rating uptake in New Zealand</w:t>
    </w:r>
    <w:r w:rsidRPr="0063707E">
      <w:rPr>
        <w:rStyle w:val="PageNumber"/>
      </w:rPr>
      <w:tab/>
    </w:r>
    <w:r>
      <w:t>New Zealand Food Safety</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B923D" w14:textId="448E18B8" w:rsidR="003C3CAB" w:rsidRPr="00CC36A6" w:rsidRDefault="00CC36A6">
    <w:pPr>
      <w:pStyle w:val="Footer"/>
      <w:pBdr>
        <w:top w:val="single" w:sz="4" w:space="1" w:color="auto"/>
      </w:pBdr>
      <w:tabs>
        <w:tab w:val="right" w:pos="9072"/>
      </w:tabs>
      <w:rPr>
        <w:rFonts w:ascii="Arial Narrow" w:hAnsi="Arial Narrow"/>
      </w:rPr>
    </w:pPr>
    <w:r>
      <w:rPr>
        <w:rFonts w:ascii="Arial Narrow" w:hAnsi="Arial Narrow"/>
      </w:rPr>
      <w:t>Attachment 2</w:t>
    </w:r>
    <w:r>
      <w:rPr>
        <w:rFonts w:ascii="Arial Narrow" w:hAnsi="Arial Narrow"/>
      </w:rPr>
      <w:br/>
    </w:r>
    <w:r w:rsidRPr="00CC36A6">
      <w:rPr>
        <w:rFonts w:ascii="Arial Narrow" w:hAnsi="Arial Narrow"/>
      </w:rPr>
      <w:t xml:space="preserve">New Zealand Food Safety </w:t>
    </w:r>
    <w:r w:rsidR="008F39C5">
      <w:rPr>
        <w:rFonts w:ascii="Arial Narrow" w:hAnsi="Arial Narrow"/>
      </w:rPr>
      <w:t xml:space="preserve">                                                                         </w:t>
    </w:r>
    <w:r w:rsidRPr="00CC36A6">
      <w:rPr>
        <w:rFonts w:ascii="Arial Narrow" w:hAnsi="Arial Narrow"/>
      </w:rPr>
      <w:t xml:space="preserve">Health Star Rating uptake in New Zealand </w:t>
    </w:r>
    <w:r w:rsidRPr="00CC36A6">
      <w:rPr>
        <w:rFonts w:ascii="Arial Narrow" w:hAnsi="Arial Narrow"/>
      </w:rPr>
      <w:sym w:font="Symbol" w:char="F0B7"/>
    </w:r>
    <w:r w:rsidRPr="00CC36A6">
      <w:rPr>
        <w:rFonts w:ascii="Arial Narrow" w:hAnsi="Arial Narrow"/>
      </w:rPr>
      <w:t xml:space="preserve"> </w:t>
    </w:r>
    <w:r w:rsidR="008F39C5">
      <w:rPr>
        <w:rFonts w:ascii="Arial Narrow" w:hAnsi="Arial Narrow"/>
      </w:rPr>
      <w:tab/>
    </w:r>
    <w:r w:rsidRPr="00CC36A6">
      <w:rPr>
        <w:rStyle w:val="PageNumber"/>
      </w:rPr>
      <w:fldChar w:fldCharType="begin"/>
    </w:r>
    <w:r w:rsidRPr="00CC36A6">
      <w:rPr>
        <w:rStyle w:val="PageNumber"/>
      </w:rPr>
      <w:instrText xml:space="preserve"> PAGE </w:instrText>
    </w:r>
    <w:r w:rsidRPr="00CC36A6">
      <w:rPr>
        <w:rStyle w:val="PageNumber"/>
      </w:rPr>
      <w:fldChar w:fldCharType="separate"/>
    </w:r>
    <w:r w:rsidRPr="00CC36A6">
      <w:rPr>
        <w:rStyle w:val="PageNumber"/>
        <w:noProof/>
      </w:rPr>
      <w:t>1</w:t>
    </w:r>
    <w:r w:rsidRPr="00CC36A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A8944" w14:textId="77777777" w:rsidR="00026DE4" w:rsidRDefault="00026DE4" w:rsidP="0021112C">
      <w:pPr>
        <w:spacing w:after="0" w:line="240" w:lineRule="auto"/>
      </w:pPr>
      <w:r>
        <w:separator/>
      </w:r>
    </w:p>
  </w:footnote>
  <w:footnote w:type="continuationSeparator" w:id="0">
    <w:p w14:paraId="07749CF0" w14:textId="77777777" w:rsidR="00026DE4" w:rsidRDefault="00026DE4" w:rsidP="0021112C">
      <w:pPr>
        <w:spacing w:after="0" w:line="240" w:lineRule="auto"/>
      </w:pPr>
      <w:r>
        <w:continuationSeparator/>
      </w:r>
    </w:p>
  </w:footnote>
  <w:footnote w:id="1">
    <w:p w14:paraId="3D31AF70" w14:textId="77777777" w:rsidR="0021112C" w:rsidRDefault="0021112C" w:rsidP="0021112C">
      <w:pPr>
        <w:pStyle w:val="FootnoteText"/>
        <w:spacing w:after="0"/>
        <w:rPr>
          <w:sz w:val="16"/>
          <w:szCs w:val="16"/>
          <w:lang w:val="en-NZ"/>
        </w:rPr>
      </w:pPr>
      <w:r>
        <w:rPr>
          <w:rStyle w:val="FootnoteReference"/>
          <w:sz w:val="16"/>
          <w:szCs w:val="16"/>
        </w:rPr>
        <w:footnoteRef/>
      </w:r>
      <w:r>
        <w:rPr>
          <w:sz w:val="16"/>
          <w:szCs w:val="16"/>
        </w:rPr>
        <w:t xml:space="preserve"> Health Star Rating system post five-year review. Monitoring Framework. July 2023. Available at: </w:t>
      </w:r>
      <w:hyperlink r:id="rId1" w:history="1">
        <w:r>
          <w:rPr>
            <w:rStyle w:val="Hyperlink"/>
            <w:sz w:val="16"/>
            <w:szCs w:val="16"/>
          </w:rPr>
          <w:t>http://www.healthstarrating.gov.au/internet/healthstarrating/publishing.nsf/Content/01C15064FB52327BCA25861D00364E60/$File/Monitoring%20Framework%20-%20final.PDF</w:t>
        </w:r>
      </w:hyperlink>
      <w:r>
        <w:rPr>
          <w:sz w:val="16"/>
          <w:szCs w:val="16"/>
        </w:rPr>
        <w:t xml:space="preserve"> </w:t>
      </w:r>
    </w:p>
  </w:footnote>
  <w:footnote w:id="2">
    <w:p w14:paraId="45EE6F00" w14:textId="77777777" w:rsidR="00A374E7" w:rsidRPr="00003217" w:rsidRDefault="00A374E7" w:rsidP="00A374E7">
      <w:pPr>
        <w:pStyle w:val="FootnoteText"/>
        <w:rPr>
          <w:rFonts w:ascii="Arial" w:hAnsi="Arial" w:cs="Arial"/>
          <w:lang w:val="en-US"/>
        </w:rPr>
      </w:pPr>
      <w:r w:rsidRPr="00003217">
        <w:rPr>
          <w:rStyle w:val="FootnoteReference"/>
          <w:rFonts w:ascii="Arial" w:hAnsi="Arial" w:cs="Arial"/>
        </w:rPr>
        <w:footnoteRef/>
      </w:r>
      <w:r w:rsidRPr="00003217">
        <w:rPr>
          <w:rFonts w:ascii="Arial" w:hAnsi="Arial" w:cs="Arial"/>
        </w:rPr>
        <w:t xml:space="preserve"> </w:t>
      </w:r>
      <w:r w:rsidRPr="00003217">
        <w:rPr>
          <w:rFonts w:ascii="Arial" w:hAnsi="Arial" w:cs="Arial"/>
          <w:sz w:val="16"/>
          <w:szCs w:val="18"/>
        </w:rPr>
        <w:t xml:space="preserve">Health Star Rating System: Targets and intended products. Available at: </w:t>
      </w:r>
      <w:hyperlink r:id="rId2" w:history="1">
        <w:r w:rsidRPr="00003217">
          <w:rPr>
            <w:rStyle w:val="Hyperlink"/>
            <w:rFonts w:ascii="Arial" w:hAnsi="Arial" w:cs="Arial"/>
            <w:sz w:val="16"/>
            <w:szCs w:val="18"/>
          </w:rPr>
          <w:t>http://healthstarrating.gov.au/internet/healthstarrating/publishing.nsf/Content/target-and-intended-products</w:t>
        </w:r>
      </w:hyperlink>
    </w:p>
  </w:footnote>
  <w:footnote w:id="3">
    <w:p w14:paraId="67252771" w14:textId="77777777" w:rsidR="00A374E7" w:rsidRPr="00003217" w:rsidRDefault="00A374E7" w:rsidP="00003217">
      <w:pPr>
        <w:pStyle w:val="FootnoteText"/>
        <w:spacing w:after="120"/>
        <w:rPr>
          <w:rFonts w:ascii="Arial" w:hAnsi="Arial" w:cs="Arial"/>
          <w:sz w:val="16"/>
          <w:szCs w:val="16"/>
          <w:lang w:val="en-NZ"/>
        </w:rPr>
      </w:pPr>
      <w:r w:rsidRPr="00003217">
        <w:rPr>
          <w:rStyle w:val="FootnoteReference"/>
          <w:rFonts w:ascii="Arial" w:hAnsi="Arial" w:cs="Arial"/>
          <w:sz w:val="16"/>
          <w:szCs w:val="16"/>
        </w:rPr>
        <w:footnoteRef/>
      </w:r>
      <w:r w:rsidRPr="00003217">
        <w:rPr>
          <w:rFonts w:ascii="Arial" w:hAnsi="Arial" w:cs="Arial"/>
          <w:sz w:val="16"/>
          <w:szCs w:val="16"/>
        </w:rPr>
        <w:t xml:space="preserve"> Health Star Rating system post five-year review. Monitoring Framework. July 2023. Available at: </w:t>
      </w:r>
      <w:hyperlink r:id="rId3" w:history="1">
        <w:r w:rsidRPr="00003217">
          <w:rPr>
            <w:rStyle w:val="Hyperlink"/>
            <w:rFonts w:ascii="Arial" w:hAnsi="Arial" w:cs="Arial"/>
            <w:sz w:val="16"/>
            <w:szCs w:val="16"/>
          </w:rPr>
          <w:t>http://www.healthstarrating.gov.au/internet/healthstarrating/publishing.nsf/Content/01C15064FB52327BCA25861D00364E60/$File/Monitoring%20Framework%20-%20final.PDF</w:t>
        </w:r>
      </w:hyperlink>
      <w:r w:rsidRPr="00003217">
        <w:rPr>
          <w:rFonts w:ascii="Arial" w:hAnsi="Arial" w:cs="Arial"/>
          <w:sz w:val="16"/>
          <w:szCs w:val="16"/>
        </w:rPr>
        <w:t xml:space="preserve"> </w:t>
      </w:r>
    </w:p>
  </w:footnote>
  <w:footnote w:id="4">
    <w:p w14:paraId="17670F17" w14:textId="77777777" w:rsidR="00A374E7" w:rsidRPr="00003217" w:rsidRDefault="00A374E7" w:rsidP="00003217">
      <w:pPr>
        <w:pStyle w:val="FootnoteText"/>
        <w:spacing w:after="120"/>
        <w:rPr>
          <w:rFonts w:ascii="Arial" w:hAnsi="Arial" w:cs="Arial"/>
          <w:sz w:val="16"/>
          <w:szCs w:val="16"/>
        </w:rPr>
      </w:pPr>
      <w:r w:rsidRPr="00003217">
        <w:rPr>
          <w:rStyle w:val="FootnoteReference"/>
          <w:rFonts w:ascii="Arial" w:hAnsi="Arial" w:cs="Arial"/>
          <w:sz w:val="16"/>
          <w:szCs w:val="16"/>
        </w:rPr>
        <w:footnoteRef/>
      </w:r>
      <w:r w:rsidRPr="00003217">
        <w:rPr>
          <w:rFonts w:ascii="Arial" w:hAnsi="Arial" w:cs="Arial"/>
          <w:sz w:val="16"/>
          <w:szCs w:val="16"/>
        </w:rPr>
        <w:t xml:space="preserve"> Health Star Rating system. Year 4 monitoring plan. Available at: </w:t>
      </w:r>
      <w:hyperlink r:id="rId4" w:history="1">
        <w:r w:rsidRPr="00003217">
          <w:rPr>
            <w:rStyle w:val="Hyperlink"/>
            <w:rFonts w:ascii="Arial" w:hAnsi="Arial" w:cs="Arial"/>
            <w:sz w:val="16"/>
            <w:szCs w:val="16"/>
          </w:rPr>
          <w:t>http://www.healthstarrating.gov.au/internet/healthstarrating/publishing.nsf/Content/01C15064FB52327BCA25861D00364E60/$File/HSR%20Year%204%20Monitoring%20Plan.pdf</w:t>
        </w:r>
      </w:hyperlink>
      <w:r w:rsidRPr="00003217">
        <w:rPr>
          <w:rFonts w:ascii="Arial" w:hAnsi="Arial" w:cs="Arial"/>
          <w:sz w:val="16"/>
          <w:szCs w:val="16"/>
        </w:rPr>
        <w:t xml:space="preserve"> </w:t>
      </w:r>
    </w:p>
  </w:footnote>
  <w:footnote w:id="5">
    <w:p w14:paraId="67BAB48D" w14:textId="77777777" w:rsidR="00A374E7" w:rsidRPr="00003217" w:rsidRDefault="00A374E7" w:rsidP="00003217">
      <w:pPr>
        <w:pStyle w:val="FootnoteText"/>
        <w:spacing w:after="120"/>
        <w:rPr>
          <w:rFonts w:ascii="Arial" w:hAnsi="Arial" w:cs="Arial"/>
          <w:sz w:val="16"/>
          <w:szCs w:val="16"/>
          <w:lang w:val="en-US"/>
        </w:rPr>
      </w:pPr>
      <w:r w:rsidRPr="00003217">
        <w:rPr>
          <w:rStyle w:val="FootnoteReference"/>
          <w:rFonts w:ascii="Arial" w:hAnsi="Arial" w:cs="Arial"/>
          <w:sz w:val="16"/>
          <w:szCs w:val="16"/>
        </w:rPr>
        <w:footnoteRef/>
      </w:r>
      <w:r w:rsidRPr="00003217">
        <w:rPr>
          <w:rFonts w:ascii="Arial" w:hAnsi="Arial" w:cs="Arial"/>
          <w:sz w:val="16"/>
          <w:szCs w:val="16"/>
        </w:rPr>
        <w:t xml:space="preserve"> </w:t>
      </w:r>
      <w:r w:rsidRPr="00003217">
        <w:rPr>
          <w:rFonts w:ascii="Arial" w:hAnsi="Arial" w:cs="Arial"/>
          <w:sz w:val="16"/>
          <w:szCs w:val="16"/>
          <w:lang w:val="en-US"/>
        </w:rPr>
        <w:t>Metcash is a wholesale distribution and marketing company that supports the independent business sector. Whilst not truly a ‘retailer’ Metcash is referenced as a retailer in this report for simplicity and with reference to their sale of Black and Gold and Community Co brands to independent store owners Australia wide.</w:t>
      </w:r>
    </w:p>
  </w:footnote>
  <w:footnote w:id="6">
    <w:p w14:paraId="00AD8534" w14:textId="77777777" w:rsidR="00A374E7" w:rsidRPr="002870F1" w:rsidRDefault="00A374E7" w:rsidP="00003217">
      <w:pPr>
        <w:spacing w:after="120" w:line="240" w:lineRule="auto"/>
        <w:rPr>
          <w:rFonts w:eastAsia="Times New Roman"/>
          <w:color w:val="44546A"/>
          <w:sz w:val="16"/>
          <w:szCs w:val="16"/>
        </w:rPr>
      </w:pPr>
      <w:r w:rsidRPr="00003217">
        <w:rPr>
          <w:rStyle w:val="FootnoteReference"/>
          <w:rFonts w:ascii="Arial" w:hAnsi="Arial" w:cs="Arial"/>
          <w:sz w:val="16"/>
          <w:szCs w:val="16"/>
        </w:rPr>
        <w:footnoteRef/>
      </w:r>
      <w:r w:rsidRPr="00003217">
        <w:rPr>
          <w:rFonts w:ascii="Arial" w:hAnsi="Arial" w:cs="Arial"/>
          <w:sz w:val="16"/>
          <w:szCs w:val="16"/>
        </w:rPr>
        <w:t xml:space="preserve"> </w:t>
      </w:r>
      <w:r w:rsidRPr="00003217">
        <w:rPr>
          <w:rFonts w:ascii="Arial" w:eastAsia="Times New Roman" w:hAnsi="Arial" w:cs="Arial"/>
          <w:sz w:val="16"/>
          <w:szCs w:val="16"/>
        </w:rPr>
        <w:t xml:space="preserve">Festive products were excluded from the analysis as the data may not adequately capture all such products which are only available at certain points of the year. </w:t>
      </w:r>
    </w:p>
  </w:footnote>
  <w:footnote w:id="7">
    <w:p w14:paraId="20A4D293" w14:textId="77777777" w:rsidR="00A374E7" w:rsidRDefault="00A374E7" w:rsidP="00A374E7">
      <w:pPr>
        <w:pStyle w:val="FootnoteText"/>
      </w:pPr>
      <w:r>
        <w:rPr>
          <w:rStyle w:val="FootnoteReference"/>
        </w:rPr>
        <w:footnoteRef/>
      </w:r>
      <w:r>
        <w:t xml:space="preserve"> Health Star Rating system. Targets and intended products. Available at: </w:t>
      </w:r>
      <w:hyperlink r:id="rId5" w:history="1">
        <w:r w:rsidRPr="000E2AF2">
          <w:rPr>
            <w:rStyle w:val="Hyperlink"/>
          </w:rPr>
          <w:t>http://www.healthstarrating.gov.au/internet/healthstarrating/publishing.nsf/Content/target-and-intended-products</w:t>
        </w:r>
      </w:hyperlink>
      <w:r>
        <w:t xml:space="preserve"> </w:t>
      </w:r>
    </w:p>
  </w:footnote>
  <w:footnote w:id="8">
    <w:p w14:paraId="6E2F1CA1" w14:textId="77777777" w:rsidR="00A374E7" w:rsidRPr="008F39C5" w:rsidRDefault="00A374E7" w:rsidP="008F39C5">
      <w:pPr>
        <w:pStyle w:val="FootnoteText"/>
        <w:spacing w:after="120"/>
        <w:rPr>
          <w:rFonts w:ascii="Arial" w:hAnsi="Arial" w:cs="Arial"/>
        </w:rPr>
      </w:pPr>
      <w:r w:rsidRPr="008F39C5">
        <w:rPr>
          <w:rStyle w:val="FootnoteReference"/>
          <w:rFonts w:ascii="Arial" w:hAnsi="Arial" w:cs="Arial"/>
        </w:rPr>
        <w:footnoteRef/>
      </w:r>
      <w:r w:rsidRPr="008F39C5">
        <w:rPr>
          <w:rFonts w:ascii="Arial" w:hAnsi="Arial" w:cs="Arial"/>
        </w:rPr>
        <w:t xml:space="preserve"> Health Star Rating system post five-year review. Monitoring Framework. July 2023. Available at: </w:t>
      </w:r>
      <w:hyperlink r:id="rId6" w:history="1">
        <w:r w:rsidRPr="008F39C5">
          <w:rPr>
            <w:rStyle w:val="Hyperlink"/>
            <w:rFonts w:ascii="Arial" w:hAnsi="Arial" w:cs="Arial"/>
          </w:rPr>
          <w:t>http://www.healthstarrating.gov.au/internet/healthstarrating/publishing.nsf/Content/01C15064FB52327BCA25861D00364E60/$File/Monitoring%20Framework%20-%20final.PDF</w:t>
        </w:r>
      </w:hyperlink>
      <w:r w:rsidRPr="008F39C5">
        <w:rPr>
          <w:rFonts w:ascii="Arial" w:hAnsi="Arial" w:cs="Arial"/>
        </w:rPr>
        <w:t xml:space="preserve"> </w:t>
      </w:r>
    </w:p>
  </w:footnote>
  <w:footnote w:id="9">
    <w:p w14:paraId="206A346B" w14:textId="77777777" w:rsidR="00A374E7" w:rsidRPr="008F39C5" w:rsidRDefault="00A374E7" w:rsidP="008F39C5">
      <w:pPr>
        <w:pStyle w:val="FootnoteText"/>
        <w:spacing w:after="120"/>
        <w:rPr>
          <w:rFonts w:ascii="Arial" w:hAnsi="Arial" w:cs="Arial"/>
        </w:rPr>
      </w:pPr>
      <w:r w:rsidRPr="008F39C5">
        <w:rPr>
          <w:rStyle w:val="FootnoteReference"/>
          <w:rFonts w:ascii="Arial" w:hAnsi="Arial" w:cs="Arial"/>
        </w:rPr>
        <w:footnoteRef/>
      </w:r>
      <w:r w:rsidRPr="008F39C5">
        <w:rPr>
          <w:rFonts w:ascii="Arial" w:hAnsi="Arial" w:cs="Arial"/>
        </w:rPr>
        <w:t xml:space="preserve"> Health Star Rating system. Year 4 monitoring plan. Available at: </w:t>
      </w:r>
      <w:hyperlink r:id="rId7" w:history="1">
        <w:r w:rsidRPr="008F39C5">
          <w:rPr>
            <w:rStyle w:val="Hyperlink"/>
            <w:rFonts w:ascii="Arial" w:hAnsi="Arial" w:cs="Arial"/>
          </w:rPr>
          <w:t>http://www.healthstarrating.gov.au/internet/healthstarrating/publishing.nsf/Content/01C15064FB52327BCA25861D00364E60/$File/HSR%20Year%204%20Monitoring%20Plan.pdf</w:t>
        </w:r>
      </w:hyperlink>
      <w:r w:rsidRPr="008F39C5">
        <w:rPr>
          <w:rFonts w:ascii="Arial" w:hAnsi="Arial" w:cs="Arial"/>
        </w:rPr>
        <w:t xml:space="preserve"> </w:t>
      </w:r>
    </w:p>
  </w:footnote>
  <w:footnote w:id="10">
    <w:p w14:paraId="25699DF3" w14:textId="77777777" w:rsidR="00A374E7" w:rsidRPr="008F39C5" w:rsidRDefault="00A374E7" w:rsidP="008F39C5">
      <w:pPr>
        <w:pStyle w:val="FootnoteText"/>
        <w:spacing w:after="120"/>
        <w:rPr>
          <w:rFonts w:ascii="Arial" w:hAnsi="Arial" w:cs="Arial"/>
        </w:rPr>
      </w:pPr>
      <w:r w:rsidRPr="008F39C5">
        <w:rPr>
          <w:rStyle w:val="FootnoteReference"/>
          <w:rFonts w:ascii="Arial" w:hAnsi="Arial" w:cs="Arial"/>
        </w:rPr>
        <w:footnoteRef/>
      </w:r>
      <w:r w:rsidRPr="008F39C5">
        <w:rPr>
          <w:rFonts w:ascii="Arial" w:hAnsi="Arial" w:cs="Arial"/>
        </w:rPr>
        <w:t xml:space="preserve"> GS1 New Zealand. On Pack data collection. Available at: </w:t>
      </w:r>
      <w:hyperlink r:id="rId8" w:history="1">
        <w:r w:rsidRPr="008F39C5">
          <w:rPr>
            <w:rStyle w:val="Hyperlink"/>
            <w:rFonts w:ascii="Arial" w:hAnsi="Arial" w:cs="Arial"/>
          </w:rPr>
          <w:t>https://www.gs1nz.org/services/on-pack-data-collection/</w:t>
        </w:r>
      </w:hyperlink>
      <w:r w:rsidRPr="008F39C5">
        <w:rPr>
          <w:rFonts w:ascii="Arial" w:hAnsi="Arial" w:cs="Arial"/>
        </w:rPr>
        <w:t xml:space="preserve"> (accessed December 2024). </w:t>
      </w:r>
    </w:p>
  </w:footnote>
  <w:footnote w:id="11">
    <w:p w14:paraId="5FDD4C24" w14:textId="77777777" w:rsidR="00A374E7" w:rsidRPr="008F39C5" w:rsidRDefault="00A374E7" w:rsidP="008F39C5">
      <w:pPr>
        <w:pStyle w:val="FootnoteText"/>
        <w:spacing w:after="120"/>
        <w:rPr>
          <w:rFonts w:ascii="Arial" w:hAnsi="Arial" w:cs="Arial"/>
        </w:rPr>
      </w:pPr>
      <w:r w:rsidRPr="008F39C5">
        <w:rPr>
          <w:rStyle w:val="FootnoteReference"/>
          <w:rFonts w:ascii="Arial" w:hAnsi="Arial" w:cs="Arial"/>
        </w:rPr>
        <w:footnoteRef/>
      </w:r>
      <w:r w:rsidRPr="008F39C5">
        <w:rPr>
          <w:rFonts w:ascii="Arial" w:hAnsi="Arial" w:cs="Arial"/>
        </w:rPr>
        <w:t xml:space="preserve"> GS1 New Zealand. </w:t>
      </w:r>
      <w:r w:rsidRPr="008F39C5">
        <w:rPr>
          <w:rFonts w:ascii="Arial" w:hAnsi="Arial" w:cs="Arial"/>
        </w:rPr>
        <w:t xml:space="preserve">ProductFlow. Available at: </w:t>
      </w:r>
      <w:hyperlink r:id="rId9" w:history="1">
        <w:r w:rsidRPr="008F39C5">
          <w:rPr>
            <w:rStyle w:val="Hyperlink"/>
            <w:rFonts w:ascii="Arial" w:hAnsi="Arial" w:cs="Arial"/>
          </w:rPr>
          <w:t>https://www.gs1nz.org/services/product-flow/</w:t>
        </w:r>
      </w:hyperlink>
      <w:r w:rsidRPr="008F39C5">
        <w:rPr>
          <w:rFonts w:ascii="Arial" w:hAnsi="Arial" w:cs="Arial"/>
        </w:rPr>
        <w:t xml:space="preserve"> (accessed December 2024). </w:t>
      </w:r>
    </w:p>
  </w:footnote>
  <w:footnote w:id="12">
    <w:p w14:paraId="47BEEB40" w14:textId="77777777" w:rsidR="00A374E7" w:rsidRPr="008F39C5" w:rsidRDefault="00A374E7" w:rsidP="008F39C5">
      <w:pPr>
        <w:pStyle w:val="FootnoteText"/>
        <w:spacing w:after="120"/>
        <w:rPr>
          <w:rFonts w:ascii="Arial" w:hAnsi="Arial" w:cs="Arial"/>
        </w:rPr>
      </w:pPr>
      <w:r w:rsidRPr="008F39C5">
        <w:rPr>
          <w:rStyle w:val="FootnoteReference"/>
          <w:rFonts w:ascii="Arial" w:hAnsi="Arial" w:cs="Arial"/>
        </w:rPr>
        <w:footnoteRef/>
      </w:r>
      <w:r w:rsidRPr="008F39C5">
        <w:rPr>
          <w:rFonts w:ascii="Arial" w:hAnsi="Arial" w:cs="Arial"/>
        </w:rPr>
        <w:t xml:space="preserve"> GS1. Global Product Classification (GPC). Available at: </w:t>
      </w:r>
      <w:hyperlink r:id="rId10" w:history="1">
        <w:r w:rsidRPr="008F39C5">
          <w:rPr>
            <w:rStyle w:val="Hyperlink"/>
            <w:rFonts w:ascii="Arial" w:hAnsi="Arial" w:cs="Arial"/>
          </w:rPr>
          <w:t>GPC Browser | GS1</w:t>
        </w:r>
      </w:hyperlink>
      <w:r w:rsidRPr="008F39C5">
        <w:rPr>
          <w:rFonts w:ascii="Arial" w:hAnsi="Arial" w:cs="Arial"/>
        </w:rPr>
        <w:t xml:space="preserve"> (accessed December 2024). </w:t>
      </w:r>
    </w:p>
  </w:footnote>
  <w:footnote w:id="13">
    <w:p w14:paraId="0253DEDB" w14:textId="77777777" w:rsidR="00A374E7" w:rsidRPr="008F39C5" w:rsidRDefault="00A374E7" w:rsidP="008F39C5">
      <w:pPr>
        <w:pStyle w:val="FootnoteText"/>
        <w:spacing w:after="120"/>
        <w:rPr>
          <w:rFonts w:ascii="Arial" w:hAnsi="Arial" w:cs="Arial"/>
        </w:rPr>
      </w:pPr>
      <w:r w:rsidRPr="008F39C5">
        <w:rPr>
          <w:rStyle w:val="FootnoteReference"/>
          <w:rFonts w:ascii="Arial" w:hAnsi="Arial" w:cs="Arial"/>
        </w:rPr>
        <w:footnoteRef/>
      </w:r>
      <w:r w:rsidRPr="008F39C5">
        <w:rPr>
          <w:rFonts w:ascii="Arial" w:hAnsi="Arial" w:cs="Arial"/>
        </w:rPr>
        <w:t xml:space="preserve"> Festive products were excluded from the analysis as the database may not adequately capture all such products which are only available at certain points of the year. Products were considered ‘festive’ if they had any of the following in their name: ‘easter’, ‘hot cross bun’, ‘HXB’, ‘HX bun’, ‘chocolate egg’, ‘bunny’, ‘Christmas’, ‘XMAS’, ‘Santa’, ‘reindeer’, ‘fruit mince tart’, ‘Halloween’, ‘</w:t>
      </w:r>
      <w:r w:rsidRPr="008F39C5">
        <w:rPr>
          <w:rFonts w:ascii="Arial" w:hAnsi="Arial" w:cs="Arial"/>
        </w:rPr>
        <w:t xml:space="preserve">mother’s day’, ‘father’s day’.  </w:t>
      </w:r>
    </w:p>
  </w:footnote>
  <w:footnote w:id="14">
    <w:p w14:paraId="66991A8C" w14:textId="77777777" w:rsidR="00A374E7" w:rsidRPr="000979B0" w:rsidRDefault="00A374E7" w:rsidP="008F39C5">
      <w:pPr>
        <w:spacing w:after="120" w:line="240" w:lineRule="auto"/>
        <w:rPr>
          <w:sz w:val="16"/>
        </w:rPr>
      </w:pPr>
      <w:r w:rsidRPr="008F39C5">
        <w:rPr>
          <w:rFonts w:ascii="Arial" w:hAnsi="Arial" w:cs="Arial"/>
          <w:sz w:val="16"/>
          <w:vertAlign w:val="superscript"/>
        </w:rPr>
        <w:footnoteRef/>
      </w:r>
      <w:r w:rsidRPr="008F39C5">
        <w:rPr>
          <w:rFonts w:ascii="Arial" w:hAnsi="Arial" w:cs="Arial"/>
          <w:sz w:val="16"/>
        </w:rPr>
        <w:t xml:space="preserve"> GPC bricks could not be automatically classified to a group when they contained products with a mixture of classifications.</w:t>
      </w:r>
      <w:r w:rsidRPr="00D4019B">
        <w:rPr>
          <w:sz w:val="16"/>
        </w:rPr>
        <w:t xml:space="preserve"> </w:t>
      </w:r>
    </w:p>
  </w:footnote>
  <w:footnote w:id="15">
    <w:p w14:paraId="1A9C6666" w14:textId="77777777" w:rsidR="00A374E7" w:rsidRPr="008F39C5" w:rsidRDefault="00A374E7" w:rsidP="008F39C5">
      <w:pPr>
        <w:pStyle w:val="FootnoteText"/>
        <w:spacing w:after="120"/>
        <w:rPr>
          <w:rFonts w:ascii="Arial" w:hAnsi="Arial" w:cs="Arial"/>
        </w:rPr>
      </w:pPr>
      <w:r w:rsidRPr="008F39C5">
        <w:rPr>
          <w:rStyle w:val="FootnoteReference"/>
          <w:rFonts w:ascii="Arial" w:hAnsi="Arial" w:cs="Arial"/>
        </w:rPr>
        <w:footnoteRef/>
      </w:r>
      <w:r w:rsidRPr="008F39C5">
        <w:rPr>
          <w:rFonts w:ascii="Arial" w:hAnsi="Arial" w:cs="Arial"/>
        </w:rPr>
        <w:t xml:space="preserve"> Uptake of the Health Star Rating system as </w:t>
      </w:r>
      <w:r w:rsidRPr="008F39C5">
        <w:rPr>
          <w:rFonts w:ascii="Arial" w:hAnsi="Arial" w:cs="Arial"/>
        </w:rPr>
        <w:t xml:space="preserve">at November 2023: a report on progress against the first interim target of the Health Star Rating system (May 2024). Available at: </w:t>
      </w:r>
      <w:hyperlink r:id="rId11" w:history="1">
        <w:r w:rsidRPr="008F39C5">
          <w:rPr>
            <w:rStyle w:val="Hyperlink"/>
            <w:rFonts w:ascii="Arial" w:hAnsi="Arial" w:cs="Arial"/>
          </w:rPr>
          <w:t>http://www.healthstarrating.gov.au/internet/healthstarrating/publishing.nsf/Content/01C15064FB52327BCA25861D00364E60/$File/Uptake%20of%20the%20Health%20Star%20Rating%20system.pdf</w:t>
        </w:r>
      </w:hyperlink>
      <w:r w:rsidRPr="008F39C5">
        <w:rPr>
          <w:rFonts w:ascii="Arial" w:hAnsi="Arial" w:cs="Arial"/>
        </w:rPr>
        <w:t xml:space="preserve"> </w:t>
      </w:r>
    </w:p>
  </w:footnote>
  <w:footnote w:id="16">
    <w:p w14:paraId="7D1112FE" w14:textId="77777777" w:rsidR="00A374E7" w:rsidRDefault="00A374E7" w:rsidP="008F39C5">
      <w:pPr>
        <w:pStyle w:val="FootnoteText"/>
        <w:spacing w:after="120"/>
      </w:pPr>
      <w:r w:rsidRPr="008F39C5">
        <w:rPr>
          <w:rStyle w:val="FootnoteReference"/>
          <w:rFonts w:ascii="Arial" w:hAnsi="Arial" w:cs="Arial"/>
        </w:rPr>
        <w:footnoteRef/>
      </w:r>
      <w:r w:rsidRPr="008F39C5">
        <w:rPr>
          <w:rFonts w:ascii="Arial" w:hAnsi="Arial" w:cs="Arial"/>
        </w:rPr>
        <w:t xml:space="preserve"> New Zealand Food Safety 2018, Health Star Rating – Monitoring implementation for the </w:t>
      </w:r>
      <w:r w:rsidRPr="008F39C5">
        <w:rPr>
          <w:rFonts w:ascii="Arial" w:hAnsi="Arial" w:cs="Arial"/>
        </w:rPr>
        <w:t>Five Year Review, New Zealand Ministry for Primary Industries, October.</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2B10D" w14:textId="77777777" w:rsidR="000230BD" w:rsidRPr="00220735" w:rsidRDefault="000230BD" w:rsidP="00220735">
    <w:pPr>
      <w:pStyle w:val="Header"/>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14A40" w14:textId="01B25A2A" w:rsidR="003C3CAB" w:rsidRPr="00845231" w:rsidRDefault="00003217" w:rsidP="00003217">
    <w:pPr>
      <w:pStyle w:val="Header"/>
      <w:pBdr>
        <w:bottom w:val="none" w:sz="0" w:space="0" w:color="auto"/>
      </w:pBdr>
      <w:tabs>
        <w:tab w:val="left" w:pos="5715"/>
      </w:tabs>
      <w:jc w:val="left"/>
    </w:pPr>
    <w: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48D21" w14:textId="7C53DDE7" w:rsidR="003C3CAB" w:rsidRDefault="003C3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5C8AE" w14:textId="1AB5C30F" w:rsidR="00003217" w:rsidRDefault="00003217" w:rsidP="00003217">
    <w:pPr>
      <w:pStyle w:val="Header"/>
      <w:pBdr>
        <w:bottom w:val="none" w:sz="0" w:space="0" w:color="auto"/>
      </w:pBdr>
    </w:pPr>
    <w:r w:rsidRPr="00664BEC">
      <w:rPr>
        <w:bCs/>
        <w:noProof/>
      </w:rPr>
      <mc:AlternateContent>
        <mc:Choice Requires="wps">
          <w:drawing>
            <wp:anchor distT="45720" distB="45720" distL="114300" distR="114300" simplePos="0" relativeHeight="251671552" behindDoc="0" locked="0" layoutInCell="1" allowOverlap="1" wp14:anchorId="4A08C907" wp14:editId="23D352A7">
              <wp:simplePos x="0" y="0"/>
              <wp:positionH relativeFrom="margin">
                <wp:posOffset>4486275</wp:posOffset>
              </wp:positionH>
              <wp:positionV relativeFrom="paragraph">
                <wp:posOffset>-2540</wp:posOffset>
              </wp:positionV>
              <wp:extent cx="2185670" cy="1404620"/>
              <wp:effectExtent l="0" t="0" r="5080" b="6350"/>
              <wp:wrapSquare wrapText="bothSides"/>
              <wp:docPr id="9205067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670" cy="1404620"/>
                      </a:xfrm>
                      <a:prstGeom prst="rect">
                        <a:avLst/>
                      </a:prstGeom>
                      <a:solidFill>
                        <a:srgbClr val="FFFFFF"/>
                      </a:solidFill>
                      <a:ln w="9525">
                        <a:noFill/>
                        <a:miter lim="800000"/>
                        <a:headEnd/>
                        <a:tailEnd/>
                      </a:ln>
                    </wps:spPr>
                    <wps:txbx>
                      <w:txbxContent>
                        <w:p w14:paraId="1F36F731" w14:textId="77777777" w:rsidR="00003217" w:rsidRPr="00664BEC" w:rsidRDefault="00003217" w:rsidP="00003217">
                          <w:pPr>
                            <w:jc w:val="right"/>
                            <w:rPr>
                              <w:b/>
                              <w:bCs/>
                              <w:sz w:val="32"/>
                              <w:szCs w:val="32"/>
                            </w:rPr>
                          </w:pPr>
                          <w:r w:rsidRPr="00664BEC">
                            <w:rPr>
                              <w:b/>
                              <w:bCs/>
                              <w:sz w:val="32"/>
                              <w:szCs w:val="32"/>
                            </w:rPr>
                            <w:t>Attachment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08C907" id="_x0000_t202" coordsize="21600,21600" o:spt="202" path="m,l,21600r21600,l21600,xe">
              <v:stroke joinstyle="miter"/>
              <v:path gradientshapeok="t" o:connecttype="rect"/>
            </v:shapetype>
            <v:shape id="_x0000_s1028" type="#_x0000_t202" style="position:absolute;left:0;text-align:left;margin-left:353.25pt;margin-top:-.2pt;width:172.1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" stroked="f">
              <v:textbox style="mso-fit-shape-to-text:t">
                <w:txbxContent>
                  <w:p w14:paraId="1F36F731" w14:textId="77777777" w:rsidR="00003217" w:rsidRPr="00664BEC" w:rsidRDefault="00003217" w:rsidP="00003217">
                    <w:pPr>
                      <w:jc w:val="right"/>
                      <w:rPr>
                        <w:b/>
                        <w:bCs/>
                        <w:sz w:val="32"/>
                        <w:szCs w:val="32"/>
                      </w:rPr>
                    </w:pPr>
                    <w:r w:rsidRPr="00664BEC">
                      <w:rPr>
                        <w:b/>
                        <w:bCs/>
                        <w:sz w:val="32"/>
                        <w:szCs w:val="32"/>
                      </w:rPr>
                      <w:t>Attachment 1</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BD8A9" w14:textId="77777777" w:rsidR="00A374E7" w:rsidRPr="00D364CD" w:rsidRDefault="00A374E7" w:rsidP="00D364CD">
    <w:pPr>
      <w:pStyle w:val="Header"/>
    </w:pPr>
    <w:r w:rsidRPr="00D364CD">
      <w:t>Food Standards Australia New Zealand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9AC5A" w14:textId="77777777" w:rsidR="00A374E7" w:rsidRPr="00D364CD" w:rsidRDefault="00A374E7" w:rsidP="00D364CD">
    <w:pPr>
      <w:pStyle w:val="Header"/>
    </w:pPr>
    <w:r w:rsidRPr="00D364CD">
      <w:t>Food Standards Australia New Zealand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D3859" w14:textId="1C6A8A3A" w:rsidR="00A374E7" w:rsidRDefault="00A374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B3F0B" w14:textId="2D77E84D" w:rsidR="00A374E7" w:rsidRPr="00845231" w:rsidRDefault="00003217" w:rsidP="00003217">
    <w:pPr>
      <w:pStyle w:val="Header"/>
      <w:pBdr>
        <w:bottom w:val="none" w:sz="0" w:space="0" w:color="auto"/>
      </w:pBdr>
      <w:jc w:val="left"/>
    </w:pPr>
    <w:r w:rsidRPr="00664BEC">
      <w:rPr>
        <w:bCs/>
        <w:noProof/>
      </w:rPr>
      <mc:AlternateContent>
        <mc:Choice Requires="wps">
          <w:drawing>
            <wp:anchor distT="45720" distB="45720" distL="114300" distR="114300" simplePos="0" relativeHeight="251667456" behindDoc="0" locked="0" layoutInCell="1" allowOverlap="1" wp14:anchorId="3EFE7DBA" wp14:editId="717D9EF8">
              <wp:simplePos x="0" y="0"/>
              <wp:positionH relativeFrom="margin">
                <wp:posOffset>2540635</wp:posOffset>
              </wp:positionH>
              <wp:positionV relativeFrom="paragraph">
                <wp:posOffset>-125730</wp:posOffset>
              </wp:positionV>
              <wp:extent cx="2185670" cy="1404620"/>
              <wp:effectExtent l="0" t="0" r="5080" b="6350"/>
              <wp:wrapSquare wrapText="bothSides"/>
              <wp:docPr id="5745421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670" cy="1404620"/>
                      </a:xfrm>
                      <a:prstGeom prst="rect">
                        <a:avLst/>
                      </a:prstGeom>
                      <a:solidFill>
                        <a:srgbClr val="FFFFFF"/>
                      </a:solidFill>
                      <a:ln w="9525">
                        <a:noFill/>
                        <a:miter lim="800000"/>
                        <a:headEnd/>
                        <a:tailEnd/>
                      </a:ln>
                    </wps:spPr>
                    <wps:txbx>
                      <w:txbxContent>
                        <w:p w14:paraId="263CC4BC" w14:textId="085887D5" w:rsidR="00003217" w:rsidRPr="00664BEC" w:rsidRDefault="00003217" w:rsidP="00003217">
                          <w:pPr>
                            <w:jc w:val="right"/>
                            <w:rPr>
                              <w:b/>
                              <w:bCs/>
                              <w:sz w:val="32"/>
                              <w:szCs w:val="32"/>
                            </w:rPr>
                          </w:pPr>
                          <w:r w:rsidRPr="00664BEC">
                            <w:rPr>
                              <w:b/>
                              <w:bCs/>
                              <w:sz w:val="32"/>
                              <w:szCs w:val="32"/>
                            </w:rPr>
                            <w:t xml:space="preserve">Attachment </w:t>
                          </w:r>
                          <w:r>
                            <w:rPr>
                              <w:b/>
                              <w:bCs/>
                              <w:sz w:val="32"/>
                              <w:szCs w:val="32"/>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FE7DBA" id="_x0000_t202" coordsize="21600,21600" o:spt="202" path="m,l,21600r21600,l21600,xe">
              <v:stroke joinstyle="miter"/>
              <v:path gradientshapeok="t" o:connecttype="rect"/>
            </v:shapetype>
            <v:shape id="_x0000_s1029" type="#_x0000_t202" style="position:absolute;margin-left:200.05pt;margin-top:-9.9pt;width:172.1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" stroked="f">
              <v:textbox style="mso-fit-shape-to-text:t">
                <w:txbxContent>
                  <w:p w14:paraId="263CC4BC" w14:textId="085887D5" w:rsidR="00003217" w:rsidRPr="00664BEC" w:rsidRDefault="00003217" w:rsidP="00003217">
                    <w:pPr>
                      <w:jc w:val="right"/>
                      <w:rPr>
                        <w:b/>
                        <w:bCs/>
                        <w:sz w:val="32"/>
                        <w:szCs w:val="32"/>
                      </w:rPr>
                    </w:pPr>
                    <w:r w:rsidRPr="00664BEC">
                      <w:rPr>
                        <w:b/>
                        <w:bCs/>
                        <w:sz w:val="32"/>
                        <w:szCs w:val="32"/>
                      </w:rPr>
                      <w:t xml:space="preserve">Attachment </w:t>
                    </w:r>
                    <w:r>
                      <w:rPr>
                        <w:b/>
                        <w:bCs/>
                        <w:sz w:val="32"/>
                        <w:szCs w:val="32"/>
                      </w:rPr>
                      <w:t>2</w:t>
                    </w:r>
                  </w:p>
                </w:txbxContent>
              </v:textbox>
              <w10:wrap type="square" anchorx="margin"/>
            </v:shape>
          </w:pict>
        </mc:Fallback>
      </mc:AlternateContent>
    </w:r>
    <w:r>
      <w:rPr>
        <w:noProof/>
        <w:lang w:eastAsia="en-NZ"/>
      </w:rPr>
      <w:drawing>
        <wp:anchor distT="0" distB="0" distL="114300" distR="114300" simplePos="0" relativeHeight="251665408" behindDoc="0" locked="0" layoutInCell="1" allowOverlap="1" wp14:anchorId="01BA816D" wp14:editId="5B87D2CD">
          <wp:simplePos x="0" y="0"/>
          <wp:positionH relativeFrom="margin">
            <wp:posOffset>2199005</wp:posOffset>
          </wp:positionH>
          <wp:positionV relativeFrom="paragraph">
            <wp:posOffset>433070</wp:posOffset>
          </wp:positionV>
          <wp:extent cx="2520000" cy="525600"/>
          <wp:effectExtent l="0" t="0" r="0" b="8255"/>
          <wp:wrapNone/>
          <wp:docPr id="555996212" name="Picture 555996212" descr="New Zealand Food Safety&#10;Haumaru Kai Aotear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787917" name="Picture 1774787917" descr="New Zealand Food Safety&#10;Haumaru Kai Aotearoa"/>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525600"/>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E6F7E" w14:textId="3EF98238" w:rsidR="00A374E7" w:rsidRDefault="00A374E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E044C" w14:textId="75C8AE34" w:rsidR="00003217" w:rsidRPr="00845231" w:rsidRDefault="00003217" w:rsidP="00003217">
    <w:pPr>
      <w:pStyle w:val="Header"/>
      <w:pBdr>
        <w:bottom w:val="none" w:sz="0" w:space="0" w:color="auto"/>
      </w:pBdr>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FD52B" w14:textId="3874E818" w:rsidR="003C3CAB" w:rsidRDefault="003C3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33931"/>
    <w:multiLevelType w:val="hybridMultilevel"/>
    <w:tmpl w:val="B6A68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032955"/>
    <w:multiLevelType w:val="hybridMultilevel"/>
    <w:tmpl w:val="97D2CE74"/>
    <w:lvl w:ilvl="0" w:tplc="FEEA2220">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0C6B1E09"/>
    <w:multiLevelType w:val="hybridMultilevel"/>
    <w:tmpl w:val="F842B9C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 w15:restartNumberingAfterBreak="0">
    <w:nsid w:val="12EB6FAE"/>
    <w:multiLevelType w:val="hybridMultilevel"/>
    <w:tmpl w:val="6EBEF354"/>
    <w:lvl w:ilvl="0" w:tplc="1409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4" w15:restartNumberingAfterBreak="0">
    <w:nsid w:val="12F609AF"/>
    <w:multiLevelType w:val="multilevel"/>
    <w:tmpl w:val="3DAA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A12BC1"/>
    <w:multiLevelType w:val="hybridMultilevel"/>
    <w:tmpl w:val="696012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E607755"/>
    <w:multiLevelType w:val="hybridMultilevel"/>
    <w:tmpl w:val="B9CC7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3B365E"/>
    <w:multiLevelType w:val="hybridMultilevel"/>
    <w:tmpl w:val="BA3E761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25666DBE"/>
    <w:multiLevelType w:val="hybridMultilevel"/>
    <w:tmpl w:val="C2D26448"/>
    <w:lvl w:ilvl="0" w:tplc="FEEA2220">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96372C8"/>
    <w:multiLevelType w:val="hybridMultilevel"/>
    <w:tmpl w:val="A2CCF298"/>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FDD7E1E"/>
    <w:multiLevelType w:val="hybridMultilevel"/>
    <w:tmpl w:val="26AC1E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B8C176A"/>
    <w:multiLevelType w:val="hybridMultilevel"/>
    <w:tmpl w:val="CE52DB90"/>
    <w:lvl w:ilvl="0" w:tplc="7EF6362E">
      <w:start w:val="11"/>
      <w:numFmt w:val="bullet"/>
      <w:lvlText w:val="-"/>
      <w:lvlJc w:val="left"/>
      <w:pPr>
        <w:ind w:left="720" w:hanging="360"/>
      </w:pPr>
      <w:rPr>
        <w:rFonts w:ascii="Aptos" w:eastAsiaTheme="minorHAnsi" w:hAnsi="Apto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B11368"/>
    <w:multiLevelType w:val="hybridMultilevel"/>
    <w:tmpl w:val="550E881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4D2601EC"/>
    <w:multiLevelType w:val="hybridMultilevel"/>
    <w:tmpl w:val="CBDC30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5AD2623"/>
    <w:multiLevelType w:val="hybridMultilevel"/>
    <w:tmpl w:val="87EA9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C70D7D"/>
    <w:multiLevelType w:val="hybridMultilevel"/>
    <w:tmpl w:val="6450E5B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 w15:restartNumberingAfterBreak="0">
    <w:nsid w:val="61971D94"/>
    <w:multiLevelType w:val="hybridMultilevel"/>
    <w:tmpl w:val="C2B89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7760BD"/>
    <w:multiLevelType w:val="hybridMultilevel"/>
    <w:tmpl w:val="F55A0176"/>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97B5AC9"/>
    <w:multiLevelType w:val="hybridMultilevel"/>
    <w:tmpl w:val="6EBEF354"/>
    <w:lvl w:ilvl="0" w:tplc="FFFFFFF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9" w15:restartNumberingAfterBreak="0">
    <w:nsid w:val="744A7EE4"/>
    <w:multiLevelType w:val="hybridMultilevel"/>
    <w:tmpl w:val="46E05218"/>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7CAC1B35"/>
    <w:multiLevelType w:val="hybridMultilevel"/>
    <w:tmpl w:val="CF4ADDA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2018071486">
    <w:abstractNumId w:val="20"/>
  </w:num>
  <w:num w:numId="2" w16cid:durableId="313991082">
    <w:abstractNumId w:val="19"/>
  </w:num>
  <w:num w:numId="3" w16cid:durableId="7025443">
    <w:abstractNumId w:val="5"/>
  </w:num>
  <w:num w:numId="4" w16cid:durableId="345137106">
    <w:abstractNumId w:val="4"/>
  </w:num>
  <w:num w:numId="5" w16cid:durableId="1484077631">
    <w:abstractNumId w:val="11"/>
  </w:num>
  <w:num w:numId="6" w16cid:durableId="1861701898">
    <w:abstractNumId w:val="7"/>
  </w:num>
  <w:num w:numId="7" w16cid:durableId="1409377541">
    <w:abstractNumId w:val="12"/>
  </w:num>
  <w:num w:numId="8" w16cid:durableId="1284921657">
    <w:abstractNumId w:val="14"/>
  </w:num>
  <w:num w:numId="9" w16cid:durableId="964194874">
    <w:abstractNumId w:val="17"/>
  </w:num>
  <w:num w:numId="10" w16cid:durableId="316037908">
    <w:abstractNumId w:val="16"/>
  </w:num>
  <w:num w:numId="11" w16cid:durableId="1594195096">
    <w:abstractNumId w:val="9"/>
  </w:num>
  <w:num w:numId="12" w16cid:durableId="826631979">
    <w:abstractNumId w:val="6"/>
  </w:num>
  <w:num w:numId="13" w16cid:durableId="40205540">
    <w:abstractNumId w:val="0"/>
  </w:num>
  <w:num w:numId="14" w16cid:durableId="241911966">
    <w:abstractNumId w:val="2"/>
  </w:num>
  <w:num w:numId="15" w16cid:durableId="1294604081">
    <w:abstractNumId w:val="15"/>
  </w:num>
  <w:num w:numId="16" w16cid:durableId="1913082333">
    <w:abstractNumId w:val="13"/>
  </w:num>
  <w:num w:numId="17" w16cid:durableId="1755348158">
    <w:abstractNumId w:val="1"/>
  </w:num>
  <w:num w:numId="18" w16cid:durableId="1356299292">
    <w:abstractNumId w:val="8"/>
  </w:num>
  <w:num w:numId="19" w16cid:durableId="1169253140">
    <w:abstractNumId w:val="10"/>
  </w:num>
  <w:num w:numId="20" w16cid:durableId="782924856">
    <w:abstractNumId w:val="3"/>
  </w:num>
  <w:num w:numId="21" w16cid:durableId="2478129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12C"/>
    <w:rsid w:val="00003217"/>
    <w:rsid w:val="000230BD"/>
    <w:rsid w:val="00026DE4"/>
    <w:rsid w:val="000844E9"/>
    <w:rsid w:val="00126B5D"/>
    <w:rsid w:val="00135872"/>
    <w:rsid w:val="001A14C7"/>
    <w:rsid w:val="0021112C"/>
    <w:rsid w:val="00220735"/>
    <w:rsid w:val="00234310"/>
    <w:rsid w:val="00277C7D"/>
    <w:rsid w:val="00280050"/>
    <w:rsid w:val="00280A82"/>
    <w:rsid w:val="00330889"/>
    <w:rsid w:val="003C3CAB"/>
    <w:rsid w:val="003C5C2F"/>
    <w:rsid w:val="003D790A"/>
    <w:rsid w:val="00446E4A"/>
    <w:rsid w:val="00447AFB"/>
    <w:rsid w:val="00476032"/>
    <w:rsid w:val="00490C7A"/>
    <w:rsid w:val="00490E8E"/>
    <w:rsid w:val="004A7FE3"/>
    <w:rsid w:val="004B3C8E"/>
    <w:rsid w:val="004D1F74"/>
    <w:rsid w:val="004E04E4"/>
    <w:rsid w:val="004F338B"/>
    <w:rsid w:val="0058190B"/>
    <w:rsid w:val="005C534E"/>
    <w:rsid w:val="0065585F"/>
    <w:rsid w:val="006633EA"/>
    <w:rsid w:val="00664BEC"/>
    <w:rsid w:val="00675F5E"/>
    <w:rsid w:val="006A0CC3"/>
    <w:rsid w:val="006C4C8B"/>
    <w:rsid w:val="0071797C"/>
    <w:rsid w:val="00760CB7"/>
    <w:rsid w:val="00773922"/>
    <w:rsid w:val="007B6A95"/>
    <w:rsid w:val="0083051B"/>
    <w:rsid w:val="00841B2A"/>
    <w:rsid w:val="00886369"/>
    <w:rsid w:val="00897613"/>
    <w:rsid w:val="008D01CE"/>
    <w:rsid w:val="008E1221"/>
    <w:rsid w:val="008F39C5"/>
    <w:rsid w:val="00905A2B"/>
    <w:rsid w:val="0092146F"/>
    <w:rsid w:val="009314E1"/>
    <w:rsid w:val="00963AC9"/>
    <w:rsid w:val="009802A9"/>
    <w:rsid w:val="009B0B26"/>
    <w:rsid w:val="009B2B67"/>
    <w:rsid w:val="00A374E7"/>
    <w:rsid w:val="00B34EA2"/>
    <w:rsid w:val="00B65BCF"/>
    <w:rsid w:val="00BA4A41"/>
    <w:rsid w:val="00BF4FC8"/>
    <w:rsid w:val="00C40FDA"/>
    <w:rsid w:val="00C46E5E"/>
    <w:rsid w:val="00C81BFD"/>
    <w:rsid w:val="00CC36A6"/>
    <w:rsid w:val="00CF7671"/>
    <w:rsid w:val="00D15F8A"/>
    <w:rsid w:val="00D41C0C"/>
    <w:rsid w:val="00D841F8"/>
    <w:rsid w:val="00D94F32"/>
    <w:rsid w:val="00DF4F79"/>
    <w:rsid w:val="00E05E57"/>
    <w:rsid w:val="00E44CC4"/>
    <w:rsid w:val="00E45BF2"/>
    <w:rsid w:val="00E4641F"/>
    <w:rsid w:val="00E723CD"/>
    <w:rsid w:val="00ED32E3"/>
    <w:rsid w:val="00F14D6C"/>
    <w:rsid w:val="00FA684F"/>
    <w:rsid w:val="00FD31AF"/>
    <w:rsid w:val="00FD7ED1"/>
    <w:rsid w:val="00FE14D8"/>
    <w:rsid w:val="06E399A0"/>
    <w:rsid w:val="40BE5274"/>
    <w:rsid w:val="45B1E1DA"/>
    <w:rsid w:val="48B83A43"/>
    <w:rsid w:val="4BE45BD8"/>
    <w:rsid w:val="4E384700"/>
    <w:rsid w:val="61E34A8A"/>
    <w:rsid w:val="77EDEA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46DA8"/>
  <w15:chartTrackingRefBased/>
  <w15:docId w15:val="{9CD9C394-3615-4252-9203-E7BAA747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12C"/>
    <w:rPr>
      <w:rFonts w:asciiTheme="minorHAnsi" w:hAnsiTheme="minorHAnsi" w:cstheme="minorBidi"/>
      <w:kern w:val="0"/>
      <w:sz w:val="22"/>
      <w:szCs w:val="22"/>
      <w14:ligatures w14:val="none"/>
    </w:rPr>
  </w:style>
  <w:style w:type="paragraph" w:styleId="Heading1">
    <w:name w:val="heading 1"/>
    <w:basedOn w:val="Normal"/>
    <w:next w:val="Normal"/>
    <w:link w:val="Heading1Char"/>
    <w:uiPriority w:val="9"/>
    <w:qFormat/>
    <w:rsid w:val="0021112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21112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1112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1112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1112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111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11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11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11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12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21112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1112C"/>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1112C"/>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21112C"/>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21112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1112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1112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1112C"/>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2111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111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
    <w:qFormat/>
    <w:rsid w:val="002111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
    <w:rsid w:val="0021112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1112C"/>
    <w:pPr>
      <w:spacing w:before="160"/>
      <w:jc w:val="center"/>
    </w:pPr>
    <w:rPr>
      <w:i/>
      <w:iCs/>
      <w:color w:val="404040" w:themeColor="text1" w:themeTint="BF"/>
    </w:rPr>
  </w:style>
  <w:style w:type="character" w:customStyle="1" w:styleId="QuoteChar">
    <w:name w:val="Quote Char"/>
    <w:basedOn w:val="DefaultParagraphFont"/>
    <w:link w:val="Quote"/>
    <w:uiPriority w:val="29"/>
    <w:rsid w:val="0021112C"/>
    <w:rPr>
      <w:i/>
      <w:iCs/>
      <w:color w:val="404040" w:themeColor="text1" w:themeTint="BF"/>
    </w:rPr>
  </w:style>
  <w:style w:type="paragraph" w:styleId="ListParagraph">
    <w:name w:val="List Paragraph"/>
    <w:basedOn w:val="Normal"/>
    <w:uiPriority w:val="34"/>
    <w:qFormat/>
    <w:rsid w:val="0021112C"/>
    <w:pPr>
      <w:ind w:left="720"/>
      <w:contextualSpacing/>
    </w:pPr>
  </w:style>
  <w:style w:type="character" w:styleId="IntenseEmphasis">
    <w:name w:val="Intense Emphasis"/>
    <w:basedOn w:val="DefaultParagraphFont"/>
    <w:uiPriority w:val="21"/>
    <w:qFormat/>
    <w:rsid w:val="0021112C"/>
    <w:rPr>
      <w:i/>
      <w:iCs/>
      <w:color w:val="2E74B5" w:themeColor="accent1" w:themeShade="BF"/>
    </w:rPr>
  </w:style>
  <w:style w:type="paragraph" w:styleId="IntenseQuote">
    <w:name w:val="Intense Quote"/>
    <w:basedOn w:val="Normal"/>
    <w:next w:val="Normal"/>
    <w:link w:val="IntenseQuoteChar"/>
    <w:uiPriority w:val="30"/>
    <w:qFormat/>
    <w:rsid w:val="0021112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1112C"/>
    <w:rPr>
      <w:i/>
      <w:iCs/>
      <w:color w:val="2E74B5" w:themeColor="accent1" w:themeShade="BF"/>
    </w:rPr>
  </w:style>
  <w:style w:type="character" w:styleId="IntenseReference">
    <w:name w:val="Intense Reference"/>
    <w:basedOn w:val="DefaultParagraphFont"/>
    <w:uiPriority w:val="32"/>
    <w:qFormat/>
    <w:rsid w:val="0021112C"/>
    <w:rPr>
      <w:b/>
      <w:bCs/>
      <w:smallCaps/>
      <w:color w:val="2E74B5" w:themeColor="accent1" w:themeShade="BF"/>
      <w:spacing w:val="5"/>
    </w:rPr>
  </w:style>
  <w:style w:type="character" w:styleId="Hyperlink">
    <w:name w:val="Hyperlink"/>
    <w:basedOn w:val="DefaultParagraphFont"/>
    <w:uiPriority w:val="99"/>
    <w:unhideWhenUsed/>
    <w:rsid w:val="0021112C"/>
    <w:rPr>
      <w:color w:val="0563C1" w:themeColor="hyperlink"/>
      <w:u w:val="single"/>
    </w:rPr>
  </w:style>
  <w:style w:type="character" w:customStyle="1" w:styleId="FootnoteTextChar">
    <w:name w:val="Footnote Text Char"/>
    <w:aliases w:val="Footnotes Text Char,FSFootnotes Text Char"/>
    <w:basedOn w:val="DefaultParagraphFont"/>
    <w:link w:val="FootnoteText"/>
    <w:locked/>
    <w:rsid w:val="0021112C"/>
    <w:rPr>
      <w:sz w:val="18"/>
      <w:szCs w:val="20"/>
    </w:rPr>
  </w:style>
  <w:style w:type="paragraph" w:styleId="FootnoteText">
    <w:name w:val="footnote text"/>
    <w:aliases w:val="Footnotes Text,FSFootnotes Text"/>
    <w:basedOn w:val="Normal"/>
    <w:link w:val="FootnoteTextChar"/>
    <w:unhideWhenUsed/>
    <w:qFormat/>
    <w:rsid w:val="0021112C"/>
    <w:pPr>
      <w:spacing w:after="240" w:line="240" w:lineRule="auto"/>
    </w:pPr>
    <w:rPr>
      <w:rFonts w:ascii="Times New Roman" w:hAnsi="Times New Roman" w:cs="Times New Roman"/>
      <w:kern w:val="2"/>
      <w:sz w:val="18"/>
      <w:szCs w:val="20"/>
      <w14:ligatures w14:val="standardContextual"/>
    </w:rPr>
  </w:style>
  <w:style w:type="character" w:customStyle="1" w:styleId="FootnoteTextChar1">
    <w:name w:val="Footnote Text Char1"/>
    <w:basedOn w:val="DefaultParagraphFont"/>
    <w:uiPriority w:val="99"/>
    <w:semiHidden/>
    <w:rsid w:val="0021112C"/>
    <w:rPr>
      <w:rFonts w:asciiTheme="minorHAnsi" w:hAnsiTheme="minorHAnsi" w:cstheme="minorBidi"/>
      <w:kern w:val="0"/>
      <w:sz w:val="20"/>
      <w:szCs w:val="20"/>
      <w14:ligatures w14:val="none"/>
    </w:rPr>
  </w:style>
  <w:style w:type="character" w:styleId="FootnoteReference">
    <w:name w:val="footnote reference"/>
    <w:basedOn w:val="DefaultParagraphFont"/>
    <w:unhideWhenUsed/>
    <w:rsid w:val="0021112C"/>
    <w:rPr>
      <w:vertAlign w:val="superscript"/>
    </w:rPr>
  </w:style>
  <w:style w:type="character" w:styleId="CommentReference">
    <w:name w:val="annotation reference"/>
    <w:basedOn w:val="DefaultParagraphFont"/>
    <w:uiPriority w:val="99"/>
    <w:semiHidden/>
    <w:unhideWhenUsed/>
    <w:rsid w:val="0092146F"/>
    <w:rPr>
      <w:sz w:val="16"/>
      <w:szCs w:val="16"/>
    </w:rPr>
  </w:style>
  <w:style w:type="paragraph" w:styleId="CommentText">
    <w:name w:val="annotation text"/>
    <w:basedOn w:val="Normal"/>
    <w:link w:val="CommentTextChar"/>
    <w:uiPriority w:val="99"/>
    <w:unhideWhenUsed/>
    <w:rsid w:val="0092146F"/>
    <w:pPr>
      <w:spacing w:line="240" w:lineRule="auto"/>
    </w:pPr>
    <w:rPr>
      <w:sz w:val="20"/>
      <w:szCs w:val="20"/>
    </w:rPr>
  </w:style>
  <w:style w:type="character" w:customStyle="1" w:styleId="CommentTextChar">
    <w:name w:val="Comment Text Char"/>
    <w:basedOn w:val="DefaultParagraphFont"/>
    <w:link w:val="CommentText"/>
    <w:uiPriority w:val="99"/>
    <w:rsid w:val="0092146F"/>
    <w:rPr>
      <w:rFonts w:asciiTheme="minorHAnsi" w:hAnsiTheme="minorHAnsi" w:cstheme="minorBid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2146F"/>
    <w:rPr>
      <w:b/>
      <w:bCs/>
    </w:rPr>
  </w:style>
  <w:style w:type="character" w:customStyle="1" w:styleId="CommentSubjectChar">
    <w:name w:val="Comment Subject Char"/>
    <w:basedOn w:val="CommentTextChar"/>
    <w:link w:val="CommentSubject"/>
    <w:uiPriority w:val="99"/>
    <w:semiHidden/>
    <w:rsid w:val="0092146F"/>
    <w:rPr>
      <w:rFonts w:asciiTheme="minorHAnsi" w:hAnsiTheme="minorHAnsi" w:cstheme="minorBidi"/>
      <w:b/>
      <w:bCs/>
      <w:kern w:val="0"/>
      <w:sz w:val="20"/>
      <w:szCs w:val="20"/>
      <w14:ligatures w14:val="none"/>
    </w:rPr>
  </w:style>
  <w:style w:type="paragraph" w:styleId="Revision">
    <w:name w:val="Revision"/>
    <w:hidden/>
    <w:uiPriority w:val="99"/>
    <w:semiHidden/>
    <w:rsid w:val="00773922"/>
    <w:pPr>
      <w:spacing w:after="0" w:line="240" w:lineRule="auto"/>
    </w:pPr>
    <w:rPr>
      <w:rFonts w:asciiTheme="minorHAnsi" w:hAnsiTheme="minorHAnsi" w:cstheme="minorBidi"/>
      <w:kern w:val="0"/>
      <w:sz w:val="22"/>
      <w:szCs w:val="22"/>
      <w14:ligatures w14:val="none"/>
    </w:rPr>
  </w:style>
  <w:style w:type="character" w:styleId="UnresolvedMention">
    <w:name w:val="Unresolved Mention"/>
    <w:basedOn w:val="DefaultParagraphFont"/>
    <w:uiPriority w:val="99"/>
    <w:semiHidden/>
    <w:unhideWhenUsed/>
    <w:rsid w:val="00446E4A"/>
    <w:rPr>
      <w:color w:val="605E5C"/>
      <w:shd w:val="clear" w:color="auto" w:fill="E1DFDD"/>
    </w:rPr>
  </w:style>
  <w:style w:type="paragraph" w:styleId="Footer">
    <w:name w:val="footer"/>
    <w:aliases w:val="FSFooter"/>
    <w:basedOn w:val="Normal"/>
    <w:link w:val="FooterChar"/>
    <w:qFormat/>
    <w:rsid w:val="00A374E7"/>
    <w:pPr>
      <w:tabs>
        <w:tab w:val="left" w:pos="8505"/>
      </w:tabs>
      <w:spacing w:after="240" w:line="240" w:lineRule="auto"/>
    </w:pPr>
    <w:rPr>
      <w:rFonts w:ascii="Arial" w:hAnsi="Arial" w:cs="Arial"/>
      <w:color w:val="2E3037"/>
      <w:sz w:val="20"/>
    </w:rPr>
  </w:style>
  <w:style w:type="character" w:customStyle="1" w:styleId="FooterChar">
    <w:name w:val="Footer Char"/>
    <w:aliases w:val="FSFooter Char"/>
    <w:basedOn w:val="DefaultParagraphFont"/>
    <w:link w:val="Footer"/>
    <w:rsid w:val="00A374E7"/>
    <w:rPr>
      <w:rFonts w:ascii="Arial" w:hAnsi="Arial" w:cs="Arial"/>
      <w:color w:val="2E3037"/>
      <w:kern w:val="0"/>
      <w:sz w:val="20"/>
      <w:szCs w:val="22"/>
      <w14:ligatures w14:val="none"/>
    </w:rPr>
  </w:style>
  <w:style w:type="paragraph" w:customStyle="1" w:styleId="FSTableFigureHeading">
    <w:name w:val="FSTable/Figure Heading"/>
    <w:basedOn w:val="Normal"/>
    <w:uiPriority w:val="7"/>
    <w:qFormat/>
    <w:locked/>
    <w:rsid w:val="00A374E7"/>
    <w:pPr>
      <w:spacing w:before="120" w:after="120" w:line="240" w:lineRule="auto"/>
      <w:ind w:left="1134" w:hanging="1134"/>
    </w:pPr>
    <w:rPr>
      <w:rFonts w:ascii="Arial" w:hAnsi="Arial" w:cs="Arial"/>
      <w:b/>
      <w:color w:val="2E3037"/>
      <w:lang w:eastAsia="en-GB"/>
    </w:rPr>
  </w:style>
  <w:style w:type="paragraph" w:styleId="Header">
    <w:name w:val="header"/>
    <w:aliases w:val="FSHeader"/>
    <w:basedOn w:val="Normal"/>
    <w:link w:val="HeaderChar"/>
    <w:qFormat/>
    <w:rsid w:val="00A374E7"/>
    <w:pPr>
      <w:pBdr>
        <w:bottom w:val="single" w:sz="8" w:space="4" w:color="auto"/>
      </w:pBdr>
      <w:spacing w:after="240" w:line="240" w:lineRule="auto"/>
      <w:jc w:val="right"/>
    </w:pPr>
    <w:rPr>
      <w:rFonts w:ascii="Arial" w:hAnsi="Arial" w:cs="Arial"/>
      <w:color w:val="2E3037"/>
      <w:sz w:val="18"/>
    </w:rPr>
  </w:style>
  <w:style w:type="character" w:customStyle="1" w:styleId="HeaderChar">
    <w:name w:val="Header Char"/>
    <w:aliases w:val="FSHeader Char"/>
    <w:basedOn w:val="DefaultParagraphFont"/>
    <w:link w:val="Header"/>
    <w:rsid w:val="00A374E7"/>
    <w:rPr>
      <w:rFonts w:ascii="Arial" w:hAnsi="Arial" w:cs="Arial"/>
      <w:color w:val="2E3037"/>
      <w:kern w:val="0"/>
      <w:sz w:val="18"/>
      <w:szCs w:val="22"/>
      <w14:ligatures w14:val="none"/>
    </w:rPr>
  </w:style>
  <w:style w:type="paragraph" w:styleId="TOC1">
    <w:name w:val="toc 1"/>
    <w:basedOn w:val="Normal"/>
    <w:next w:val="Normal"/>
    <w:uiPriority w:val="39"/>
    <w:rsid w:val="00A374E7"/>
    <w:pPr>
      <w:spacing w:before="120" w:after="120" w:line="240" w:lineRule="auto"/>
    </w:pPr>
    <w:rPr>
      <w:rFonts w:cstheme="minorHAnsi"/>
      <w:b/>
      <w:bCs/>
      <w:caps/>
      <w:color w:val="2E3037"/>
      <w:sz w:val="20"/>
      <w:szCs w:val="20"/>
    </w:rPr>
  </w:style>
  <w:style w:type="paragraph" w:styleId="TOC2">
    <w:name w:val="toc 2"/>
    <w:basedOn w:val="Normal"/>
    <w:next w:val="Normal"/>
    <w:uiPriority w:val="39"/>
    <w:rsid w:val="00A374E7"/>
    <w:pPr>
      <w:spacing w:after="0" w:line="240" w:lineRule="auto"/>
      <w:ind w:left="220"/>
    </w:pPr>
    <w:rPr>
      <w:rFonts w:cstheme="minorHAnsi"/>
      <w:smallCaps/>
      <w:color w:val="2E3037"/>
      <w:sz w:val="20"/>
      <w:szCs w:val="20"/>
    </w:rPr>
  </w:style>
  <w:style w:type="paragraph" w:customStyle="1" w:styleId="NonTOCheading2">
    <w:name w:val="Non TOC heading 2"/>
    <w:basedOn w:val="Normal"/>
    <w:next w:val="Normal"/>
    <w:uiPriority w:val="2"/>
    <w:rsid w:val="00A374E7"/>
    <w:pPr>
      <w:keepNext/>
      <w:keepLines/>
      <w:spacing w:before="360" w:after="180" w:line="240" w:lineRule="atLeast"/>
    </w:pPr>
    <w:rPr>
      <w:rFonts w:ascii="Arial" w:eastAsia="Cambria" w:hAnsi="Arial" w:cs="Times New Roman"/>
      <w:b/>
      <w:color w:val="0E495D"/>
      <w:sz w:val="38"/>
      <w:szCs w:val="20"/>
    </w:rPr>
  </w:style>
  <w:style w:type="paragraph" w:styleId="TOC3">
    <w:name w:val="toc 3"/>
    <w:basedOn w:val="TOC2"/>
    <w:next w:val="Normal"/>
    <w:autoRedefine/>
    <w:uiPriority w:val="39"/>
    <w:rsid w:val="00A374E7"/>
    <w:pPr>
      <w:tabs>
        <w:tab w:val="right" w:leader="dot" w:pos="9060"/>
      </w:tabs>
      <w:spacing w:after="80"/>
      <w:ind w:left="440"/>
    </w:pPr>
    <w:rPr>
      <w:i/>
      <w:iCs/>
      <w:smallCaps w:val="0"/>
    </w:rPr>
  </w:style>
  <w:style w:type="table" w:styleId="TableGrid">
    <w:name w:val="Table Grid"/>
    <w:basedOn w:val="TableNormal"/>
    <w:uiPriority w:val="39"/>
    <w:rsid w:val="00A374E7"/>
    <w:pPr>
      <w:spacing w:after="0" w:line="240" w:lineRule="auto"/>
    </w:pPr>
    <w:rPr>
      <w:rFonts w:ascii="Arial" w:hAnsi="Arial" w:cs="Arial"/>
      <w:color w:val="2E3037"/>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A374E7"/>
    <w:pPr>
      <w:spacing w:before="120" w:after="120" w:line="240" w:lineRule="auto"/>
      <w:ind w:left="113"/>
    </w:pPr>
    <w:rPr>
      <w:rFonts w:ascii="Arial" w:hAnsi="Arial" w:cstheme="minorBidi"/>
      <w:kern w:val="0"/>
      <w:sz w:val="20"/>
      <w:szCs w:val="22"/>
      <w14:ligatures w14:val="none"/>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character" w:styleId="PageNumber">
    <w:name w:val="page number"/>
    <w:rsid w:val="00A374E7"/>
    <w:rPr>
      <w:rFonts w:ascii="Arial Narrow" w:hAnsi="Arial Narrow"/>
      <w:sz w:val="18"/>
    </w:rPr>
  </w:style>
  <w:style w:type="paragraph" w:customStyle="1" w:styleId="ReturnAddress">
    <w:name w:val="Return Address"/>
    <w:basedOn w:val="Normal"/>
    <w:rsid w:val="00A374E7"/>
    <w:pPr>
      <w:spacing w:after="0" w:line="240" w:lineRule="auto"/>
      <w:jc w:val="center"/>
    </w:pPr>
    <w:rPr>
      <w:rFonts w:ascii="Arial" w:eastAsia="Times New Roman" w:hAnsi="Arial" w:cs="Times New Roman"/>
      <w:spacing w:val="-3"/>
      <w:sz w:val="20"/>
      <w:szCs w:val="20"/>
    </w:rPr>
  </w:style>
  <w:style w:type="paragraph" w:customStyle="1" w:styleId="Date-frontpage">
    <w:name w:val="Date-front page"/>
    <w:basedOn w:val="ReturnAddress"/>
    <w:rsid w:val="00A374E7"/>
    <w:pPr>
      <w:jc w:val="left"/>
    </w:pPr>
    <w:rPr>
      <w:rFonts w:ascii="Arial Narrow" w:hAnsi="Arial Narrow"/>
      <w:b/>
      <w:sz w:val="24"/>
    </w:rPr>
  </w:style>
  <w:style w:type="paragraph" w:customStyle="1" w:styleId="Disclaimer">
    <w:name w:val="Disclaimer"/>
    <w:basedOn w:val="Normal"/>
    <w:rsid w:val="00A374E7"/>
    <w:pPr>
      <w:spacing w:after="0" w:line="240" w:lineRule="auto"/>
      <w:ind w:right="1395"/>
    </w:pPr>
    <w:rPr>
      <w:rFonts w:ascii="Arial Narrow" w:eastAsia="Times New Roman" w:hAnsi="Arial Narrow" w:cs="Times New Roman"/>
      <w:b/>
      <w:sz w:val="36"/>
      <w:szCs w:val="20"/>
      <w:lang w:val="en-NZ"/>
    </w:rPr>
  </w:style>
  <w:style w:type="paragraph" w:styleId="NormalWeb">
    <w:name w:val="Normal (Web)"/>
    <w:basedOn w:val="Normal"/>
    <w:uiPriority w:val="99"/>
    <w:unhideWhenUsed/>
    <w:rsid w:val="00A374E7"/>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paragraph" w:customStyle="1" w:styleId="Heading1NZ">
    <w:name w:val="Heading 1 NZ"/>
    <w:basedOn w:val="Heading1"/>
    <w:link w:val="Heading1NZChar"/>
    <w:qFormat/>
    <w:rsid w:val="00CC36A6"/>
    <w:rPr>
      <w:rFonts w:ascii="Arial Narrow" w:hAnsi="Arial Narrow" w:cs="Arial"/>
      <w:b/>
      <w:bCs/>
      <w:color w:val="auto"/>
      <w:sz w:val="36"/>
      <w:szCs w:val="36"/>
    </w:rPr>
  </w:style>
  <w:style w:type="character" w:customStyle="1" w:styleId="Heading1NZChar">
    <w:name w:val="Heading 1 NZ Char"/>
    <w:basedOn w:val="Heading1Char"/>
    <w:link w:val="Heading1NZ"/>
    <w:rsid w:val="00CC36A6"/>
    <w:rPr>
      <w:rFonts w:ascii="Arial Narrow" w:eastAsiaTheme="majorEastAsia" w:hAnsi="Arial Narrow" w:cs="Arial"/>
      <w:b/>
      <w:bCs/>
      <w:color w:val="2E74B5" w:themeColor="accent1" w:themeShade="BF"/>
      <w:kern w:val="0"/>
      <w:sz w:val="36"/>
      <w:szCs w:val="36"/>
      <w14:ligatures w14:val="none"/>
    </w:rPr>
  </w:style>
  <w:style w:type="paragraph" w:customStyle="1" w:styleId="Heading2NZ">
    <w:name w:val="Heading 2 NZ"/>
    <w:basedOn w:val="Heading2"/>
    <w:link w:val="Heading2NZChar"/>
    <w:qFormat/>
    <w:rsid w:val="00CC36A6"/>
    <w:pPr>
      <w:spacing w:before="0" w:after="0" w:line="240" w:lineRule="auto"/>
    </w:pPr>
    <w:rPr>
      <w:rFonts w:ascii="Arial Narrow" w:hAnsi="Arial Narrow" w:cs="Arial"/>
      <w:b/>
      <w:bCs/>
      <w:color w:val="auto"/>
      <w:sz w:val="28"/>
      <w:szCs w:val="28"/>
    </w:rPr>
  </w:style>
  <w:style w:type="character" w:customStyle="1" w:styleId="Heading2NZChar">
    <w:name w:val="Heading 2 NZ Char"/>
    <w:basedOn w:val="Heading2Char"/>
    <w:link w:val="Heading2NZ"/>
    <w:rsid w:val="00CC36A6"/>
    <w:rPr>
      <w:rFonts w:ascii="Arial Narrow" w:eastAsiaTheme="majorEastAsia" w:hAnsi="Arial Narrow" w:cs="Arial"/>
      <w:b/>
      <w:bCs/>
      <w:color w:val="2E74B5" w:themeColor="accent1" w:themeShade="BF"/>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883768">
      <w:bodyDiv w:val="1"/>
      <w:marLeft w:val="0"/>
      <w:marRight w:val="0"/>
      <w:marTop w:val="0"/>
      <w:marBottom w:val="0"/>
      <w:divBdr>
        <w:top w:val="none" w:sz="0" w:space="0" w:color="auto"/>
        <w:left w:val="none" w:sz="0" w:space="0" w:color="auto"/>
        <w:bottom w:val="none" w:sz="0" w:space="0" w:color="auto"/>
        <w:right w:val="none" w:sz="0" w:space="0" w:color="auto"/>
      </w:divBdr>
    </w:div>
    <w:div w:id="117395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starrating.gov.au" TargetMode="Externa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theme" Target="theme/theme1.xml"/></Relationships>
</file>

<file path=word/_rels/foot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gs1nz.org/services/on-pack-data-collection/" TargetMode="External"/><Relationship Id="rId3" Type="http://schemas.openxmlformats.org/officeDocument/2006/relationships/hyperlink" Target="http://www.healthstarrating.gov.au/internet/healthstarrating/publishing.nsf/Content/01C15064FB52327BCA25861D00364E60/$File/Monitoring%20Framework%20-%20final.PDF" TargetMode="External"/><Relationship Id="rId7" Type="http://schemas.openxmlformats.org/officeDocument/2006/relationships/hyperlink" Target="http://www.healthstarrating.gov.au/internet/healthstarrating/publishing.nsf/Content/01C15064FB52327BCA25861D00364E60/$File/HSR%20Year%204%20Monitoring%20Plan.pdf" TargetMode="External"/><Relationship Id="rId2" Type="http://schemas.openxmlformats.org/officeDocument/2006/relationships/hyperlink" Target="http://healthstarrating.gov.au/internet/healthstarrating/publishing.nsf/Content/target-and-intended-products" TargetMode="External"/><Relationship Id="rId1" Type="http://schemas.openxmlformats.org/officeDocument/2006/relationships/hyperlink" Target="http://www.healthstarrating.gov.au/internet/healthstarrating/publishing.nsf/Content/01C15064FB52327BCA25861D00364E60/$File/Monitoring%20Framework%20-%20final.PDF" TargetMode="External"/><Relationship Id="rId6" Type="http://schemas.openxmlformats.org/officeDocument/2006/relationships/hyperlink" Target="http://www.healthstarrating.gov.au/internet/healthstarrating/publishing.nsf/Content/01C15064FB52327BCA25861D00364E60/$File/Monitoring%20Framework%20-%20final.PDF" TargetMode="External"/><Relationship Id="rId11" Type="http://schemas.openxmlformats.org/officeDocument/2006/relationships/hyperlink" Target="http://www.healthstarrating.gov.au/internet/healthstarrating/publishing.nsf/Content/01C15064FB52327BCA25861D00364E60/$File/Uptake%20of%20the%20Health%20Star%20Rating%20system.pdf" TargetMode="External"/><Relationship Id="rId5" Type="http://schemas.openxmlformats.org/officeDocument/2006/relationships/hyperlink" Target="http://www.healthstarrating.gov.au/internet/healthstarrating/publishing.nsf/Content/target-and-intended-products" TargetMode="External"/><Relationship Id="rId10" Type="http://schemas.openxmlformats.org/officeDocument/2006/relationships/hyperlink" Target="https://gpc-browser.gs1.org/" TargetMode="External"/><Relationship Id="rId4" Type="http://schemas.openxmlformats.org/officeDocument/2006/relationships/hyperlink" Target="http://www.healthstarrating.gov.au/internet/healthstarrating/publishing.nsf/Content/01C15064FB52327BCA25861D00364E60/$File/HSR%20Year%204%20Monitoring%20Plan.pdf" TargetMode="External"/><Relationship Id="rId9" Type="http://schemas.openxmlformats.org/officeDocument/2006/relationships/hyperlink" Target="https://www.gs1nz.org/services/product-flow/"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3.xml><?xml version="1.0" encoding="utf-8"?>
<ct:contentTypeSchema xmlns:ct="http://schemas.microsoft.com/office/2006/metadata/contentType" xmlns:ma="http://schemas.microsoft.com/office/2006/metadata/properties/metaAttributes" ct:_="" ma:_="" ma:contentTypeName="FSANZ Record" ma:contentTypeID="0x010100F5F252698E4843DFA3EBBF7EC57E522A000F69281BF4C25E4D923AD14DBE3B5933" ma:contentTypeVersion="4" ma:contentTypeDescription="Files created by FSANZ including letters, draft documents and ideas for FSANZ business." ma:contentTypeScope="" ma:versionID="db3fad0f2f6d5ae871e2c5061052156b">
  <xsd:schema xmlns:xsd="http://www.w3.org/2001/XMLSchema" xmlns:xs="http://www.w3.org/2001/XMLSchema" xmlns:p="http://schemas.microsoft.com/office/2006/metadata/properties" xmlns:ns2="0e0bee33-077a-46d4-80d5-abd1b3a3b85b" targetNamespace="http://schemas.microsoft.com/office/2006/metadata/properties" ma:root="true" ma:fieldsID="d5f379745f01c88f7a32b1ff19efbf96"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40fcc43-7318-4dbf-9963-4ea94ff03b27}" ma:internalName="TaxCatchAll" ma:showField="CatchAllData" ma:web="2bc87004-b522-4e23-b6e8-9d8042b36da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40fcc43-7318-4dbf-9963-4ea94ff03b27}" ma:internalName="TaxCatchAllLabel" ma:readOnly="true" ma:showField="CatchAllDataLabel" ma:web="2bc87004-b522-4e23-b6e8-9d8042b36da1">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0e0bee33-077a-46d4-80d5-abd1b3a3b85b">
      <Value>1</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pb940a55b18746cdbb1d76ca362c0586>
    <jf6c16bbf41b473ebe1e583d28d77907 xmlns="0e0bee33-077a-46d4-80d5-abd1b3a3b85b">
      <Terms xmlns="http://schemas.microsoft.com/office/infopath/2007/PartnerControls"/>
    </jf6c16bbf41b473ebe1e583d28d77907>
    <Related_x0020_project xmlns="0e0bee33-077a-46d4-80d5-abd1b3a3b85b" xsi:nil="true"/>
  </documentManagement>
</p:properties>
</file>

<file path=customXml/itemProps1.xml><?xml version="1.0" encoding="utf-8"?>
<ds:datastoreItem xmlns:ds="http://schemas.openxmlformats.org/officeDocument/2006/customXml" ds:itemID="{FACB6983-B21D-4457-9480-6192E20FBBBC}">
  <ds:schemaRefs>
    <ds:schemaRef ds:uri="http://schemas.microsoft.com/sharepoint/v3/contenttype/forms"/>
  </ds:schemaRefs>
</ds:datastoreItem>
</file>

<file path=customXml/itemProps2.xml><?xml version="1.0" encoding="utf-8"?>
<ds:datastoreItem xmlns:ds="http://schemas.openxmlformats.org/officeDocument/2006/customXml" ds:itemID="{607709E0-3D9B-4F45-AEE6-5F7742E2FA30}">
  <ds:schemaRefs>
    <ds:schemaRef ds:uri="Microsoft.SharePoint.Taxonomy.ContentTypeSync"/>
  </ds:schemaRefs>
</ds:datastoreItem>
</file>

<file path=customXml/itemProps3.xml><?xml version="1.0" encoding="utf-8"?>
<ds:datastoreItem xmlns:ds="http://schemas.openxmlformats.org/officeDocument/2006/customXml" ds:itemID="{5929D9AF-148B-459C-8E83-CEB510477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98DB81-3B31-4953-BE07-C3D43CADC882}">
  <ds:schemaRefs>
    <ds:schemaRef ds:uri="http://schemas.openxmlformats.org/officeDocument/2006/bibliography"/>
  </ds:schemaRefs>
</ds:datastoreItem>
</file>

<file path=customXml/itemProps5.xml><?xml version="1.0" encoding="utf-8"?>
<ds:datastoreItem xmlns:ds="http://schemas.openxmlformats.org/officeDocument/2006/customXml" ds:itemID="{C4E31D74-1FA5-422A-83E8-A4E11C4C3802}">
  <ds:schemaRefs>
    <ds:schemaRef ds:uri="http://schemas.microsoft.com/office/2006/metadata/properties"/>
    <ds:schemaRef ds:uri="http://schemas.microsoft.com/office/infopath/2007/PartnerControls"/>
    <ds:schemaRef ds:uri="0e0bee33-077a-46d4-80d5-abd1b3a3b85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6214</Words>
  <Characters>35424</Characters>
  <Application>Microsoft Office Word</Application>
  <DocSecurity>4</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Alice</dc:creator>
  <cp:keywords/>
  <dc:description/>
  <cp:lastModifiedBy>BARR, Rebekah</cp:lastModifiedBy>
  <cp:revision>2</cp:revision>
  <dcterms:created xsi:type="dcterms:W3CDTF">2025-03-18T23:52:00Z</dcterms:created>
  <dcterms:modified xsi:type="dcterms:W3CDTF">2025-03-18T23:52:00Z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0x010100F5F252698E4843DFA3EBBF7EC57E522A000F69281BF4C25E4D923AD14DBE3B5933</vt:lpwstr>
  </property>
  <property fmtid="{D5CDD505-2E9C-101B-9397-08002B2CF9AE}" pid="3" name="pd3a3559ef84480a8025c4c7bb6e6dee">
    <vt:lpwstr/>
  </property>
  <property fmtid="{D5CDD505-2E9C-101B-9397-08002B2CF9AE}" pid="4" name="h46016694f704d158a57d0b5238c000e">
    <vt:lpwstr/>
  </property>
  <property fmtid="{D5CDD505-2E9C-101B-9397-08002B2CF9AE}" pid="5" name="Data_x0020_Privacy">
    <vt:lpwstr/>
  </property>
  <property fmtid="{D5CDD505-2E9C-101B-9397-08002B2CF9AE}" pid="6" name="BCS">
    <vt:lpwstr/>
  </property>
  <property fmtid="{D5CDD505-2E9C-101B-9397-08002B2CF9AE}" pid="7" name="Access">
    <vt:lpwstr/>
  </property>
  <property fmtid="{D5CDD505-2E9C-101B-9397-08002B2CF9AE}" pid="8" name="Classification">
    <vt:lpwstr>1;#OFFICIAL|3776503d-ed4e-4d70-8dfd-8e17b238523b</vt:lpwstr>
  </property>
  <property fmtid="{D5CDD505-2E9C-101B-9397-08002B2CF9AE}" pid="9" name="Data_x0020_Category">
    <vt:lpwstr/>
  </property>
  <property fmtid="{D5CDD505-2E9C-101B-9397-08002B2CF9AE}" pid="10" name="Data_x0020_Accessibility">
    <vt:lpwstr/>
  </property>
  <property fmtid="{D5CDD505-2E9C-101B-9397-08002B2CF9AE}" pid="11" name="o2e94e0b7bb742308b3aec7384781dc0">
    <vt:lpwstr/>
  </property>
  <property fmtid="{D5CDD505-2E9C-101B-9397-08002B2CF9AE}" pid="12" name="Data Privacy">
    <vt:lpwstr/>
  </property>
  <property fmtid="{D5CDD505-2E9C-101B-9397-08002B2CF9AE}" pid="13" name="Data Accessibility">
    <vt:lpwstr/>
  </property>
  <property fmtid="{D5CDD505-2E9C-101B-9397-08002B2CF9AE}" pid="14" name="Data Category">
    <vt:lpwstr/>
  </property>
</Properties>
</file>