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31F6F" w14:textId="77777777" w:rsidR="00B449AB" w:rsidRPr="00166D40" w:rsidRDefault="00B449AB" w:rsidP="0034777C">
      <w:pPr>
        <w:spacing w:before="600"/>
        <w:ind w:left="-1134"/>
        <w:jc w:val="right"/>
      </w:pPr>
      <w:r>
        <w:rPr>
          <w:noProof/>
        </w:rPr>
        <w:drawing>
          <wp:inline distT="0" distB="0" distL="0" distR="0" wp14:anchorId="436A7C21" wp14:editId="6728D32E">
            <wp:extent cx="6660163" cy="1409700"/>
            <wp:effectExtent l="0" t="0" r="7620" b="0"/>
            <wp:docPr id="3" name="Picture 3" descr="Joint Food Regulation System" title="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707054" cy="1419625"/>
                    </a:xfrm>
                    <a:prstGeom prst="rect">
                      <a:avLst/>
                    </a:prstGeom>
                  </pic:spPr>
                </pic:pic>
              </a:graphicData>
            </a:graphic>
          </wp:inline>
        </w:drawing>
      </w:r>
    </w:p>
    <w:p w14:paraId="2B0998CE" w14:textId="77777777" w:rsidR="00B449AB" w:rsidRPr="00C71F51" w:rsidRDefault="008E310D" w:rsidP="008D5076">
      <w:pPr>
        <w:pStyle w:val="Title"/>
        <w:spacing w:after="120"/>
        <w:contextualSpacing w:val="0"/>
      </w:pPr>
      <w:r>
        <w:t xml:space="preserve">The </w:t>
      </w:r>
      <w:r w:rsidR="006A33C8">
        <w:t xml:space="preserve">Australia </w:t>
      </w:r>
      <w:r w:rsidR="005B34B5">
        <w:t xml:space="preserve">and </w:t>
      </w:r>
      <w:r w:rsidR="006A33C8">
        <w:t xml:space="preserve">New Zealand </w:t>
      </w:r>
      <w:r>
        <w:t>Minist</w:t>
      </w:r>
      <w:r w:rsidR="0078626F">
        <w:t>erial Forum on Food Regulation response to the</w:t>
      </w:r>
      <w:r w:rsidR="00257ECD">
        <w:t xml:space="preserve"> Health Star Rating</w:t>
      </w:r>
      <w:r w:rsidR="0078626F">
        <w:t xml:space="preserve"> </w:t>
      </w:r>
      <w:r w:rsidR="00DD0F71">
        <w:t>S</w:t>
      </w:r>
      <w:r w:rsidR="003B0098">
        <w:t xml:space="preserve">ystem </w:t>
      </w:r>
      <w:proofErr w:type="gramStart"/>
      <w:r w:rsidR="0078626F">
        <w:t>five year</w:t>
      </w:r>
      <w:proofErr w:type="gramEnd"/>
      <w:r w:rsidR="0078626F">
        <w:t xml:space="preserve"> r</w:t>
      </w:r>
      <w:r>
        <w:t>eview</w:t>
      </w:r>
    </w:p>
    <w:p w14:paraId="2A37CFCD" w14:textId="77777777" w:rsidR="00B449AB" w:rsidRPr="00BC587F" w:rsidRDefault="007A62C2" w:rsidP="008D5076">
      <w:pPr>
        <w:pStyle w:val="Subtitle"/>
        <w:spacing w:after="120"/>
      </w:pPr>
      <w:r>
        <w:t>December</w:t>
      </w:r>
      <w:r w:rsidR="008E310D">
        <w:t xml:space="preserve"> </w:t>
      </w:r>
      <w:r w:rsidR="00B449AB" w:rsidRPr="00BC587F">
        <w:t>2019</w:t>
      </w:r>
    </w:p>
    <w:bookmarkStart w:id="0" w:name="_Toc21014897" w:displacedByCustomXml="next"/>
    <w:bookmarkStart w:id="1" w:name="_Toc512605021" w:displacedByCustomXml="next"/>
    <w:bookmarkStart w:id="2" w:name="_Toc513546874" w:displacedByCustomXml="next"/>
    <w:bookmarkStart w:id="3" w:name="_Toc1483585" w:displacedByCustomXml="next"/>
    <w:bookmarkStart w:id="4" w:name="_Toc3905529" w:displacedByCustomXml="next"/>
    <w:bookmarkStart w:id="5" w:name="_Toc505871606" w:displacedByCustomXml="next"/>
    <w:sdt>
      <w:sdtPr>
        <w:rPr>
          <w:rFonts w:asciiTheme="minorHAnsi" w:eastAsiaTheme="minorEastAsia" w:hAnsiTheme="minorHAnsi" w:cstheme="minorBidi"/>
          <w:color w:val="auto"/>
          <w:sz w:val="22"/>
          <w:szCs w:val="22"/>
        </w:rPr>
        <w:id w:val="133917297"/>
        <w:docPartObj>
          <w:docPartGallery w:val="Table of Contents"/>
          <w:docPartUnique/>
        </w:docPartObj>
      </w:sdtPr>
      <w:sdtEndPr/>
      <w:sdtContent>
        <w:p w14:paraId="3A2BBF3E" w14:textId="77777777" w:rsidR="0066291E" w:rsidRPr="00DB3BF5" w:rsidRDefault="0066291E" w:rsidP="008D5076">
          <w:pPr>
            <w:pStyle w:val="Heading1"/>
            <w:pageBreakBefore/>
            <w:numPr>
              <w:ilvl w:val="0"/>
              <w:numId w:val="0"/>
            </w:numPr>
            <w:spacing w:after="120"/>
            <w:ind w:left="432" w:hanging="432"/>
          </w:pPr>
          <w:r w:rsidRPr="00DB3BF5">
            <w:t>Contents</w:t>
          </w:r>
          <w:bookmarkEnd w:id="4"/>
          <w:bookmarkEnd w:id="3"/>
          <w:bookmarkEnd w:id="2"/>
          <w:bookmarkEnd w:id="1"/>
          <w:bookmarkEnd w:id="0"/>
        </w:p>
        <w:p w14:paraId="3B548A36" w14:textId="77777777" w:rsidR="008E2339" w:rsidRDefault="002B7189">
          <w:pPr>
            <w:pStyle w:val="TOC1"/>
            <w:rPr>
              <w:rFonts w:asciiTheme="minorHAnsi" w:hAnsiTheme="minorHAnsi" w:cstheme="minorBidi"/>
              <w:sz w:val="22"/>
            </w:rPr>
          </w:pPr>
          <w:r>
            <w:fldChar w:fldCharType="begin"/>
          </w:r>
          <w:r>
            <w:instrText xml:space="preserve"> TOC \o "1-2" \h \z \u </w:instrText>
          </w:r>
          <w:r>
            <w:fldChar w:fldCharType="separate"/>
          </w:r>
          <w:hyperlink w:anchor="_Toc21014897" w:history="1">
            <w:r w:rsidR="008E2339" w:rsidRPr="00F272B9">
              <w:rPr>
                <w:rStyle w:val="Hyperlink"/>
              </w:rPr>
              <w:t>Contents</w:t>
            </w:r>
            <w:r w:rsidR="008E2339">
              <w:rPr>
                <w:webHidden/>
              </w:rPr>
              <w:tab/>
            </w:r>
            <w:r w:rsidR="008E2339">
              <w:rPr>
                <w:webHidden/>
              </w:rPr>
              <w:fldChar w:fldCharType="begin"/>
            </w:r>
            <w:r w:rsidR="008E2339">
              <w:rPr>
                <w:webHidden/>
              </w:rPr>
              <w:instrText xml:space="preserve"> PAGEREF _Toc21014897 \h </w:instrText>
            </w:r>
            <w:r w:rsidR="008E2339">
              <w:rPr>
                <w:webHidden/>
              </w:rPr>
            </w:r>
            <w:r w:rsidR="008E2339">
              <w:rPr>
                <w:webHidden/>
              </w:rPr>
              <w:fldChar w:fldCharType="separate"/>
            </w:r>
            <w:r w:rsidR="0048681D">
              <w:rPr>
                <w:webHidden/>
              </w:rPr>
              <w:t>2</w:t>
            </w:r>
            <w:r w:rsidR="008E2339">
              <w:rPr>
                <w:webHidden/>
              </w:rPr>
              <w:fldChar w:fldCharType="end"/>
            </w:r>
          </w:hyperlink>
        </w:p>
        <w:p w14:paraId="3547078B" w14:textId="77777777" w:rsidR="008E2339" w:rsidRDefault="008E2339">
          <w:pPr>
            <w:pStyle w:val="TOC1"/>
            <w:rPr>
              <w:rFonts w:asciiTheme="minorHAnsi" w:hAnsiTheme="minorHAnsi" w:cstheme="minorBidi"/>
              <w:sz w:val="22"/>
            </w:rPr>
          </w:pPr>
          <w:hyperlink w:anchor="_Toc21014898" w:history="1">
            <w:r w:rsidRPr="00F272B9">
              <w:rPr>
                <w:rStyle w:val="Hyperlink"/>
              </w:rPr>
              <w:t>Glossary</w:t>
            </w:r>
            <w:r>
              <w:rPr>
                <w:webHidden/>
              </w:rPr>
              <w:tab/>
            </w:r>
            <w:r>
              <w:rPr>
                <w:webHidden/>
              </w:rPr>
              <w:fldChar w:fldCharType="begin"/>
            </w:r>
            <w:r>
              <w:rPr>
                <w:webHidden/>
              </w:rPr>
              <w:instrText xml:space="preserve"> PAGEREF _Toc21014898 \h </w:instrText>
            </w:r>
            <w:r>
              <w:rPr>
                <w:webHidden/>
              </w:rPr>
            </w:r>
            <w:r>
              <w:rPr>
                <w:webHidden/>
              </w:rPr>
              <w:fldChar w:fldCharType="separate"/>
            </w:r>
            <w:r w:rsidR="0048681D">
              <w:rPr>
                <w:webHidden/>
              </w:rPr>
              <w:t>3</w:t>
            </w:r>
            <w:r>
              <w:rPr>
                <w:webHidden/>
              </w:rPr>
              <w:fldChar w:fldCharType="end"/>
            </w:r>
          </w:hyperlink>
        </w:p>
        <w:p w14:paraId="00F935BE" w14:textId="77777777" w:rsidR="008E2339" w:rsidRDefault="008E2339">
          <w:pPr>
            <w:pStyle w:val="TOC1"/>
            <w:rPr>
              <w:rFonts w:asciiTheme="minorHAnsi" w:hAnsiTheme="minorHAnsi" w:cstheme="minorBidi"/>
              <w:sz w:val="22"/>
            </w:rPr>
          </w:pPr>
          <w:hyperlink w:anchor="_Toc21014899" w:history="1">
            <w:r w:rsidRPr="00F272B9">
              <w:rPr>
                <w:rStyle w:val="Hyperlink"/>
                <w:b/>
              </w:rPr>
              <w:t>Executive summary</w:t>
            </w:r>
            <w:r>
              <w:rPr>
                <w:webHidden/>
              </w:rPr>
              <w:tab/>
            </w:r>
            <w:r>
              <w:rPr>
                <w:webHidden/>
              </w:rPr>
              <w:fldChar w:fldCharType="begin"/>
            </w:r>
            <w:r>
              <w:rPr>
                <w:webHidden/>
              </w:rPr>
              <w:instrText xml:space="preserve"> PAGEREF _Toc21014899 \h </w:instrText>
            </w:r>
            <w:r>
              <w:rPr>
                <w:webHidden/>
              </w:rPr>
            </w:r>
            <w:r>
              <w:rPr>
                <w:webHidden/>
              </w:rPr>
              <w:fldChar w:fldCharType="separate"/>
            </w:r>
            <w:r w:rsidR="0048681D">
              <w:rPr>
                <w:webHidden/>
              </w:rPr>
              <w:t>6</w:t>
            </w:r>
            <w:r>
              <w:rPr>
                <w:webHidden/>
              </w:rPr>
              <w:fldChar w:fldCharType="end"/>
            </w:r>
          </w:hyperlink>
        </w:p>
        <w:p w14:paraId="738F701E" w14:textId="77777777" w:rsidR="008E2339" w:rsidRDefault="008E2339">
          <w:pPr>
            <w:pStyle w:val="TOC1"/>
            <w:rPr>
              <w:rFonts w:asciiTheme="minorHAnsi" w:hAnsiTheme="minorHAnsi" w:cstheme="minorBidi"/>
              <w:sz w:val="22"/>
            </w:rPr>
          </w:pPr>
          <w:hyperlink w:anchor="_Toc21014900" w:history="1">
            <w:r w:rsidRPr="00F272B9">
              <w:rPr>
                <w:rStyle w:val="Hyperlink"/>
              </w:rPr>
              <w:t>1</w:t>
            </w:r>
            <w:r>
              <w:rPr>
                <w:rFonts w:asciiTheme="minorHAnsi" w:hAnsiTheme="minorHAnsi" w:cstheme="minorBidi"/>
                <w:sz w:val="22"/>
              </w:rPr>
              <w:tab/>
            </w:r>
            <w:r w:rsidRPr="00F272B9">
              <w:rPr>
                <w:rStyle w:val="Hyperlink"/>
              </w:rPr>
              <w:t>Recommendations and Forum Response</w:t>
            </w:r>
            <w:r>
              <w:rPr>
                <w:webHidden/>
              </w:rPr>
              <w:tab/>
            </w:r>
            <w:r>
              <w:rPr>
                <w:webHidden/>
              </w:rPr>
              <w:fldChar w:fldCharType="begin"/>
            </w:r>
            <w:r>
              <w:rPr>
                <w:webHidden/>
              </w:rPr>
              <w:instrText xml:space="preserve"> PAGEREF _Toc21014900 \h </w:instrText>
            </w:r>
            <w:r>
              <w:rPr>
                <w:webHidden/>
              </w:rPr>
            </w:r>
            <w:r>
              <w:rPr>
                <w:webHidden/>
              </w:rPr>
              <w:fldChar w:fldCharType="separate"/>
            </w:r>
            <w:r w:rsidR="0048681D">
              <w:rPr>
                <w:webHidden/>
              </w:rPr>
              <w:t>7</w:t>
            </w:r>
            <w:r>
              <w:rPr>
                <w:webHidden/>
              </w:rPr>
              <w:fldChar w:fldCharType="end"/>
            </w:r>
          </w:hyperlink>
        </w:p>
        <w:p w14:paraId="60CD34A5" w14:textId="77777777" w:rsidR="008E2339" w:rsidRDefault="008E2339">
          <w:pPr>
            <w:pStyle w:val="TOC2"/>
            <w:tabs>
              <w:tab w:val="left" w:pos="880"/>
            </w:tabs>
            <w:rPr>
              <w:rFonts w:cstheme="minorBidi"/>
            </w:rPr>
          </w:pPr>
          <w:hyperlink w:anchor="_Toc21014901" w:history="1">
            <w:r w:rsidRPr="00F272B9">
              <w:rPr>
                <w:rStyle w:val="Hyperlink"/>
              </w:rPr>
              <w:t>1.1</w:t>
            </w:r>
            <w:r>
              <w:rPr>
                <w:rFonts w:cstheme="minorBidi"/>
              </w:rPr>
              <w:tab/>
            </w:r>
            <w:r w:rsidRPr="00F272B9">
              <w:rPr>
                <w:rStyle w:val="Hyperlink"/>
              </w:rPr>
              <w:t>The HSR System be continued.</w:t>
            </w:r>
            <w:r>
              <w:rPr>
                <w:webHidden/>
              </w:rPr>
              <w:tab/>
            </w:r>
            <w:r>
              <w:rPr>
                <w:webHidden/>
              </w:rPr>
              <w:fldChar w:fldCharType="begin"/>
            </w:r>
            <w:r>
              <w:rPr>
                <w:webHidden/>
              </w:rPr>
              <w:instrText xml:space="preserve"> PAGEREF _Toc21014901 \h </w:instrText>
            </w:r>
            <w:r>
              <w:rPr>
                <w:webHidden/>
              </w:rPr>
            </w:r>
            <w:r>
              <w:rPr>
                <w:webHidden/>
              </w:rPr>
              <w:fldChar w:fldCharType="separate"/>
            </w:r>
            <w:r w:rsidR="0048681D">
              <w:rPr>
                <w:webHidden/>
              </w:rPr>
              <w:t>7</w:t>
            </w:r>
            <w:r>
              <w:rPr>
                <w:webHidden/>
              </w:rPr>
              <w:fldChar w:fldCharType="end"/>
            </w:r>
          </w:hyperlink>
        </w:p>
        <w:p w14:paraId="3B698C29" w14:textId="77777777" w:rsidR="008E2339" w:rsidRDefault="008E2339">
          <w:pPr>
            <w:pStyle w:val="TOC2"/>
            <w:tabs>
              <w:tab w:val="left" w:pos="880"/>
            </w:tabs>
            <w:rPr>
              <w:rFonts w:cstheme="minorBidi"/>
            </w:rPr>
          </w:pPr>
          <w:hyperlink w:anchor="_Toc21014902" w:history="1">
            <w:r w:rsidRPr="00F272B9">
              <w:rPr>
                <w:rStyle w:val="Hyperlink"/>
              </w:rPr>
              <w:t>1.2</w:t>
            </w:r>
            <w:r>
              <w:rPr>
                <w:rFonts w:cstheme="minorBidi"/>
              </w:rPr>
              <w:tab/>
            </w:r>
            <w:r w:rsidRPr="00F272B9">
              <w:rPr>
                <w:rStyle w:val="Hyperlink"/>
              </w:rPr>
              <w:t>HSR graphic Option 5, the energy icon, be removed from the System.</w:t>
            </w:r>
            <w:r>
              <w:rPr>
                <w:webHidden/>
              </w:rPr>
              <w:tab/>
            </w:r>
            <w:r>
              <w:rPr>
                <w:webHidden/>
              </w:rPr>
              <w:fldChar w:fldCharType="begin"/>
            </w:r>
            <w:r>
              <w:rPr>
                <w:webHidden/>
              </w:rPr>
              <w:instrText xml:space="preserve"> PAGEREF _Toc21014902 \h </w:instrText>
            </w:r>
            <w:r>
              <w:rPr>
                <w:webHidden/>
              </w:rPr>
            </w:r>
            <w:r>
              <w:rPr>
                <w:webHidden/>
              </w:rPr>
              <w:fldChar w:fldCharType="separate"/>
            </w:r>
            <w:r w:rsidR="0048681D">
              <w:rPr>
                <w:webHidden/>
              </w:rPr>
              <w:t>8</w:t>
            </w:r>
            <w:r>
              <w:rPr>
                <w:webHidden/>
              </w:rPr>
              <w:fldChar w:fldCharType="end"/>
            </w:r>
          </w:hyperlink>
        </w:p>
        <w:p w14:paraId="5B32E226" w14:textId="77777777" w:rsidR="008E2339" w:rsidRDefault="008E2339">
          <w:pPr>
            <w:pStyle w:val="TOC2"/>
            <w:tabs>
              <w:tab w:val="left" w:pos="880"/>
            </w:tabs>
            <w:rPr>
              <w:rFonts w:cstheme="minorBidi"/>
            </w:rPr>
          </w:pPr>
          <w:hyperlink w:anchor="_Toc21014903" w:history="1">
            <w:r w:rsidRPr="00F272B9">
              <w:rPr>
                <w:rStyle w:val="Hyperlink"/>
              </w:rPr>
              <w:t>1.3</w:t>
            </w:r>
            <w:r>
              <w:rPr>
                <w:rFonts w:cstheme="minorBidi"/>
              </w:rPr>
              <w:tab/>
            </w:r>
            <w:r w:rsidRPr="00F272B9">
              <w:rPr>
                <w:rStyle w:val="Hyperlink"/>
              </w:rPr>
              <w:t>Continued promotion of HSR System.</w:t>
            </w:r>
            <w:r>
              <w:rPr>
                <w:webHidden/>
              </w:rPr>
              <w:tab/>
            </w:r>
            <w:r>
              <w:rPr>
                <w:webHidden/>
              </w:rPr>
              <w:fldChar w:fldCharType="begin"/>
            </w:r>
            <w:r>
              <w:rPr>
                <w:webHidden/>
              </w:rPr>
              <w:instrText xml:space="preserve"> PAGEREF _Toc21014903 \h </w:instrText>
            </w:r>
            <w:r>
              <w:rPr>
                <w:webHidden/>
              </w:rPr>
            </w:r>
            <w:r>
              <w:rPr>
                <w:webHidden/>
              </w:rPr>
              <w:fldChar w:fldCharType="separate"/>
            </w:r>
            <w:r w:rsidR="0048681D">
              <w:rPr>
                <w:webHidden/>
              </w:rPr>
              <w:t>9</w:t>
            </w:r>
            <w:r>
              <w:rPr>
                <w:webHidden/>
              </w:rPr>
              <w:fldChar w:fldCharType="end"/>
            </w:r>
          </w:hyperlink>
        </w:p>
        <w:p w14:paraId="4A1AC32A" w14:textId="77777777" w:rsidR="008E2339" w:rsidRDefault="008E2339">
          <w:pPr>
            <w:pStyle w:val="TOC2"/>
            <w:tabs>
              <w:tab w:val="left" w:pos="880"/>
            </w:tabs>
            <w:rPr>
              <w:rFonts w:cstheme="minorBidi"/>
            </w:rPr>
          </w:pPr>
          <w:hyperlink w:anchor="_Toc21014904" w:history="1">
            <w:r w:rsidRPr="00F272B9">
              <w:rPr>
                <w:rStyle w:val="Hyperlink"/>
              </w:rPr>
              <w:t>1.4</w:t>
            </w:r>
            <w:r>
              <w:rPr>
                <w:rFonts w:cstheme="minorBidi"/>
              </w:rPr>
              <w:tab/>
            </w:r>
            <w:r w:rsidRPr="00F272B9">
              <w:rPr>
                <w:rStyle w:val="Hyperlink"/>
              </w:rPr>
              <w:t>Changes to the HSR Calculator to better align with Dietary Guidelines.</w:t>
            </w:r>
            <w:r>
              <w:rPr>
                <w:webHidden/>
              </w:rPr>
              <w:tab/>
            </w:r>
            <w:r>
              <w:rPr>
                <w:webHidden/>
              </w:rPr>
              <w:fldChar w:fldCharType="begin"/>
            </w:r>
            <w:r>
              <w:rPr>
                <w:webHidden/>
              </w:rPr>
              <w:instrText xml:space="preserve"> PAGEREF _Toc21014904 \h </w:instrText>
            </w:r>
            <w:r>
              <w:rPr>
                <w:webHidden/>
              </w:rPr>
            </w:r>
            <w:r>
              <w:rPr>
                <w:webHidden/>
              </w:rPr>
              <w:fldChar w:fldCharType="separate"/>
            </w:r>
            <w:r w:rsidR="0048681D">
              <w:rPr>
                <w:webHidden/>
              </w:rPr>
              <w:t>11</w:t>
            </w:r>
            <w:r>
              <w:rPr>
                <w:webHidden/>
              </w:rPr>
              <w:fldChar w:fldCharType="end"/>
            </w:r>
          </w:hyperlink>
        </w:p>
        <w:p w14:paraId="7FBE09A8" w14:textId="77777777" w:rsidR="008E2339" w:rsidRDefault="008E2339">
          <w:pPr>
            <w:pStyle w:val="TOC2"/>
            <w:tabs>
              <w:tab w:val="left" w:pos="880"/>
            </w:tabs>
            <w:rPr>
              <w:rFonts w:cstheme="minorBidi"/>
            </w:rPr>
          </w:pPr>
          <w:hyperlink w:anchor="_Toc21014905" w:history="1">
            <w:r w:rsidRPr="00F272B9">
              <w:rPr>
                <w:rStyle w:val="Hyperlink"/>
              </w:rPr>
              <w:t>1.5</w:t>
            </w:r>
            <w:r>
              <w:rPr>
                <w:rFonts w:cstheme="minorBidi"/>
              </w:rPr>
              <w:tab/>
            </w:r>
            <w:r w:rsidRPr="00F272B9">
              <w:rPr>
                <w:rStyle w:val="Hyperlink"/>
              </w:rPr>
              <w:t>Changes to the way HSR is calculated for non-dairy beverages.</w:t>
            </w:r>
            <w:r>
              <w:rPr>
                <w:webHidden/>
              </w:rPr>
              <w:tab/>
            </w:r>
            <w:r>
              <w:rPr>
                <w:webHidden/>
              </w:rPr>
              <w:fldChar w:fldCharType="begin"/>
            </w:r>
            <w:r>
              <w:rPr>
                <w:webHidden/>
              </w:rPr>
              <w:instrText xml:space="preserve"> PAGEREF _Toc21014905 \h </w:instrText>
            </w:r>
            <w:r>
              <w:rPr>
                <w:webHidden/>
              </w:rPr>
            </w:r>
            <w:r>
              <w:rPr>
                <w:webHidden/>
              </w:rPr>
              <w:fldChar w:fldCharType="separate"/>
            </w:r>
            <w:r w:rsidR="0048681D">
              <w:rPr>
                <w:webHidden/>
              </w:rPr>
              <w:t>13</w:t>
            </w:r>
            <w:r>
              <w:rPr>
                <w:webHidden/>
              </w:rPr>
              <w:fldChar w:fldCharType="end"/>
            </w:r>
          </w:hyperlink>
        </w:p>
        <w:p w14:paraId="38856559" w14:textId="77777777" w:rsidR="008E2339" w:rsidRDefault="008E2339">
          <w:pPr>
            <w:pStyle w:val="TOC2"/>
            <w:tabs>
              <w:tab w:val="left" w:pos="880"/>
            </w:tabs>
            <w:rPr>
              <w:rFonts w:cstheme="minorBidi"/>
            </w:rPr>
          </w:pPr>
          <w:hyperlink w:anchor="_Toc21014906" w:history="1">
            <w:r w:rsidRPr="00F272B9">
              <w:rPr>
                <w:rStyle w:val="Hyperlink"/>
              </w:rPr>
              <w:t>1.6</w:t>
            </w:r>
            <w:r>
              <w:rPr>
                <w:rFonts w:cstheme="minorBidi"/>
              </w:rPr>
              <w:tab/>
            </w:r>
            <w:r w:rsidRPr="00F272B9">
              <w:rPr>
                <w:rStyle w:val="Hyperlink"/>
              </w:rPr>
              <w:t>Continued joint funding of the HSR System for a further four years.</w:t>
            </w:r>
            <w:r>
              <w:rPr>
                <w:webHidden/>
              </w:rPr>
              <w:tab/>
            </w:r>
            <w:r>
              <w:rPr>
                <w:webHidden/>
              </w:rPr>
              <w:fldChar w:fldCharType="begin"/>
            </w:r>
            <w:r>
              <w:rPr>
                <w:webHidden/>
              </w:rPr>
              <w:instrText xml:space="preserve"> PAGEREF _Toc21014906 \h </w:instrText>
            </w:r>
            <w:r>
              <w:rPr>
                <w:webHidden/>
              </w:rPr>
            </w:r>
            <w:r>
              <w:rPr>
                <w:webHidden/>
              </w:rPr>
              <w:fldChar w:fldCharType="separate"/>
            </w:r>
            <w:r w:rsidR="0048681D">
              <w:rPr>
                <w:webHidden/>
              </w:rPr>
              <w:t>14</w:t>
            </w:r>
            <w:r>
              <w:rPr>
                <w:webHidden/>
              </w:rPr>
              <w:fldChar w:fldCharType="end"/>
            </w:r>
          </w:hyperlink>
        </w:p>
        <w:p w14:paraId="708DCFC9" w14:textId="77777777" w:rsidR="008E2339" w:rsidRDefault="008E2339">
          <w:pPr>
            <w:pStyle w:val="TOC2"/>
            <w:tabs>
              <w:tab w:val="left" w:pos="880"/>
            </w:tabs>
            <w:rPr>
              <w:rFonts w:cstheme="minorBidi"/>
            </w:rPr>
          </w:pPr>
          <w:hyperlink w:anchor="_Toc21014907" w:history="1">
            <w:r w:rsidRPr="00F272B9">
              <w:rPr>
                <w:rStyle w:val="Hyperlink"/>
              </w:rPr>
              <w:t>1.7</w:t>
            </w:r>
            <w:r>
              <w:rPr>
                <w:rFonts w:cstheme="minorBidi"/>
              </w:rPr>
              <w:tab/>
            </w:r>
            <w:r w:rsidRPr="00F272B9">
              <w:rPr>
                <w:rStyle w:val="Hyperlink"/>
              </w:rPr>
              <w:t>Minor Changes to be made to the governance of the HSR System.</w:t>
            </w:r>
            <w:r>
              <w:rPr>
                <w:webHidden/>
              </w:rPr>
              <w:tab/>
            </w:r>
            <w:r>
              <w:rPr>
                <w:webHidden/>
              </w:rPr>
              <w:fldChar w:fldCharType="begin"/>
            </w:r>
            <w:r>
              <w:rPr>
                <w:webHidden/>
              </w:rPr>
              <w:instrText xml:space="preserve"> PAGEREF _Toc21014907 \h </w:instrText>
            </w:r>
            <w:r>
              <w:rPr>
                <w:webHidden/>
              </w:rPr>
            </w:r>
            <w:r>
              <w:rPr>
                <w:webHidden/>
              </w:rPr>
              <w:fldChar w:fldCharType="separate"/>
            </w:r>
            <w:r w:rsidR="0048681D">
              <w:rPr>
                <w:webHidden/>
              </w:rPr>
              <w:t>14</w:t>
            </w:r>
            <w:r>
              <w:rPr>
                <w:webHidden/>
              </w:rPr>
              <w:fldChar w:fldCharType="end"/>
            </w:r>
          </w:hyperlink>
        </w:p>
        <w:p w14:paraId="0B6944AA" w14:textId="77777777" w:rsidR="008E2339" w:rsidRDefault="008E2339">
          <w:pPr>
            <w:pStyle w:val="TOC2"/>
            <w:tabs>
              <w:tab w:val="left" w:pos="880"/>
            </w:tabs>
            <w:rPr>
              <w:rFonts w:cstheme="minorBidi"/>
            </w:rPr>
          </w:pPr>
          <w:hyperlink w:anchor="_Toc21014908" w:history="1">
            <w:r w:rsidRPr="00F272B9">
              <w:rPr>
                <w:rStyle w:val="Hyperlink"/>
              </w:rPr>
              <w:t>1.8</w:t>
            </w:r>
            <w:r>
              <w:rPr>
                <w:rFonts w:cstheme="minorBidi"/>
              </w:rPr>
              <w:tab/>
            </w:r>
            <w:r w:rsidRPr="00F272B9">
              <w:rPr>
                <w:rStyle w:val="Hyperlink"/>
              </w:rPr>
              <w:t>Enhancement of infrastructure to support HSR System.</w:t>
            </w:r>
            <w:r>
              <w:rPr>
                <w:webHidden/>
              </w:rPr>
              <w:tab/>
            </w:r>
            <w:r>
              <w:rPr>
                <w:webHidden/>
              </w:rPr>
              <w:fldChar w:fldCharType="begin"/>
            </w:r>
            <w:r>
              <w:rPr>
                <w:webHidden/>
              </w:rPr>
              <w:instrText xml:space="preserve"> PAGEREF _Toc21014908 \h </w:instrText>
            </w:r>
            <w:r>
              <w:rPr>
                <w:webHidden/>
              </w:rPr>
            </w:r>
            <w:r>
              <w:rPr>
                <w:webHidden/>
              </w:rPr>
              <w:fldChar w:fldCharType="separate"/>
            </w:r>
            <w:r w:rsidR="0048681D">
              <w:rPr>
                <w:webHidden/>
              </w:rPr>
              <w:t>15</w:t>
            </w:r>
            <w:r>
              <w:rPr>
                <w:webHidden/>
              </w:rPr>
              <w:fldChar w:fldCharType="end"/>
            </w:r>
          </w:hyperlink>
        </w:p>
        <w:p w14:paraId="607BDDEF" w14:textId="77777777" w:rsidR="008E2339" w:rsidRDefault="008E2339">
          <w:pPr>
            <w:pStyle w:val="TOC2"/>
            <w:tabs>
              <w:tab w:val="left" w:pos="880"/>
            </w:tabs>
            <w:rPr>
              <w:rFonts w:cstheme="minorBidi"/>
            </w:rPr>
          </w:pPr>
          <w:hyperlink w:anchor="_Toc21014909" w:history="1">
            <w:r w:rsidRPr="00F272B9">
              <w:rPr>
                <w:rStyle w:val="Hyperlink"/>
              </w:rPr>
              <w:t>1.9</w:t>
            </w:r>
            <w:r>
              <w:rPr>
                <w:rFonts w:cstheme="minorBidi"/>
              </w:rPr>
              <w:tab/>
            </w:r>
            <w:r w:rsidRPr="00F272B9">
              <w:rPr>
                <w:rStyle w:val="Hyperlink"/>
              </w:rPr>
              <w:t>HSR System (Voluntary / Mandated).</w:t>
            </w:r>
            <w:r>
              <w:rPr>
                <w:webHidden/>
              </w:rPr>
              <w:tab/>
            </w:r>
            <w:r>
              <w:rPr>
                <w:webHidden/>
              </w:rPr>
              <w:fldChar w:fldCharType="begin"/>
            </w:r>
            <w:r>
              <w:rPr>
                <w:webHidden/>
              </w:rPr>
              <w:instrText xml:space="preserve"> PAGEREF _Toc21014909 \h </w:instrText>
            </w:r>
            <w:r>
              <w:rPr>
                <w:webHidden/>
              </w:rPr>
            </w:r>
            <w:r>
              <w:rPr>
                <w:webHidden/>
              </w:rPr>
              <w:fldChar w:fldCharType="separate"/>
            </w:r>
            <w:r w:rsidR="0048681D">
              <w:rPr>
                <w:webHidden/>
              </w:rPr>
              <w:t>16</w:t>
            </w:r>
            <w:r>
              <w:rPr>
                <w:webHidden/>
              </w:rPr>
              <w:fldChar w:fldCharType="end"/>
            </w:r>
          </w:hyperlink>
        </w:p>
        <w:p w14:paraId="0AFE122A" w14:textId="77777777" w:rsidR="008E2339" w:rsidRDefault="008E2339">
          <w:pPr>
            <w:pStyle w:val="TOC2"/>
            <w:tabs>
              <w:tab w:val="left" w:pos="880"/>
            </w:tabs>
            <w:rPr>
              <w:rFonts w:cstheme="minorBidi"/>
            </w:rPr>
          </w:pPr>
          <w:hyperlink w:anchor="_Toc21014910" w:history="1">
            <w:r w:rsidRPr="00F272B9">
              <w:rPr>
                <w:rStyle w:val="Hyperlink"/>
              </w:rPr>
              <w:t>1.10</w:t>
            </w:r>
            <w:r>
              <w:rPr>
                <w:rFonts w:cstheme="minorBidi"/>
              </w:rPr>
              <w:tab/>
            </w:r>
            <w:r w:rsidRPr="00F272B9">
              <w:rPr>
                <w:rStyle w:val="Hyperlink"/>
              </w:rPr>
              <w:t xml:space="preserve">  HSR Calculator and HSR System Style Guide.</w:t>
            </w:r>
            <w:r>
              <w:rPr>
                <w:webHidden/>
              </w:rPr>
              <w:tab/>
            </w:r>
            <w:r>
              <w:rPr>
                <w:webHidden/>
              </w:rPr>
              <w:fldChar w:fldCharType="begin"/>
            </w:r>
            <w:r>
              <w:rPr>
                <w:webHidden/>
              </w:rPr>
              <w:instrText xml:space="preserve"> PAGEREF _Toc21014910 \h </w:instrText>
            </w:r>
            <w:r>
              <w:rPr>
                <w:webHidden/>
              </w:rPr>
            </w:r>
            <w:r>
              <w:rPr>
                <w:webHidden/>
              </w:rPr>
              <w:fldChar w:fldCharType="separate"/>
            </w:r>
            <w:r w:rsidR="0048681D">
              <w:rPr>
                <w:webHidden/>
              </w:rPr>
              <w:t>17</w:t>
            </w:r>
            <w:r>
              <w:rPr>
                <w:webHidden/>
              </w:rPr>
              <w:fldChar w:fldCharType="end"/>
            </w:r>
          </w:hyperlink>
        </w:p>
        <w:p w14:paraId="500B7DCB" w14:textId="77777777" w:rsidR="0066291E" w:rsidRPr="00BC587F" w:rsidRDefault="002B7189" w:rsidP="008D5076">
          <w:r>
            <w:fldChar w:fldCharType="end"/>
          </w:r>
        </w:p>
      </w:sdtContent>
    </w:sdt>
    <w:p w14:paraId="63E5B8D9" w14:textId="77777777" w:rsidR="00B50F59" w:rsidRDefault="00B50F59" w:rsidP="008D5076">
      <w:pPr>
        <w:spacing w:before="0" w:line="259" w:lineRule="auto"/>
        <w:rPr>
          <w:rFonts w:asciiTheme="majorHAnsi" w:eastAsia="Times New Roman" w:hAnsiTheme="majorHAnsi" w:cs="Times New Roman"/>
          <w:color w:val="215E6A" w:themeColor="accent1" w:themeShade="80"/>
          <w:sz w:val="36"/>
          <w:szCs w:val="20"/>
        </w:rPr>
      </w:pPr>
      <w:r>
        <w:br w:type="page"/>
      </w:r>
    </w:p>
    <w:p w14:paraId="7EF15071" w14:textId="77777777" w:rsidR="00B8103C" w:rsidRPr="00814DD2" w:rsidRDefault="00B8103C" w:rsidP="008D5076">
      <w:pPr>
        <w:pStyle w:val="Heading1nonumbers"/>
        <w:spacing w:after="120"/>
      </w:pPr>
      <w:bookmarkStart w:id="6" w:name="_Toc21014898"/>
      <w:r w:rsidRPr="00814DD2">
        <w:lastRenderedPageBreak/>
        <w:t>Glossary</w:t>
      </w:r>
      <w:bookmarkEnd w:id="6"/>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Description w:val="List of glossary terms"/>
      </w:tblPr>
      <w:tblGrid>
        <w:gridCol w:w="2812"/>
        <w:gridCol w:w="6974"/>
      </w:tblGrid>
      <w:tr w:rsidR="00F44825" w:rsidRPr="004F13AA" w14:paraId="51EF3274" w14:textId="77777777" w:rsidTr="00C621BA">
        <w:trPr>
          <w:tblHeader/>
        </w:trPr>
        <w:tc>
          <w:tcPr>
            <w:tcW w:w="1437" w:type="pct"/>
            <w:shd w:val="clear" w:color="auto" w:fill="D9D9D9" w:themeFill="background1" w:themeFillShade="D9"/>
            <w:vAlign w:val="center"/>
          </w:tcPr>
          <w:p w14:paraId="0AA809AC" w14:textId="77777777" w:rsidR="00F44825" w:rsidRPr="004F13AA" w:rsidRDefault="00F44825" w:rsidP="008D5076">
            <w:pPr>
              <w:pStyle w:val="Tableheader"/>
              <w:spacing w:after="120"/>
            </w:pPr>
            <w:r w:rsidRPr="004F13AA">
              <w:t>Terms</w:t>
            </w:r>
          </w:p>
        </w:tc>
        <w:tc>
          <w:tcPr>
            <w:tcW w:w="3563" w:type="pct"/>
            <w:shd w:val="clear" w:color="auto" w:fill="D9D9D9" w:themeFill="background1" w:themeFillShade="D9"/>
            <w:vAlign w:val="center"/>
          </w:tcPr>
          <w:p w14:paraId="6B87C075" w14:textId="77777777" w:rsidR="00F44825" w:rsidRPr="004F13AA" w:rsidRDefault="00F44825" w:rsidP="008D5076">
            <w:pPr>
              <w:pStyle w:val="Tableheader"/>
              <w:spacing w:after="120"/>
            </w:pPr>
            <w:r w:rsidRPr="004F13AA">
              <w:t>Descriptions</w:t>
            </w:r>
          </w:p>
        </w:tc>
      </w:tr>
      <w:tr w:rsidR="00B8103C" w:rsidRPr="00E86DFB" w14:paraId="52D9D6B2" w14:textId="77777777" w:rsidTr="00C621BA">
        <w:tc>
          <w:tcPr>
            <w:tcW w:w="1437" w:type="pct"/>
          </w:tcPr>
          <w:p w14:paraId="606F5FFC" w14:textId="77777777" w:rsidR="00B8103C" w:rsidRPr="00381011" w:rsidRDefault="00B8103C" w:rsidP="008D5076">
            <w:pPr>
              <w:spacing w:before="60"/>
              <w:rPr>
                <w:rStyle w:val="Strong"/>
              </w:rPr>
            </w:pPr>
            <w:r w:rsidRPr="00381011">
              <w:rPr>
                <w:rStyle w:val="Strong"/>
              </w:rPr>
              <w:t>Added sugar</w:t>
            </w:r>
            <w:r w:rsidR="004D6040">
              <w:rPr>
                <w:rStyle w:val="Strong"/>
              </w:rPr>
              <w:t>/</w:t>
            </w:r>
            <w:r w:rsidRPr="00381011">
              <w:rPr>
                <w:rStyle w:val="Strong"/>
              </w:rPr>
              <w:t>s</w:t>
            </w:r>
          </w:p>
        </w:tc>
        <w:tc>
          <w:tcPr>
            <w:tcW w:w="3563" w:type="pct"/>
          </w:tcPr>
          <w:p w14:paraId="2BC22A34" w14:textId="77777777" w:rsidR="0086699D" w:rsidRPr="00A56F43" w:rsidRDefault="0086699D" w:rsidP="008D5076">
            <w:pPr>
              <w:spacing w:before="60"/>
            </w:pPr>
            <w:r w:rsidRPr="00A56F43">
              <w:rPr>
                <w:lang w:val="en-US"/>
              </w:rPr>
              <w:t>For the purpose of this paper this refers to a</w:t>
            </w:r>
            <w:r w:rsidR="003D3034" w:rsidRPr="00A56F43">
              <w:rPr>
                <w:lang w:val="en-US"/>
              </w:rPr>
              <w:t xml:space="preserve">ny sugars-based ingredients added to foods by manufacturers during processing or manufacturing, or by consumers and cooks during food preparation or at the time of consumption. </w:t>
            </w:r>
            <w:r w:rsidR="00020859">
              <w:rPr>
                <w:lang w:val="en-US"/>
              </w:rPr>
              <w:t>The</w:t>
            </w:r>
            <w:r w:rsidR="003D3034" w:rsidRPr="00A56F43">
              <w:rPr>
                <w:lang w:val="en-US"/>
              </w:rPr>
              <w:t xml:space="preserve"> term ‘added sugars’ may include what are referred to as ‘free sugars’ such as honey.</w:t>
            </w:r>
          </w:p>
        </w:tc>
      </w:tr>
      <w:tr w:rsidR="00B8103C" w:rsidRPr="00E86DFB" w14:paraId="5F06C9DC" w14:textId="77777777" w:rsidTr="00C621BA">
        <w:tc>
          <w:tcPr>
            <w:tcW w:w="1437" w:type="pct"/>
          </w:tcPr>
          <w:p w14:paraId="0A0E4149" w14:textId="77777777" w:rsidR="00B8103C" w:rsidRPr="00381011" w:rsidRDefault="00207532" w:rsidP="008D5076">
            <w:pPr>
              <w:spacing w:before="60"/>
              <w:rPr>
                <w:rStyle w:val="Strong"/>
              </w:rPr>
            </w:pPr>
            <w:r>
              <w:rPr>
                <w:rStyle w:val="Strong"/>
              </w:rPr>
              <w:t>Australia</w:t>
            </w:r>
            <w:r w:rsidR="00176783">
              <w:rPr>
                <w:rStyle w:val="Strong"/>
              </w:rPr>
              <w:t xml:space="preserve"> and</w:t>
            </w:r>
            <w:r>
              <w:rPr>
                <w:rStyle w:val="Strong"/>
              </w:rPr>
              <w:t xml:space="preserve"> New Zealand </w:t>
            </w:r>
            <w:r w:rsidR="00B8103C" w:rsidRPr="00381011">
              <w:rPr>
                <w:rStyle w:val="Strong"/>
              </w:rPr>
              <w:t>Ministerial Forum on Food Regulation (Forum)</w:t>
            </w:r>
          </w:p>
        </w:tc>
        <w:tc>
          <w:tcPr>
            <w:tcW w:w="3563" w:type="pct"/>
          </w:tcPr>
          <w:p w14:paraId="5FEB4018" w14:textId="77777777" w:rsidR="00B8103C" w:rsidRPr="00BC587F" w:rsidRDefault="00B8103C" w:rsidP="008D5076">
            <w:pPr>
              <w:spacing w:before="60"/>
            </w:pPr>
            <w:r w:rsidRPr="00BC587F">
              <w:t>The Ministerial body responsible for developing domestic food regulation policy in the form of policy guidelines.</w:t>
            </w:r>
            <w:r w:rsidR="00331D93" w:rsidRPr="00BC587F">
              <w:t xml:space="preserve"> Forum Members are the decision makers in the system. The Forum signs off on all food standards and can also request that a draft standard be developed, reviewed, amended or rejected. </w:t>
            </w:r>
          </w:p>
        </w:tc>
      </w:tr>
      <w:tr w:rsidR="00B6085C" w:rsidRPr="00E86DFB" w14:paraId="75694233" w14:textId="77777777" w:rsidTr="00C621BA">
        <w:tc>
          <w:tcPr>
            <w:tcW w:w="1437" w:type="pct"/>
          </w:tcPr>
          <w:p w14:paraId="227AE167" w14:textId="77777777" w:rsidR="00B6085C" w:rsidRPr="00381011" w:rsidRDefault="00B6085C" w:rsidP="008D5076">
            <w:pPr>
              <w:spacing w:before="60"/>
              <w:rPr>
                <w:rStyle w:val="Strong"/>
              </w:rPr>
            </w:pPr>
            <w:r>
              <w:rPr>
                <w:rStyle w:val="Strong"/>
              </w:rPr>
              <w:t>Category / HSR category</w:t>
            </w:r>
          </w:p>
        </w:tc>
        <w:tc>
          <w:tcPr>
            <w:tcW w:w="3563" w:type="pct"/>
          </w:tcPr>
          <w:p w14:paraId="5F25F625" w14:textId="77777777" w:rsidR="00C621BA" w:rsidRDefault="00B6085C" w:rsidP="00C621BA">
            <w:pPr>
              <w:spacing w:before="60"/>
            </w:pPr>
            <w:r>
              <w:t xml:space="preserve">The </w:t>
            </w:r>
            <w:r w:rsidR="00C621BA">
              <w:t xml:space="preserve">current* </w:t>
            </w:r>
            <w:r>
              <w:t xml:space="preserve">HSR system has </w:t>
            </w:r>
            <w:r w:rsidR="00C621BA">
              <w:t>six</w:t>
            </w:r>
            <w:r>
              <w:t xml:space="preserve"> groups (categories) under which different food types are categorised. These are dairy beverages, non-dairy beverages, </w:t>
            </w:r>
            <w:r w:rsidR="00EC44C4">
              <w:t>cheese with a minimum calcium content, other dairy foods, oils and spreads, and all other foods. These categories have specific eligibility criteria, and each one assigns different ratings to the nutrients considered by the HSR algorithm</w:t>
            </w:r>
            <w:r w:rsidR="00CD63A6">
              <w:t xml:space="preserve"> in order</w:t>
            </w:r>
            <w:r w:rsidR="00EC44C4">
              <w:t xml:space="preserve"> to account for natural occurrences in the food groups.</w:t>
            </w:r>
          </w:p>
          <w:p w14:paraId="4E60DF74" w14:textId="77777777" w:rsidR="00C621BA" w:rsidRPr="00C621BA" w:rsidRDefault="00C621BA" w:rsidP="00C621BA">
            <w:pPr>
              <w:spacing w:before="60"/>
              <w:rPr>
                <w:i/>
              </w:rPr>
            </w:pPr>
            <w:r w:rsidRPr="00C621BA">
              <w:rPr>
                <w:i/>
                <w:sz w:val="16"/>
              </w:rPr>
              <w:t>*Acceptance of recommendations in this report may result in changes to these six categories.</w:t>
            </w:r>
          </w:p>
        </w:tc>
      </w:tr>
      <w:tr w:rsidR="00B8103C" w:rsidRPr="00E86DFB" w14:paraId="1524E718" w14:textId="77777777" w:rsidTr="00C621BA">
        <w:tc>
          <w:tcPr>
            <w:tcW w:w="1437" w:type="pct"/>
          </w:tcPr>
          <w:p w14:paraId="621D8F4B" w14:textId="77777777" w:rsidR="00B8103C" w:rsidRPr="00381011" w:rsidRDefault="00B8103C" w:rsidP="008D5076">
            <w:pPr>
              <w:spacing w:before="60"/>
              <w:rPr>
                <w:rStyle w:val="Strong"/>
              </w:rPr>
            </w:pPr>
            <w:r w:rsidRPr="00381011">
              <w:rPr>
                <w:rStyle w:val="Strong"/>
              </w:rPr>
              <w:t>Dietary Guidelines</w:t>
            </w:r>
          </w:p>
        </w:tc>
        <w:tc>
          <w:tcPr>
            <w:tcW w:w="3563" w:type="pct"/>
          </w:tcPr>
          <w:p w14:paraId="230F1853" w14:textId="77777777" w:rsidR="00B8103C" w:rsidRPr="00BC587F" w:rsidRDefault="00B8103C" w:rsidP="008D5076">
            <w:pPr>
              <w:spacing w:before="60"/>
            </w:pPr>
            <w:r w:rsidRPr="00BC587F">
              <w:t>Refers to both the Australian Dietary Guidelines and New Zealand Eating and Activity Guidelines, unless otherwise specified.</w:t>
            </w:r>
          </w:p>
        </w:tc>
      </w:tr>
      <w:tr w:rsidR="00B8103C" w:rsidRPr="00E86DFB" w14:paraId="15CA3CC5" w14:textId="77777777" w:rsidTr="00C621BA">
        <w:tc>
          <w:tcPr>
            <w:tcW w:w="1437" w:type="pct"/>
          </w:tcPr>
          <w:p w14:paraId="43C24D60" w14:textId="77777777" w:rsidR="00B8103C" w:rsidRPr="00381011" w:rsidRDefault="00B8103C" w:rsidP="008D5076">
            <w:pPr>
              <w:spacing w:before="60"/>
              <w:rPr>
                <w:rStyle w:val="Strong"/>
              </w:rPr>
            </w:pPr>
            <w:r w:rsidRPr="00381011">
              <w:rPr>
                <w:rStyle w:val="Strong"/>
              </w:rPr>
              <w:t>Discretionary foods</w:t>
            </w:r>
          </w:p>
        </w:tc>
        <w:tc>
          <w:tcPr>
            <w:tcW w:w="3563" w:type="pct"/>
          </w:tcPr>
          <w:p w14:paraId="101F248F" w14:textId="77777777" w:rsidR="00B8103C" w:rsidRPr="00BC587F" w:rsidRDefault="00B8103C" w:rsidP="008D5076">
            <w:pPr>
              <w:spacing w:before="60"/>
            </w:pPr>
            <w:r w:rsidRPr="00BC587F">
              <w:t xml:space="preserve">Foods not necessary for a healthy diet and are too high in saturated fat and/or added sugars, added salt </w:t>
            </w:r>
            <w:r w:rsidR="004802F2" w:rsidRPr="00BC587F">
              <w:t xml:space="preserve">(sodium) </w:t>
            </w:r>
            <w:r w:rsidR="00DD4EE1" w:rsidRPr="00BC587F">
              <w:t>or alcohol.</w:t>
            </w:r>
          </w:p>
        </w:tc>
      </w:tr>
      <w:tr w:rsidR="005255A8" w:rsidRPr="00E86DFB" w14:paraId="24EB229A" w14:textId="77777777" w:rsidTr="00C621BA">
        <w:tc>
          <w:tcPr>
            <w:tcW w:w="1437" w:type="pct"/>
          </w:tcPr>
          <w:p w14:paraId="0A8A1B99" w14:textId="77777777" w:rsidR="005255A8" w:rsidRPr="00381011" w:rsidRDefault="00C621BA" w:rsidP="008D5076">
            <w:pPr>
              <w:spacing w:before="60"/>
              <w:rPr>
                <w:rStyle w:val="Strong"/>
              </w:rPr>
            </w:pPr>
            <w:r>
              <w:rPr>
                <w:rStyle w:val="Strong"/>
              </w:rPr>
              <w:t>Five/Four Food Groups (</w:t>
            </w:r>
            <w:r w:rsidR="005255A8" w:rsidRPr="00840C10">
              <w:rPr>
                <w:rStyle w:val="Strong"/>
              </w:rPr>
              <w:t>FFG</w:t>
            </w:r>
            <w:r>
              <w:rPr>
                <w:rStyle w:val="Strong"/>
              </w:rPr>
              <w:t>)</w:t>
            </w:r>
          </w:p>
        </w:tc>
        <w:tc>
          <w:tcPr>
            <w:tcW w:w="3563" w:type="pct"/>
          </w:tcPr>
          <w:p w14:paraId="6F5181BD" w14:textId="77777777" w:rsidR="005255A8" w:rsidRPr="00BC587F" w:rsidRDefault="005255A8" w:rsidP="00C621BA">
            <w:pPr>
              <w:spacing w:before="60"/>
            </w:pPr>
            <w:r w:rsidRPr="00840C10">
              <w:t>Five</w:t>
            </w:r>
            <w:r>
              <w:t xml:space="preserve"> or Four</w:t>
            </w:r>
            <w:r w:rsidRPr="00840C10">
              <w:t xml:space="preserve"> Food Groups - </w:t>
            </w:r>
            <w:r w:rsidRPr="00840C10">
              <w:rPr>
                <w:rFonts w:cs="Arial"/>
                <w:shd w:val="clear" w:color="auto" w:fill="FFFFFF"/>
              </w:rPr>
              <w:t xml:space="preserve">the food groups recommended </w:t>
            </w:r>
            <w:r>
              <w:rPr>
                <w:rFonts w:cs="Arial"/>
                <w:shd w:val="clear" w:color="auto" w:fill="FFFFFF"/>
              </w:rPr>
              <w:t xml:space="preserve">by the Dietary Guidelines for </w:t>
            </w:r>
            <w:r w:rsidR="00C621BA">
              <w:rPr>
                <w:rFonts w:cs="Arial"/>
                <w:shd w:val="clear" w:color="auto" w:fill="FFFFFF"/>
              </w:rPr>
              <w:t xml:space="preserve">daily </w:t>
            </w:r>
            <w:r>
              <w:rPr>
                <w:rFonts w:cs="Arial"/>
                <w:shd w:val="clear" w:color="auto" w:fill="FFFFFF"/>
              </w:rPr>
              <w:t>consumption</w:t>
            </w:r>
            <w:r w:rsidR="00C621BA">
              <w:rPr>
                <w:rFonts w:cs="Arial"/>
                <w:shd w:val="clear" w:color="auto" w:fill="FFFFFF"/>
              </w:rPr>
              <w:t xml:space="preserve">. </w:t>
            </w:r>
            <w:r>
              <w:t>In Australia there are five, and in New Zealand four (as fruit and vegetables are considered to be on</w:t>
            </w:r>
            <w:r w:rsidR="009058F4">
              <w:t>e</w:t>
            </w:r>
            <w:r>
              <w:t xml:space="preserve"> group in New Zealand). </w:t>
            </w:r>
          </w:p>
        </w:tc>
      </w:tr>
      <w:tr w:rsidR="00B8103C" w:rsidRPr="00E86DFB" w14:paraId="301A32F6" w14:textId="77777777" w:rsidTr="00C621BA">
        <w:tc>
          <w:tcPr>
            <w:tcW w:w="1437" w:type="pct"/>
          </w:tcPr>
          <w:p w14:paraId="6B9B39FF" w14:textId="77777777" w:rsidR="00B8103C" w:rsidRPr="00381011" w:rsidRDefault="00B8103C" w:rsidP="008D5076">
            <w:pPr>
              <w:spacing w:before="60"/>
              <w:rPr>
                <w:rStyle w:val="Strong"/>
              </w:rPr>
            </w:pPr>
            <w:r w:rsidRPr="00381011">
              <w:rPr>
                <w:rStyle w:val="Strong"/>
              </w:rPr>
              <w:t>Food Regulation Standing Committee (FRSC)</w:t>
            </w:r>
          </w:p>
        </w:tc>
        <w:tc>
          <w:tcPr>
            <w:tcW w:w="3563" w:type="pct"/>
          </w:tcPr>
          <w:p w14:paraId="3D0CD37D" w14:textId="77777777" w:rsidR="00B8103C" w:rsidRPr="00BC587F" w:rsidRDefault="00B8103C" w:rsidP="008D5076">
            <w:pPr>
              <w:spacing w:before="60"/>
            </w:pPr>
            <w:r w:rsidRPr="00BC587F">
              <w:t>Body responsible for coordinating policy advice to the Forum and ensuring a nationally consistent approach to the implementation and enforcement of food standards.</w:t>
            </w:r>
          </w:p>
        </w:tc>
      </w:tr>
      <w:tr w:rsidR="00B8103C" w:rsidRPr="00E86DFB" w14:paraId="558B8FC8" w14:textId="77777777" w:rsidTr="00C621BA">
        <w:tc>
          <w:tcPr>
            <w:tcW w:w="1437" w:type="pct"/>
          </w:tcPr>
          <w:p w14:paraId="7821C4F5" w14:textId="77777777" w:rsidR="00B8103C" w:rsidRPr="00381011" w:rsidRDefault="00B8103C" w:rsidP="008D5076">
            <w:pPr>
              <w:spacing w:before="60"/>
              <w:rPr>
                <w:rStyle w:val="Strong"/>
              </w:rPr>
            </w:pPr>
            <w:r w:rsidRPr="00381011">
              <w:rPr>
                <w:rStyle w:val="Strong"/>
              </w:rPr>
              <w:t>Food Standards Australia New Zealand (FSANZ)</w:t>
            </w:r>
          </w:p>
        </w:tc>
        <w:tc>
          <w:tcPr>
            <w:tcW w:w="3563" w:type="pct"/>
          </w:tcPr>
          <w:p w14:paraId="428DD0AF" w14:textId="77777777" w:rsidR="00B8103C" w:rsidRPr="00BC587F" w:rsidRDefault="00150C8F" w:rsidP="008D5076">
            <w:pPr>
              <w:spacing w:before="60"/>
            </w:pPr>
            <w:r w:rsidRPr="00BC587F">
              <w:t>A statutory authority in the Australian Government Health portfolio that develops food standards for Australia and New Zealand.</w:t>
            </w:r>
          </w:p>
        </w:tc>
      </w:tr>
      <w:tr w:rsidR="00BF1BEB" w:rsidRPr="00E86DFB" w14:paraId="61D6278B" w14:textId="77777777" w:rsidTr="00C621BA">
        <w:tc>
          <w:tcPr>
            <w:tcW w:w="1437" w:type="pct"/>
          </w:tcPr>
          <w:p w14:paraId="6617CD10" w14:textId="77777777" w:rsidR="00BF1BEB" w:rsidRPr="00381011" w:rsidRDefault="00BF1BEB" w:rsidP="008D5076">
            <w:pPr>
              <w:spacing w:before="60"/>
              <w:rPr>
                <w:rStyle w:val="Strong"/>
              </w:rPr>
            </w:pPr>
            <w:r>
              <w:rPr>
                <w:rStyle w:val="Strong"/>
              </w:rPr>
              <w:t>Front of Pack Labelling (</w:t>
            </w:r>
            <w:proofErr w:type="spellStart"/>
            <w:r>
              <w:rPr>
                <w:rStyle w:val="Strong"/>
              </w:rPr>
              <w:t>FoPL</w:t>
            </w:r>
            <w:proofErr w:type="spellEnd"/>
            <w:r>
              <w:rPr>
                <w:rStyle w:val="Strong"/>
              </w:rPr>
              <w:t>)</w:t>
            </w:r>
          </w:p>
        </w:tc>
        <w:tc>
          <w:tcPr>
            <w:tcW w:w="3563" w:type="pct"/>
          </w:tcPr>
          <w:p w14:paraId="3A22BDBF" w14:textId="77777777" w:rsidR="00BF1BEB" w:rsidRPr="00BC587F" w:rsidRDefault="00BF1BEB" w:rsidP="008D5076">
            <w:pPr>
              <w:spacing w:before="60"/>
            </w:pPr>
            <w:r>
              <w:t xml:space="preserve">Information presented and applied to the front of food packaging that presents nutrition information in a way intended to simplify the information for the consumer. </w:t>
            </w:r>
          </w:p>
        </w:tc>
      </w:tr>
      <w:tr w:rsidR="00D52910" w:rsidRPr="00E86DFB" w14:paraId="62117521" w14:textId="77777777" w:rsidTr="00C621BA">
        <w:tc>
          <w:tcPr>
            <w:tcW w:w="1437" w:type="pct"/>
          </w:tcPr>
          <w:p w14:paraId="6FB7F38F" w14:textId="77777777" w:rsidR="00D52910" w:rsidRPr="00381011" w:rsidRDefault="00D52910" w:rsidP="008D5076">
            <w:pPr>
              <w:spacing w:before="60"/>
              <w:rPr>
                <w:rStyle w:val="Strong"/>
              </w:rPr>
            </w:pPr>
            <w:r>
              <w:rPr>
                <w:rStyle w:val="Strong"/>
              </w:rPr>
              <w:t>Health Star Rating Advisory Committee (HSRAC)</w:t>
            </w:r>
          </w:p>
        </w:tc>
        <w:tc>
          <w:tcPr>
            <w:tcW w:w="3563" w:type="pct"/>
          </w:tcPr>
          <w:p w14:paraId="7F079CA5" w14:textId="77777777" w:rsidR="00D52910" w:rsidRPr="00BC587F" w:rsidRDefault="007F3F4F" w:rsidP="000D76B0">
            <w:pPr>
              <w:spacing w:before="60"/>
            </w:pPr>
            <w:r>
              <w:t>Th</w:t>
            </w:r>
            <w:r w:rsidR="00C621BA">
              <w:t>e</w:t>
            </w:r>
            <w:r>
              <w:t xml:space="preserve"> committee responsible for overseeing the implementation and evaluation of the HSR system. Members are from the New Zealand government, Australian state and territory governments, </w:t>
            </w:r>
            <w:r w:rsidR="00C621BA">
              <w:t>food</w:t>
            </w:r>
            <w:r>
              <w:t xml:space="preserve"> industry, public health and consumer groups. HSRAC reports to FRSC and </w:t>
            </w:r>
            <w:r w:rsidR="00086522">
              <w:t xml:space="preserve">through </w:t>
            </w:r>
            <w:r w:rsidR="000D76B0">
              <w:t xml:space="preserve">FRSC to </w:t>
            </w:r>
            <w:r w:rsidR="00086522">
              <w:t>the</w:t>
            </w:r>
            <w:r>
              <w:t xml:space="preserve"> Forum. </w:t>
            </w:r>
          </w:p>
        </w:tc>
      </w:tr>
      <w:tr w:rsidR="00B8103C" w:rsidRPr="00E86DFB" w14:paraId="46B534C4" w14:textId="77777777" w:rsidTr="00C621BA">
        <w:tc>
          <w:tcPr>
            <w:tcW w:w="1437" w:type="pct"/>
          </w:tcPr>
          <w:p w14:paraId="52C75152" w14:textId="77777777" w:rsidR="00B8103C" w:rsidRPr="00381011" w:rsidRDefault="00810182" w:rsidP="008D5076">
            <w:pPr>
              <w:spacing w:before="60"/>
              <w:rPr>
                <w:rStyle w:val="Strong"/>
              </w:rPr>
            </w:pPr>
            <w:r>
              <w:rPr>
                <w:rStyle w:val="Strong"/>
              </w:rPr>
              <w:lastRenderedPageBreak/>
              <w:t>HSR A</w:t>
            </w:r>
            <w:r w:rsidR="00B8103C" w:rsidRPr="00381011">
              <w:rPr>
                <w:rStyle w:val="Strong"/>
              </w:rPr>
              <w:t>lgorithm</w:t>
            </w:r>
          </w:p>
        </w:tc>
        <w:tc>
          <w:tcPr>
            <w:tcW w:w="3563" w:type="pct"/>
          </w:tcPr>
          <w:p w14:paraId="4387AAEE" w14:textId="77777777" w:rsidR="00B8103C" w:rsidRPr="00BC587F" w:rsidRDefault="00B8103C" w:rsidP="00810182">
            <w:pPr>
              <w:spacing w:before="60"/>
            </w:pPr>
            <w:r w:rsidRPr="00BC587F">
              <w:t xml:space="preserve">Developed by technical and nutrition experts to assess </w:t>
            </w:r>
            <w:r w:rsidR="00810182">
              <w:t>the rating of a food product based on the positive and risk nutrients in the</w:t>
            </w:r>
            <w:r w:rsidRPr="00BC587F">
              <w:t xml:space="preserve"> food. Th</w:t>
            </w:r>
            <w:r w:rsidR="00810182">
              <w:t xml:space="preserve">e HSR Algorithm </w:t>
            </w:r>
            <w:r w:rsidR="005255A8">
              <w:t>underpins</w:t>
            </w:r>
            <w:r w:rsidRPr="00BC587F">
              <w:t xml:space="preserve"> </w:t>
            </w:r>
            <w:r w:rsidR="00810182">
              <w:t>the</w:t>
            </w:r>
            <w:r w:rsidR="007305AC">
              <w:t xml:space="preserve"> HSR</w:t>
            </w:r>
            <w:r w:rsidR="00810182">
              <w:t xml:space="preserve"> Calculator. </w:t>
            </w:r>
          </w:p>
        </w:tc>
      </w:tr>
      <w:tr w:rsidR="00297F4F" w:rsidRPr="00E86DFB" w14:paraId="605973A8" w14:textId="77777777" w:rsidTr="00C621BA">
        <w:tc>
          <w:tcPr>
            <w:tcW w:w="1437" w:type="pct"/>
          </w:tcPr>
          <w:p w14:paraId="30B627E8" w14:textId="77777777" w:rsidR="00297F4F" w:rsidRPr="00381011" w:rsidRDefault="00297F4F" w:rsidP="008D5076">
            <w:pPr>
              <w:spacing w:before="60"/>
              <w:rPr>
                <w:rStyle w:val="Strong"/>
              </w:rPr>
            </w:pPr>
            <w:r>
              <w:rPr>
                <w:rStyle w:val="Strong"/>
              </w:rPr>
              <w:t>HSR Calculator</w:t>
            </w:r>
          </w:p>
        </w:tc>
        <w:tc>
          <w:tcPr>
            <w:tcW w:w="3563" w:type="pct"/>
          </w:tcPr>
          <w:p w14:paraId="5725CDEA" w14:textId="77777777" w:rsidR="00297F4F" w:rsidRPr="00BC587F" w:rsidRDefault="00810182" w:rsidP="00810182">
            <w:pPr>
              <w:spacing w:before="60"/>
            </w:pPr>
            <w:r>
              <w:t xml:space="preserve">The HSR Calculator embeds the HSR Algorithm and is used </w:t>
            </w:r>
            <w:r w:rsidRPr="00BC587F">
              <w:t>to determi</w:t>
            </w:r>
            <w:r>
              <w:t xml:space="preserve">ne the number of ‘stars’ that can be displayed in the HSR graphic when applied to a food’s label. </w:t>
            </w:r>
            <w:r w:rsidRPr="00CC1ADD">
              <w:t xml:space="preserve">The HSR Calculator is adjusted for different HSR </w:t>
            </w:r>
            <w:r>
              <w:t>c</w:t>
            </w:r>
            <w:r w:rsidRPr="00CC1ADD">
              <w:t>ategories to account for the differing nutrient compositions of different types of foods</w:t>
            </w:r>
            <w:r>
              <w:t>.</w:t>
            </w:r>
          </w:p>
        </w:tc>
      </w:tr>
      <w:tr w:rsidR="00C07D35" w:rsidRPr="00E86DFB" w14:paraId="3DAED19F" w14:textId="77777777" w:rsidTr="00C621BA">
        <w:tc>
          <w:tcPr>
            <w:tcW w:w="1437" w:type="pct"/>
          </w:tcPr>
          <w:p w14:paraId="62B6D237" w14:textId="77777777" w:rsidR="00C07D35" w:rsidRPr="00381011" w:rsidRDefault="00C07D35" w:rsidP="008D5076">
            <w:pPr>
              <w:spacing w:before="60"/>
              <w:rPr>
                <w:rStyle w:val="Strong"/>
              </w:rPr>
            </w:pPr>
            <w:r>
              <w:rPr>
                <w:rStyle w:val="Strong"/>
              </w:rPr>
              <w:t>Labelling Logic</w:t>
            </w:r>
          </w:p>
        </w:tc>
        <w:tc>
          <w:tcPr>
            <w:tcW w:w="3563" w:type="pct"/>
          </w:tcPr>
          <w:p w14:paraId="1AAB6E2F" w14:textId="77777777" w:rsidR="00C07D35" w:rsidRPr="00BC587F" w:rsidRDefault="006057B2" w:rsidP="00C621BA">
            <w:pPr>
              <w:spacing w:before="60"/>
            </w:pPr>
            <w:r>
              <w:t>A</w:t>
            </w:r>
            <w:r w:rsidR="00C07D35">
              <w:t xml:space="preserve"> report</w:t>
            </w:r>
            <w:r>
              <w:t xml:space="preserve"> released in 2011</w:t>
            </w:r>
            <w:r w:rsidR="00C07D35">
              <w:t xml:space="preserve"> containing several recommendations </w:t>
            </w:r>
            <w:r w:rsidR="00C621BA">
              <w:t xml:space="preserve">and </w:t>
            </w:r>
            <w:r w:rsidR="00C07D35">
              <w:t>written as a result of a</w:t>
            </w:r>
            <w:r w:rsidR="00C07D35" w:rsidRPr="00C07D35">
              <w:t xml:space="preserve"> comprehensive independent review of food labelling law and policy</w:t>
            </w:r>
            <w:r w:rsidR="00C07D35">
              <w:t xml:space="preserve"> in Australia and New Zealand. </w:t>
            </w:r>
          </w:p>
        </w:tc>
      </w:tr>
      <w:tr w:rsidR="005255A8" w:rsidRPr="00E86DFB" w14:paraId="73857919" w14:textId="77777777" w:rsidTr="00C621BA">
        <w:tc>
          <w:tcPr>
            <w:tcW w:w="1437" w:type="pct"/>
          </w:tcPr>
          <w:p w14:paraId="76ACA4B7" w14:textId="77777777" w:rsidR="005255A8" w:rsidRPr="005255A8" w:rsidRDefault="005255A8" w:rsidP="008D5076">
            <w:pPr>
              <w:rPr>
                <w:rStyle w:val="Strong"/>
                <w:b w:val="0"/>
                <w:bCs w:val="0"/>
              </w:rPr>
            </w:pPr>
            <w:r w:rsidRPr="005255A8">
              <w:rPr>
                <w:b/>
              </w:rPr>
              <w:t>mpconsulting</w:t>
            </w:r>
          </w:p>
        </w:tc>
        <w:tc>
          <w:tcPr>
            <w:tcW w:w="3563" w:type="pct"/>
          </w:tcPr>
          <w:p w14:paraId="5837E628" w14:textId="77777777" w:rsidR="005255A8" w:rsidRPr="00BC587F" w:rsidRDefault="00751CD6" w:rsidP="00C621BA">
            <w:pPr>
              <w:spacing w:before="60"/>
            </w:pPr>
            <w:r>
              <w:t xml:space="preserve">The independent consultant who was engaged in 2017 and conducted the </w:t>
            </w:r>
            <w:r w:rsidR="00C621BA">
              <w:t>f</w:t>
            </w:r>
            <w:r>
              <w:t>ormal five year review of the HSR system.</w:t>
            </w:r>
          </w:p>
        </w:tc>
      </w:tr>
      <w:tr w:rsidR="008313E5" w:rsidRPr="00E86DFB" w14:paraId="5C95C625" w14:textId="77777777" w:rsidTr="00C621BA">
        <w:tc>
          <w:tcPr>
            <w:tcW w:w="1437" w:type="pct"/>
          </w:tcPr>
          <w:p w14:paraId="6283BBDA" w14:textId="77777777" w:rsidR="008313E5" w:rsidRPr="005255A8" w:rsidRDefault="008313E5" w:rsidP="008D5076">
            <w:pPr>
              <w:rPr>
                <w:b/>
              </w:rPr>
            </w:pPr>
            <w:r>
              <w:rPr>
                <w:b/>
              </w:rPr>
              <w:t>Nutrient Profiling Scoring Criterion (NPSC)</w:t>
            </w:r>
          </w:p>
        </w:tc>
        <w:tc>
          <w:tcPr>
            <w:tcW w:w="3563" w:type="pct"/>
          </w:tcPr>
          <w:p w14:paraId="72CA7920" w14:textId="77777777" w:rsidR="008313E5" w:rsidRPr="00810182" w:rsidRDefault="00810182" w:rsidP="00810182">
            <w:pPr>
              <w:spacing w:before="60"/>
              <w:rPr>
                <w:color w:val="000000" w:themeColor="text1"/>
              </w:rPr>
            </w:pPr>
            <w:r w:rsidRPr="00810182">
              <w:t>Nutrient profiling is used internationally to classify foods based on their nutrient content and can help to identify healthier foods. The NPSC is a nutrient profiling system used in Australia and New Zealand to determine whether a food is suitable to make a health claim, based on its nutrient profile. (The HSR Algorithm is a modified version of the NPSC).</w:t>
            </w:r>
          </w:p>
        </w:tc>
      </w:tr>
      <w:tr w:rsidR="00B8103C" w:rsidRPr="00E86DFB" w14:paraId="4932B211" w14:textId="77777777" w:rsidTr="00C621BA">
        <w:tc>
          <w:tcPr>
            <w:tcW w:w="1437" w:type="pct"/>
          </w:tcPr>
          <w:p w14:paraId="78DF6DA7" w14:textId="77777777" w:rsidR="00B8103C" w:rsidRPr="00381011" w:rsidRDefault="00B8103C" w:rsidP="008D5076">
            <w:pPr>
              <w:spacing w:before="60"/>
              <w:rPr>
                <w:rStyle w:val="Strong"/>
              </w:rPr>
            </w:pPr>
            <w:r w:rsidRPr="00381011">
              <w:rPr>
                <w:rStyle w:val="Strong"/>
              </w:rPr>
              <w:t>Reformulation</w:t>
            </w:r>
          </w:p>
        </w:tc>
        <w:tc>
          <w:tcPr>
            <w:tcW w:w="3563" w:type="pct"/>
          </w:tcPr>
          <w:p w14:paraId="2E7E954F" w14:textId="77777777" w:rsidR="00B8103C" w:rsidRPr="00BC587F" w:rsidRDefault="00B8103C" w:rsidP="00C621BA">
            <w:pPr>
              <w:spacing w:before="60"/>
            </w:pPr>
            <w:r w:rsidRPr="00BC587F">
              <w:t xml:space="preserve">Changing the nutrient content of a processed food product to either reduce the content of </w:t>
            </w:r>
            <w:r w:rsidR="00C621BA">
              <w:t>risk</w:t>
            </w:r>
            <w:r w:rsidRPr="00BC587F">
              <w:t xml:space="preserve"> nutrients such as sodium, saturated fat, trans fat or energy (kilojoules) or to increase the content of beneficial nutrients such as dietary fibre, wholegrains, fruit, vegetables and unsaturated fats.</w:t>
            </w:r>
          </w:p>
        </w:tc>
      </w:tr>
      <w:tr w:rsidR="00787C18" w:rsidRPr="00E86DFB" w14:paraId="02B05DDB" w14:textId="77777777" w:rsidTr="00C621BA">
        <w:tc>
          <w:tcPr>
            <w:tcW w:w="1437" w:type="pct"/>
          </w:tcPr>
          <w:p w14:paraId="38E6231F" w14:textId="77777777" w:rsidR="00787C18" w:rsidRPr="00381011" w:rsidRDefault="00787C18" w:rsidP="008D5076">
            <w:pPr>
              <w:spacing w:before="60"/>
              <w:rPr>
                <w:rStyle w:val="Strong"/>
              </w:rPr>
            </w:pPr>
            <w:r>
              <w:rPr>
                <w:rStyle w:val="Strong"/>
              </w:rPr>
              <w:t>Review</w:t>
            </w:r>
          </w:p>
        </w:tc>
        <w:tc>
          <w:tcPr>
            <w:tcW w:w="3563" w:type="pct"/>
          </w:tcPr>
          <w:p w14:paraId="6FDE3A25" w14:textId="77777777" w:rsidR="00D77E26" w:rsidRPr="00CC1ADD" w:rsidRDefault="00D77E26" w:rsidP="00D77E26">
            <w:pPr>
              <w:pStyle w:val="mpcNormal"/>
              <w:keepNext w:val="0"/>
            </w:pPr>
            <w:r>
              <w:t>The formal review of the HSR s</w:t>
            </w:r>
            <w:r w:rsidRPr="00CC1ADD">
              <w:t>ystem</w:t>
            </w:r>
            <w:r>
              <w:t>, agreed to b</w:t>
            </w:r>
            <w:r w:rsidR="00B6711C">
              <w:t>y</w:t>
            </w:r>
            <w:r>
              <w:t xml:space="preserve"> Ministers of the Forum in 2015, and to be </w:t>
            </w:r>
            <w:r w:rsidR="00A34799">
              <w:t>reported on</w:t>
            </w:r>
            <w:r w:rsidRPr="00CC1ADD">
              <w:t xml:space="preserve"> after five years of implementation. </w:t>
            </w:r>
          </w:p>
          <w:p w14:paraId="3B698E22" w14:textId="77777777" w:rsidR="00D77E26" w:rsidRPr="00CC1ADD" w:rsidRDefault="00D77E26" w:rsidP="00D77E26">
            <w:pPr>
              <w:pStyle w:val="mpcNormal"/>
              <w:keepNext w:val="0"/>
            </w:pPr>
            <w:r w:rsidRPr="00CC1ADD">
              <w:t xml:space="preserve">The purpose of the Review </w:t>
            </w:r>
            <w:r>
              <w:t>wa</w:t>
            </w:r>
            <w:r w:rsidRPr="00CC1ADD">
              <w:t>s to consider:</w:t>
            </w:r>
          </w:p>
          <w:p w14:paraId="5B7E8F62" w14:textId="77777777" w:rsidR="00D77E26" w:rsidRPr="00CC1ADD" w:rsidRDefault="00D77E26" w:rsidP="00D77E26">
            <w:pPr>
              <w:pStyle w:val="mpcNormal"/>
              <w:keepNext w:val="0"/>
              <w:numPr>
                <w:ilvl w:val="0"/>
                <w:numId w:val="18"/>
              </w:numPr>
            </w:pPr>
            <w:r w:rsidRPr="00CC1ADD">
              <w:t xml:space="preserve">how </w:t>
            </w:r>
            <w:r w:rsidR="0048681D">
              <w:t>well the objectives of the HSR s</w:t>
            </w:r>
            <w:r w:rsidRPr="00CC1ADD">
              <w:t>ystem are being met, including by refe</w:t>
            </w:r>
            <w:r w:rsidR="0048681D">
              <w:t>rence to the impact of the HSR s</w:t>
            </w:r>
            <w:r w:rsidRPr="00CC1ADD">
              <w:t>ystem</w:t>
            </w:r>
            <w:r>
              <w:t>, and</w:t>
            </w:r>
          </w:p>
          <w:p w14:paraId="214F850F" w14:textId="77777777" w:rsidR="00787C18" w:rsidRPr="00BC587F" w:rsidRDefault="0048681D" w:rsidP="00D77E26">
            <w:pPr>
              <w:pStyle w:val="mpcNormal"/>
              <w:keepNext w:val="0"/>
              <w:numPr>
                <w:ilvl w:val="0"/>
                <w:numId w:val="18"/>
              </w:numPr>
            </w:pPr>
            <w:r>
              <w:t>options for enhancing the HSR s</w:t>
            </w:r>
            <w:r w:rsidR="00D77E26" w:rsidRPr="00CC1ADD">
              <w:t xml:space="preserve">ystem, should continuation </w:t>
            </w:r>
            <w:r w:rsidR="00D77E26">
              <w:t xml:space="preserve">of the System </w:t>
            </w:r>
            <w:r w:rsidR="00D77E26" w:rsidRPr="00CC1ADD">
              <w:t>be recommended.</w:t>
            </w:r>
          </w:p>
        </w:tc>
      </w:tr>
      <w:tr w:rsidR="00787C18" w:rsidRPr="00E86DFB" w14:paraId="262B3464" w14:textId="77777777" w:rsidTr="00C621BA">
        <w:tc>
          <w:tcPr>
            <w:tcW w:w="1437" w:type="pct"/>
          </w:tcPr>
          <w:p w14:paraId="430D4006" w14:textId="77777777" w:rsidR="00787C18" w:rsidRPr="00381011" w:rsidRDefault="00787C18" w:rsidP="008D5076">
            <w:pPr>
              <w:spacing w:before="60"/>
              <w:rPr>
                <w:rStyle w:val="Strong"/>
              </w:rPr>
            </w:pPr>
            <w:r>
              <w:rPr>
                <w:rStyle w:val="Strong"/>
              </w:rPr>
              <w:t>Review Report</w:t>
            </w:r>
          </w:p>
        </w:tc>
        <w:tc>
          <w:tcPr>
            <w:tcW w:w="3563" w:type="pct"/>
          </w:tcPr>
          <w:p w14:paraId="6E5DF920" w14:textId="77777777" w:rsidR="00787C18" w:rsidRPr="00BC587F" w:rsidRDefault="00D77E26" w:rsidP="00D77E26">
            <w:r>
              <w:t xml:space="preserve">The report that details the findings of </w:t>
            </w:r>
            <w:r w:rsidR="0048681D">
              <w:t>the r</w:t>
            </w:r>
            <w:r>
              <w:t>eview and recommendations for the future implementation of the HSR system.</w:t>
            </w:r>
          </w:p>
        </w:tc>
      </w:tr>
      <w:tr w:rsidR="0086699D" w:rsidRPr="0086699D" w14:paraId="093187FA" w14:textId="77777777" w:rsidTr="00C621BA">
        <w:tc>
          <w:tcPr>
            <w:tcW w:w="1437" w:type="pct"/>
          </w:tcPr>
          <w:p w14:paraId="6285AC3B" w14:textId="77777777" w:rsidR="0086699D" w:rsidRPr="005255A8" w:rsidRDefault="0086699D" w:rsidP="008D5076">
            <w:pPr>
              <w:spacing w:before="60"/>
              <w:rPr>
                <w:rStyle w:val="Strong"/>
              </w:rPr>
            </w:pPr>
            <w:r w:rsidRPr="005255A8">
              <w:rPr>
                <w:rStyle w:val="Strong"/>
              </w:rPr>
              <w:t>Sugar-sweetened beverage</w:t>
            </w:r>
            <w:r w:rsidR="00A8493A" w:rsidRPr="005255A8">
              <w:rPr>
                <w:rStyle w:val="Strong"/>
              </w:rPr>
              <w:t xml:space="preserve"> </w:t>
            </w:r>
          </w:p>
        </w:tc>
        <w:tc>
          <w:tcPr>
            <w:tcW w:w="3563" w:type="pct"/>
          </w:tcPr>
          <w:p w14:paraId="3D2D2D59" w14:textId="77777777" w:rsidR="0086699D" w:rsidRPr="005255A8" w:rsidRDefault="006A4DE1" w:rsidP="009F2F7C">
            <w:pPr>
              <w:spacing w:before="60"/>
              <w:rPr>
                <w:rFonts w:cstheme="minorHAnsi"/>
              </w:rPr>
            </w:pPr>
            <w:r w:rsidRPr="005255A8">
              <w:t>An example definition is from Australian Bureau of Statistics analysis of food consumption data the</w:t>
            </w:r>
            <w:r w:rsidR="00A8493A" w:rsidRPr="005255A8">
              <w:t xml:space="preserve"> 2011-12 Australian Health Survey </w:t>
            </w:r>
            <w:r w:rsidRPr="005255A8">
              <w:t xml:space="preserve">where sugar-sweetened beverages were </w:t>
            </w:r>
            <w:r w:rsidR="00A8493A" w:rsidRPr="005255A8">
              <w:t xml:space="preserve">defined to be </w:t>
            </w:r>
            <w:r w:rsidR="00A8493A" w:rsidRPr="005255A8">
              <w:rPr>
                <w:rStyle w:val="Emphasis"/>
              </w:rPr>
              <w:t>‘cordials, soft drinks and flavoured mineral waters, energy and electrolyte drinks, fortified waters, and fruit and vegetable drinks</w:t>
            </w:r>
            <w:r w:rsidR="00A8493A" w:rsidRPr="005255A8">
              <w:t xml:space="preserve"> (noting this definition excludes 100% fruit and vegetable juice)</w:t>
            </w:r>
            <w:r w:rsidRPr="005255A8">
              <w:t xml:space="preserve"> </w:t>
            </w:r>
            <w:r w:rsidRPr="005255A8">
              <w:rPr>
                <w:rStyle w:val="Emphasis"/>
              </w:rPr>
              <w:t>that contain added sugar</w:t>
            </w:r>
            <w:r w:rsidR="00A8493A" w:rsidRPr="005255A8">
              <w:rPr>
                <w:rStyle w:val="Emphasis"/>
              </w:rPr>
              <w:t>’</w:t>
            </w:r>
            <w:r w:rsidR="00A8493A" w:rsidRPr="005255A8">
              <w:t>.</w:t>
            </w:r>
          </w:p>
        </w:tc>
      </w:tr>
      <w:tr w:rsidR="00CB045C" w:rsidRPr="0086699D" w14:paraId="21CE4638" w14:textId="77777777" w:rsidTr="00C621BA">
        <w:tc>
          <w:tcPr>
            <w:tcW w:w="1437" w:type="pct"/>
          </w:tcPr>
          <w:p w14:paraId="4C3A30BA" w14:textId="77777777" w:rsidR="00CB045C" w:rsidRPr="005255A8" w:rsidRDefault="00CB045C" w:rsidP="008D5076">
            <w:pPr>
              <w:spacing w:before="60"/>
              <w:rPr>
                <w:rStyle w:val="Strong"/>
              </w:rPr>
            </w:pPr>
            <w:r w:rsidRPr="005255A8">
              <w:rPr>
                <w:rStyle w:val="Strong"/>
              </w:rPr>
              <w:t>Sugary drinks</w:t>
            </w:r>
          </w:p>
        </w:tc>
        <w:tc>
          <w:tcPr>
            <w:tcW w:w="3563" w:type="pct"/>
          </w:tcPr>
          <w:p w14:paraId="6F6C1E2B" w14:textId="77777777" w:rsidR="00224E44" w:rsidRPr="005255A8" w:rsidDel="00CB045C" w:rsidRDefault="00AD7E50" w:rsidP="008D5076">
            <w:pPr>
              <w:spacing w:before="60"/>
            </w:pPr>
            <w:r w:rsidRPr="005255A8">
              <w:t>An example definition is</w:t>
            </w:r>
            <w:r w:rsidR="008770B5" w:rsidRPr="005255A8">
              <w:t xml:space="preserve"> used in the New Zealand Labelling of Sugary Beverages (Displaying Teaspoons of Sugar) Bill </w:t>
            </w:r>
            <w:r w:rsidRPr="005255A8">
              <w:t>where the term ‘sugary drinks’ includes any beverage</w:t>
            </w:r>
            <w:r w:rsidR="008770B5" w:rsidRPr="005255A8">
              <w:t xml:space="preserve"> to which the manufacturer has added sugar or which naturally contains sugar.</w:t>
            </w:r>
            <w:r w:rsidRPr="005255A8">
              <w:t xml:space="preserve"> The Bill notes this includes beverages such as juice but excludes beverages such as standard alcoholic</w:t>
            </w:r>
            <w:r w:rsidR="00DC3857" w:rsidRPr="005255A8">
              <w:t xml:space="preserve"> beverages and infant formulas.</w:t>
            </w:r>
          </w:p>
        </w:tc>
      </w:tr>
      <w:tr w:rsidR="006A783C" w:rsidRPr="0086699D" w14:paraId="73AD2B12" w14:textId="77777777" w:rsidTr="00C621BA">
        <w:tc>
          <w:tcPr>
            <w:tcW w:w="1437" w:type="pct"/>
          </w:tcPr>
          <w:p w14:paraId="016889B8" w14:textId="77777777" w:rsidR="006A783C" w:rsidRPr="00381011" w:rsidRDefault="006C20EB" w:rsidP="008D5076">
            <w:pPr>
              <w:spacing w:before="60"/>
              <w:rPr>
                <w:rStyle w:val="Strong"/>
              </w:rPr>
            </w:pPr>
            <w:r>
              <w:rPr>
                <w:rStyle w:val="Strong"/>
              </w:rPr>
              <w:lastRenderedPageBreak/>
              <w:t>Technical Advisory Group (TAG)</w:t>
            </w:r>
            <w:r w:rsidR="00297F4F">
              <w:rPr>
                <w:rStyle w:val="Strong"/>
              </w:rPr>
              <w:t xml:space="preserve"> database</w:t>
            </w:r>
          </w:p>
        </w:tc>
        <w:tc>
          <w:tcPr>
            <w:tcW w:w="3563" w:type="pct"/>
          </w:tcPr>
          <w:p w14:paraId="2278143D" w14:textId="77777777" w:rsidR="006A783C" w:rsidRPr="00BC587F" w:rsidRDefault="006C20EB" w:rsidP="00297F4F">
            <w:pPr>
              <w:spacing w:before="60"/>
            </w:pPr>
            <w:r>
              <w:t xml:space="preserve">The TAG was established to review and advise on specific technical aspects of the HSR system, and </w:t>
            </w:r>
            <w:r w:rsidR="00C621BA">
              <w:t xml:space="preserve">to </w:t>
            </w:r>
            <w:r>
              <w:t xml:space="preserve">respond to technical issues and related matters referred to it by the HSRAC, in order to inform the </w:t>
            </w:r>
            <w:proofErr w:type="gramStart"/>
            <w:r>
              <w:t>five year</w:t>
            </w:r>
            <w:proofErr w:type="gramEnd"/>
            <w:r>
              <w:t xml:space="preserve"> review. The TAG consisted of an independent group of experts</w:t>
            </w:r>
            <w:r w:rsidR="00C621BA">
              <w:t>, with relevant technical skills,</w:t>
            </w:r>
            <w:r>
              <w:t xml:space="preserve"> from government, food industry and public health.</w:t>
            </w:r>
            <w:r w:rsidR="00297F4F">
              <w:t xml:space="preserve"> The advice provided by the TAG was underpinned by modelling undertaken on a repository of food product data – referred to as the TAG database.</w:t>
            </w:r>
          </w:p>
        </w:tc>
      </w:tr>
      <w:tr w:rsidR="0020383F" w:rsidRPr="0086699D" w14:paraId="082195B6" w14:textId="77777777" w:rsidTr="00C621BA">
        <w:tc>
          <w:tcPr>
            <w:tcW w:w="1437" w:type="pct"/>
          </w:tcPr>
          <w:p w14:paraId="555A3EBF" w14:textId="77777777" w:rsidR="0020383F" w:rsidRDefault="0020383F" w:rsidP="008D5076">
            <w:pPr>
              <w:spacing w:before="60"/>
              <w:rPr>
                <w:rStyle w:val="Strong"/>
              </w:rPr>
            </w:pPr>
            <w:r>
              <w:rPr>
                <w:rStyle w:val="Strong"/>
              </w:rPr>
              <w:t>Total sugars</w:t>
            </w:r>
          </w:p>
        </w:tc>
        <w:tc>
          <w:tcPr>
            <w:tcW w:w="3563" w:type="pct"/>
          </w:tcPr>
          <w:p w14:paraId="02260885" w14:textId="77777777" w:rsidR="0020383F" w:rsidRDefault="0020383F" w:rsidP="008D5076">
            <w:pPr>
              <w:spacing w:before="60"/>
            </w:pPr>
            <w:r>
              <w:t xml:space="preserve">The entirety of sugars in a food or food product that comprises both intrinsic (naturally occurring) sugars as well as added sugars. </w:t>
            </w:r>
          </w:p>
        </w:tc>
      </w:tr>
    </w:tbl>
    <w:p w14:paraId="0B790DDC" w14:textId="77777777" w:rsidR="00D05FDF" w:rsidRDefault="00D05FDF" w:rsidP="008D5076">
      <w:pPr>
        <w:pStyle w:val="Heading1nonumbers"/>
        <w:spacing w:after="120"/>
        <w:rPr>
          <w:b/>
        </w:rPr>
      </w:pPr>
      <w:r>
        <w:rPr>
          <w:b/>
        </w:rPr>
        <w:br w:type="page"/>
      </w:r>
    </w:p>
    <w:p w14:paraId="3E1577DF" w14:textId="77777777" w:rsidR="00275298" w:rsidRPr="00250FBA" w:rsidRDefault="00275298" w:rsidP="008D5076">
      <w:pPr>
        <w:pStyle w:val="Heading1nonumbers"/>
        <w:spacing w:after="120"/>
        <w:rPr>
          <w:b/>
        </w:rPr>
      </w:pPr>
      <w:bookmarkStart w:id="7" w:name="_Toc21014899"/>
      <w:r w:rsidRPr="00250FBA">
        <w:rPr>
          <w:b/>
        </w:rPr>
        <w:lastRenderedPageBreak/>
        <w:t>Executive summary</w:t>
      </w:r>
      <w:bookmarkEnd w:id="7"/>
    </w:p>
    <w:p w14:paraId="58A4711E" w14:textId="77777777" w:rsidR="007D6858" w:rsidRPr="00C508ED" w:rsidRDefault="007D6858" w:rsidP="007D6858">
      <w:pPr>
        <w:pStyle w:val="Tabletext"/>
        <w:spacing w:before="240" w:after="120"/>
        <w:rPr>
          <w:rFonts w:asciiTheme="majorHAnsi" w:hAnsiTheme="majorHAnsi" w:cstheme="majorHAnsi"/>
        </w:rPr>
      </w:pPr>
      <w:r w:rsidRPr="00C508ED">
        <w:rPr>
          <w:rFonts w:asciiTheme="majorHAnsi" w:hAnsiTheme="majorHAnsi" w:cstheme="majorHAnsi"/>
        </w:rPr>
        <w:t xml:space="preserve">The Heath Star Rating (HSR) </w:t>
      </w:r>
      <w:r>
        <w:rPr>
          <w:rFonts w:asciiTheme="majorHAnsi" w:hAnsiTheme="majorHAnsi" w:cstheme="majorHAnsi"/>
        </w:rPr>
        <w:t>s</w:t>
      </w:r>
      <w:r w:rsidRPr="00C508ED">
        <w:rPr>
          <w:rFonts w:asciiTheme="majorHAnsi" w:hAnsiTheme="majorHAnsi" w:cstheme="majorHAnsi"/>
        </w:rPr>
        <w:t>ystem was implemented in Australia in June 2014 following agreement by the Australia</w:t>
      </w:r>
      <w:r w:rsidR="0048681D">
        <w:rPr>
          <w:rFonts w:asciiTheme="majorHAnsi" w:hAnsiTheme="majorHAnsi" w:cstheme="majorHAnsi"/>
        </w:rPr>
        <w:t xml:space="preserve"> and</w:t>
      </w:r>
      <w:r w:rsidRPr="00C508ED">
        <w:rPr>
          <w:rFonts w:asciiTheme="majorHAnsi" w:hAnsiTheme="majorHAnsi" w:cstheme="majorHAnsi"/>
        </w:rPr>
        <w:t xml:space="preserve"> New Zealand </w:t>
      </w:r>
      <w:r w:rsidR="00BE49B1">
        <w:rPr>
          <w:rFonts w:asciiTheme="majorHAnsi" w:hAnsiTheme="majorHAnsi" w:cstheme="majorHAnsi"/>
        </w:rPr>
        <w:t xml:space="preserve">Ministerial </w:t>
      </w:r>
      <w:r w:rsidRPr="00C508ED">
        <w:rPr>
          <w:rFonts w:asciiTheme="majorHAnsi" w:hAnsiTheme="majorHAnsi" w:cstheme="majorHAnsi"/>
        </w:rPr>
        <w:t xml:space="preserve">Forum on Food Regulation (the Forum). Subsequent to this decision, on 20 November 2015 the Forum decided that a formal, independent review of the </w:t>
      </w:r>
      <w:r>
        <w:rPr>
          <w:rFonts w:asciiTheme="majorHAnsi" w:hAnsiTheme="majorHAnsi" w:cstheme="majorHAnsi"/>
        </w:rPr>
        <w:t xml:space="preserve">HSR </w:t>
      </w:r>
      <w:r w:rsidRPr="00C508ED">
        <w:rPr>
          <w:rFonts w:asciiTheme="majorHAnsi" w:hAnsiTheme="majorHAnsi" w:cstheme="majorHAnsi"/>
        </w:rPr>
        <w:t xml:space="preserve">system should also be carried out after five years of implementation. To action this request </w:t>
      </w:r>
      <w:r w:rsidRPr="00C508ED">
        <w:rPr>
          <w:rFonts w:asciiTheme="majorHAnsi" w:hAnsiTheme="majorHAnsi" w:cstheme="majorHAnsi"/>
          <w:i/>
        </w:rPr>
        <w:t>mpconsulting</w:t>
      </w:r>
      <w:r w:rsidRPr="00C508ED">
        <w:rPr>
          <w:rFonts w:asciiTheme="majorHAnsi" w:hAnsiTheme="majorHAnsi" w:cstheme="majorHAnsi"/>
        </w:rPr>
        <w:t xml:space="preserve"> </w:t>
      </w:r>
      <w:r w:rsidR="000D76B0">
        <w:rPr>
          <w:rFonts w:asciiTheme="majorHAnsi" w:hAnsiTheme="majorHAnsi" w:cstheme="majorHAnsi"/>
        </w:rPr>
        <w:t>was</w:t>
      </w:r>
      <w:r w:rsidR="000D76B0" w:rsidRPr="00C508ED">
        <w:rPr>
          <w:rFonts w:asciiTheme="majorHAnsi" w:hAnsiTheme="majorHAnsi" w:cstheme="majorHAnsi"/>
        </w:rPr>
        <w:t xml:space="preserve"> </w:t>
      </w:r>
      <w:r w:rsidRPr="00C508ED">
        <w:rPr>
          <w:rFonts w:asciiTheme="majorHAnsi" w:hAnsiTheme="majorHAnsi" w:cstheme="majorHAnsi"/>
        </w:rPr>
        <w:t>engaged to undertake an independent review of the HSR system</w:t>
      </w:r>
      <w:r>
        <w:rPr>
          <w:rFonts w:asciiTheme="majorHAnsi" w:hAnsiTheme="majorHAnsi" w:cstheme="majorHAnsi"/>
        </w:rPr>
        <w:t xml:space="preserve"> (the Review)</w:t>
      </w:r>
      <w:r w:rsidRPr="00C508ED">
        <w:rPr>
          <w:rFonts w:asciiTheme="majorHAnsi" w:hAnsiTheme="majorHAnsi" w:cstheme="majorHAnsi"/>
        </w:rPr>
        <w:t>.</w:t>
      </w:r>
    </w:p>
    <w:p w14:paraId="37946D4E" w14:textId="77777777" w:rsidR="007D6858" w:rsidRDefault="007D6858" w:rsidP="007D6858">
      <w:pPr>
        <w:rPr>
          <w:rFonts w:asciiTheme="majorHAnsi" w:hAnsiTheme="majorHAnsi" w:cstheme="majorHAnsi"/>
        </w:rPr>
      </w:pPr>
      <w:r w:rsidRPr="00110461">
        <w:rPr>
          <w:rFonts w:asciiTheme="majorHAnsi" w:hAnsiTheme="majorHAnsi" w:cstheme="majorHAnsi"/>
        </w:rPr>
        <w:t xml:space="preserve">The </w:t>
      </w:r>
      <w:r>
        <w:rPr>
          <w:rFonts w:asciiTheme="majorHAnsi" w:hAnsiTheme="majorHAnsi" w:cstheme="majorHAnsi"/>
        </w:rPr>
        <w:t>R</w:t>
      </w:r>
      <w:r w:rsidRPr="00110461">
        <w:rPr>
          <w:rFonts w:asciiTheme="majorHAnsi" w:hAnsiTheme="majorHAnsi" w:cstheme="majorHAnsi"/>
        </w:rPr>
        <w:t xml:space="preserve">eview </w:t>
      </w:r>
      <w:r>
        <w:rPr>
          <w:rFonts w:asciiTheme="majorHAnsi" w:hAnsiTheme="majorHAnsi" w:cstheme="majorHAnsi"/>
        </w:rPr>
        <w:t>c</w:t>
      </w:r>
      <w:r w:rsidRPr="00110461">
        <w:rPr>
          <w:rFonts w:asciiTheme="majorHAnsi" w:hAnsiTheme="majorHAnsi" w:cstheme="majorHAnsi"/>
        </w:rPr>
        <w:t xml:space="preserve">onsidered if, and how well, the HSR </w:t>
      </w:r>
      <w:r>
        <w:rPr>
          <w:rFonts w:asciiTheme="majorHAnsi" w:hAnsiTheme="majorHAnsi" w:cstheme="majorHAnsi"/>
        </w:rPr>
        <w:t>system has met its objectives,</w:t>
      </w:r>
      <w:r w:rsidRPr="00110461">
        <w:rPr>
          <w:rFonts w:asciiTheme="majorHAnsi" w:hAnsiTheme="majorHAnsi" w:cstheme="majorHAnsi"/>
        </w:rPr>
        <w:t xml:space="preserve"> including by reference to the impact of the HSR system; and presented ten options for enhancements to the HSR system for consideration by the Forum.</w:t>
      </w:r>
    </w:p>
    <w:p w14:paraId="54322845" w14:textId="77777777" w:rsidR="007D6858" w:rsidRDefault="007D6858" w:rsidP="007D6858">
      <w:pPr>
        <w:rPr>
          <w:rFonts w:asciiTheme="majorHAnsi" w:hAnsiTheme="majorHAnsi" w:cstheme="majorHAnsi"/>
        </w:rPr>
      </w:pPr>
      <w:r w:rsidRPr="00110461">
        <w:rPr>
          <w:rFonts w:asciiTheme="majorHAnsi" w:hAnsiTheme="majorHAnsi" w:cstheme="majorHAnsi"/>
        </w:rPr>
        <w:t>The Forum welcomes the outcomes of th</w:t>
      </w:r>
      <w:r>
        <w:rPr>
          <w:rFonts w:asciiTheme="majorHAnsi" w:hAnsiTheme="majorHAnsi" w:cstheme="majorHAnsi"/>
        </w:rPr>
        <w:t>e R</w:t>
      </w:r>
      <w:r w:rsidRPr="00110461">
        <w:rPr>
          <w:rFonts w:asciiTheme="majorHAnsi" w:hAnsiTheme="majorHAnsi" w:cstheme="majorHAnsi"/>
        </w:rPr>
        <w:t>eview and</w:t>
      </w:r>
      <w:r>
        <w:rPr>
          <w:rFonts w:asciiTheme="majorHAnsi" w:hAnsiTheme="majorHAnsi" w:cstheme="majorHAnsi"/>
        </w:rPr>
        <w:t xml:space="preserve"> the</w:t>
      </w:r>
      <w:r w:rsidRPr="00110461">
        <w:rPr>
          <w:rFonts w:asciiTheme="majorHAnsi" w:hAnsiTheme="majorHAnsi" w:cstheme="majorHAnsi"/>
        </w:rPr>
        <w:t xml:space="preserve"> associated recommendations</w:t>
      </w:r>
      <w:r>
        <w:rPr>
          <w:rFonts w:asciiTheme="majorHAnsi" w:hAnsiTheme="majorHAnsi" w:cstheme="majorHAnsi"/>
        </w:rPr>
        <w:t xml:space="preserve">. </w:t>
      </w:r>
      <w:r w:rsidRPr="00C508ED">
        <w:rPr>
          <w:rFonts w:asciiTheme="majorHAnsi" w:hAnsiTheme="majorHAnsi" w:cstheme="majorHAnsi"/>
        </w:rPr>
        <w:t xml:space="preserve">Overall </w:t>
      </w:r>
      <w:r w:rsidR="00887DEA">
        <w:rPr>
          <w:rFonts w:asciiTheme="majorHAnsi" w:hAnsiTheme="majorHAnsi" w:cstheme="majorHAnsi"/>
        </w:rPr>
        <w:t>the Forum is</w:t>
      </w:r>
      <w:r w:rsidRPr="00C508ED">
        <w:rPr>
          <w:rFonts w:asciiTheme="majorHAnsi" w:hAnsiTheme="majorHAnsi" w:cstheme="majorHAnsi"/>
        </w:rPr>
        <w:t xml:space="preserve"> support</w:t>
      </w:r>
      <w:r>
        <w:rPr>
          <w:rFonts w:asciiTheme="majorHAnsi" w:hAnsiTheme="majorHAnsi" w:cstheme="majorHAnsi"/>
        </w:rPr>
        <w:t>ive of</w:t>
      </w:r>
      <w:r w:rsidRPr="00C508ED">
        <w:rPr>
          <w:rFonts w:asciiTheme="majorHAnsi" w:hAnsiTheme="majorHAnsi" w:cstheme="majorHAnsi"/>
        </w:rPr>
        <w:t xml:space="preserve"> the recommendations outlined in </w:t>
      </w:r>
      <w:r>
        <w:rPr>
          <w:rFonts w:asciiTheme="majorHAnsi" w:hAnsiTheme="majorHAnsi" w:cstheme="majorHAnsi"/>
        </w:rPr>
        <w:t>the R</w:t>
      </w:r>
      <w:r w:rsidRPr="00C508ED">
        <w:rPr>
          <w:rFonts w:asciiTheme="majorHAnsi" w:hAnsiTheme="majorHAnsi" w:cstheme="majorHAnsi"/>
        </w:rPr>
        <w:t xml:space="preserve">eview </w:t>
      </w:r>
      <w:r>
        <w:rPr>
          <w:rFonts w:asciiTheme="majorHAnsi" w:hAnsiTheme="majorHAnsi" w:cstheme="majorHAnsi"/>
        </w:rPr>
        <w:t>R</w:t>
      </w:r>
      <w:r w:rsidRPr="00C508ED">
        <w:rPr>
          <w:rFonts w:asciiTheme="majorHAnsi" w:hAnsiTheme="majorHAnsi" w:cstheme="majorHAnsi"/>
        </w:rPr>
        <w:t>eport</w:t>
      </w:r>
      <w:r>
        <w:rPr>
          <w:rFonts w:asciiTheme="majorHAnsi" w:hAnsiTheme="majorHAnsi" w:cstheme="majorHAnsi"/>
        </w:rPr>
        <w:t>, noting that implementation of some recommendations is subject to additional work and/or available funding.</w:t>
      </w:r>
    </w:p>
    <w:p w14:paraId="233FBE3A" w14:textId="77777777" w:rsidR="007D6858" w:rsidRPr="008E7925" w:rsidRDefault="007D6858" w:rsidP="007D6858">
      <w:pPr>
        <w:widowControl w:val="0"/>
        <w:tabs>
          <w:tab w:val="left" w:pos="851"/>
        </w:tabs>
        <w:ind w:left="567"/>
        <w:rPr>
          <w:rFonts w:cstheme="minorHAnsi"/>
          <w:szCs w:val="24"/>
        </w:rPr>
      </w:pPr>
      <w:r w:rsidRPr="008E7925">
        <w:rPr>
          <w:rFonts w:cstheme="minorHAnsi"/>
          <w:i/>
        </w:rPr>
        <w:t>Recommendation 1: The system be continued</w:t>
      </w:r>
      <w:r>
        <w:rPr>
          <w:rFonts w:cstheme="minorHAnsi"/>
          <w:i/>
        </w:rPr>
        <w:t xml:space="preserve"> -</w:t>
      </w:r>
      <w:r>
        <w:rPr>
          <w:rFonts w:cstheme="minorHAnsi"/>
        </w:rPr>
        <w:t xml:space="preserve"> </w:t>
      </w:r>
      <w:r w:rsidRPr="008E7925">
        <w:rPr>
          <w:rFonts w:cstheme="minorHAnsi"/>
          <w:b/>
        </w:rPr>
        <w:t>Supports</w:t>
      </w:r>
    </w:p>
    <w:p w14:paraId="5F7184C5" w14:textId="77777777" w:rsidR="007D6858" w:rsidRPr="008E7925" w:rsidRDefault="007D6858" w:rsidP="007D6858">
      <w:pPr>
        <w:widowControl w:val="0"/>
        <w:tabs>
          <w:tab w:val="left" w:pos="851"/>
        </w:tabs>
        <w:ind w:left="567"/>
        <w:rPr>
          <w:rFonts w:cstheme="minorHAnsi"/>
          <w:i/>
        </w:rPr>
      </w:pPr>
      <w:r w:rsidRPr="008E7925">
        <w:rPr>
          <w:rFonts w:cstheme="minorHAnsi"/>
          <w:i/>
        </w:rPr>
        <w:t>Recommendation 2: The energy icon</w:t>
      </w:r>
      <w:r>
        <w:rPr>
          <w:rFonts w:cstheme="minorHAnsi"/>
          <w:i/>
        </w:rPr>
        <w:t xml:space="preserve"> be removed from the HSR System -</w:t>
      </w:r>
      <w:r>
        <w:rPr>
          <w:rFonts w:cstheme="minorHAnsi"/>
        </w:rPr>
        <w:t xml:space="preserve"> </w:t>
      </w:r>
      <w:r w:rsidRPr="008E7925">
        <w:rPr>
          <w:rFonts w:cstheme="minorHAnsi"/>
          <w:b/>
        </w:rPr>
        <w:t>Supports</w:t>
      </w:r>
    </w:p>
    <w:p w14:paraId="20FF6145" w14:textId="77777777" w:rsidR="007D6858" w:rsidRPr="008E7925" w:rsidRDefault="007D6858" w:rsidP="007D6858">
      <w:pPr>
        <w:widowControl w:val="0"/>
        <w:tabs>
          <w:tab w:val="left" w:pos="851"/>
        </w:tabs>
        <w:ind w:left="567"/>
        <w:rPr>
          <w:rFonts w:cstheme="minorHAnsi"/>
          <w:i/>
        </w:rPr>
      </w:pPr>
      <w:r w:rsidRPr="008E7925">
        <w:rPr>
          <w:rFonts w:cstheme="minorHAnsi"/>
          <w:i/>
        </w:rPr>
        <w:t xml:space="preserve">Recommendation 3: Governments, industry, public health and consumer bodies continue to promote the </w:t>
      </w:r>
      <w:r>
        <w:rPr>
          <w:rFonts w:cstheme="minorHAnsi"/>
          <w:i/>
        </w:rPr>
        <w:t xml:space="preserve">system </w:t>
      </w:r>
      <w:r w:rsidR="0048681D">
        <w:rPr>
          <w:rFonts w:cstheme="minorHAnsi"/>
          <w:i/>
        </w:rPr>
        <w:t xml:space="preserve">- </w:t>
      </w:r>
      <w:r w:rsidRPr="008E7925">
        <w:rPr>
          <w:rFonts w:cstheme="minorHAnsi"/>
          <w:b/>
        </w:rPr>
        <w:t>Supports</w:t>
      </w:r>
      <w:r>
        <w:rPr>
          <w:rFonts w:cstheme="minorHAnsi"/>
          <w:b/>
        </w:rPr>
        <w:t>, subject to funding</w:t>
      </w:r>
    </w:p>
    <w:p w14:paraId="00435688" w14:textId="77777777" w:rsidR="007D6858" w:rsidRPr="008E7925" w:rsidRDefault="007D6858" w:rsidP="007D6858">
      <w:pPr>
        <w:widowControl w:val="0"/>
        <w:tabs>
          <w:tab w:val="left" w:pos="851"/>
        </w:tabs>
        <w:ind w:left="567"/>
        <w:rPr>
          <w:rFonts w:cstheme="minorHAnsi"/>
          <w:i/>
        </w:rPr>
      </w:pPr>
      <w:r w:rsidRPr="008E7925">
        <w:rPr>
          <w:rFonts w:cstheme="minorHAnsi"/>
          <w:i/>
        </w:rPr>
        <w:t xml:space="preserve">Recommendation 4: A package of changes be made to the way the HSR is calculated </w:t>
      </w:r>
      <w:r>
        <w:rPr>
          <w:rFonts w:cstheme="minorHAnsi"/>
          <w:i/>
        </w:rPr>
        <w:t xml:space="preserve">- </w:t>
      </w:r>
      <w:r w:rsidRPr="00785B3E">
        <w:rPr>
          <w:b/>
          <w:color w:val="000000" w:themeColor="text1"/>
        </w:rPr>
        <w:t>Supports in principle</w:t>
      </w:r>
    </w:p>
    <w:p w14:paraId="325B574E" w14:textId="77777777" w:rsidR="007D6858" w:rsidRPr="008E7925" w:rsidRDefault="007D6858" w:rsidP="007D6858">
      <w:pPr>
        <w:widowControl w:val="0"/>
        <w:tabs>
          <w:tab w:val="left" w:pos="851"/>
        </w:tabs>
        <w:ind w:left="567"/>
        <w:rPr>
          <w:rFonts w:cstheme="minorHAnsi"/>
          <w:i/>
        </w:rPr>
      </w:pPr>
      <w:r w:rsidRPr="008E7925">
        <w:rPr>
          <w:rFonts w:cstheme="minorHAnsi"/>
          <w:i/>
        </w:rPr>
        <w:t>Recommendation 5: Changes be made to the way the HSR is calculated for non-dairy beverages</w:t>
      </w:r>
      <w:r>
        <w:rPr>
          <w:rFonts w:cstheme="minorHAnsi"/>
          <w:i/>
        </w:rPr>
        <w:t xml:space="preserve"> - </w:t>
      </w:r>
      <w:r w:rsidRPr="008E7925">
        <w:rPr>
          <w:rFonts w:cstheme="minorHAnsi"/>
          <w:b/>
        </w:rPr>
        <w:t>Supports</w:t>
      </w:r>
    </w:p>
    <w:p w14:paraId="75311224" w14:textId="77777777" w:rsidR="007D6858" w:rsidRPr="008E7925" w:rsidRDefault="007D6858" w:rsidP="007D6858">
      <w:pPr>
        <w:widowControl w:val="0"/>
        <w:tabs>
          <w:tab w:val="left" w:pos="851"/>
        </w:tabs>
        <w:ind w:left="567"/>
        <w:rPr>
          <w:rFonts w:cstheme="minorHAnsi"/>
          <w:i/>
        </w:rPr>
      </w:pPr>
      <w:r w:rsidRPr="008E7925">
        <w:rPr>
          <w:rFonts w:cstheme="minorHAnsi"/>
          <w:i/>
        </w:rPr>
        <w:t>Recommendation 6: HSR System implementation continue to be jointly funded by Australian, State and Territ</w:t>
      </w:r>
      <w:r>
        <w:rPr>
          <w:rFonts w:cstheme="minorHAnsi"/>
          <w:i/>
        </w:rPr>
        <w:t xml:space="preserve">ory and New Zealand governments - </w:t>
      </w:r>
      <w:r w:rsidRPr="008E7925">
        <w:rPr>
          <w:rFonts w:cstheme="minorHAnsi"/>
          <w:b/>
        </w:rPr>
        <w:t>Supports</w:t>
      </w:r>
    </w:p>
    <w:p w14:paraId="7691F040" w14:textId="77777777" w:rsidR="007D6858" w:rsidRPr="008E7925" w:rsidRDefault="007D6858" w:rsidP="007D6858">
      <w:pPr>
        <w:widowControl w:val="0"/>
        <w:tabs>
          <w:tab w:val="left" w:pos="851"/>
        </w:tabs>
        <w:ind w:left="567"/>
        <w:rPr>
          <w:rFonts w:cstheme="minorHAnsi"/>
          <w:i/>
        </w:rPr>
      </w:pPr>
      <w:r w:rsidRPr="008E7925">
        <w:rPr>
          <w:rFonts w:cstheme="minorHAnsi"/>
          <w:i/>
        </w:rPr>
        <w:t xml:space="preserve">Recommendation 7: </w:t>
      </w:r>
      <w:r>
        <w:rPr>
          <w:rFonts w:cstheme="minorHAnsi"/>
          <w:i/>
        </w:rPr>
        <w:t>C</w:t>
      </w:r>
      <w:r w:rsidRPr="008E7925">
        <w:rPr>
          <w:rFonts w:cstheme="minorHAnsi"/>
          <w:i/>
        </w:rPr>
        <w:t>hanges be made to the governance of the HSR System</w:t>
      </w:r>
      <w:r>
        <w:rPr>
          <w:rFonts w:cstheme="minorHAnsi"/>
          <w:i/>
        </w:rPr>
        <w:t xml:space="preserve"> - </w:t>
      </w:r>
      <w:r w:rsidRPr="008E7925">
        <w:rPr>
          <w:rFonts w:cstheme="minorHAnsi"/>
          <w:b/>
        </w:rPr>
        <w:t>Supports</w:t>
      </w:r>
    </w:p>
    <w:p w14:paraId="57BACD25" w14:textId="77777777" w:rsidR="007D6858" w:rsidRPr="008E7925" w:rsidRDefault="007D6858" w:rsidP="007D6858">
      <w:pPr>
        <w:widowControl w:val="0"/>
        <w:tabs>
          <w:tab w:val="left" w:pos="851"/>
        </w:tabs>
        <w:ind w:left="567"/>
        <w:rPr>
          <w:rFonts w:cstheme="minorHAnsi"/>
          <w:i/>
        </w:rPr>
      </w:pPr>
      <w:r w:rsidRPr="008E7925">
        <w:rPr>
          <w:rFonts w:cstheme="minorHAnsi"/>
          <w:i/>
        </w:rPr>
        <w:t>Recommendation 8: Enhance the critical infrastructure to support implementation and evaluation of food and nutrition</w:t>
      </w:r>
      <w:r w:rsidRPr="008E7925">
        <w:rPr>
          <w:rFonts w:cstheme="minorHAnsi"/>
          <w:i/>
        </w:rPr>
        <w:noBreakHyphen/>
        <w:t>related public health initiatives</w:t>
      </w:r>
      <w:r>
        <w:rPr>
          <w:rFonts w:cstheme="minorHAnsi"/>
          <w:i/>
        </w:rPr>
        <w:t xml:space="preserve"> - </w:t>
      </w:r>
      <w:r w:rsidRPr="008E7925">
        <w:rPr>
          <w:rFonts w:cstheme="minorHAnsi"/>
          <w:b/>
        </w:rPr>
        <w:t>Supports</w:t>
      </w:r>
      <w:r>
        <w:rPr>
          <w:rFonts w:cstheme="minorHAnsi"/>
          <w:b/>
        </w:rPr>
        <w:t>, subject to funding</w:t>
      </w:r>
    </w:p>
    <w:p w14:paraId="345CF50F" w14:textId="77777777" w:rsidR="007D6858" w:rsidRPr="008E7925" w:rsidRDefault="007D6858" w:rsidP="007D6858">
      <w:pPr>
        <w:widowControl w:val="0"/>
        <w:tabs>
          <w:tab w:val="left" w:pos="851"/>
        </w:tabs>
        <w:ind w:left="567"/>
        <w:rPr>
          <w:rFonts w:cstheme="minorHAnsi"/>
          <w:i/>
        </w:rPr>
      </w:pPr>
      <w:r w:rsidRPr="008E7925">
        <w:rPr>
          <w:rFonts w:cstheme="minorHAnsi"/>
          <w:i/>
        </w:rPr>
        <w:t>Recommendation 9: The HSR System remain voluntary, but with clear uptake targets and a view to ma</w:t>
      </w:r>
      <w:r>
        <w:rPr>
          <w:rFonts w:cstheme="minorHAnsi"/>
          <w:i/>
        </w:rPr>
        <w:t xml:space="preserve">ndate if these are not achieved - </w:t>
      </w:r>
      <w:r w:rsidRPr="00785B3E">
        <w:rPr>
          <w:b/>
          <w:color w:val="000000" w:themeColor="text1"/>
        </w:rPr>
        <w:t>Supports in principle</w:t>
      </w:r>
    </w:p>
    <w:p w14:paraId="6D321A83" w14:textId="77777777" w:rsidR="007D6858" w:rsidRPr="008E7925" w:rsidRDefault="007D6858" w:rsidP="007D6858">
      <w:pPr>
        <w:widowControl w:val="0"/>
        <w:tabs>
          <w:tab w:val="left" w:pos="851"/>
        </w:tabs>
        <w:ind w:left="567"/>
        <w:rPr>
          <w:rFonts w:cstheme="minorHAnsi"/>
          <w:i/>
        </w:rPr>
      </w:pPr>
      <w:r w:rsidRPr="008E7925">
        <w:rPr>
          <w:rFonts w:cstheme="minorHAnsi"/>
          <w:i/>
        </w:rPr>
        <w:t xml:space="preserve">Recommendation 10: </w:t>
      </w:r>
      <w:r>
        <w:rPr>
          <w:rFonts w:cstheme="minorHAnsi"/>
          <w:i/>
        </w:rPr>
        <w:t>G</w:t>
      </w:r>
      <w:r w:rsidRPr="008E7925">
        <w:rPr>
          <w:rFonts w:cstheme="minorHAnsi"/>
          <w:i/>
        </w:rPr>
        <w:t xml:space="preserve">uidance material be revised and strengthened, providing greater certainty </w:t>
      </w:r>
      <w:r>
        <w:rPr>
          <w:rFonts w:cstheme="minorHAnsi"/>
          <w:i/>
        </w:rPr>
        <w:t xml:space="preserve">for stakeholders - </w:t>
      </w:r>
      <w:r>
        <w:rPr>
          <w:b/>
          <w:color w:val="000000" w:themeColor="text1"/>
        </w:rPr>
        <w:t>Supports</w:t>
      </w:r>
    </w:p>
    <w:p w14:paraId="362FFA2B" w14:textId="77777777" w:rsidR="007D6858" w:rsidRPr="00110461" w:rsidRDefault="007D6858" w:rsidP="007D6858">
      <w:pPr>
        <w:rPr>
          <w:rFonts w:asciiTheme="majorHAnsi" w:hAnsiTheme="majorHAnsi" w:cstheme="majorHAnsi"/>
        </w:rPr>
      </w:pPr>
      <w:r w:rsidRPr="00110461">
        <w:rPr>
          <w:rFonts w:asciiTheme="majorHAnsi" w:hAnsiTheme="majorHAnsi" w:cstheme="majorHAnsi"/>
        </w:rPr>
        <w:t xml:space="preserve">Implementation timeframes for the next stages of this work will be considered by the Forum at its first meeting of 2020. </w:t>
      </w:r>
    </w:p>
    <w:p w14:paraId="699D10B8" w14:textId="77777777" w:rsidR="00CB1D52" w:rsidRDefault="00CB1D52" w:rsidP="008D5076">
      <w:pPr>
        <w:spacing w:before="0" w:line="259" w:lineRule="auto"/>
        <w:rPr>
          <w:rFonts w:asciiTheme="majorHAnsi" w:eastAsiaTheme="majorEastAsia" w:hAnsiTheme="majorHAnsi" w:cstheme="majorBidi"/>
          <w:color w:val="215E6A" w:themeColor="accent1" w:themeShade="80"/>
          <w:sz w:val="32"/>
          <w:szCs w:val="32"/>
        </w:rPr>
      </w:pPr>
      <w:r>
        <w:br w:type="page"/>
      </w:r>
    </w:p>
    <w:p w14:paraId="49975F86" w14:textId="77777777" w:rsidR="004D3C05" w:rsidRDefault="00837154" w:rsidP="008D5076">
      <w:pPr>
        <w:pStyle w:val="Heading1"/>
        <w:spacing w:after="120"/>
      </w:pPr>
      <w:bookmarkStart w:id="8" w:name="_Toc21014900"/>
      <w:bookmarkEnd w:id="5"/>
      <w:r>
        <w:lastRenderedPageBreak/>
        <w:t>Recommendations</w:t>
      </w:r>
      <w:r w:rsidR="00C05E33">
        <w:t xml:space="preserve"> and Forum Response</w:t>
      </w:r>
      <w:bookmarkEnd w:id="8"/>
    </w:p>
    <w:bookmarkStart w:id="9" w:name="_Toc21014901"/>
    <w:p w14:paraId="4F387B1C" w14:textId="77777777" w:rsidR="00837154" w:rsidRDefault="00653DFD" w:rsidP="008D5076">
      <w:pPr>
        <w:pStyle w:val="Heading2"/>
      </w:pPr>
      <w:r w:rsidRPr="009861A3">
        <w:rPr>
          <w:rFonts w:cstheme="minorHAnsi"/>
          <w:b/>
          <w:noProof/>
        </w:rPr>
        <mc:AlternateContent>
          <mc:Choice Requires="wps">
            <w:drawing>
              <wp:anchor distT="45720" distB="45720" distL="114300" distR="114300" simplePos="0" relativeHeight="251659264" behindDoc="0" locked="0" layoutInCell="1" allowOverlap="1" wp14:anchorId="243A79B5" wp14:editId="725BE11A">
                <wp:simplePos x="0" y="0"/>
                <wp:positionH relativeFrom="margin">
                  <wp:align>right</wp:align>
                </wp:positionH>
                <wp:positionV relativeFrom="paragraph">
                  <wp:posOffset>429260</wp:posOffset>
                </wp:positionV>
                <wp:extent cx="6124575" cy="1880235"/>
                <wp:effectExtent l="0" t="0" r="2857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880235"/>
                        </a:xfrm>
                        <a:prstGeom prst="rect">
                          <a:avLst/>
                        </a:prstGeom>
                        <a:solidFill>
                          <a:schemeClr val="accent5">
                            <a:lumMod val="20000"/>
                            <a:lumOff val="80000"/>
                          </a:schemeClr>
                        </a:solidFill>
                        <a:ln w="9525">
                          <a:solidFill>
                            <a:srgbClr val="000000"/>
                          </a:solidFill>
                          <a:miter lim="800000"/>
                          <a:headEnd/>
                          <a:tailEnd/>
                        </a:ln>
                      </wps:spPr>
                      <wps:txbx>
                        <w:txbxContent>
                          <w:p w14:paraId="16E5DD62" w14:textId="77777777" w:rsidR="00133D2C" w:rsidRPr="00D13B7B" w:rsidRDefault="00133D2C" w:rsidP="00837154">
                            <w:pPr>
                              <w:jc w:val="both"/>
                              <w:rPr>
                                <w:rFonts w:cstheme="minorHAnsi"/>
                                <w:b/>
                              </w:rPr>
                            </w:pPr>
                            <w:r w:rsidRPr="00D13B7B">
                              <w:rPr>
                                <w:rFonts w:cstheme="minorHAnsi"/>
                                <w:b/>
                              </w:rPr>
                              <w:t xml:space="preserve">Recommendation 1: </w:t>
                            </w:r>
                            <w:r w:rsidRPr="00D13B7B">
                              <w:rPr>
                                <w:rFonts w:cstheme="minorHAnsi"/>
                                <w:b/>
                              </w:rPr>
                              <w:tab/>
                              <w:t>The HSR System be continued.</w:t>
                            </w:r>
                          </w:p>
                          <w:p w14:paraId="0B6AA8C9" w14:textId="77777777" w:rsidR="00133D2C" w:rsidRPr="00D13B7B" w:rsidRDefault="00133D2C" w:rsidP="00837154">
                            <w:pPr>
                              <w:pStyle w:val="mpcNormal"/>
                              <w:keepNext w:val="0"/>
                              <w:jc w:val="both"/>
                              <w:rPr>
                                <w:i/>
                              </w:rPr>
                            </w:pPr>
                            <w:r w:rsidRPr="00D13B7B">
                              <w:rPr>
                                <w:i/>
                                <w:lang w:bidi="ar-DZ"/>
                              </w:rPr>
                              <w:t xml:space="preserve">There is substantial evidence demonstrating that the System is working well. </w:t>
                            </w:r>
                            <w:r w:rsidRPr="00D13B7B">
                              <w:rPr>
                                <w:i/>
                              </w:rPr>
                              <w:t>The System is generally well used, recognised, reliable and is assisting consumers to make healthier choices when purchasing packaged foods and beverages. Most Australian and New Zealand consumers view the HSR as easy to understand, easy to use and making it easier to decide which packaged foods are healthier.</w:t>
                            </w:r>
                          </w:p>
                          <w:p w14:paraId="15D9D2A1" w14:textId="77777777" w:rsidR="00133D2C" w:rsidRPr="00D13B7B" w:rsidRDefault="00133D2C" w:rsidP="00837154">
                            <w:pPr>
                              <w:jc w:val="both"/>
                              <w:rPr>
                                <w:rFonts w:cstheme="minorHAnsi"/>
                              </w:rPr>
                            </w:pPr>
                            <w:r w:rsidRPr="00D13B7B">
                              <w:rPr>
                                <w:rFonts w:cstheme="minorHAnsi"/>
                                <w:i/>
                              </w:rPr>
                              <w:t xml:space="preserve">Of Australian consumers purchasing a product displaying the HSR, almost two thirds stated that the HSR influenced their decision and one third </w:t>
                            </w:r>
                            <w:r w:rsidRPr="00D13B7B">
                              <w:rPr>
                                <w:rFonts w:cstheme="minorHAnsi"/>
                                <w:i/>
                                <w:lang w:bidi="ar-DZ"/>
                              </w:rPr>
                              <w:t>were influenced to purchase a product with more stars. This equates to 23% of consumers being influenced by the HSR to change their purchasing behaviour to select a healthier product.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776B2" id="_x0000_t202" coordsize="21600,21600" o:spt="202" path="m,l,21600r21600,l21600,xe">
                <v:stroke joinstyle="miter"/>
                <v:path gradientshapeok="t" o:connecttype="rect"/>
              </v:shapetype>
              <v:shape id="Text Box 2" o:spid="_x0000_s1026" type="#_x0000_t202" style="position:absolute;left:0;text-align:left;margin-left:431.05pt;margin-top:33.8pt;width:482.25pt;height:148.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" fillcolor="#e4e7dd [664]">
                <v:textbox>
                  <w:txbxContent>
                    <w:p w:rsidR="00133D2C" w:rsidRPr="00D13B7B" w:rsidRDefault="00133D2C" w:rsidP="00837154">
                      <w:pPr>
                        <w:jc w:val="both"/>
                        <w:rPr>
                          <w:rFonts w:cstheme="minorHAnsi"/>
                          <w:b/>
                        </w:rPr>
                      </w:pPr>
                      <w:r w:rsidRPr="00D13B7B">
                        <w:rPr>
                          <w:rFonts w:cstheme="minorHAnsi"/>
                          <w:b/>
                        </w:rPr>
                        <w:t xml:space="preserve">Recommendation 1: </w:t>
                      </w:r>
                      <w:r w:rsidRPr="00D13B7B">
                        <w:rPr>
                          <w:rFonts w:cstheme="minorHAnsi"/>
                          <w:b/>
                        </w:rPr>
                        <w:tab/>
                        <w:t>The HSR System be continued.</w:t>
                      </w:r>
                    </w:p>
                    <w:p w:rsidR="00133D2C" w:rsidRPr="00D13B7B" w:rsidRDefault="00133D2C" w:rsidP="00837154">
                      <w:pPr>
                        <w:pStyle w:val="mpcNormal"/>
                        <w:keepNext w:val="0"/>
                        <w:jc w:val="both"/>
                        <w:rPr>
                          <w:i/>
                        </w:rPr>
                      </w:pPr>
                      <w:r w:rsidRPr="00D13B7B">
                        <w:rPr>
                          <w:i/>
                          <w:lang w:bidi="ar-DZ"/>
                        </w:rPr>
                        <w:t xml:space="preserve">There is substantial evidence demonstrating that the System is working well. </w:t>
                      </w:r>
                      <w:r w:rsidRPr="00D13B7B">
                        <w:rPr>
                          <w:i/>
                        </w:rPr>
                        <w:t>The System is generally well used, recognised, reliable and is assisting consumers to make healthier choices when purchasing packaged foods and beverages. Most Australian and New Zealand consumers view the HSR as easy to understand, easy to use and making it easier to decide which packaged foods are healthier.</w:t>
                      </w:r>
                    </w:p>
                    <w:p w:rsidR="00133D2C" w:rsidRPr="00D13B7B" w:rsidRDefault="00133D2C" w:rsidP="00837154">
                      <w:pPr>
                        <w:jc w:val="both"/>
                        <w:rPr>
                          <w:rFonts w:cstheme="minorHAnsi"/>
                        </w:rPr>
                      </w:pPr>
                      <w:r w:rsidRPr="00D13B7B">
                        <w:rPr>
                          <w:rFonts w:cstheme="minorHAnsi"/>
                          <w:i/>
                        </w:rPr>
                        <w:t xml:space="preserve">Of Australian consumers purchasing a product displaying the HSR, almost two thirds stated that the HSR influenced their decision and one third </w:t>
                      </w:r>
                      <w:r w:rsidRPr="00D13B7B">
                        <w:rPr>
                          <w:rFonts w:cstheme="minorHAnsi"/>
                          <w:i/>
                          <w:lang w:bidi="ar-DZ"/>
                        </w:rPr>
                        <w:t>were influenced to purchase a product with more stars. This equates to 23% of consumers being influenced by the HSR to change their purchasing behaviour to select a healthier product.</w:t>
                      </w:r>
                    </w:p>
                  </w:txbxContent>
                </v:textbox>
                <w10:wrap type="square" anchorx="margin"/>
              </v:shape>
            </w:pict>
          </mc:Fallback>
        </mc:AlternateContent>
      </w:r>
      <w:r w:rsidR="00837154">
        <w:t>The HSR System be continued.</w:t>
      </w:r>
      <w:bookmarkEnd w:id="9"/>
      <w:r w:rsidR="00837154">
        <w:t xml:space="preserve"> </w:t>
      </w:r>
    </w:p>
    <w:p w14:paraId="44D7BC6F" w14:textId="77777777" w:rsidR="00837154" w:rsidRDefault="00837154" w:rsidP="00406DCE">
      <w:pPr>
        <w:pStyle w:val="Heading3"/>
        <w:spacing w:before="120"/>
      </w:pPr>
      <w:r>
        <w:t xml:space="preserve">Response: </w:t>
      </w:r>
    </w:p>
    <w:p w14:paraId="2364D14E" w14:textId="77777777" w:rsidR="00837154" w:rsidRDefault="00F24F94" w:rsidP="008D5076">
      <w:r w:rsidRPr="00406DCE">
        <w:rPr>
          <w:b/>
        </w:rPr>
        <w:t>Supports</w:t>
      </w:r>
      <w:r w:rsidR="00837154">
        <w:t>.</w:t>
      </w:r>
    </w:p>
    <w:p w14:paraId="6DBE7526" w14:textId="77777777" w:rsidR="00837154" w:rsidRDefault="00837154" w:rsidP="00406DCE">
      <w:pPr>
        <w:pStyle w:val="Heading3"/>
        <w:spacing w:before="120"/>
      </w:pPr>
      <w:r>
        <w:t xml:space="preserve">Rationale: </w:t>
      </w:r>
    </w:p>
    <w:p w14:paraId="3EA12E83" w14:textId="77777777" w:rsidR="003C3EFF" w:rsidRDefault="003C3EFF" w:rsidP="003C3EFF">
      <w:r w:rsidRPr="001F6232">
        <w:t xml:space="preserve">Monitoring of the HSR system has found that the system is generally progressing well: uptake </w:t>
      </w:r>
      <w:r>
        <w:t xml:space="preserve">by food businesses </w:t>
      </w:r>
      <w:r w:rsidRPr="001F6232">
        <w:t xml:space="preserve">is increasing; consumer use and understanding is improving; there is evidence that suggests consumers are changing behaviour in response to the HSR; compliance </w:t>
      </w:r>
      <w:r>
        <w:t xml:space="preserve">of food businesses </w:t>
      </w:r>
      <w:r w:rsidRPr="001F6232">
        <w:t xml:space="preserve">with </w:t>
      </w:r>
      <w:r w:rsidR="00297F4F">
        <w:t xml:space="preserve">HSR </w:t>
      </w:r>
      <w:r w:rsidRPr="001F6232">
        <w:t>system guidance, including accuracy of HSRs is high</w:t>
      </w:r>
      <w:r>
        <w:t xml:space="preserve"> (measured in Australia only)</w:t>
      </w:r>
      <w:r w:rsidRPr="001F6232">
        <w:t xml:space="preserve">; and there is </w:t>
      </w:r>
      <w:r>
        <w:t xml:space="preserve">some </w:t>
      </w:r>
      <w:r w:rsidRPr="001F6232">
        <w:t>evidence to suggest that products are being reformulated to reduce risk nutrients.</w:t>
      </w:r>
      <w:r w:rsidRPr="001F6232">
        <w:rPr>
          <w:rStyle w:val="FootnoteReference"/>
        </w:rPr>
        <w:footnoteReference w:id="2"/>
      </w:r>
      <w:r w:rsidR="00787C18">
        <w:rPr>
          <w:vertAlign w:val="superscript"/>
        </w:rPr>
        <w:t xml:space="preserve">, </w:t>
      </w:r>
      <w:r>
        <w:rPr>
          <w:rStyle w:val="FootnoteReference"/>
        </w:rPr>
        <w:footnoteReference w:id="3"/>
      </w:r>
      <w:r w:rsidRPr="001F6232">
        <w:t xml:space="preserve"> This evidence all supports the </w:t>
      </w:r>
      <w:r>
        <w:t>continuation of the HSR system.</w:t>
      </w:r>
    </w:p>
    <w:p w14:paraId="48822D3C" w14:textId="77777777" w:rsidR="003C3EFF" w:rsidRDefault="003C3EFF" w:rsidP="003C3EFF">
      <w:r w:rsidRPr="001F6232">
        <w:t xml:space="preserve">By and large all stakeholder groups support the HSR system </w:t>
      </w:r>
      <w:r>
        <w:t xml:space="preserve">being continued and recognise its importance in supporting </w:t>
      </w:r>
      <w:r w:rsidRPr="001F6232">
        <w:t xml:space="preserve">Australian and New Zealand </w:t>
      </w:r>
      <w:r>
        <w:t xml:space="preserve">consumers to make healthier choices. </w:t>
      </w:r>
    </w:p>
    <w:p w14:paraId="450E21E0" w14:textId="77777777" w:rsidR="001515F7" w:rsidRDefault="001515F7" w:rsidP="008D5076">
      <w:r w:rsidRPr="001F6232">
        <w:t>There is broad acknowledgement of the seriousness of chronic diet-related conditions in Australia and New Zealand and of the importance of dietary interventions to help address this.</w:t>
      </w:r>
      <w:r w:rsidR="00722563">
        <w:t xml:space="preserve"> </w:t>
      </w:r>
      <w:r w:rsidRPr="001F6232">
        <w:t xml:space="preserve">There is a growing body of evidence demonstrating that </w:t>
      </w:r>
      <w:proofErr w:type="spellStart"/>
      <w:r w:rsidRPr="001F6232">
        <w:t>FoPL</w:t>
      </w:r>
      <w:proofErr w:type="spellEnd"/>
      <w:r w:rsidRPr="001F6232">
        <w:t xml:space="preserve"> is an effective strategy and assists consumers in choosing food products with better nutrient profiles.</w:t>
      </w:r>
      <w:r w:rsidRPr="001F6232">
        <w:rPr>
          <w:rStyle w:val="FootnoteReference"/>
        </w:rPr>
        <w:footnoteReference w:id="4"/>
      </w:r>
      <w:r w:rsidRPr="001F6232">
        <w:rPr>
          <w:vertAlign w:val="superscript"/>
        </w:rPr>
        <w:t xml:space="preserve">, </w:t>
      </w:r>
      <w:r w:rsidRPr="001F6232">
        <w:rPr>
          <w:rStyle w:val="FootnoteReference"/>
        </w:rPr>
        <w:footnoteReference w:id="5"/>
      </w:r>
      <w:r w:rsidRPr="001F6232">
        <w:rPr>
          <w:vertAlign w:val="superscript"/>
        </w:rPr>
        <w:t xml:space="preserve">, </w:t>
      </w:r>
      <w:r w:rsidRPr="001F6232">
        <w:rPr>
          <w:rStyle w:val="FootnoteReference"/>
        </w:rPr>
        <w:footnoteReference w:id="6"/>
      </w:r>
      <w:r w:rsidRPr="001F6232">
        <w:t xml:space="preserve"> The HSR </w:t>
      </w:r>
      <w:r>
        <w:t xml:space="preserve">system is </w:t>
      </w:r>
      <w:r w:rsidRPr="001F6232">
        <w:t xml:space="preserve">a key tool to support </w:t>
      </w:r>
      <w:r w:rsidR="00164AC5">
        <w:t>Dietary Guidelines</w:t>
      </w:r>
      <w:r w:rsidRPr="001F6232">
        <w:t xml:space="preserve"> and assist consumers to make healthier food choices. </w:t>
      </w:r>
    </w:p>
    <w:bookmarkStart w:id="10" w:name="_Toc21014902"/>
    <w:p w14:paraId="4A36685D" w14:textId="77777777" w:rsidR="00837154" w:rsidRPr="00CB626B" w:rsidRDefault="00D13B7B" w:rsidP="008D5076">
      <w:pPr>
        <w:pStyle w:val="Heading2"/>
      </w:pPr>
      <w:r w:rsidRPr="009861A3">
        <w:rPr>
          <w:rFonts w:asciiTheme="minorHAnsi" w:hAnsiTheme="minorHAnsi" w:cstheme="minorHAnsi"/>
          <w:b/>
          <w:noProof/>
        </w:rPr>
        <w:lastRenderedPageBreak/>
        <mc:AlternateContent>
          <mc:Choice Requires="wps">
            <w:drawing>
              <wp:anchor distT="45720" distB="45720" distL="114300" distR="114300" simplePos="0" relativeHeight="251661312" behindDoc="0" locked="0" layoutInCell="1" allowOverlap="1" wp14:anchorId="49D7A62B" wp14:editId="710EA60C">
                <wp:simplePos x="0" y="0"/>
                <wp:positionH relativeFrom="margin">
                  <wp:align>right</wp:align>
                </wp:positionH>
                <wp:positionV relativeFrom="paragraph">
                  <wp:posOffset>308945</wp:posOffset>
                </wp:positionV>
                <wp:extent cx="6089650" cy="2052955"/>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052955"/>
                        </a:xfrm>
                        <a:prstGeom prst="rect">
                          <a:avLst/>
                        </a:prstGeom>
                        <a:solidFill>
                          <a:schemeClr val="accent5">
                            <a:lumMod val="20000"/>
                            <a:lumOff val="80000"/>
                          </a:schemeClr>
                        </a:solidFill>
                        <a:ln w="9525">
                          <a:solidFill>
                            <a:srgbClr val="000000"/>
                          </a:solidFill>
                          <a:miter lim="800000"/>
                          <a:headEnd/>
                          <a:tailEnd/>
                        </a:ln>
                      </wps:spPr>
                      <wps:txbx>
                        <w:txbxContent>
                          <w:p w14:paraId="19106F12" w14:textId="77777777" w:rsidR="00133D2C" w:rsidRPr="00D13B7B" w:rsidRDefault="00133D2C" w:rsidP="00D13B7B">
                            <w:pPr>
                              <w:ind w:left="2880" w:hanging="2880"/>
                              <w:rPr>
                                <w:rFonts w:cstheme="minorHAnsi"/>
                                <w:b/>
                              </w:rPr>
                            </w:pPr>
                            <w:r w:rsidRPr="00D13B7B">
                              <w:rPr>
                                <w:rFonts w:cstheme="minorHAnsi"/>
                                <w:b/>
                              </w:rPr>
                              <w:t>Recommendation 2:  HSR graphic Option 5, the energy icon, be removed from the HSR System.</w:t>
                            </w:r>
                          </w:p>
                          <w:p w14:paraId="2681D2CB" w14:textId="77777777" w:rsidR="00133D2C" w:rsidRPr="00D13B7B" w:rsidRDefault="00133D2C" w:rsidP="00D13B7B">
                            <w:pPr>
                              <w:pStyle w:val="mpcNormal"/>
                              <w:keepNext w:val="0"/>
                              <w:spacing w:before="120" w:after="120"/>
                              <w:rPr>
                                <w:i/>
                              </w:rPr>
                            </w:pPr>
                            <w:r w:rsidRPr="00D13B7B">
                              <w:rPr>
                                <w:i/>
                              </w:rPr>
                              <w:t xml:space="preserve">One of five HSR graphic options currently available to manufacturers is Option 5, the energy icon (without the stars). This icon is most commonly used on non-dairy beverages and confectionery. However, the energy icon is not well understood by consumers and does not provide interpretive information to support choice. In surveys, only 2% of Australian consumers find the energy icon easy to understand. </w:t>
                            </w:r>
                          </w:p>
                          <w:p w14:paraId="5D8073A3" w14:textId="77777777" w:rsidR="00133D2C" w:rsidRPr="00D13B7B" w:rsidRDefault="00133D2C" w:rsidP="00D13B7B">
                            <w:pPr>
                              <w:pStyle w:val="mpcNormal"/>
                              <w:keepNext w:val="0"/>
                              <w:spacing w:before="120" w:after="120"/>
                              <w:jc w:val="both"/>
                            </w:pPr>
                            <w:r w:rsidRPr="00D13B7B">
                              <w:rPr>
                                <w:i/>
                              </w:rPr>
                              <w:t>Further, while some products may display the energy icon, others may display the stars, making it difficult for consumers to compare like products. In the non-dairy beverage category, stars are used more commonly for 5 star products and the energy icon for lower scoring products. The energy displayed is often based on serve size, which is not always comparable between products, further reducing the utility of the energy icon to support consumer choice.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B7E1" id="_x0000_s1027" type="#_x0000_t202" style="position:absolute;left:0;text-align:left;margin-left:428.3pt;margin-top:24.35pt;width:479.5pt;height:161.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" fillcolor="#e4e7dd [664]">
                <v:textbox>
                  <w:txbxContent>
                    <w:p w:rsidR="00133D2C" w:rsidRPr="00D13B7B" w:rsidRDefault="00133D2C" w:rsidP="00D13B7B">
                      <w:pPr>
                        <w:ind w:left="2880" w:hanging="2880"/>
                        <w:rPr>
                          <w:rFonts w:cstheme="minorHAnsi"/>
                          <w:b/>
                        </w:rPr>
                      </w:pPr>
                      <w:r w:rsidRPr="00D13B7B">
                        <w:rPr>
                          <w:rFonts w:cstheme="minorHAnsi"/>
                          <w:b/>
                        </w:rPr>
                        <w:t>Recommendation 2:  HSR graphic Option 5, the energy icon, be removed from the HSR System.</w:t>
                      </w:r>
                    </w:p>
                    <w:p w:rsidR="00133D2C" w:rsidRPr="00D13B7B" w:rsidRDefault="00133D2C" w:rsidP="00D13B7B">
                      <w:pPr>
                        <w:pStyle w:val="mpcNormal"/>
                        <w:keepNext w:val="0"/>
                        <w:spacing w:before="120" w:after="120"/>
                        <w:rPr>
                          <w:i/>
                        </w:rPr>
                      </w:pPr>
                      <w:r w:rsidRPr="00D13B7B">
                        <w:rPr>
                          <w:i/>
                        </w:rPr>
                        <w:t xml:space="preserve">One of five HSR graphic options currently available to manufacturers is Option 5, the energy icon (without the stars). This icon is most commonly used on non-dairy beverages and confectionery. However, the energy icon is not well understood by consumers and does not provide interpretive information to support choice. In surveys, only 2% of Australian consumers find the energy icon easy to understand. </w:t>
                      </w:r>
                    </w:p>
                    <w:p w:rsidR="00133D2C" w:rsidRPr="00D13B7B" w:rsidRDefault="00133D2C" w:rsidP="00D13B7B">
                      <w:pPr>
                        <w:pStyle w:val="mpcNormal"/>
                        <w:keepNext w:val="0"/>
                        <w:spacing w:before="120" w:after="120"/>
                        <w:jc w:val="both"/>
                      </w:pPr>
                      <w:r w:rsidRPr="00D13B7B">
                        <w:rPr>
                          <w:i/>
                        </w:rPr>
                        <w:t>Further, while some products may display the energy icon, others may display the stars, making it difficult for consumers to compare like products. In the non-dairy beverage category, stars are used more commonly for 5 star products and the energy icon for lower scoring products. The energy displayed is often based on serve size, which is not always comparable between products, further reducing the utility of the energy icon to support consumer choice.</w:t>
                      </w:r>
                    </w:p>
                  </w:txbxContent>
                </v:textbox>
                <w10:wrap type="square" anchorx="margin"/>
              </v:shape>
            </w:pict>
          </mc:Fallback>
        </mc:AlternateContent>
      </w:r>
      <w:r w:rsidR="00837154">
        <w:t xml:space="preserve">HSR </w:t>
      </w:r>
      <w:r w:rsidR="00653DFD">
        <w:t>graphic Option 5, the energy icon, be removed from the System.</w:t>
      </w:r>
      <w:bookmarkEnd w:id="10"/>
      <w:r w:rsidR="00837154">
        <w:t xml:space="preserve"> </w:t>
      </w:r>
    </w:p>
    <w:p w14:paraId="244E9765" w14:textId="77777777" w:rsidR="00653DFD" w:rsidRDefault="00653DFD" w:rsidP="00406DCE">
      <w:pPr>
        <w:pStyle w:val="Heading3"/>
        <w:spacing w:before="120"/>
      </w:pPr>
      <w:r>
        <w:t xml:space="preserve">Response: </w:t>
      </w:r>
    </w:p>
    <w:p w14:paraId="7612CED6" w14:textId="77777777" w:rsidR="00CD78B6" w:rsidRDefault="00F24F94" w:rsidP="00C30B0A">
      <w:r w:rsidRPr="00406DCE">
        <w:rPr>
          <w:b/>
        </w:rPr>
        <w:t>Supports</w:t>
      </w:r>
      <w:r w:rsidR="00653DFD">
        <w:t>.</w:t>
      </w:r>
    </w:p>
    <w:p w14:paraId="4A95DD14" w14:textId="77777777" w:rsidR="00653DFD" w:rsidRDefault="00653DFD" w:rsidP="00406DCE">
      <w:pPr>
        <w:pStyle w:val="Heading3"/>
        <w:spacing w:before="120"/>
      </w:pPr>
      <w:r>
        <w:t xml:space="preserve">Rationale: </w:t>
      </w:r>
    </w:p>
    <w:p w14:paraId="724F337C" w14:textId="77777777" w:rsidR="001515F7" w:rsidRDefault="006274FB" w:rsidP="008D5076">
      <w:r>
        <w:t xml:space="preserve">The energy icon depicts the amount of energy in the food product, without having to display the star rating. </w:t>
      </w:r>
      <w:r w:rsidR="001515F7" w:rsidRPr="001F6232">
        <w:t xml:space="preserve">The objective of the HSR system is </w:t>
      </w:r>
      <w:r w:rsidR="001515F7" w:rsidRPr="001F6232">
        <w:rPr>
          <w:iCs/>
        </w:rPr>
        <w:t>to provide convenient, relevant and readily understood nutrition information and/or guidance on food packs to assist consumers to make informed food purchases and healthier eating choices.</w:t>
      </w:r>
      <w:r w:rsidR="001515F7" w:rsidRPr="001F6232">
        <w:t xml:space="preserve"> </w:t>
      </w:r>
      <w:r w:rsidR="009832A4">
        <w:t>Evidence shows that the</w:t>
      </w:r>
      <w:r w:rsidR="001515F7">
        <w:t xml:space="preserve"> energy icon does not align with this objective. </w:t>
      </w:r>
    </w:p>
    <w:p w14:paraId="6377197A" w14:textId="77777777" w:rsidR="001515F7" w:rsidRDefault="001E5B43" w:rsidP="008D5076">
      <w:r w:rsidRPr="00280C6F">
        <w:t>The</w:t>
      </w:r>
      <w:r w:rsidR="001515F7" w:rsidRPr="00280C6F">
        <w:t xml:space="preserve"> energy icon</w:t>
      </w:r>
      <w:r w:rsidR="00B617CC" w:rsidRPr="00280C6F">
        <w:t xml:space="preserve"> (without the stars)</w:t>
      </w:r>
      <w:r w:rsidR="001515F7" w:rsidRPr="00280C6F">
        <w:t xml:space="preserve"> is most commonly applied to non-dairy beverages and conf</w:t>
      </w:r>
      <w:r w:rsidR="00E776BA">
        <w:t>ectionery products</w:t>
      </w:r>
      <w:r w:rsidR="0072344F" w:rsidRPr="00280C6F">
        <w:rPr>
          <w:vertAlign w:val="superscript"/>
        </w:rPr>
        <w:t>4</w:t>
      </w:r>
      <w:r w:rsidR="00A34799">
        <w:t xml:space="preserve">, </w:t>
      </w:r>
      <w:r w:rsidR="00A34799" w:rsidRPr="001E306D">
        <w:t>but can be used on any food</w:t>
      </w:r>
      <w:r w:rsidR="00A34799">
        <w:t xml:space="preserve">. </w:t>
      </w:r>
      <w:r>
        <w:t>Monitoring shows</w:t>
      </w:r>
      <w:r w:rsidR="00B617CC">
        <w:t xml:space="preserve"> that </w:t>
      </w:r>
      <w:r w:rsidR="00B53A59">
        <w:t xml:space="preserve">in Australia </w:t>
      </w:r>
      <w:r w:rsidR="00B617CC">
        <w:t>the energy icon is used on 28.5% of beverages, compared to 6.8% of beverages using the HSR star icon</w:t>
      </w:r>
      <w:r w:rsidR="00E776BA">
        <w:t>.</w:t>
      </w:r>
      <w:r w:rsidR="00AD6A43">
        <w:rPr>
          <w:rStyle w:val="FootnoteReference"/>
        </w:rPr>
        <w:footnoteReference w:id="7"/>
      </w:r>
      <w:r w:rsidR="00B617CC">
        <w:t xml:space="preserve"> The low uptake of the HSR star icon in these categories is reducing consumers’</w:t>
      </w:r>
      <w:r w:rsidR="001515F7" w:rsidRPr="001F6232">
        <w:t xml:space="preserve"> </w:t>
      </w:r>
      <w:r w:rsidR="001515F7">
        <w:t>opportunit</w:t>
      </w:r>
      <w:r w:rsidR="00B617CC">
        <w:t>y</w:t>
      </w:r>
      <w:r w:rsidR="001515F7" w:rsidRPr="001F6232">
        <w:t xml:space="preserve"> to compare </w:t>
      </w:r>
      <w:r w:rsidR="001515F7">
        <w:t xml:space="preserve">actual </w:t>
      </w:r>
      <w:r w:rsidR="001515F7" w:rsidRPr="001F6232">
        <w:t>star ratings</w:t>
      </w:r>
      <w:r w:rsidR="001515F7">
        <w:t>, rendering the star ratings that are applied in the category less useful</w:t>
      </w:r>
      <w:r w:rsidR="001515F7" w:rsidRPr="001F6232">
        <w:t>.</w:t>
      </w:r>
      <w:r w:rsidR="001515F7">
        <w:t xml:space="preserve"> </w:t>
      </w:r>
    </w:p>
    <w:p w14:paraId="6B1939DB" w14:textId="77777777" w:rsidR="001515F7" w:rsidRDefault="001515F7" w:rsidP="008D5076">
      <w:r w:rsidRPr="001F6232">
        <w:t xml:space="preserve">In addition, the energy icon does not fit </w:t>
      </w:r>
      <w:r>
        <w:t>with</w:t>
      </w:r>
      <w:r w:rsidRPr="001F6232">
        <w:t xml:space="preserve"> the Forum endorsed Labelling Logic recommendation for an </w:t>
      </w:r>
      <w:r w:rsidRPr="001F6232">
        <w:rPr>
          <w:i/>
        </w:rPr>
        <w:t>interpretative</w:t>
      </w:r>
      <w:r>
        <w:t xml:space="preserve"> </w:t>
      </w:r>
      <w:proofErr w:type="spellStart"/>
      <w:r>
        <w:t>FoPL</w:t>
      </w:r>
      <w:proofErr w:type="spellEnd"/>
      <w:r>
        <w:t xml:space="preserve"> system. The energy icon is a ‘reductive’ </w:t>
      </w:r>
      <w:proofErr w:type="spellStart"/>
      <w:r>
        <w:t>FoPL</w:t>
      </w:r>
      <w:proofErr w:type="spellEnd"/>
      <w:r>
        <w:t xml:space="preserve"> option</w:t>
      </w:r>
      <w:r w:rsidR="00722563">
        <w:t>.</w:t>
      </w:r>
      <w:r w:rsidRPr="001F6232">
        <w:t xml:space="preserve"> </w:t>
      </w:r>
      <w:r w:rsidRPr="000070A3">
        <w:t xml:space="preserve">There is growing </w:t>
      </w:r>
      <w:r>
        <w:t xml:space="preserve">independent </w:t>
      </w:r>
      <w:r w:rsidRPr="000070A3">
        <w:t xml:space="preserve">research indicating that interpretative </w:t>
      </w:r>
      <w:proofErr w:type="spellStart"/>
      <w:r w:rsidRPr="000070A3">
        <w:t>FoPLs</w:t>
      </w:r>
      <w:proofErr w:type="spellEnd"/>
      <w:r w:rsidRPr="000070A3">
        <w:t xml:space="preserve"> such as the HSR are more effective in leading to healthier food choices, greater accuracy in determining relative healthiness of food products, and greater intentions to purchase healthier products than ‘reductive’ </w:t>
      </w:r>
      <w:proofErr w:type="spellStart"/>
      <w:r w:rsidRPr="000070A3">
        <w:t>FoPLs</w:t>
      </w:r>
      <w:proofErr w:type="spellEnd"/>
      <w:r w:rsidR="00E776BA">
        <w:t>.</w:t>
      </w:r>
      <w:r>
        <w:rPr>
          <w:rStyle w:val="FootnoteReference"/>
        </w:rPr>
        <w:footnoteReference w:id="8"/>
      </w:r>
      <w:r w:rsidRPr="006211F4">
        <w:rPr>
          <w:vertAlign w:val="superscript"/>
        </w:rPr>
        <w:t>,</w:t>
      </w:r>
      <w:r w:rsidR="00787C18">
        <w:rPr>
          <w:vertAlign w:val="superscript"/>
        </w:rPr>
        <w:t xml:space="preserve"> </w:t>
      </w:r>
      <w:r>
        <w:rPr>
          <w:rStyle w:val="FootnoteReference"/>
        </w:rPr>
        <w:footnoteReference w:id="9"/>
      </w:r>
      <w:r>
        <w:t xml:space="preserve"> </w:t>
      </w:r>
    </w:p>
    <w:p w14:paraId="41CD6CE9" w14:textId="77777777" w:rsidR="00653DFD" w:rsidRDefault="00653DFD" w:rsidP="00406DCE">
      <w:pPr>
        <w:pStyle w:val="Heading3"/>
        <w:spacing w:before="120"/>
      </w:pPr>
      <w:r w:rsidRPr="00406DCE">
        <w:t>Additional Considerations:</w:t>
      </w:r>
    </w:p>
    <w:p w14:paraId="00D80548" w14:textId="77777777" w:rsidR="0036463A" w:rsidRPr="005452D3" w:rsidRDefault="0036463A" w:rsidP="005452D3">
      <w:pPr>
        <w:pStyle w:val="ListParagraph"/>
        <w:numPr>
          <w:ilvl w:val="0"/>
          <w:numId w:val="45"/>
        </w:numPr>
        <w:ind w:left="284" w:hanging="284"/>
        <w:rPr>
          <w:rFonts w:asciiTheme="majorHAnsi" w:hAnsiTheme="majorHAnsi" w:cstheme="majorHAnsi"/>
        </w:rPr>
      </w:pPr>
      <w:r w:rsidRPr="005452D3">
        <w:rPr>
          <w:rFonts w:asciiTheme="majorHAnsi" w:hAnsiTheme="majorHAnsi" w:cstheme="majorHAnsi"/>
        </w:rPr>
        <w:t xml:space="preserve">Notwithstanding the decision to remove the energy (kJ) option from the HSR system, the Forum wishes to acknowledge the usefulness of energy depictions in other systems/settings; for </w:t>
      </w:r>
      <w:proofErr w:type="gramStart"/>
      <w:r w:rsidRPr="005452D3">
        <w:rPr>
          <w:rFonts w:asciiTheme="majorHAnsi" w:hAnsiTheme="majorHAnsi" w:cstheme="majorHAnsi"/>
        </w:rPr>
        <w:t>example</w:t>
      </w:r>
      <w:proofErr w:type="gramEnd"/>
      <w:r w:rsidRPr="005452D3">
        <w:rPr>
          <w:rFonts w:asciiTheme="majorHAnsi" w:hAnsiTheme="majorHAnsi" w:cstheme="majorHAnsi"/>
        </w:rPr>
        <w:t xml:space="preserve"> kilojoule (kJ) labelling on alcoholic beverages, and menu board labelling. In </w:t>
      </w:r>
      <w:r w:rsidR="00A34799">
        <w:rPr>
          <w:rFonts w:asciiTheme="majorHAnsi" w:hAnsiTheme="majorHAnsi" w:cstheme="majorHAnsi"/>
        </w:rPr>
        <w:t xml:space="preserve">some </w:t>
      </w:r>
      <w:r w:rsidRPr="005452D3">
        <w:rPr>
          <w:rFonts w:asciiTheme="majorHAnsi" w:hAnsiTheme="majorHAnsi" w:cstheme="majorHAnsi"/>
        </w:rPr>
        <w:t xml:space="preserve">systems/settings energy depiction assists consumers with contextualising the energy contribution of discrete food choices to total daily intake. It is in the context of the interpretative HSR system that the Forum supports removing energy labelling, for the reasons outlined above.  </w:t>
      </w:r>
    </w:p>
    <w:p w14:paraId="7A4F5E70" w14:textId="77777777" w:rsidR="00B66295" w:rsidRPr="005452D3" w:rsidRDefault="00B66295" w:rsidP="005452D3">
      <w:pPr>
        <w:pStyle w:val="ListParagraph"/>
        <w:numPr>
          <w:ilvl w:val="0"/>
          <w:numId w:val="45"/>
        </w:numPr>
        <w:ind w:left="284" w:hanging="284"/>
        <w:rPr>
          <w:rFonts w:asciiTheme="majorHAnsi" w:hAnsiTheme="majorHAnsi" w:cstheme="majorHAnsi"/>
        </w:rPr>
      </w:pPr>
      <w:r w:rsidRPr="005452D3">
        <w:rPr>
          <w:rFonts w:asciiTheme="majorHAnsi" w:hAnsiTheme="majorHAnsi" w:cstheme="majorHAnsi"/>
        </w:rPr>
        <w:lastRenderedPageBreak/>
        <w:t xml:space="preserve">The Forum acknowledges that </w:t>
      </w:r>
      <w:r w:rsidR="00A34799" w:rsidRPr="001E306D">
        <w:rPr>
          <w:rFonts w:asciiTheme="majorHAnsi" w:hAnsiTheme="majorHAnsi" w:cstheme="majorHAnsi"/>
        </w:rPr>
        <w:t>a few</w:t>
      </w:r>
      <w:r w:rsidR="00A34799">
        <w:rPr>
          <w:rFonts w:asciiTheme="majorHAnsi" w:hAnsiTheme="majorHAnsi" w:cstheme="majorHAnsi"/>
        </w:rPr>
        <w:t xml:space="preserve"> </w:t>
      </w:r>
      <w:r w:rsidRPr="005452D3">
        <w:rPr>
          <w:rFonts w:asciiTheme="majorHAnsi" w:hAnsiTheme="majorHAnsi" w:cstheme="majorHAnsi"/>
        </w:rPr>
        <w:t>confectionery products, non-dairy beverages, and other discretionary foods, may receive seemingly high HSRs (i.e. 4-5 stars) and that such ratings on these products have the potential to affect trust in the HSR system.</w:t>
      </w:r>
      <w:r w:rsidRPr="001E306D">
        <w:rPr>
          <w:rFonts w:asciiTheme="majorHAnsi" w:hAnsiTheme="majorHAnsi" w:cstheme="majorHAnsi"/>
        </w:rPr>
        <w:t xml:space="preserve"> </w:t>
      </w:r>
      <w:r w:rsidR="005D6F35" w:rsidRPr="001E306D">
        <w:rPr>
          <w:rFonts w:asciiTheme="majorHAnsi" w:hAnsiTheme="majorHAnsi" w:cstheme="majorHAnsi"/>
        </w:rPr>
        <w:t xml:space="preserve">Where there are outliers which are not possible to fix through algorithm amendment, </w:t>
      </w:r>
      <w:r w:rsidR="005D6F35">
        <w:rPr>
          <w:rFonts w:asciiTheme="majorHAnsi" w:hAnsiTheme="majorHAnsi" w:cstheme="majorHAnsi"/>
        </w:rPr>
        <w:t>t</w:t>
      </w:r>
      <w:r w:rsidRPr="005452D3">
        <w:rPr>
          <w:rFonts w:asciiTheme="majorHAnsi" w:hAnsiTheme="majorHAnsi" w:cstheme="majorHAnsi"/>
        </w:rPr>
        <w:t>he existence of such outliers, and any resulting mistrust in the system, will be addressed through consistent and continued messaging regarding (but not limited to):</w:t>
      </w:r>
    </w:p>
    <w:p w14:paraId="51E6F33C" w14:textId="77777777" w:rsidR="00B66295" w:rsidRDefault="00B66295" w:rsidP="00B66295">
      <w:pPr>
        <w:pStyle w:val="ListParagraph"/>
        <w:numPr>
          <w:ilvl w:val="0"/>
          <w:numId w:val="44"/>
        </w:numPr>
        <w:spacing w:before="0" w:after="160" w:line="259" w:lineRule="auto"/>
        <w:contextualSpacing/>
        <w:rPr>
          <w:rFonts w:asciiTheme="majorHAnsi" w:hAnsiTheme="majorHAnsi" w:cstheme="majorHAnsi"/>
        </w:rPr>
      </w:pPr>
      <w:r w:rsidRPr="00FF25C1">
        <w:rPr>
          <w:rFonts w:asciiTheme="majorHAnsi" w:hAnsiTheme="majorHAnsi" w:cstheme="majorHAnsi"/>
        </w:rPr>
        <w:t>correct use</w:t>
      </w:r>
      <w:r>
        <w:rPr>
          <w:rFonts w:asciiTheme="majorHAnsi" w:hAnsiTheme="majorHAnsi" w:cstheme="majorHAnsi"/>
        </w:rPr>
        <w:t xml:space="preserve"> of the HSR system</w:t>
      </w:r>
      <w:r w:rsidRPr="00FF25C1">
        <w:rPr>
          <w:rFonts w:asciiTheme="majorHAnsi" w:hAnsiTheme="majorHAnsi" w:cstheme="majorHAnsi"/>
        </w:rPr>
        <w:t xml:space="preserve"> –</w:t>
      </w:r>
      <w:r>
        <w:rPr>
          <w:rFonts w:asciiTheme="majorHAnsi" w:hAnsiTheme="majorHAnsi" w:cstheme="majorHAnsi"/>
        </w:rPr>
        <w:t xml:space="preserve"> </w:t>
      </w:r>
      <w:r w:rsidRPr="00FF25C1">
        <w:rPr>
          <w:rFonts w:asciiTheme="majorHAnsi" w:hAnsiTheme="majorHAnsi" w:cstheme="majorHAnsi"/>
        </w:rPr>
        <w:t xml:space="preserve">the </w:t>
      </w:r>
      <w:r>
        <w:rPr>
          <w:rFonts w:asciiTheme="majorHAnsi" w:hAnsiTheme="majorHAnsi" w:cstheme="majorHAnsi"/>
        </w:rPr>
        <w:t xml:space="preserve">HSR </w:t>
      </w:r>
      <w:r w:rsidRPr="00FF25C1">
        <w:rPr>
          <w:rFonts w:asciiTheme="majorHAnsi" w:hAnsiTheme="majorHAnsi" w:cstheme="majorHAnsi"/>
        </w:rPr>
        <w:t xml:space="preserve">system </w:t>
      </w:r>
      <w:r>
        <w:rPr>
          <w:rFonts w:asciiTheme="majorHAnsi" w:hAnsiTheme="majorHAnsi" w:cstheme="majorHAnsi"/>
        </w:rPr>
        <w:t>should be used</w:t>
      </w:r>
      <w:r w:rsidRPr="00FF25C1">
        <w:rPr>
          <w:rFonts w:asciiTheme="majorHAnsi" w:hAnsiTheme="majorHAnsi" w:cstheme="majorHAnsi"/>
        </w:rPr>
        <w:t xml:space="preserve"> to compare similar products</w:t>
      </w:r>
      <w:r>
        <w:rPr>
          <w:rFonts w:asciiTheme="majorHAnsi" w:hAnsiTheme="majorHAnsi" w:cstheme="majorHAnsi"/>
        </w:rPr>
        <w:t>, i.e. a confectionery product with a HSR of 4 is a better choice than a</w:t>
      </w:r>
      <w:r w:rsidRPr="001E1E94">
        <w:rPr>
          <w:rFonts w:asciiTheme="majorHAnsi" w:hAnsiTheme="majorHAnsi" w:cstheme="majorHAnsi"/>
        </w:rPr>
        <w:t xml:space="preserve"> </w:t>
      </w:r>
      <w:r>
        <w:rPr>
          <w:rFonts w:asciiTheme="majorHAnsi" w:hAnsiTheme="majorHAnsi" w:cstheme="majorHAnsi"/>
        </w:rPr>
        <w:t>confectionery product with a HSR of 2; and</w:t>
      </w:r>
    </w:p>
    <w:p w14:paraId="240E369D" w14:textId="77777777" w:rsidR="00B66295" w:rsidRPr="00FF25C1" w:rsidRDefault="00B66295" w:rsidP="00B66295">
      <w:pPr>
        <w:pStyle w:val="ListParagraph"/>
        <w:numPr>
          <w:ilvl w:val="0"/>
          <w:numId w:val="44"/>
        </w:numPr>
        <w:spacing w:before="0" w:after="160" w:line="259" w:lineRule="auto"/>
        <w:contextualSpacing/>
        <w:rPr>
          <w:rFonts w:asciiTheme="majorHAnsi" w:hAnsiTheme="majorHAnsi" w:cstheme="majorHAnsi"/>
        </w:rPr>
      </w:pPr>
      <w:r w:rsidRPr="00FF25C1">
        <w:rPr>
          <w:rFonts w:asciiTheme="majorHAnsi" w:hAnsiTheme="majorHAnsi" w:cstheme="majorHAnsi"/>
        </w:rPr>
        <w:t xml:space="preserve">the </w:t>
      </w:r>
      <w:r>
        <w:rPr>
          <w:rFonts w:asciiTheme="majorHAnsi" w:hAnsiTheme="majorHAnsi" w:cstheme="majorHAnsi"/>
        </w:rPr>
        <w:t>HSR as one tool within a broader suite of healthy eating</w:t>
      </w:r>
      <w:r w:rsidRPr="00FF25C1">
        <w:rPr>
          <w:rFonts w:asciiTheme="majorHAnsi" w:hAnsiTheme="majorHAnsi" w:cstheme="majorHAnsi"/>
        </w:rPr>
        <w:t xml:space="preserve"> messaging</w:t>
      </w:r>
      <w:r>
        <w:rPr>
          <w:rFonts w:asciiTheme="majorHAnsi" w:hAnsiTheme="majorHAnsi" w:cstheme="majorHAnsi"/>
        </w:rPr>
        <w:t xml:space="preserve"> – with the Dietary Guidelines being the primary point of reference.</w:t>
      </w:r>
    </w:p>
    <w:p w14:paraId="5051FB80" w14:textId="77777777" w:rsidR="00110C2F" w:rsidRDefault="005452D3" w:rsidP="005452D3">
      <w:pPr>
        <w:ind w:left="284" w:hanging="284"/>
        <w:rPr>
          <w:rFonts w:cstheme="minorHAnsi"/>
        </w:rPr>
      </w:pPr>
      <w:r>
        <w:rPr>
          <w:rFonts w:cstheme="minorHAnsi"/>
        </w:rPr>
        <w:t>3.</w:t>
      </w:r>
      <w:r>
        <w:rPr>
          <w:rFonts w:cstheme="minorHAnsi"/>
        </w:rPr>
        <w:tab/>
      </w:r>
      <w:r w:rsidR="00B617CC">
        <w:rPr>
          <w:rFonts w:cstheme="minorHAnsi"/>
        </w:rPr>
        <w:t>In August 2019 the Forum was presented with a Policy Paper on the labelling of sugars on pac</w:t>
      </w:r>
      <w:r w:rsidR="00110C2F">
        <w:rPr>
          <w:rFonts w:cstheme="minorHAnsi"/>
        </w:rPr>
        <w:t>kaged foods and drinks</w:t>
      </w:r>
      <w:r w:rsidR="00AD6A43">
        <w:rPr>
          <w:rFonts w:cstheme="minorHAnsi"/>
        </w:rPr>
        <w:t xml:space="preserve"> prepared by the FRSC</w:t>
      </w:r>
      <w:r w:rsidR="00110C2F">
        <w:rPr>
          <w:rFonts w:cstheme="minorHAnsi"/>
        </w:rPr>
        <w:t>. The Policy Paper concluded that two policy options</w:t>
      </w:r>
      <w:r w:rsidR="00AD6A43">
        <w:rPr>
          <w:rFonts w:cstheme="minorHAnsi"/>
        </w:rPr>
        <w:t xml:space="preserve"> for sugars labelling</w:t>
      </w:r>
      <w:r w:rsidR="00110C2F">
        <w:rPr>
          <w:rFonts w:cstheme="minorHAnsi"/>
        </w:rPr>
        <w:t xml:space="preserve"> warranted further consideration:</w:t>
      </w:r>
    </w:p>
    <w:p w14:paraId="742A4EDD" w14:textId="77777777" w:rsidR="00110C2F" w:rsidRPr="005452D3" w:rsidRDefault="00110C2F" w:rsidP="005452D3">
      <w:pPr>
        <w:pStyle w:val="ListParagraph"/>
        <w:numPr>
          <w:ilvl w:val="0"/>
          <w:numId w:val="46"/>
        </w:numPr>
        <w:rPr>
          <w:rFonts w:cstheme="minorHAnsi"/>
        </w:rPr>
      </w:pPr>
      <w:r w:rsidRPr="005452D3">
        <w:rPr>
          <w:rFonts w:cstheme="minorHAnsi"/>
        </w:rPr>
        <w:t>Added sugars quantified in the N</w:t>
      </w:r>
      <w:r w:rsidR="0048681D">
        <w:rPr>
          <w:rFonts w:cstheme="minorHAnsi"/>
        </w:rPr>
        <w:t xml:space="preserve">utrition </w:t>
      </w:r>
      <w:r w:rsidRPr="005452D3">
        <w:rPr>
          <w:rFonts w:cstheme="minorHAnsi"/>
        </w:rPr>
        <w:t>I</w:t>
      </w:r>
      <w:r w:rsidR="0048681D">
        <w:rPr>
          <w:rFonts w:cstheme="minorHAnsi"/>
        </w:rPr>
        <w:t xml:space="preserve">nformation </w:t>
      </w:r>
      <w:r w:rsidRPr="005452D3">
        <w:rPr>
          <w:rFonts w:cstheme="minorHAnsi"/>
        </w:rPr>
        <w:t>P</w:t>
      </w:r>
      <w:r w:rsidR="0048681D">
        <w:rPr>
          <w:rFonts w:cstheme="minorHAnsi"/>
        </w:rPr>
        <w:t>anel</w:t>
      </w:r>
      <w:r w:rsidR="00E52011">
        <w:rPr>
          <w:rFonts w:cstheme="minorHAnsi"/>
        </w:rPr>
        <w:t xml:space="preserve"> (NIP)</w:t>
      </w:r>
      <w:r w:rsidR="00AD6A43" w:rsidRPr="005452D3">
        <w:rPr>
          <w:rFonts w:cstheme="minorHAnsi"/>
        </w:rPr>
        <w:t>; and</w:t>
      </w:r>
    </w:p>
    <w:p w14:paraId="16206DAC" w14:textId="77777777" w:rsidR="00110C2F" w:rsidRPr="005452D3" w:rsidRDefault="00110C2F" w:rsidP="005452D3">
      <w:pPr>
        <w:pStyle w:val="ListParagraph"/>
        <w:numPr>
          <w:ilvl w:val="0"/>
          <w:numId w:val="46"/>
        </w:numPr>
        <w:rPr>
          <w:rFonts w:cstheme="minorHAnsi"/>
        </w:rPr>
      </w:pPr>
      <w:r w:rsidRPr="005452D3">
        <w:rPr>
          <w:rFonts w:cstheme="minorHAnsi"/>
        </w:rPr>
        <w:t>Pictorial approaches for conveying the amount of s</w:t>
      </w:r>
      <w:r w:rsidR="00AD6A43" w:rsidRPr="005452D3">
        <w:rPr>
          <w:rFonts w:cstheme="minorHAnsi"/>
        </w:rPr>
        <w:t xml:space="preserve">ugars in a serving of food, </w:t>
      </w:r>
      <w:r w:rsidRPr="005452D3">
        <w:rPr>
          <w:rFonts w:cstheme="minorHAnsi"/>
        </w:rPr>
        <w:t xml:space="preserve">applied only to sugary </w:t>
      </w:r>
      <w:r w:rsidR="00297F4F" w:rsidRPr="005452D3">
        <w:rPr>
          <w:rFonts w:cstheme="minorHAnsi"/>
        </w:rPr>
        <w:t>drinks</w:t>
      </w:r>
      <w:r w:rsidR="0048681D">
        <w:rPr>
          <w:rFonts w:cstheme="minorHAnsi"/>
        </w:rPr>
        <w:t>/</w:t>
      </w:r>
      <w:r w:rsidRPr="005452D3">
        <w:rPr>
          <w:rFonts w:cstheme="minorHAnsi"/>
        </w:rPr>
        <w:t>sugar-sweetened beverages.</w:t>
      </w:r>
    </w:p>
    <w:p w14:paraId="751C1CD9" w14:textId="77777777" w:rsidR="007555D8" w:rsidRDefault="000D76B0" w:rsidP="005452D3">
      <w:pPr>
        <w:ind w:left="284"/>
        <w:rPr>
          <w:rFonts w:cstheme="minorHAnsi"/>
        </w:rPr>
      </w:pPr>
      <w:r>
        <w:t>The recommendation to further consider pictoria</w:t>
      </w:r>
      <w:r w:rsidR="0048681D">
        <w:t>l labels only for sugary drinks/</w:t>
      </w:r>
      <w:r>
        <w:t>sugar-sweetened beverages was made recognising that sugar is the significant nutrie</w:t>
      </w:r>
      <w:r w:rsidR="0048681D">
        <w:t>nt in these products, which are</w:t>
      </w:r>
      <w:r>
        <w:t xml:space="preserve"> key contributors of sugar intake. The low uptake of the HSR stars icon is a contributing factor that reduces consumers’ ability to make informed choices in the non-dairy beverages category</w:t>
      </w:r>
      <w:r>
        <w:rPr>
          <w:rFonts w:cstheme="minorHAnsi"/>
        </w:rPr>
        <w:t>.</w:t>
      </w:r>
      <w:r w:rsidR="00B1592B">
        <w:rPr>
          <w:rFonts w:cstheme="minorHAnsi"/>
        </w:rPr>
        <w:t xml:space="preserve"> </w:t>
      </w:r>
    </w:p>
    <w:p w14:paraId="528BA7F8" w14:textId="77777777" w:rsidR="00110C2F" w:rsidRDefault="00AD6A43" w:rsidP="005452D3">
      <w:pPr>
        <w:ind w:left="284"/>
        <w:rPr>
          <w:rFonts w:cstheme="minorHAnsi"/>
        </w:rPr>
      </w:pPr>
      <w:r>
        <w:rPr>
          <w:rFonts w:cstheme="minorHAnsi"/>
        </w:rPr>
        <w:t>The Forum agreed that the pictorial approaches</w:t>
      </w:r>
      <w:r w:rsidR="00110C2F">
        <w:rPr>
          <w:rFonts w:cstheme="minorHAnsi"/>
        </w:rPr>
        <w:t xml:space="preserve"> policy option could be considered further pending the response to the HSR </w:t>
      </w:r>
      <w:r w:rsidR="00787C18">
        <w:rPr>
          <w:rFonts w:cstheme="minorHAnsi"/>
        </w:rPr>
        <w:t>R</w:t>
      </w:r>
      <w:r w:rsidR="00110C2F">
        <w:rPr>
          <w:rFonts w:cstheme="minorHAnsi"/>
        </w:rPr>
        <w:t xml:space="preserve">eview. </w:t>
      </w:r>
    </w:p>
    <w:p w14:paraId="52B7A7BD" w14:textId="77777777" w:rsidR="00B50F59" w:rsidRDefault="00B50F59" w:rsidP="00406DCE">
      <w:pPr>
        <w:pStyle w:val="Heading3"/>
        <w:spacing w:before="120"/>
      </w:pPr>
      <w:r>
        <w:t xml:space="preserve">Implementation timeframe: </w:t>
      </w:r>
    </w:p>
    <w:p w14:paraId="6AAAE4E9" w14:textId="77777777" w:rsidR="00B50F59" w:rsidRPr="00C05E33" w:rsidRDefault="00B50F59" w:rsidP="008D5076">
      <w:r>
        <w:t>Within 2 years</w:t>
      </w:r>
      <w:r w:rsidR="004C0801">
        <w:t>, from agreed implementation start date.</w:t>
      </w:r>
    </w:p>
    <w:bookmarkStart w:id="11" w:name="_Toc21014903"/>
    <w:p w14:paraId="391CA406" w14:textId="77777777" w:rsidR="003F3704" w:rsidRPr="00CB626B" w:rsidRDefault="00AD36D7" w:rsidP="008D5076">
      <w:pPr>
        <w:pStyle w:val="Heading2"/>
      </w:pPr>
      <w:r w:rsidRPr="009861A3">
        <w:rPr>
          <w:rFonts w:asciiTheme="minorHAnsi" w:hAnsiTheme="minorHAnsi" w:cstheme="minorHAnsi"/>
          <w:b/>
          <w:noProof/>
        </w:rPr>
        <mc:AlternateContent>
          <mc:Choice Requires="wps">
            <w:drawing>
              <wp:anchor distT="45720" distB="45720" distL="114300" distR="114300" simplePos="0" relativeHeight="251663360" behindDoc="0" locked="0" layoutInCell="1" allowOverlap="1" wp14:anchorId="5A04FFD0" wp14:editId="0CD6A64F">
                <wp:simplePos x="0" y="0"/>
                <wp:positionH relativeFrom="margin">
                  <wp:align>right</wp:align>
                </wp:positionH>
                <wp:positionV relativeFrom="paragraph">
                  <wp:posOffset>398145</wp:posOffset>
                </wp:positionV>
                <wp:extent cx="6107430" cy="2406650"/>
                <wp:effectExtent l="0" t="0" r="2667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2406650"/>
                        </a:xfrm>
                        <a:prstGeom prst="rect">
                          <a:avLst/>
                        </a:prstGeom>
                        <a:solidFill>
                          <a:schemeClr val="accent5">
                            <a:lumMod val="20000"/>
                            <a:lumOff val="80000"/>
                          </a:schemeClr>
                        </a:solidFill>
                        <a:ln w="9525">
                          <a:solidFill>
                            <a:srgbClr val="000000"/>
                          </a:solidFill>
                          <a:miter lim="800000"/>
                          <a:headEnd/>
                          <a:tailEnd/>
                        </a:ln>
                      </wps:spPr>
                      <wps:txbx>
                        <w:txbxContent>
                          <w:p w14:paraId="0C18BE6F" w14:textId="77777777" w:rsidR="00133D2C" w:rsidRPr="001E5E27" w:rsidRDefault="00133D2C" w:rsidP="00A966D5">
                            <w:pPr>
                              <w:pStyle w:val="Default"/>
                              <w:spacing w:before="120" w:after="120"/>
                              <w:rPr>
                                <w:rFonts w:asciiTheme="minorHAnsi" w:hAnsiTheme="minorHAnsi" w:cstheme="minorHAnsi"/>
                                <w:b/>
                                <w:color w:val="auto"/>
                                <w:sz w:val="22"/>
                                <w:szCs w:val="22"/>
                                <w:lang w:val="en-AU"/>
                              </w:rPr>
                            </w:pPr>
                            <w:r w:rsidRPr="001E5E27">
                              <w:rPr>
                                <w:rFonts w:asciiTheme="minorHAnsi" w:hAnsiTheme="minorHAnsi" w:cstheme="minorHAnsi"/>
                                <w:b/>
                                <w:color w:val="auto"/>
                                <w:sz w:val="22"/>
                                <w:szCs w:val="22"/>
                                <w:lang w:val="en-AU"/>
                              </w:rPr>
                              <w:t>Recommendation 3:  Governments, industry, public health and consumer bodies continue to promote the HSR System. Government promotion over the next two years should:</w:t>
                            </w:r>
                          </w:p>
                          <w:p w14:paraId="2C4E5DE6" w14:textId="77777777"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communicate the reason for changes to the HSR System</w:t>
                            </w:r>
                          </w:p>
                          <w:p w14:paraId="55751586" w14:textId="77777777"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 xml:space="preserve">target specific areas of consumer misunderstanding or gaps in awareness </w:t>
                            </w:r>
                          </w:p>
                          <w:p w14:paraId="07C78EC6" w14:textId="77777777"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highlight government endorsement of the HSR System</w:t>
                            </w:r>
                          </w:p>
                          <w:p w14:paraId="0DBCF449" w14:textId="77777777" w:rsidR="00133D2C" w:rsidRPr="001E5E27" w:rsidRDefault="00133D2C" w:rsidP="003F3704">
                            <w:pPr>
                              <w:pStyle w:val="mpcNormal"/>
                              <w:keepNext w:val="0"/>
                              <w:numPr>
                                <w:ilvl w:val="0"/>
                                <w:numId w:val="23"/>
                              </w:numPr>
                              <w:rPr>
                                <w:i/>
                              </w:rPr>
                            </w:pPr>
                            <w:r w:rsidRPr="001E5E27">
                              <w:rPr>
                                <w:b/>
                              </w:rPr>
                              <w:t>position the HSR System in the context of broader healthy eating messages.</w:t>
                            </w:r>
                          </w:p>
                          <w:p w14:paraId="24F44A65" w14:textId="77777777" w:rsidR="00133D2C" w:rsidRPr="00A966D5" w:rsidRDefault="00133D2C" w:rsidP="00A966D5">
                            <w:pPr>
                              <w:jc w:val="both"/>
                              <w:rPr>
                                <w:rFonts w:cs="Arial"/>
                              </w:rPr>
                            </w:pPr>
                            <w:r w:rsidRPr="001E5E27">
                              <w:rPr>
                                <w:rFonts w:cstheme="minorHAnsi"/>
                                <w:i/>
                              </w:rPr>
                              <w:t>Continued HSR System promotion by Government is necessary to communicate changes to the System and continue to address common misunderstandings. Once the System is further embedded into the broader public health culture and food system, specific campaigns about how to use the System will be less critical than positioning the System in the context of broader healthy eating messages. It is important that all stakeholders continue to play a role in constantly refreshing public understanding of the System and promoting its use</w:t>
                            </w:r>
                            <w:r w:rsidRPr="001E5E27">
                              <w:rPr>
                                <w:rFonts w:cs="Arial"/>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40CA3" id="_x0000_s1028" type="#_x0000_t202" style="position:absolute;left:0;text-align:left;margin-left:429.7pt;margin-top:31.35pt;width:480.9pt;height:18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" fillcolor="#e4e7dd [664]">
                <v:textbox>
                  <w:txbxContent>
                    <w:p w:rsidR="00133D2C" w:rsidRPr="001E5E27" w:rsidRDefault="00133D2C" w:rsidP="00A966D5">
                      <w:pPr>
                        <w:pStyle w:val="Default"/>
                        <w:spacing w:before="120" w:after="120"/>
                        <w:rPr>
                          <w:rFonts w:asciiTheme="minorHAnsi" w:hAnsiTheme="minorHAnsi" w:cstheme="minorHAnsi"/>
                          <w:b/>
                          <w:color w:val="auto"/>
                          <w:sz w:val="22"/>
                          <w:szCs w:val="22"/>
                          <w:lang w:val="en-AU"/>
                        </w:rPr>
                      </w:pPr>
                      <w:r w:rsidRPr="001E5E27">
                        <w:rPr>
                          <w:rFonts w:asciiTheme="minorHAnsi" w:hAnsiTheme="minorHAnsi" w:cstheme="minorHAnsi"/>
                          <w:b/>
                          <w:color w:val="auto"/>
                          <w:sz w:val="22"/>
                          <w:szCs w:val="22"/>
                          <w:lang w:val="en-AU"/>
                        </w:rPr>
                        <w:t>Recommendation 3:  Governments, industry, public health and consumer bodies continue to promote the HSR System. Government promotion over the next two years should:</w:t>
                      </w:r>
                    </w:p>
                    <w:p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communicate the reason for changes to the HSR System</w:t>
                      </w:r>
                    </w:p>
                    <w:p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 xml:space="preserve">target specific areas of consumer misunderstanding or gaps in awareness </w:t>
                      </w:r>
                    </w:p>
                    <w:p w:rsidR="00133D2C" w:rsidRPr="001E5E27" w:rsidRDefault="00133D2C" w:rsidP="003F3704">
                      <w:pPr>
                        <w:pStyle w:val="ListParagraph"/>
                        <w:numPr>
                          <w:ilvl w:val="0"/>
                          <w:numId w:val="23"/>
                        </w:numPr>
                        <w:spacing w:before="0" w:after="0"/>
                        <w:contextualSpacing/>
                        <w:rPr>
                          <w:rFonts w:cstheme="minorHAnsi"/>
                          <w:b/>
                        </w:rPr>
                      </w:pPr>
                      <w:r w:rsidRPr="001E5E27">
                        <w:rPr>
                          <w:rFonts w:cstheme="minorHAnsi"/>
                          <w:b/>
                        </w:rPr>
                        <w:t>highlight government endorsement of the HSR System</w:t>
                      </w:r>
                    </w:p>
                    <w:p w:rsidR="00133D2C" w:rsidRPr="001E5E27" w:rsidRDefault="00133D2C" w:rsidP="003F3704">
                      <w:pPr>
                        <w:pStyle w:val="mpcNormal"/>
                        <w:keepNext w:val="0"/>
                        <w:numPr>
                          <w:ilvl w:val="0"/>
                          <w:numId w:val="23"/>
                        </w:numPr>
                        <w:rPr>
                          <w:i/>
                        </w:rPr>
                      </w:pPr>
                      <w:r w:rsidRPr="001E5E27">
                        <w:rPr>
                          <w:b/>
                        </w:rPr>
                        <w:t>position the HSR System in the context of broader healthy eating messages.</w:t>
                      </w:r>
                    </w:p>
                    <w:p w:rsidR="00133D2C" w:rsidRPr="00A966D5" w:rsidRDefault="00133D2C" w:rsidP="00A966D5">
                      <w:pPr>
                        <w:jc w:val="both"/>
                        <w:rPr>
                          <w:rFonts w:cs="Arial"/>
                        </w:rPr>
                      </w:pPr>
                      <w:r w:rsidRPr="001E5E27">
                        <w:rPr>
                          <w:rFonts w:cstheme="minorHAnsi"/>
                          <w:i/>
                        </w:rPr>
                        <w:t>Continued HSR System promotion by Government is necessary to communicate changes to the System and continue to address common misunderstandings. Once the System is further embedded into the broader public health culture and food system, specific campaigns about how to use the System will be less critical than positioning the System in the context of broader healthy eating messages. It is important that all stakeholders continue to play a role in constantly refreshing public understanding of the System and promoting its use</w:t>
                      </w:r>
                      <w:r w:rsidRPr="001E5E27">
                        <w:rPr>
                          <w:rFonts w:cs="Arial"/>
                          <w:i/>
                        </w:rPr>
                        <w:t>.</w:t>
                      </w:r>
                    </w:p>
                  </w:txbxContent>
                </v:textbox>
                <w10:wrap type="square" anchorx="margin"/>
              </v:shape>
            </w:pict>
          </mc:Fallback>
        </mc:AlternateContent>
      </w:r>
      <w:r w:rsidR="00740948">
        <w:t>C</w:t>
      </w:r>
      <w:r w:rsidR="003F3704">
        <w:t>ontinue</w:t>
      </w:r>
      <w:r w:rsidR="00740948">
        <w:t>d</w:t>
      </w:r>
      <w:r w:rsidR="003F3704">
        <w:t xml:space="preserve"> promotion of HSR System.</w:t>
      </w:r>
      <w:bookmarkEnd w:id="11"/>
    </w:p>
    <w:p w14:paraId="1ACD4ACE" w14:textId="77777777" w:rsidR="003F3704" w:rsidRDefault="003F3704" w:rsidP="00406DCE">
      <w:pPr>
        <w:pStyle w:val="Heading3"/>
        <w:spacing w:before="120"/>
      </w:pPr>
      <w:r>
        <w:t xml:space="preserve">Response: </w:t>
      </w:r>
    </w:p>
    <w:p w14:paraId="50BB8565" w14:textId="77777777" w:rsidR="003F3704" w:rsidRDefault="003F3704" w:rsidP="008D5076">
      <w:r w:rsidRPr="00406DCE">
        <w:rPr>
          <w:b/>
        </w:rPr>
        <w:t>Support</w:t>
      </w:r>
      <w:r w:rsidR="005B385E">
        <w:rPr>
          <w:b/>
        </w:rPr>
        <w:t>s</w:t>
      </w:r>
      <w:r w:rsidR="008B41CF">
        <w:t>, subject to</w:t>
      </w:r>
      <w:r w:rsidR="001E5E27">
        <w:t xml:space="preserve"> </w:t>
      </w:r>
      <w:r w:rsidR="008B41CF">
        <w:t>funding</w:t>
      </w:r>
      <w:r w:rsidR="0097076C">
        <w:t>.</w:t>
      </w:r>
    </w:p>
    <w:p w14:paraId="44F95540" w14:textId="77777777" w:rsidR="003F3704" w:rsidRPr="00270B61" w:rsidRDefault="003F3704" w:rsidP="00406DCE">
      <w:pPr>
        <w:pStyle w:val="Heading3"/>
        <w:spacing w:before="120"/>
      </w:pPr>
      <w:r w:rsidRPr="00270B61">
        <w:lastRenderedPageBreak/>
        <w:t xml:space="preserve">Rationale: </w:t>
      </w:r>
    </w:p>
    <w:p w14:paraId="2C483EC2" w14:textId="77777777" w:rsidR="00C30B0A" w:rsidRDefault="00E33161" w:rsidP="008D5076">
      <w:pPr>
        <w:rPr>
          <w:rFonts w:cstheme="minorHAnsi"/>
        </w:rPr>
      </w:pPr>
      <w:r>
        <w:rPr>
          <w:rFonts w:cstheme="minorHAnsi"/>
        </w:rPr>
        <w:t xml:space="preserve">The </w:t>
      </w:r>
      <w:r w:rsidR="00246370">
        <w:rPr>
          <w:rFonts w:cstheme="minorHAnsi"/>
        </w:rPr>
        <w:t>Review R</w:t>
      </w:r>
      <w:r>
        <w:rPr>
          <w:rFonts w:cstheme="minorHAnsi"/>
        </w:rPr>
        <w:t>eport and e</w:t>
      </w:r>
      <w:r w:rsidR="00E61228" w:rsidRPr="00270B61">
        <w:rPr>
          <w:rFonts w:cstheme="minorHAnsi"/>
        </w:rPr>
        <w:t xml:space="preserve">xperience of the </w:t>
      </w:r>
      <w:r w:rsidR="00246370">
        <w:rPr>
          <w:rFonts w:cstheme="minorHAnsi"/>
        </w:rPr>
        <w:t xml:space="preserve">HSR </w:t>
      </w:r>
      <w:r w:rsidR="00E61228" w:rsidRPr="00270B61">
        <w:rPr>
          <w:rFonts w:cstheme="minorHAnsi"/>
        </w:rPr>
        <w:t xml:space="preserve">system to date has shown that consistent messaging from a range of sources – including governments, industry and public health sectors – is an effective approach. </w:t>
      </w:r>
    </w:p>
    <w:p w14:paraId="6A9C6F64" w14:textId="77777777" w:rsidR="00E61228" w:rsidRDefault="00C30B0A" w:rsidP="008D5076">
      <w:pPr>
        <w:rPr>
          <w:rFonts w:cstheme="minorHAnsi"/>
          <w:b/>
        </w:rPr>
      </w:pPr>
      <w:r w:rsidRPr="00BF3AF6">
        <w:rPr>
          <w:rFonts w:cstheme="minorHAnsi"/>
        </w:rPr>
        <w:t>The Review</w:t>
      </w:r>
      <w:r w:rsidR="00246370">
        <w:rPr>
          <w:rFonts w:cstheme="minorHAnsi"/>
        </w:rPr>
        <w:t xml:space="preserve"> Report</w:t>
      </w:r>
      <w:r w:rsidRPr="00BF3AF6">
        <w:rPr>
          <w:rFonts w:cstheme="minorHAnsi"/>
        </w:rPr>
        <w:t xml:space="preserve"> highlights that</w:t>
      </w:r>
      <w:r>
        <w:rPr>
          <w:rFonts w:cstheme="minorHAnsi"/>
        </w:rPr>
        <w:t xml:space="preserve"> after an initial transition period, the HSR </w:t>
      </w:r>
      <w:r w:rsidR="00246370">
        <w:rPr>
          <w:rFonts w:cstheme="minorHAnsi"/>
        </w:rPr>
        <w:t>s</w:t>
      </w:r>
      <w:r>
        <w:rPr>
          <w:rFonts w:cstheme="minorHAnsi"/>
        </w:rPr>
        <w:t>ystem s</w:t>
      </w:r>
      <w:r w:rsidR="003C3EFF">
        <w:rPr>
          <w:rFonts w:cstheme="minorHAnsi"/>
        </w:rPr>
        <w:t>hould be sufficiently embedded</w:t>
      </w:r>
      <w:r>
        <w:rPr>
          <w:rFonts w:cstheme="minorHAnsi"/>
        </w:rPr>
        <w:t xml:space="preserve"> that di</w:t>
      </w:r>
      <w:r w:rsidR="001C2F91">
        <w:rPr>
          <w:rFonts w:cstheme="minorHAnsi"/>
        </w:rPr>
        <w:t>screte government funding for</w:t>
      </w:r>
      <w:r>
        <w:rPr>
          <w:rFonts w:cstheme="minorHAnsi"/>
        </w:rPr>
        <w:t xml:space="preserve"> promotion (as distinct from promotion of broad</w:t>
      </w:r>
      <w:r w:rsidR="001C2F91">
        <w:rPr>
          <w:rFonts w:cstheme="minorHAnsi"/>
        </w:rPr>
        <w:t xml:space="preserve">er </w:t>
      </w:r>
      <w:r>
        <w:rPr>
          <w:rFonts w:cstheme="minorHAnsi"/>
        </w:rPr>
        <w:t>healthy eating messages) is not required.</w:t>
      </w:r>
      <w:r>
        <w:rPr>
          <w:rFonts w:cstheme="minorHAnsi"/>
          <w:b/>
        </w:rPr>
        <w:t xml:space="preserve"> </w:t>
      </w:r>
      <w:proofErr w:type="gramStart"/>
      <w:r w:rsidR="001C2F91">
        <w:rPr>
          <w:rFonts w:cstheme="minorHAnsi"/>
        </w:rPr>
        <w:t>Therefore</w:t>
      </w:r>
      <w:proofErr w:type="gramEnd"/>
      <w:r w:rsidRPr="00C30B0A">
        <w:rPr>
          <w:rFonts w:cstheme="minorHAnsi"/>
        </w:rPr>
        <w:t xml:space="preserve"> a commitment to promotion over two years would seem appropriate.</w:t>
      </w:r>
      <w:r>
        <w:rPr>
          <w:rFonts w:cstheme="minorHAnsi"/>
          <w:b/>
        </w:rPr>
        <w:t xml:space="preserve"> </w:t>
      </w:r>
    </w:p>
    <w:p w14:paraId="0E6A4425" w14:textId="77777777" w:rsidR="001C2F91" w:rsidRPr="00270B61" w:rsidRDefault="001C2F91" w:rsidP="008D5076">
      <w:pPr>
        <w:rPr>
          <w:rFonts w:cstheme="minorHAnsi"/>
        </w:rPr>
      </w:pPr>
      <w:r w:rsidRPr="00736E22">
        <w:rPr>
          <w:rFonts w:cstheme="minorHAnsi"/>
        </w:rPr>
        <w:t xml:space="preserve">In Australia the consumer education and marketing of </w:t>
      </w:r>
      <w:r>
        <w:rPr>
          <w:rFonts w:cstheme="minorHAnsi"/>
        </w:rPr>
        <w:t>t</w:t>
      </w:r>
      <w:r w:rsidRPr="00793C90">
        <w:rPr>
          <w:rFonts w:cstheme="minorHAnsi"/>
        </w:rPr>
        <w:t xml:space="preserve">he HSR system is funded through a cost share arrangement between </w:t>
      </w:r>
      <w:r>
        <w:rPr>
          <w:rFonts w:cstheme="minorHAnsi"/>
        </w:rPr>
        <w:t xml:space="preserve">Australian </w:t>
      </w:r>
      <w:r w:rsidRPr="00793C90">
        <w:rPr>
          <w:rFonts w:cstheme="minorHAnsi"/>
        </w:rPr>
        <w:t>jurisdictions</w:t>
      </w:r>
      <w:r>
        <w:rPr>
          <w:rFonts w:cstheme="minorHAnsi"/>
        </w:rPr>
        <w:t>.</w:t>
      </w:r>
      <w:r w:rsidRPr="00793C90">
        <w:rPr>
          <w:rFonts w:cstheme="minorHAnsi"/>
        </w:rPr>
        <w:t xml:space="preserve"> Continued formal campaigns will require </w:t>
      </w:r>
      <w:r w:rsidR="000D268C">
        <w:rPr>
          <w:rFonts w:cstheme="minorHAnsi"/>
        </w:rPr>
        <w:t>the</w:t>
      </w:r>
      <w:r w:rsidRPr="00793C90">
        <w:rPr>
          <w:rFonts w:cstheme="minorHAnsi"/>
        </w:rPr>
        <w:t xml:space="preserve"> </w:t>
      </w:r>
      <w:r w:rsidR="000D268C">
        <w:rPr>
          <w:rFonts w:cstheme="minorHAnsi"/>
        </w:rPr>
        <w:t>identification of available funding within each jurisdiction</w:t>
      </w:r>
      <w:r>
        <w:rPr>
          <w:rFonts w:cstheme="minorHAnsi"/>
        </w:rPr>
        <w:t>. The New Zealand Government funds its own consumer education and marketing campaign</w:t>
      </w:r>
      <w:r w:rsidR="000D268C">
        <w:rPr>
          <w:rFonts w:cstheme="minorHAnsi"/>
        </w:rPr>
        <w:t>.</w:t>
      </w:r>
    </w:p>
    <w:p w14:paraId="1DC4F9BD" w14:textId="77777777" w:rsidR="003F3704" w:rsidRPr="00270B61" w:rsidRDefault="003F3704" w:rsidP="00FD6C55">
      <w:pPr>
        <w:spacing w:before="0" w:line="259" w:lineRule="auto"/>
        <w:rPr>
          <w:rFonts w:cstheme="minorHAnsi"/>
          <w:b/>
        </w:rPr>
      </w:pPr>
      <w:r w:rsidRPr="00270B61">
        <w:rPr>
          <w:rFonts w:cstheme="minorHAnsi"/>
          <w:b/>
        </w:rPr>
        <w:t>Communicate the</w:t>
      </w:r>
      <w:r w:rsidR="00787C18">
        <w:rPr>
          <w:rFonts w:cstheme="minorHAnsi"/>
          <w:b/>
        </w:rPr>
        <w:t xml:space="preserve"> reason for changes to the HSR s</w:t>
      </w:r>
      <w:r w:rsidRPr="00270B61">
        <w:rPr>
          <w:rFonts w:cstheme="minorHAnsi"/>
          <w:b/>
        </w:rPr>
        <w:t>ystem</w:t>
      </w:r>
      <w:r w:rsidR="001C2F91">
        <w:rPr>
          <w:rFonts w:cstheme="minorHAnsi"/>
          <w:b/>
        </w:rPr>
        <w:t xml:space="preserve"> - </w:t>
      </w:r>
      <w:r w:rsidRPr="00270B61">
        <w:rPr>
          <w:rFonts w:cstheme="minorHAnsi"/>
        </w:rPr>
        <w:t>The HSR system relies on correct cons</w:t>
      </w:r>
      <w:r w:rsidR="00EC2A11" w:rsidRPr="00270B61">
        <w:rPr>
          <w:rFonts w:cstheme="minorHAnsi"/>
        </w:rPr>
        <w:t xml:space="preserve">umer understanding and </w:t>
      </w:r>
      <w:r w:rsidRPr="00270B61">
        <w:rPr>
          <w:rFonts w:cstheme="minorHAnsi"/>
        </w:rPr>
        <w:t xml:space="preserve">use to be effective in achieving public health outcomes. </w:t>
      </w:r>
      <w:r w:rsidR="00254DAC" w:rsidRPr="00270B61">
        <w:rPr>
          <w:rFonts w:cstheme="minorHAnsi"/>
        </w:rPr>
        <w:t xml:space="preserve">Communication </w:t>
      </w:r>
      <w:r w:rsidR="00D8560C" w:rsidRPr="00270B61">
        <w:rPr>
          <w:rFonts w:cstheme="minorHAnsi"/>
        </w:rPr>
        <w:t xml:space="preserve">with stakeholders </w:t>
      </w:r>
      <w:r w:rsidR="00254DAC" w:rsidRPr="00270B61">
        <w:rPr>
          <w:rFonts w:cstheme="minorHAnsi"/>
        </w:rPr>
        <w:t xml:space="preserve">to explain </w:t>
      </w:r>
      <w:r w:rsidR="00EC2A11" w:rsidRPr="00270B61">
        <w:rPr>
          <w:rFonts w:cstheme="minorHAnsi"/>
        </w:rPr>
        <w:t xml:space="preserve">the rationale behind </w:t>
      </w:r>
      <w:r w:rsidR="00E61228" w:rsidRPr="00270B61">
        <w:rPr>
          <w:rFonts w:cstheme="minorHAnsi"/>
        </w:rPr>
        <w:t xml:space="preserve">changes will be key </w:t>
      </w:r>
      <w:r w:rsidR="00254DAC" w:rsidRPr="00270B61">
        <w:rPr>
          <w:rFonts w:cstheme="minorHAnsi"/>
        </w:rPr>
        <w:t>to maintain</w:t>
      </w:r>
      <w:r w:rsidR="00E61228" w:rsidRPr="00270B61">
        <w:rPr>
          <w:rFonts w:cstheme="minorHAnsi"/>
        </w:rPr>
        <w:t>ing</w:t>
      </w:r>
      <w:r w:rsidR="00254DAC" w:rsidRPr="00270B61">
        <w:rPr>
          <w:rFonts w:cstheme="minorHAnsi"/>
        </w:rPr>
        <w:t xml:space="preserve"> consumer trust in and understanding of the </w:t>
      </w:r>
      <w:r w:rsidR="00246370">
        <w:rPr>
          <w:rFonts w:cstheme="minorHAnsi"/>
        </w:rPr>
        <w:t xml:space="preserve">HSR </w:t>
      </w:r>
      <w:r w:rsidR="00254DAC" w:rsidRPr="00270B61">
        <w:rPr>
          <w:rFonts w:cstheme="minorHAnsi"/>
        </w:rPr>
        <w:t>system</w:t>
      </w:r>
      <w:r w:rsidR="00D8560C" w:rsidRPr="00270B61">
        <w:rPr>
          <w:rFonts w:cstheme="minorHAnsi"/>
        </w:rPr>
        <w:t xml:space="preserve">, particularly </w:t>
      </w:r>
      <w:r w:rsidR="001C2F91">
        <w:rPr>
          <w:rFonts w:cstheme="minorHAnsi"/>
        </w:rPr>
        <w:t>if</w:t>
      </w:r>
      <w:r w:rsidR="00D8560C" w:rsidRPr="00270B61">
        <w:rPr>
          <w:rFonts w:cstheme="minorHAnsi"/>
        </w:rPr>
        <w:t xml:space="preserve"> heightened media scrutiny</w:t>
      </w:r>
      <w:r w:rsidR="001C2F91">
        <w:rPr>
          <w:rFonts w:cstheme="minorHAnsi"/>
        </w:rPr>
        <w:t xml:space="preserve"> also exists.</w:t>
      </w:r>
    </w:p>
    <w:p w14:paraId="28AD8747" w14:textId="77777777" w:rsidR="00D8560C" w:rsidRPr="00C956E3" w:rsidRDefault="003F3704" w:rsidP="00FD6C55">
      <w:pPr>
        <w:spacing w:before="0" w:line="259" w:lineRule="auto"/>
        <w:rPr>
          <w:rFonts w:cstheme="minorHAnsi"/>
        </w:rPr>
      </w:pPr>
      <w:r w:rsidRPr="00270B61">
        <w:rPr>
          <w:rFonts w:cstheme="minorHAnsi"/>
          <w:b/>
        </w:rPr>
        <w:t xml:space="preserve">Target specific areas of consumer misunderstanding or gaps in awareness </w:t>
      </w:r>
      <w:r w:rsidR="001C2F91">
        <w:rPr>
          <w:rFonts w:cstheme="minorHAnsi"/>
          <w:b/>
        </w:rPr>
        <w:t xml:space="preserve">- </w:t>
      </w:r>
      <w:r w:rsidR="001C2F91">
        <w:rPr>
          <w:rFonts w:cstheme="minorHAnsi"/>
        </w:rPr>
        <w:t>A period</w:t>
      </w:r>
      <w:r w:rsidR="00D8560C" w:rsidRPr="00C956E3">
        <w:rPr>
          <w:rFonts w:cstheme="minorHAnsi"/>
        </w:rPr>
        <w:t xml:space="preserve"> of change to the </w:t>
      </w:r>
      <w:r w:rsidR="00246370">
        <w:rPr>
          <w:rFonts w:cstheme="minorHAnsi"/>
        </w:rPr>
        <w:t xml:space="preserve">HSR </w:t>
      </w:r>
      <w:r w:rsidR="00D8560C" w:rsidRPr="00C956E3">
        <w:rPr>
          <w:rFonts w:cstheme="minorHAnsi"/>
        </w:rPr>
        <w:t xml:space="preserve">system is an opportune time to </w:t>
      </w:r>
      <w:r w:rsidR="002E460B" w:rsidRPr="00C956E3">
        <w:rPr>
          <w:rFonts w:cstheme="minorHAnsi"/>
        </w:rPr>
        <w:t>target and address</w:t>
      </w:r>
      <w:r w:rsidR="00D8560C" w:rsidRPr="00C956E3">
        <w:rPr>
          <w:rFonts w:cstheme="minorHAnsi"/>
        </w:rPr>
        <w:t xml:space="preserve"> misunderstandings on use of the </w:t>
      </w:r>
      <w:r w:rsidR="00246370">
        <w:rPr>
          <w:rFonts w:cstheme="minorHAnsi"/>
        </w:rPr>
        <w:t xml:space="preserve">HSR </w:t>
      </w:r>
      <w:r w:rsidR="00D8560C" w:rsidRPr="00C956E3">
        <w:rPr>
          <w:rFonts w:cstheme="minorHAnsi"/>
        </w:rPr>
        <w:t xml:space="preserve">system while also communicating any changes to how the </w:t>
      </w:r>
      <w:r w:rsidR="00246370">
        <w:rPr>
          <w:rFonts w:cstheme="minorHAnsi"/>
        </w:rPr>
        <w:t xml:space="preserve">HSR </w:t>
      </w:r>
      <w:r w:rsidR="00D8560C" w:rsidRPr="00C956E3">
        <w:rPr>
          <w:rFonts w:cstheme="minorHAnsi"/>
        </w:rPr>
        <w:t xml:space="preserve">system should be used. </w:t>
      </w:r>
    </w:p>
    <w:p w14:paraId="242B6A70" w14:textId="77777777" w:rsidR="0050085C" w:rsidRDefault="003F3704" w:rsidP="002449DB">
      <w:pPr>
        <w:spacing w:before="0" w:line="259" w:lineRule="auto"/>
        <w:rPr>
          <w:rFonts w:cstheme="minorHAnsi"/>
        </w:rPr>
      </w:pPr>
      <w:r>
        <w:rPr>
          <w:rFonts w:cstheme="minorHAnsi"/>
          <w:b/>
        </w:rPr>
        <w:t>P</w:t>
      </w:r>
      <w:r w:rsidR="00246370">
        <w:rPr>
          <w:rFonts w:cstheme="minorHAnsi"/>
          <w:b/>
        </w:rPr>
        <w:t>osition the HSR s</w:t>
      </w:r>
      <w:r w:rsidRPr="003F3704">
        <w:rPr>
          <w:rFonts w:cstheme="minorHAnsi"/>
          <w:b/>
        </w:rPr>
        <w:t>ystem in the context of broader healthy eating messages</w:t>
      </w:r>
      <w:r w:rsidR="001C2F91">
        <w:rPr>
          <w:rFonts w:cstheme="minorHAnsi"/>
          <w:b/>
        </w:rPr>
        <w:t xml:space="preserve"> - </w:t>
      </w:r>
      <w:r w:rsidR="00E61228" w:rsidRPr="0050085C">
        <w:rPr>
          <w:rFonts w:cstheme="minorHAnsi"/>
        </w:rPr>
        <w:t xml:space="preserve">The </w:t>
      </w:r>
      <w:r w:rsidR="001C2F91">
        <w:rPr>
          <w:rFonts w:cstheme="minorHAnsi"/>
        </w:rPr>
        <w:t>public</w:t>
      </w:r>
      <w:r w:rsidR="00E61228" w:rsidRPr="0050085C">
        <w:rPr>
          <w:rFonts w:cstheme="minorHAnsi"/>
        </w:rPr>
        <w:t xml:space="preserve"> profile</w:t>
      </w:r>
      <w:r w:rsidR="001C2F91">
        <w:rPr>
          <w:rFonts w:cstheme="minorHAnsi"/>
        </w:rPr>
        <w:t xml:space="preserve"> </w:t>
      </w:r>
      <w:r w:rsidR="008D4792">
        <w:rPr>
          <w:rFonts w:cstheme="minorHAnsi"/>
        </w:rPr>
        <w:t>of</w:t>
      </w:r>
      <w:r w:rsidR="00E61228" w:rsidRPr="0050085C">
        <w:rPr>
          <w:rFonts w:cstheme="minorHAnsi"/>
        </w:rPr>
        <w:t xml:space="preserve"> the HSR </w:t>
      </w:r>
      <w:r w:rsidR="00E61228" w:rsidRPr="00E61228">
        <w:rPr>
          <w:rFonts w:cstheme="minorHAnsi"/>
        </w:rPr>
        <w:t>system has meant that it</w:t>
      </w:r>
      <w:r w:rsidR="00E61228">
        <w:rPr>
          <w:rFonts w:cstheme="minorHAnsi"/>
        </w:rPr>
        <w:t>s role among</w:t>
      </w:r>
      <w:r w:rsidR="00813B54">
        <w:rPr>
          <w:rFonts w:cstheme="minorHAnsi"/>
        </w:rPr>
        <w:t xml:space="preserve"> the suite of tools </w:t>
      </w:r>
      <w:r w:rsidR="001C2F91">
        <w:rPr>
          <w:rFonts w:cstheme="minorHAnsi"/>
        </w:rPr>
        <w:t>that promote</w:t>
      </w:r>
      <w:r w:rsidR="00E61228">
        <w:rPr>
          <w:rFonts w:cstheme="minorHAnsi"/>
        </w:rPr>
        <w:t xml:space="preserve"> </w:t>
      </w:r>
      <w:r w:rsidR="00E15CFB">
        <w:rPr>
          <w:rFonts w:cstheme="minorHAnsi"/>
        </w:rPr>
        <w:t xml:space="preserve">healthy eating </w:t>
      </w:r>
      <w:r w:rsidR="001C2F91">
        <w:rPr>
          <w:rFonts w:cstheme="minorHAnsi"/>
        </w:rPr>
        <w:t>can be</w:t>
      </w:r>
      <w:r w:rsidR="00E61228">
        <w:rPr>
          <w:rFonts w:cstheme="minorHAnsi"/>
        </w:rPr>
        <w:t xml:space="preserve"> over</w:t>
      </w:r>
      <w:r w:rsidR="00813B54">
        <w:rPr>
          <w:rFonts w:cstheme="minorHAnsi"/>
        </w:rPr>
        <w:t>stated</w:t>
      </w:r>
      <w:r w:rsidR="00E61228">
        <w:rPr>
          <w:rFonts w:cstheme="minorHAnsi"/>
        </w:rPr>
        <w:t xml:space="preserve">. </w:t>
      </w:r>
      <w:r w:rsidR="0050085C" w:rsidRPr="009861A3">
        <w:rPr>
          <w:rFonts w:cstheme="minorHAnsi"/>
        </w:rPr>
        <w:t>The HSR system is one tool</w:t>
      </w:r>
      <w:r w:rsidR="0050085C">
        <w:rPr>
          <w:rFonts w:cstheme="minorHAnsi"/>
        </w:rPr>
        <w:t>,</w:t>
      </w:r>
      <w:r w:rsidR="0050085C" w:rsidRPr="009861A3">
        <w:rPr>
          <w:rFonts w:cstheme="minorHAnsi"/>
        </w:rPr>
        <w:t xml:space="preserve"> </w:t>
      </w:r>
      <w:r w:rsidR="0050085C">
        <w:rPr>
          <w:rFonts w:cstheme="minorHAnsi"/>
        </w:rPr>
        <w:t xml:space="preserve">designed to address one specific aspect of </w:t>
      </w:r>
      <w:r w:rsidR="0090469B">
        <w:rPr>
          <w:rFonts w:cstheme="minorHAnsi"/>
        </w:rPr>
        <w:t>dietary advice</w:t>
      </w:r>
      <w:r w:rsidR="0050085C">
        <w:rPr>
          <w:rFonts w:cstheme="minorHAnsi"/>
        </w:rPr>
        <w:t xml:space="preserve"> and to support more comprehensive and broad </w:t>
      </w:r>
      <w:r w:rsidR="0090469B">
        <w:rPr>
          <w:rFonts w:cstheme="minorHAnsi"/>
        </w:rPr>
        <w:t>healthy eating education efforts.</w:t>
      </w:r>
      <w:r w:rsidR="00244F4D">
        <w:rPr>
          <w:rFonts w:cstheme="minorHAnsi"/>
        </w:rPr>
        <w:t xml:space="preserve"> The HSR system does not</w:t>
      </w:r>
      <w:r w:rsidR="002B5721">
        <w:rPr>
          <w:rFonts w:cstheme="minorHAnsi"/>
        </w:rPr>
        <w:t xml:space="preserve"> </w:t>
      </w:r>
      <w:r w:rsidR="00244F4D">
        <w:rPr>
          <w:rFonts w:cstheme="minorHAnsi"/>
        </w:rPr>
        <w:t>and canno</w:t>
      </w:r>
      <w:r w:rsidR="002B5721">
        <w:rPr>
          <w:rFonts w:cstheme="minorHAnsi"/>
        </w:rPr>
        <w:t>t</w:t>
      </w:r>
      <w:r w:rsidR="00244F4D">
        <w:rPr>
          <w:rFonts w:cstheme="minorHAnsi"/>
        </w:rPr>
        <w:t xml:space="preserve"> provide complete dietary advice</w:t>
      </w:r>
      <w:r w:rsidR="00265CEB">
        <w:rPr>
          <w:rFonts w:cstheme="minorHAnsi"/>
        </w:rPr>
        <w:t>, t</w:t>
      </w:r>
      <w:r w:rsidR="009C0E8A">
        <w:rPr>
          <w:rFonts w:cstheme="minorHAnsi"/>
        </w:rPr>
        <w:t>herefore i</w:t>
      </w:r>
      <w:r w:rsidR="00C8163C">
        <w:rPr>
          <w:rFonts w:cstheme="minorHAnsi"/>
        </w:rPr>
        <w:t xml:space="preserve">t is </w:t>
      </w:r>
      <w:r w:rsidR="009C0E8A">
        <w:rPr>
          <w:rFonts w:cstheme="minorHAnsi"/>
        </w:rPr>
        <w:t>important that</w:t>
      </w:r>
      <w:r w:rsidR="00E61228" w:rsidRPr="00E61228">
        <w:rPr>
          <w:rFonts w:cstheme="minorHAnsi"/>
        </w:rPr>
        <w:t xml:space="preserve"> adherence to the Dietary Guidelines is emphasised</w:t>
      </w:r>
      <w:r w:rsidR="00AE72B2">
        <w:rPr>
          <w:rFonts w:cstheme="minorHAnsi"/>
        </w:rPr>
        <w:t xml:space="preserve"> as the</w:t>
      </w:r>
      <w:r w:rsidR="00E61228" w:rsidRPr="00E61228">
        <w:rPr>
          <w:rFonts w:cstheme="minorHAnsi"/>
        </w:rPr>
        <w:t xml:space="preserve"> </w:t>
      </w:r>
      <w:r w:rsidR="009C0E8A">
        <w:rPr>
          <w:rFonts w:cstheme="minorHAnsi"/>
        </w:rPr>
        <w:t>best</w:t>
      </w:r>
      <w:r w:rsidR="00BA218F">
        <w:rPr>
          <w:rFonts w:cstheme="minorHAnsi"/>
        </w:rPr>
        <w:t xml:space="preserve"> </w:t>
      </w:r>
      <w:r w:rsidR="00E61228" w:rsidRPr="00E61228">
        <w:rPr>
          <w:rFonts w:cstheme="minorHAnsi"/>
        </w:rPr>
        <w:t xml:space="preserve">way to achieve a </w:t>
      </w:r>
      <w:r w:rsidR="00AE72B2">
        <w:rPr>
          <w:rFonts w:cstheme="minorHAnsi"/>
        </w:rPr>
        <w:t xml:space="preserve">healthy and </w:t>
      </w:r>
      <w:r w:rsidR="00E61228" w:rsidRPr="00E61228">
        <w:rPr>
          <w:rFonts w:cstheme="minorHAnsi"/>
        </w:rPr>
        <w:t xml:space="preserve">balanced diet. </w:t>
      </w:r>
      <w:r w:rsidR="008313E5">
        <w:rPr>
          <w:rFonts w:cstheme="minorHAnsi"/>
        </w:rPr>
        <w:t>Promoting the us</w:t>
      </w:r>
      <w:r w:rsidR="005E4BE0">
        <w:rPr>
          <w:rFonts w:cstheme="minorHAnsi"/>
        </w:rPr>
        <w:t xml:space="preserve">e of the HSR in the context of the Dietary Guidelines will </w:t>
      </w:r>
      <w:r w:rsidR="0083277C">
        <w:rPr>
          <w:rFonts w:cstheme="minorHAnsi"/>
        </w:rPr>
        <w:t xml:space="preserve">assist in </w:t>
      </w:r>
      <w:r w:rsidR="005E4BE0">
        <w:rPr>
          <w:rFonts w:cstheme="minorHAnsi"/>
        </w:rPr>
        <w:t>encourag</w:t>
      </w:r>
      <w:r w:rsidR="0083277C">
        <w:rPr>
          <w:rFonts w:cstheme="minorHAnsi"/>
        </w:rPr>
        <w:t>ing</w:t>
      </w:r>
      <w:r w:rsidR="005E4BE0">
        <w:rPr>
          <w:rFonts w:cstheme="minorHAnsi"/>
        </w:rPr>
        <w:t xml:space="preserve"> consumers to eat a wide variety of nutritious foods every day. </w:t>
      </w:r>
    </w:p>
    <w:p w14:paraId="309F14A5" w14:textId="77777777" w:rsidR="00B50F59" w:rsidRDefault="00B50F59" w:rsidP="00406DCE">
      <w:pPr>
        <w:pStyle w:val="Heading3"/>
        <w:spacing w:before="120"/>
      </w:pPr>
      <w:r>
        <w:t xml:space="preserve">Implementation timeframe: </w:t>
      </w:r>
    </w:p>
    <w:p w14:paraId="61E7BC21" w14:textId="77777777" w:rsidR="0041374E" w:rsidRDefault="004C0801" w:rsidP="0041374E">
      <w:r>
        <w:t>From the agreed implementation date and on an o</w:t>
      </w:r>
      <w:r w:rsidR="0041374E">
        <w:t>ngoing</w:t>
      </w:r>
      <w:r>
        <w:t xml:space="preserve"> basis first up to two years</w:t>
      </w:r>
      <w:r w:rsidR="0041374E">
        <w:t>.</w:t>
      </w:r>
    </w:p>
    <w:bookmarkStart w:id="12" w:name="_Toc21014904"/>
    <w:p w14:paraId="1229350D" w14:textId="77777777" w:rsidR="00871104" w:rsidRPr="00CB626B" w:rsidRDefault="00316CB0" w:rsidP="0041374E">
      <w:pPr>
        <w:pStyle w:val="Heading2"/>
      </w:pPr>
      <w:r w:rsidRPr="0041374E">
        <w:rPr>
          <w:noProof/>
        </w:rPr>
        <w:lastRenderedPageBreak/>
        <mc:AlternateContent>
          <mc:Choice Requires="wps">
            <w:drawing>
              <wp:anchor distT="45720" distB="45720" distL="114300" distR="114300" simplePos="0" relativeHeight="251665408" behindDoc="0" locked="0" layoutInCell="1" allowOverlap="1" wp14:anchorId="21B6CCB7" wp14:editId="7CD83BCE">
                <wp:simplePos x="0" y="0"/>
                <wp:positionH relativeFrom="margin">
                  <wp:align>right</wp:align>
                </wp:positionH>
                <wp:positionV relativeFrom="paragraph">
                  <wp:posOffset>344170</wp:posOffset>
                </wp:positionV>
                <wp:extent cx="6089650" cy="3761105"/>
                <wp:effectExtent l="0" t="0" r="2540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761105"/>
                        </a:xfrm>
                        <a:prstGeom prst="rect">
                          <a:avLst/>
                        </a:prstGeom>
                        <a:solidFill>
                          <a:schemeClr val="accent5">
                            <a:lumMod val="20000"/>
                            <a:lumOff val="80000"/>
                          </a:schemeClr>
                        </a:solidFill>
                        <a:ln w="9525">
                          <a:solidFill>
                            <a:srgbClr val="000000"/>
                          </a:solidFill>
                          <a:miter lim="800000"/>
                          <a:headEnd/>
                          <a:tailEnd/>
                        </a:ln>
                      </wps:spPr>
                      <wps:txbx>
                        <w:txbxContent>
                          <w:p w14:paraId="2DD69397" w14:textId="77777777" w:rsidR="00133D2C" w:rsidRPr="0041374E" w:rsidRDefault="00133D2C" w:rsidP="00316CB0">
                            <w:pPr>
                              <w:keepNext/>
                              <w:jc w:val="both"/>
                              <w:rPr>
                                <w:rFonts w:cstheme="minorHAnsi"/>
                                <w:b/>
                              </w:rPr>
                            </w:pPr>
                            <w:r>
                              <w:rPr>
                                <w:rFonts w:cstheme="minorHAnsi"/>
                                <w:b/>
                              </w:rPr>
                              <w:t xml:space="preserve">Recommendation 4: </w:t>
                            </w:r>
                            <w:r w:rsidRPr="0041374E">
                              <w:rPr>
                                <w:rFonts w:cstheme="minorHAnsi"/>
                                <w:b/>
                              </w:rPr>
                              <w:t>A package of changes be made to the way the HSR is</w:t>
                            </w:r>
                            <w:r>
                              <w:rPr>
                                <w:rFonts w:cstheme="minorHAnsi"/>
                                <w:b/>
                              </w:rPr>
                              <w:t xml:space="preserve"> calculated for foods to better </w:t>
                            </w:r>
                            <w:r w:rsidRPr="0041374E">
                              <w:rPr>
                                <w:rFonts w:cstheme="minorHAnsi"/>
                                <w:b/>
                              </w:rPr>
                              <w:t>align with Dietary Guidelines, reflect emerging evidence, address consumer concerns and encourage positive reformulation.</w:t>
                            </w:r>
                          </w:p>
                          <w:p w14:paraId="1BE8E212" w14:textId="77777777" w:rsidR="00133D2C" w:rsidRPr="0041374E" w:rsidRDefault="00133D2C" w:rsidP="00871104">
                            <w:pPr>
                              <w:keepNext/>
                              <w:rPr>
                                <w:rFonts w:cstheme="minorHAnsi"/>
                                <w:i/>
                              </w:rPr>
                            </w:pPr>
                            <w:r w:rsidRPr="0041374E">
                              <w:rPr>
                                <w:rFonts w:cstheme="minorHAnsi"/>
                                <w:i/>
                              </w:rPr>
                              <w:t>The following package of interrelated changes are proposed:</w:t>
                            </w:r>
                          </w:p>
                          <w:p w14:paraId="50359AB0" w14:textId="77777777"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fruits and vegetables that are fresh, frozen or canned (with no additions of sugar, salt or fat) should automatically receive an HSR of 5</w:t>
                            </w:r>
                          </w:p>
                          <w:p w14:paraId="337C3D16" w14:textId="77777777"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total sugars should be more strongly penalised, lowering the HSRs of 5% of products (including breakfast cereals, snack bars, sweetened milks, ice creams and sugar-based confectionery)</w:t>
                            </w:r>
                          </w:p>
                          <w:p w14:paraId="40404517" w14:textId="77777777"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sodium sensitivity should be improved for products high in sodium, reducing the HSR of 1% of products (all with sodium in excess of 900mg/100g)</w:t>
                            </w:r>
                          </w:p>
                          <w:p w14:paraId="7CA763DC" w14:textId="77777777"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dairy categories should be redefined to increase the HSRs of Four/Five Food Group (FFG) dairy foods (such as cheeses and yoghurts) and decrease the HSRs of some dairy desserts and other chilled dairy products, improving comparability between dairy products</w:t>
                            </w:r>
                          </w:p>
                          <w:p w14:paraId="3CAEED54" w14:textId="77777777"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 xml:space="preserve">jellies and water-based ice confections should be </w:t>
                            </w:r>
                            <w:r w:rsidRPr="0041374E">
                              <w:rPr>
                                <w:rFonts w:cstheme="minorHAnsi"/>
                                <w:i/>
                              </w:rPr>
                              <w:t>recategorised to decrease their HSRs.</w:t>
                            </w:r>
                          </w:p>
                          <w:p w14:paraId="1DD3737A" w14:textId="77777777" w:rsidR="00133D2C" w:rsidRPr="003B548F" w:rsidRDefault="00133D2C" w:rsidP="00871104">
                            <w:pPr>
                              <w:keepNext/>
                              <w:rPr>
                                <w:rFonts w:cstheme="minorHAnsi"/>
                              </w:rPr>
                            </w:pPr>
                            <w:r w:rsidRPr="003B548F">
                              <w:rPr>
                                <w:rFonts w:cstheme="minorHAnsi"/>
                                <w:i/>
                              </w:rPr>
                              <w:t>Based on modelling, these changes are expected to decrease the HSRs of approximately 10% of products (mostly discretionary foods) and increase the HSRs of approximately 6% of products (mostly FFG foods such as fruits and vegetables, yoghurts and cheeses).</w:t>
                            </w:r>
                            <w:r w:rsidRPr="003B548F">
                              <w:rPr>
                                <w:rFonts w:cstheme="minorHAnsi"/>
                              </w:rPr>
                              <w:t xml:space="preserve"> </w:t>
                            </w:r>
                          </w:p>
                          <w:p w14:paraId="5401DF7E" w14:textId="77777777" w:rsidR="00133D2C" w:rsidRPr="003B548F" w:rsidRDefault="00133D2C" w:rsidP="00871104">
                            <w:pPr>
                              <w:jc w:val="both"/>
                              <w:rPr>
                                <w:rFonts w:cstheme="minorHAnsi"/>
                              </w:rPr>
                            </w:pPr>
                            <w:r w:rsidRPr="003B548F">
                              <w:rPr>
                                <w:rFonts w:cstheme="minorHAnsi"/>
                                <w:i/>
                              </w:rPr>
                              <w:t>It is recommended that a two-year transition period (starting from the date recommendations are accepted by governments) be provided for industry to implement the changes.</w:t>
                            </w:r>
                          </w:p>
                          <w:p w14:paraId="66E7CC3F" w14:textId="77777777" w:rsidR="00133D2C" w:rsidRPr="0056153F" w:rsidRDefault="00133D2C" w:rsidP="00871104">
                            <w:pPr>
                              <w:pStyle w:val="mpcNormal"/>
                              <w:keepNext w:val="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26F86" id="_x0000_s1029" type="#_x0000_t202" style="position:absolute;left:0;text-align:left;margin-left:428.3pt;margin-top:27.1pt;width:479.5pt;height:296.1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" fillcolor="#e4e7dd [664]">
                <v:textbox>
                  <w:txbxContent>
                    <w:p w:rsidR="00133D2C" w:rsidRPr="0041374E" w:rsidRDefault="00133D2C" w:rsidP="00316CB0">
                      <w:pPr>
                        <w:keepNext/>
                        <w:jc w:val="both"/>
                        <w:rPr>
                          <w:rFonts w:cstheme="minorHAnsi"/>
                          <w:b/>
                        </w:rPr>
                      </w:pPr>
                      <w:r>
                        <w:rPr>
                          <w:rFonts w:cstheme="minorHAnsi"/>
                          <w:b/>
                        </w:rPr>
                        <w:t xml:space="preserve">Recommendation 4: </w:t>
                      </w:r>
                      <w:r w:rsidRPr="0041374E">
                        <w:rPr>
                          <w:rFonts w:cstheme="minorHAnsi"/>
                          <w:b/>
                        </w:rPr>
                        <w:t>A package of changes be made to the way the HSR is</w:t>
                      </w:r>
                      <w:r>
                        <w:rPr>
                          <w:rFonts w:cstheme="minorHAnsi"/>
                          <w:b/>
                        </w:rPr>
                        <w:t xml:space="preserve"> calculated for foods to better </w:t>
                      </w:r>
                      <w:r w:rsidRPr="0041374E">
                        <w:rPr>
                          <w:rFonts w:cstheme="minorHAnsi"/>
                          <w:b/>
                        </w:rPr>
                        <w:t>align with Dietary Guidelines, reflect emerging evidence, address consumer concerns and encourage positive reformulation.</w:t>
                      </w:r>
                    </w:p>
                    <w:p w:rsidR="00133D2C" w:rsidRPr="0041374E" w:rsidRDefault="00133D2C" w:rsidP="00871104">
                      <w:pPr>
                        <w:keepNext/>
                        <w:rPr>
                          <w:rFonts w:cstheme="minorHAnsi"/>
                          <w:i/>
                        </w:rPr>
                      </w:pPr>
                      <w:r w:rsidRPr="0041374E">
                        <w:rPr>
                          <w:rFonts w:cstheme="minorHAnsi"/>
                          <w:i/>
                        </w:rPr>
                        <w:t>The following package of interrelated changes are proposed:</w:t>
                      </w:r>
                    </w:p>
                    <w:p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fruits and vegetables that are fresh, frozen or canned (with no additions of sugar, salt or fat) should automatically receive an HSR of 5</w:t>
                      </w:r>
                    </w:p>
                    <w:p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total sugars should be more strongly penalised, lowering the HSRs of 5% of products (including breakfast cereals, snack bars, sweetened milks, ice creams and sugar-based confectionery)</w:t>
                      </w:r>
                    </w:p>
                    <w:p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sodium sensitivity should be improved for products high in sodium, reducing the HSR of 1% of products (all with sodium in excess of 900mg/100g)</w:t>
                      </w:r>
                    </w:p>
                    <w:p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dairy categories should be redefined to increase the HSRs of Four/Five Food Group (FFG) dairy foods (such as cheeses and yoghurts) and decrease the HSRs of some dairy desserts and other chilled dairy products, improving comparability between dairy products</w:t>
                      </w:r>
                    </w:p>
                    <w:p w:rsidR="00133D2C" w:rsidRPr="0041374E" w:rsidRDefault="00133D2C" w:rsidP="00871104">
                      <w:pPr>
                        <w:pStyle w:val="ListParagraph"/>
                        <w:keepNext/>
                        <w:numPr>
                          <w:ilvl w:val="0"/>
                          <w:numId w:val="24"/>
                        </w:numPr>
                        <w:spacing w:before="0" w:after="0"/>
                        <w:contextualSpacing/>
                        <w:rPr>
                          <w:rFonts w:cstheme="minorHAnsi"/>
                          <w:i/>
                        </w:rPr>
                      </w:pPr>
                      <w:r w:rsidRPr="0041374E">
                        <w:rPr>
                          <w:rFonts w:cstheme="minorHAnsi"/>
                          <w:i/>
                        </w:rPr>
                        <w:t>jellies and water-based ice confections should be recategorised to decrease their HSRs.</w:t>
                      </w:r>
                    </w:p>
                    <w:p w:rsidR="00133D2C" w:rsidRPr="003B548F" w:rsidRDefault="00133D2C" w:rsidP="00871104">
                      <w:pPr>
                        <w:keepNext/>
                        <w:rPr>
                          <w:rFonts w:cstheme="minorHAnsi"/>
                        </w:rPr>
                      </w:pPr>
                      <w:r w:rsidRPr="003B548F">
                        <w:rPr>
                          <w:rFonts w:cstheme="minorHAnsi"/>
                          <w:i/>
                        </w:rPr>
                        <w:t>Based on modelling, these changes are expected to decrease the HSRs of approximately 10% of products (mostly discretionary foods) and increase the HSRs of approximately 6% of products (mostly FFG foods such as fruits and vegetables, yoghurts and cheeses).</w:t>
                      </w:r>
                      <w:r w:rsidRPr="003B548F">
                        <w:rPr>
                          <w:rFonts w:cstheme="minorHAnsi"/>
                        </w:rPr>
                        <w:t xml:space="preserve"> </w:t>
                      </w:r>
                    </w:p>
                    <w:p w:rsidR="00133D2C" w:rsidRPr="003B548F" w:rsidRDefault="00133D2C" w:rsidP="00871104">
                      <w:pPr>
                        <w:jc w:val="both"/>
                        <w:rPr>
                          <w:rFonts w:cstheme="minorHAnsi"/>
                        </w:rPr>
                      </w:pPr>
                      <w:r w:rsidRPr="003B548F">
                        <w:rPr>
                          <w:rFonts w:cstheme="minorHAnsi"/>
                          <w:i/>
                        </w:rPr>
                        <w:t>It is recommended that a two-year transition period (starting from the date recommendations are accepted by governments) be provided for industry to implement the changes.</w:t>
                      </w:r>
                    </w:p>
                    <w:p w:rsidR="00133D2C" w:rsidRPr="0056153F" w:rsidRDefault="00133D2C" w:rsidP="00871104">
                      <w:pPr>
                        <w:pStyle w:val="mpcNormal"/>
                        <w:keepNext w:val="0"/>
                        <w:jc w:val="both"/>
                        <w:rPr>
                          <w:sz w:val="24"/>
                          <w:szCs w:val="24"/>
                        </w:rPr>
                      </w:pPr>
                    </w:p>
                  </w:txbxContent>
                </v:textbox>
                <w10:wrap type="square" anchorx="margin"/>
              </v:shape>
            </w:pict>
          </mc:Fallback>
        </mc:AlternateContent>
      </w:r>
      <w:r w:rsidR="00E12457">
        <w:t xml:space="preserve">Changes to the HSR Calculator </w:t>
      </w:r>
      <w:r w:rsidR="00871104">
        <w:t>to better align with Dietary Guidelines.</w:t>
      </w:r>
      <w:bookmarkEnd w:id="12"/>
    </w:p>
    <w:p w14:paraId="51E4FF40" w14:textId="77777777" w:rsidR="00621C23" w:rsidRPr="00DE153D" w:rsidRDefault="00621C23" w:rsidP="00406DCE">
      <w:pPr>
        <w:pStyle w:val="Heading3"/>
        <w:spacing w:before="120"/>
      </w:pPr>
      <w:r w:rsidRPr="00DE153D">
        <w:t xml:space="preserve">Response: </w:t>
      </w:r>
    </w:p>
    <w:p w14:paraId="592117AF" w14:textId="77777777" w:rsidR="00582A35" w:rsidRPr="00DC123E" w:rsidRDefault="00582A35" w:rsidP="00582A35">
      <w:pPr>
        <w:contextualSpacing/>
        <w:rPr>
          <w:rFonts w:asciiTheme="majorHAnsi" w:hAnsiTheme="majorHAnsi" w:cstheme="majorHAnsi"/>
          <w:color w:val="222222"/>
          <w:shd w:val="clear" w:color="auto" w:fill="FFFFFF"/>
        </w:rPr>
      </w:pPr>
      <w:r w:rsidRPr="00785B3E">
        <w:rPr>
          <w:b/>
          <w:color w:val="000000" w:themeColor="text1"/>
        </w:rPr>
        <w:t>Supports in principle</w:t>
      </w:r>
      <w:r w:rsidRPr="00785B3E">
        <w:rPr>
          <w:color w:val="000000" w:themeColor="text1"/>
        </w:rPr>
        <w:t>, s</w:t>
      </w:r>
      <w:r w:rsidRPr="00C9112D">
        <w:rPr>
          <w:rFonts w:asciiTheme="majorHAnsi" w:hAnsiTheme="majorHAnsi" w:cstheme="majorHAnsi"/>
          <w:color w:val="000000" w:themeColor="text1"/>
        </w:rPr>
        <w:t>ubject</w:t>
      </w:r>
      <w:r w:rsidR="003B6E5C">
        <w:rPr>
          <w:rFonts w:asciiTheme="majorHAnsi" w:hAnsiTheme="majorHAnsi" w:cstheme="majorHAnsi"/>
          <w:color w:val="000000" w:themeColor="text1"/>
        </w:rPr>
        <w:t xml:space="preserve"> to</w:t>
      </w:r>
      <w:r w:rsidRPr="00C9112D">
        <w:rPr>
          <w:rFonts w:asciiTheme="majorHAnsi" w:hAnsiTheme="majorHAnsi" w:cstheme="majorHAnsi"/>
          <w:color w:val="000000" w:themeColor="text1"/>
        </w:rPr>
        <w:t xml:space="preserve"> </w:t>
      </w:r>
      <w:r w:rsidR="003B6E5C" w:rsidRPr="00C9112D">
        <w:rPr>
          <w:rFonts w:asciiTheme="majorHAnsi" w:hAnsiTheme="majorHAnsi" w:cstheme="majorHAnsi"/>
          <w:color w:val="222222"/>
          <w:shd w:val="clear" w:color="auto" w:fill="FFFFFF"/>
        </w:rPr>
        <w:t xml:space="preserve">further </w:t>
      </w:r>
      <w:r w:rsidR="003B6E5C">
        <w:rPr>
          <w:rFonts w:asciiTheme="majorHAnsi" w:hAnsiTheme="majorHAnsi" w:cstheme="majorHAnsi"/>
          <w:color w:val="222222"/>
          <w:shd w:val="clear" w:color="auto" w:fill="FFFFFF"/>
        </w:rPr>
        <w:t>advice from FRSC</w:t>
      </w:r>
      <w:r w:rsidR="003B6E5C" w:rsidRPr="00C9112D">
        <w:rPr>
          <w:rFonts w:asciiTheme="majorHAnsi" w:hAnsiTheme="majorHAnsi" w:cstheme="majorHAnsi"/>
          <w:color w:val="222222"/>
          <w:shd w:val="clear" w:color="auto" w:fill="FFFFFF"/>
        </w:rPr>
        <w:t xml:space="preserve"> on sugars and sodium levels in the calculator</w:t>
      </w:r>
      <w:r w:rsidR="003B6E5C">
        <w:rPr>
          <w:rFonts w:asciiTheme="majorHAnsi" w:hAnsiTheme="majorHAnsi" w:cstheme="majorHAnsi"/>
          <w:color w:val="222222"/>
          <w:shd w:val="clear" w:color="auto" w:fill="FFFFFF"/>
        </w:rPr>
        <w:t xml:space="preserve"> and definitions for minimally processed fruits and vegetables</w:t>
      </w:r>
      <w:r w:rsidR="003B6E5C" w:rsidRPr="00C9112D">
        <w:rPr>
          <w:rFonts w:asciiTheme="majorHAnsi" w:hAnsiTheme="majorHAnsi" w:cstheme="majorHAnsi"/>
          <w:color w:val="000000" w:themeColor="text1"/>
        </w:rPr>
        <w:t xml:space="preserve"> </w:t>
      </w:r>
      <w:r w:rsidR="003B6E5C">
        <w:rPr>
          <w:rFonts w:asciiTheme="majorHAnsi" w:hAnsiTheme="majorHAnsi" w:cstheme="majorHAnsi"/>
          <w:color w:val="000000" w:themeColor="text1"/>
        </w:rPr>
        <w:t>and</w:t>
      </w:r>
      <w:r w:rsidR="00351DB9" w:rsidRPr="00C9112D">
        <w:rPr>
          <w:rFonts w:asciiTheme="majorHAnsi" w:hAnsiTheme="majorHAnsi" w:cstheme="majorHAnsi"/>
          <w:color w:val="000000" w:themeColor="text1"/>
        </w:rPr>
        <w:t xml:space="preserve"> a peer review of the</w:t>
      </w:r>
      <w:r w:rsidRPr="00C9112D">
        <w:rPr>
          <w:rFonts w:asciiTheme="majorHAnsi" w:hAnsiTheme="majorHAnsi" w:cstheme="majorHAnsi"/>
          <w:color w:val="000000" w:themeColor="text1"/>
        </w:rPr>
        <w:t xml:space="preserve"> modelling and advice on combined impacts</w:t>
      </w:r>
      <w:r w:rsidR="00DD2E3B" w:rsidRPr="00C9112D">
        <w:rPr>
          <w:rFonts w:asciiTheme="majorHAnsi" w:hAnsiTheme="majorHAnsi" w:cstheme="majorHAnsi"/>
          <w:color w:val="000000" w:themeColor="text1"/>
        </w:rPr>
        <w:t xml:space="preserve"> from FSANZ</w:t>
      </w:r>
      <w:r w:rsidRPr="00785B3E">
        <w:rPr>
          <w:color w:val="000000" w:themeColor="text1"/>
        </w:rPr>
        <w:t>.</w:t>
      </w:r>
    </w:p>
    <w:p w14:paraId="659681D1" w14:textId="77777777" w:rsidR="00582A35" w:rsidRDefault="00582A35" w:rsidP="00406DCE">
      <w:pPr>
        <w:pStyle w:val="Heading3"/>
        <w:spacing w:before="120"/>
      </w:pPr>
      <w:r w:rsidRPr="00DE153D">
        <w:t xml:space="preserve">Rationale: </w:t>
      </w:r>
    </w:p>
    <w:p w14:paraId="59FF28AF" w14:textId="77777777" w:rsidR="007E1780" w:rsidRPr="00964EA3" w:rsidRDefault="00582A35" w:rsidP="00964EA3">
      <w:pPr>
        <w:rPr>
          <w:rFonts w:asciiTheme="majorHAnsi" w:hAnsiTheme="majorHAnsi" w:cstheme="majorHAnsi"/>
          <w:color w:val="000000" w:themeColor="text1"/>
        </w:rPr>
      </w:pPr>
      <w:r w:rsidRPr="00785B3E">
        <w:rPr>
          <w:color w:val="000000" w:themeColor="text1"/>
        </w:rPr>
        <w:t xml:space="preserve">The Forum confirms the continued need for the HSR system to support adherence to the Dietary Guidelines and in </w:t>
      </w:r>
      <w:r w:rsidRPr="00964EA3">
        <w:rPr>
          <w:rFonts w:asciiTheme="majorHAnsi" w:hAnsiTheme="majorHAnsi" w:cstheme="majorHAnsi"/>
          <w:color w:val="000000" w:themeColor="text1"/>
        </w:rPr>
        <w:t>doing so supports:</w:t>
      </w:r>
    </w:p>
    <w:p w14:paraId="2CC8A1C9" w14:textId="77777777" w:rsidR="00582A35" w:rsidRPr="00785B3E" w:rsidRDefault="00582A35" w:rsidP="00582A35">
      <w:pPr>
        <w:pStyle w:val="ListParagraph"/>
        <w:numPr>
          <w:ilvl w:val="0"/>
          <w:numId w:val="43"/>
        </w:numPr>
        <w:rPr>
          <w:color w:val="000000" w:themeColor="text1"/>
        </w:rPr>
      </w:pPr>
      <w:r w:rsidRPr="00785B3E">
        <w:rPr>
          <w:color w:val="000000" w:themeColor="text1"/>
        </w:rPr>
        <w:t>Changes to the HSR system that encourage dietary intake that is consistent with the Dietary Guidelines;</w:t>
      </w:r>
    </w:p>
    <w:p w14:paraId="27F35830" w14:textId="77777777" w:rsidR="00582A35" w:rsidRPr="00785B3E" w:rsidRDefault="00582A35" w:rsidP="00582A35">
      <w:pPr>
        <w:pStyle w:val="ListParagraph"/>
        <w:numPr>
          <w:ilvl w:val="0"/>
          <w:numId w:val="43"/>
        </w:numPr>
        <w:rPr>
          <w:color w:val="000000" w:themeColor="text1"/>
        </w:rPr>
      </w:pPr>
      <w:r w:rsidRPr="00785B3E">
        <w:rPr>
          <w:color w:val="000000" w:themeColor="text1"/>
        </w:rPr>
        <w:t>The promotion of all unprocessed and minimally processed fruits and vegetables without differentiation;</w:t>
      </w:r>
    </w:p>
    <w:p w14:paraId="3D8AFDCF" w14:textId="77777777" w:rsidR="00582A35" w:rsidRPr="00035D83" w:rsidRDefault="00582A35" w:rsidP="00582A35">
      <w:pPr>
        <w:pStyle w:val="ListParagraph"/>
        <w:numPr>
          <w:ilvl w:val="0"/>
          <w:numId w:val="43"/>
        </w:numPr>
        <w:rPr>
          <w:color w:val="000000" w:themeColor="text1"/>
        </w:rPr>
      </w:pPr>
      <w:r w:rsidRPr="00035D83">
        <w:rPr>
          <w:color w:val="000000" w:themeColor="text1"/>
        </w:rPr>
        <w:t>Stronger penalisation of sugars under the HSR system, recognising the role of sugars in contributing to diet-related chronic disease;</w:t>
      </w:r>
    </w:p>
    <w:p w14:paraId="1837B5E9" w14:textId="77777777" w:rsidR="00582A35" w:rsidRPr="00035D83" w:rsidRDefault="00582A35" w:rsidP="00582A35">
      <w:pPr>
        <w:pStyle w:val="ListParagraph"/>
        <w:numPr>
          <w:ilvl w:val="0"/>
          <w:numId w:val="43"/>
        </w:numPr>
        <w:rPr>
          <w:color w:val="000000" w:themeColor="text1"/>
        </w:rPr>
      </w:pPr>
      <w:r w:rsidRPr="00035D83">
        <w:rPr>
          <w:color w:val="000000" w:themeColor="text1"/>
        </w:rPr>
        <w:t>Greater discernment between products under the HSR system on the basis of sodium content, in recognition of the link between high sodium intake and chronic disease;</w:t>
      </w:r>
    </w:p>
    <w:p w14:paraId="2C4A589A" w14:textId="77777777" w:rsidR="00582A35" w:rsidRPr="00351DB9" w:rsidRDefault="00351DB9" w:rsidP="00000794">
      <w:pPr>
        <w:pStyle w:val="ListParagraph"/>
        <w:numPr>
          <w:ilvl w:val="0"/>
          <w:numId w:val="43"/>
        </w:numPr>
        <w:rPr>
          <w:color w:val="000000" w:themeColor="text1"/>
        </w:rPr>
      </w:pPr>
      <w:r w:rsidRPr="00351DB9">
        <w:rPr>
          <w:color w:val="000000" w:themeColor="text1"/>
        </w:rPr>
        <w:t>Greater discernment between dairy products in line with Dietary Guidelines</w:t>
      </w:r>
      <w:r w:rsidR="00582A35" w:rsidRPr="00351DB9">
        <w:rPr>
          <w:color w:val="000000" w:themeColor="text1"/>
        </w:rPr>
        <w:t>; and</w:t>
      </w:r>
    </w:p>
    <w:p w14:paraId="3B35E52F" w14:textId="77777777" w:rsidR="00582A35" w:rsidRPr="00785B3E" w:rsidRDefault="00246370" w:rsidP="00582A35">
      <w:pPr>
        <w:pStyle w:val="ListParagraph"/>
        <w:numPr>
          <w:ilvl w:val="0"/>
          <w:numId w:val="43"/>
        </w:numPr>
        <w:rPr>
          <w:color w:val="000000" w:themeColor="text1"/>
        </w:rPr>
      </w:pPr>
      <w:r>
        <w:rPr>
          <w:color w:val="000000" w:themeColor="text1"/>
        </w:rPr>
        <w:t>HSR s</w:t>
      </w:r>
      <w:r w:rsidR="00582A35" w:rsidRPr="00035D83">
        <w:rPr>
          <w:color w:val="000000" w:themeColor="text1"/>
        </w:rPr>
        <w:t>ystem enhancement</w:t>
      </w:r>
      <w:r w:rsidR="00B56B33" w:rsidRPr="00035D83">
        <w:rPr>
          <w:color w:val="000000" w:themeColor="text1"/>
        </w:rPr>
        <w:t>s</w:t>
      </w:r>
      <w:r w:rsidR="00582A35" w:rsidRPr="00035D83">
        <w:rPr>
          <w:color w:val="000000" w:themeColor="text1"/>
        </w:rPr>
        <w:t>, such as the one suggested for jellies and ice-confections</w:t>
      </w:r>
      <w:r w:rsidR="00571D6D" w:rsidRPr="00035D83">
        <w:rPr>
          <w:color w:val="000000" w:themeColor="text1"/>
        </w:rPr>
        <w:t>, that result in</w:t>
      </w:r>
      <w:r w:rsidR="00582A35" w:rsidRPr="00035D83">
        <w:rPr>
          <w:color w:val="000000" w:themeColor="text1"/>
        </w:rPr>
        <w:t xml:space="preserve"> star rating</w:t>
      </w:r>
      <w:r w:rsidR="00571D6D" w:rsidRPr="00035D83">
        <w:rPr>
          <w:color w:val="000000" w:themeColor="text1"/>
        </w:rPr>
        <w:t>s</w:t>
      </w:r>
      <w:r w:rsidR="00582A35" w:rsidRPr="00035D83">
        <w:rPr>
          <w:color w:val="000000" w:themeColor="text1"/>
        </w:rPr>
        <w:t xml:space="preserve"> that more appropriately </w:t>
      </w:r>
      <w:r w:rsidR="00582A35" w:rsidRPr="00785B3E">
        <w:rPr>
          <w:color w:val="000000" w:themeColor="text1"/>
        </w:rPr>
        <w:t>reflect the nutritional profile of discretionary foods.</w:t>
      </w:r>
    </w:p>
    <w:p w14:paraId="1DA622BA" w14:textId="77777777" w:rsidR="00582A35" w:rsidRPr="00785B3E" w:rsidRDefault="00582A35" w:rsidP="00582A35">
      <w:pPr>
        <w:rPr>
          <w:color w:val="000000" w:themeColor="text1"/>
        </w:rPr>
      </w:pPr>
      <w:r w:rsidRPr="00785B3E">
        <w:rPr>
          <w:color w:val="000000" w:themeColor="text1"/>
        </w:rPr>
        <w:t xml:space="preserve">Notwithstanding the support detailed above, the Forum requests that </w:t>
      </w:r>
      <w:r w:rsidR="007E1780">
        <w:rPr>
          <w:color w:val="000000" w:themeColor="text1"/>
        </w:rPr>
        <w:t xml:space="preserve">FRSC and </w:t>
      </w:r>
      <w:r w:rsidRPr="00785B3E">
        <w:rPr>
          <w:color w:val="000000" w:themeColor="text1"/>
        </w:rPr>
        <w:t xml:space="preserve">FSANZ provides additional advice on the impact of each </w:t>
      </w:r>
      <w:r w:rsidRPr="001E306D">
        <w:rPr>
          <w:color w:val="000000" w:themeColor="text1"/>
        </w:rPr>
        <w:t xml:space="preserve">of the </w:t>
      </w:r>
      <w:r w:rsidR="00A34799" w:rsidRPr="001E306D">
        <w:rPr>
          <w:color w:val="000000" w:themeColor="text1"/>
        </w:rPr>
        <w:t xml:space="preserve">aspects of </w:t>
      </w:r>
      <w:r w:rsidRPr="001E306D">
        <w:rPr>
          <w:color w:val="000000" w:themeColor="text1"/>
        </w:rPr>
        <w:t>recommendation</w:t>
      </w:r>
      <w:r w:rsidR="00A34799" w:rsidRPr="001E306D">
        <w:rPr>
          <w:color w:val="000000" w:themeColor="text1"/>
        </w:rPr>
        <w:t xml:space="preserve"> 4</w:t>
      </w:r>
      <w:r w:rsidRPr="001E306D">
        <w:rPr>
          <w:color w:val="000000" w:themeColor="text1"/>
        </w:rPr>
        <w:t xml:space="preserve"> as a package before changes</w:t>
      </w:r>
      <w:r w:rsidRPr="00785B3E">
        <w:rPr>
          <w:color w:val="000000" w:themeColor="text1"/>
        </w:rPr>
        <w:t xml:space="preserve"> to the </w:t>
      </w:r>
      <w:r w:rsidR="00246370">
        <w:rPr>
          <w:color w:val="000000" w:themeColor="text1"/>
        </w:rPr>
        <w:t xml:space="preserve">HSR </w:t>
      </w:r>
      <w:r w:rsidRPr="00785B3E">
        <w:rPr>
          <w:color w:val="000000" w:themeColor="text1"/>
        </w:rPr>
        <w:t>system are ratified. The detail of the advice requested is as follows:</w:t>
      </w:r>
    </w:p>
    <w:p w14:paraId="098F0D92" w14:textId="77777777" w:rsidR="00582A35" w:rsidRDefault="00582A35" w:rsidP="00582A35">
      <w:pPr>
        <w:ind w:left="284"/>
        <w:rPr>
          <w:color w:val="000000" w:themeColor="text1"/>
        </w:rPr>
      </w:pPr>
      <w:r w:rsidRPr="00785B3E">
        <w:rPr>
          <w:color w:val="000000" w:themeColor="text1"/>
        </w:rPr>
        <w:t xml:space="preserve">Recommendation 4a:  </w:t>
      </w:r>
      <w:r w:rsidRPr="00785B3E">
        <w:rPr>
          <w:rFonts w:cstheme="minorHAnsi"/>
          <w:color w:val="000000" w:themeColor="text1"/>
        </w:rPr>
        <w:t xml:space="preserve">The Forum </w:t>
      </w:r>
      <w:r w:rsidR="007E1780">
        <w:rPr>
          <w:rFonts w:asciiTheme="majorHAnsi" w:hAnsiTheme="majorHAnsi" w:cstheme="majorHAnsi"/>
          <w:color w:val="222222"/>
          <w:shd w:val="clear" w:color="auto" w:fill="FFFFFF"/>
        </w:rPr>
        <w:t>noted the</w:t>
      </w:r>
      <w:r w:rsidR="007E1780" w:rsidRPr="00181CED">
        <w:rPr>
          <w:rFonts w:asciiTheme="majorHAnsi" w:hAnsiTheme="majorHAnsi" w:cstheme="majorHAnsi"/>
          <w:color w:val="222222"/>
          <w:shd w:val="clear" w:color="auto" w:fill="FFFFFF"/>
        </w:rPr>
        <w:t xml:space="preserve"> intent of the system</w:t>
      </w:r>
      <w:r w:rsidR="007E1780">
        <w:rPr>
          <w:rFonts w:asciiTheme="majorHAnsi" w:hAnsiTheme="majorHAnsi" w:cstheme="majorHAnsi"/>
          <w:color w:val="222222"/>
          <w:shd w:val="clear" w:color="auto" w:fill="FFFFFF"/>
        </w:rPr>
        <w:t xml:space="preserve"> is</w:t>
      </w:r>
      <w:r w:rsidR="007E1780" w:rsidRPr="00181CED">
        <w:rPr>
          <w:rFonts w:asciiTheme="majorHAnsi" w:hAnsiTheme="majorHAnsi" w:cstheme="majorHAnsi"/>
          <w:color w:val="222222"/>
          <w:shd w:val="clear" w:color="auto" w:fill="FFFFFF"/>
        </w:rPr>
        <w:t xml:space="preserve"> for processed, packaged multi-ingredient foods</w:t>
      </w:r>
      <w:r w:rsidR="007E1780">
        <w:rPr>
          <w:rFonts w:asciiTheme="majorHAnsi" w:hAnsiTheme="majorHAnsi" w:cstheme="majorHAnsi"/>
          <w:color w:val="222222"/>
          <w:shd w:val="clear" w:color="auto" w:fill="FFFFFF"/>
        </w:rPr>
        <w:t xml:space="preserve"> not fresh </w:t>
      </w:r>
      <w:r w:rsidR="007E1780" w:rsidRPr="00133D2C">
        <w:rPr>
          <w:rFonts w:asciiTheme="majorHAnsi" w:hAnsiTheme="majorHAnsi" w:cstheme="majorHAnsi"/>
          <w:color w:val="222222"/>
          <w:shd w:val="clear" w:color="auto" w:fill="FFFFFF"/>
        </w:rPr>
        <w:t>unpackaged foods</w:t>
      </w:r>
      <w:r w:rsidR="007E1780">
        <w:rPr>
          <w:rFonts w:asciiTheme="majorHAnsi" w:hAnsiTheme="majorHAnsi" w:cstheme="majorHAnsi"/>
          <w:color w:val="222222"/>
          <w:shd w:val="clear" w:color="auto" w:fill="FFFFFF"/>
        </w:rPr>
        <w:t xml:space="preserve">, </w:t>
      </w:r>
      <w:proofErr w:type="gramStart"/>
      <w:r w:rsidR="007E1780">
        <w:rPr>
          <w:rFonts w:asciiTheme="majorHAnsi" w:hAnsiTheme="majorHAnsi" w:cstheme="majorHAnsi"/>
          <w:color w:val="222222"/>
          <w:shd w:val="clear" w:color="auto" w:fill="FFFFFF"/>
        </w:rPr>
        <w:t>however</w:t>
      </w:r>
      <w:proofErr w:type="gramEnd"/>
      <w:r w:rsidR="007E1780">
        <w:rPr>
          <w:rFonts w:asciiTheme="majorHAnsi" w:hAnsiTheme="majorHAnsi" w:cstheme="majorHAnsi"/>
          <w:color w:val="222222"/>
          <w:shd w:val="clear" w:color="auto" w:fill="FFFFFF"/>
        </w:rPr>
        <w:t xml:space="preserve"> </w:t>
      </w:r>
      <w:r w:rsidR="007E1780" w:rsidRPr="00133D2C">
        <w:rPr>
          <w:rFonts w:asciiTheme="majorHAnsi" w:hAnsiTheme="majorHAnsi" w:cstheme="majorHAnsi"/>
          <w:color w:val="222222"/>
          <w:shd w:val="clear" w:color="auto" w:fill="FFFFFF"/>
        </w:rPr>
        <w:t>agrees</w:t>
      </w:r>
      <w:r w:rsidR="007E1780" w:rsidRPr="00964EA3">
        <w:rPr>
          <w:rFonts w:asciiTheme="majorHAnsi" w:hAnsiTheme="majorHAnsi" w:cstheme="majorHAnsi"/>
          <w:color w:val="222222"/>
          <w:shd w:val="clear" w:color="auto" w:fill="FFFFFF"/>
        </w:rPr>
        <w:t xml:space="preserve"> that for some minimally processed foods </w:t>
      </w:r>
      <w:r w:rsidR="007E1780" w:rsidRPr="00964EA3">
        <w:rPr>
          <w:rFonts w:asciiTheme="majorHAnsi" w:hAnsiTheme="majorHAnsi" w:cstheme="majorHAnsi"/>
          <w:color w:val="222222"/>
          <w:shd w:val="clear" w:color="auto" w:fill="FFFFFF"/>
        </w:rPr>
        <w:lastRenderedPageBreak/>
        <w:t>such as canned and frozen fruits and vegetables having a 5 star rating may be beneficial to consumers</w:t>
      </w:r>
      <w:r w:rsidR="007E1780">
        <w:rPr>
          <w:rFonts w:asciiTheme="majorHAnsi" w:hAnsiTheme="majorHAnsi" w:cstheme="majorHAnsi"/>
          <w:color w:val="222222"/>
          <w:shd w:val="clear" w:color="auto" w:fill="FFFFFF"/>
        </w:rPr>
        <w:t>. The Forum</w:t>
      </w:r>
      <w:r w:rsidR="007E1780">
        <w:rPr>
          <w:rFonts w:asciiTheme="majorHAnsi" w:hAnsiTheme="majorHAnsi" w:cstheme="majorHAnsi"/>
          <w:color w:val="000000" w:themeColor="text1"/>
        </w:rPr>
        <w:t xml:space="preserve"> </w:t>
      </w:r>
      <w:r w:rsidRPr="00964EA3">
        <w:rPr>
          <w:rFonts w:asciiTheme="majorHAnsi" w:hAnsiTheme="majorHAnsi" w:cstheme="majorHAnsi"/>
          <w:color w:val="000000" w:themeColor="text1"/>
        </w:rPr>
        <w:t>requests that</w:t>
      </w:r>
      <w:r w:rsidR="00C9112D" w:rsidRPr="00964EA3">
        <w:rPr>
          <w:rFonts w:asciiTheme="majorHAnsi" w:hAnsiTheme="majorHAnsi" w:cstheme="majorHAnsi"/>
          <w:color w:val="000000" w:themeColor="text1"/>
        </w:rPr>
        <w:t xml:space="preserve"> FRSC</w:t>
      </w:r>
      <w:r w:rsidR="007555D8">
        <w:rPr>
          <w:rFonts w:asciiTheme="majorHAnsi" w:hAnsiTheme="majorHAnsi" w:cstheme="majorHAnsi"/>
          <w:color w:val="000000" w:themeColor="text1"/>
        </w:rPr>
        <w:t xml:space="preserve"> </w:t>
      </w:r>
      <w:r w:rsidRPr="00785B3E">
        <w:rPr>
          <w:color w:val="000000" w:themeColor="text1"/>
        </w:rPr>
        <w:t xml:space="preserve">provide advice on suitable definitions </w:t>
      </w:r>
      <w:r w:rsidR="007E1780">
        <w:rPr>
          <w:color w:val="000000" w:themeColor="text1"/>
        </w:rPr>
        <w:t xml:space="preserve">for minimally processed fruits and vegetables </w:t>
      </w:r>
      <w:r w:rsidRPr="00785B3E">
        <w:rPr>
          <w:color w:val="000000" w:themeColor="text1"/>
        </w:rPr>
        <w:t xml:space="preserve">to support implementation of this recommendation. </w:t>
      </w:r>
    </w:p>
    <w:p w14:paraId="50083EE7" w14:textId="77777777" w:rsidR="005D6F35" w:rsidRPr="000D3201" w:rsidRDefault="005D6F35" w:rsidP="005D6F35">
      <w:pPr>
        <w:ind w:left="284"/>
        <w:rPr>
          <w:rFonts w:cstheme="minorHAnsi"/>
          <w:color w:val="000000" w:themeColor="text1"/>
        </w:rPr>
      </w:pPr>
      <w:r w:rsidRPr="00035D83">
        <w:rPr>
          <w:rFonts w:cstheme="minorHAnsi"/>
          <w:color w:val="000000" w:themeColor="text1"/>
        </w:rPr>
        <w:t>The Forum stresses that this activity supports, and does not replace or reduce, the need for discrete promotion or education activities on intake of fruit and vegetables. The Forum considers that there is an ongoing need to promote healthy diets that include adequate fruit and vegetable intake separately to the HSR system</w:t>
      </w:r>
      <w:r>
        <w:rPr>
          <w:rFonts w:cstheme="minorHAnsi"/>
          <w:color w:val="000000" w:themeColor="text1"/>
        </w:rPr>
        <w:t>.</w:t>
      </w:r>
    </w:p>
    <w:p w14:paraId="67620BD7" w14:textId="77777777" w:rsidR="00582A35" w:rsidRPr="001E306D" w:rsidRDefault="00582A35" w:rsidP="00582A35">
      <w:pPr>
        <w:ind w:left="284"/>
        <w:rPr>
          <w:color w:val="000000" w:themeColor="text1"/>
        </w:rPr>
      </w:pPr>
      <w:r w:rsidRPr="00785B3E">
        <w:rPr>
          <w:color w:val="000000" w:themeColor="text1"/>
        </w:rPr>
        <w:t xml:space="preserve">Recommendation 4b: The Forum is concerned that the modelling relied upon to recommend a 25, rather </w:t>
      </w:r>
      <w:r w:rsidRPr="001E306D">
        <w:rPr>
          <w:color w:val="000000" w:themeColor="text1"/>
        </w:rPr>
        <w:t>than 30, point scale for sugar was undertaken in isolation of other</w:t>
      </w:r>
      <w:r w:rsidR="00246370" w:rsidRPr="001E306D">
        <w:rPr>
          <w:color w:val="000000" w:themeColor="text1"/>
        </w:rPr>
        <w:t xml:space="preserve"> HSR</w:t>
      </w:r>
      <w:r w:rsidRPr="001E306D">
        <w:rPr>
          <w:color w:val="000000" w:themeColor="text1"/>
        </w:rPr>
        <w:t xml:space="preserve"> system changes and without due consideration of the products impacted. </w:t>
      </w:r>
    </w:p>
    <w:p w14:paraId="376D34D6" w14:textId="77777777" w:rsidR="004B0C99" w:rsidRDefault="00582A35" w:rsidP="00582A35">
      <w:pPr>
        <w:ind w:left="284"/>
        <w:rPr>
          <w:color w:val="000000" w:themeColor="text1"/>
        </w:rPr>
      </w:pPr>
      <w:r w:rsidRPr="001E306D">
        <w:rPr>
          <w:color w:val="000000" w:themeColor="text1"/>
        </w:rPr>
        <w:t xml:space="preserve">The Forum requests that </w:t>
      </w:r>
      <w:r w:rsidR="00D72ED3">
        <w:rPr>
          <w:color w:val="000000" w:themeColor="text1"/>
        </w:rPr>
        <w:t xml:space="preserve">FRSC provides advice on </w:t>
      </w:r>
      <w:r w:rsidRPr="001E306D">
        <w:rPr>
          <w:color w:val="000000" w:themeColor="text1"/>
        </w:rPr>
        <w:t xml:space="preserve">whether a stronger approach </w:t>
      </w:r>
      <w:r w:rsidR="00A34799" w:rsidRPr="001E306D">
        <w:rPr>
          <w:color w:val="000000" w:themeColor="text1"/>
        </w:rPr>
        <w:t>(</w:t>
      </w:r>
      <w:proofErr w:type="gramStart"/>
      <w:r w:rsidR="00A34799" w:rsidRPr="001E306D">
        <w:rPr>
          <w:color w:val="000000" w:themeColor="text1"/>
        </w:rPr>
        <w:t>30 point</w:t>
      </w:r>
      <w:proofErr w:type="gramEnd"/>
      <w:r w:rsidR="00A34799" w:rsidRPr="001E306D">
        <w:rPr>
          <w:color w:val="000000" w:themeColor="text1"/>
        </w:rPr>
        <w:t xml:space="preserve"> scale) </w:t>
      </w:r>
      <w:r w:rsidRPr="001E306D">
        <w:rPr>
          <w:color w:val="000000" w:themeColor="text1"/>
        </w:rPr>
        <w:t xml:space="preserve">may achieve an outcome that more closely aligns the HSR system with Dietary Guidelines. The Forum requests that FSANZ </w:t>
      </w:r>
      <w:r w:rsidR="00D72ED3" w:rsidRPr="001E306D">
        <w:rPr>
          <w:color w:val="000000" w:themeColor="text1"/>
        </w:rPr>
        <w:t>undertak</w:t>
      </w:r>
      <w:r w:rsidR="00D72ED3">
        <w:rPr>
          <w:color w:val="000000" w:themeColor="text1"/>
        </w:rPr>
        <w:t>e further modelling</w:t>
      </w:r>
      <w:r w:rsidR="00D72ED3" w:rsidRPr="001E306D">
        <w:rPr>
          <w:color w:val="000000" w:themeColor="text1"/>
        </w:rPr>
        <w:t xml:space="preserve"> </w:t>
      </w:r>
      <w:r w:rsidR="00964EA3">
        <w:rPr>
          <w:color w:val="000000" w:themeColor="text1"/>
        </w:rPr>
        <w:t xml:space="preserve">to </w:t>
      </w:r>
      <w:r w:rsidRPr="001E306D">
        <w:rPr>
          <w:color w:val="000000" w:themeColor="text1"/>
        </w:rPr>
        <w:t xml:space="preserve">provide advice on the combined impact of </w:t>
      </w:r>
      <w:r w:rsidR="00A34799" w:rsidRPr="001E306D">
        <w:rPr>
          <w:color w:val="000000" w:themeColor="text1"/>
        </w:rPr>
        <w:t xml:space="preserve">both the 25 point and </w:t>
      </w:r>
      <w:proofErr w:type="gramStart"/>
      <w:r w:rsidR="00A34799" w:rsidRPr="001E306D">
        <w:rPr>
          <w:color w:val="000000" w:themeColor="text1"/>
        </w:rPr>
        <w:t>30 point</w:t>
      </w:r>
      <w:proofErr w:type="gramEnd"/>
      <w:r w:rsidR="00A34799" w:rsidRPr="001E306D">
        <w:rPr>
          <w:color w:val="000000" w:themeColor="text1"/>
        </w:rPr>
        <w:t xml:space="preserve"> scale </w:t>
      </w:r>
      <w:r w:rsidRPr="001E306D">
        <w:rPr>
          <w:color w:val="000000" w:themeColor="text1"/>
        </w:rPr>
        <w:t>scenarios required to support a conclusion with respect to sugar scaling.</w:t>
      </w:r>
      <w:r w:rsidR="000570FA" w:rsidRPr="001E306D" w:rsidDel="000570FA">
        <w:rPr>
          <w:color w:val="000000" w:themeColor="text1"/>
        </w:rPr>
        <w:t xml:space="preserve"> </w:t>
      </w:r>
    </w:p>
    <w:p w14:paraId="7390C7A3" w14:textId="77777777" w:rsidR="00582A35" w:rsidRPr="001E306D" w:rsidRDefault="00582A35" w:rsidP="00582A35">
      <w:pPr>
        <w:ind w:left="284"/>
        <w:rPr>
          <w:color w:val="000000" w:themeColor="text1"/>
        </w:rPr>
      </w:pPr>
      <w:r w:rsidRPr="001E306D">
        <w:rPr>
          <w:color w:val="000000" w:themeColor="text1"/>
        </w:rPr>
        <w:t xml:space="preserve">Recommendation 4c: The Forum is concerned that the recommended change may only impact a small subset of discretionary </w:t>
      </w:r>
      <w:r w:rsidR="00E43661" w:rsidRPr="001E306D">
        <w:rPr>
          <w:color w:val="000000" w:themeColor="text1"/>
        </w:rPr>
        <w:t>foods</w:t>
      </w:r>
      <w:r w:rsidRPr="001E306D">
        <w:rPr>
          <w:color w:val="000000" w:themeColor="text1"/>
        </w:rPr>
        <w:t xml:space="preserve"> that are high in sodium, and that products that contain sodium below 900mg are not provided with any incentive to reformulate - a secondary aim of the HSR system.</w:t>
      </w:r>
    </w:p>
    <w:p w14:paraId="1447A683" w14:textId="77777777" w:rsidR="00582A35" w:rsidRPr="001E306D" w:rsidRDefault="00582A35" w:rsidP="00582A35">
      <w:pPr>
        <w:ind w:left="284"/>
        <w:rPr>
          <w:color w:val="000000" w:themeColor="text1"/>
        </w:rPr>
      </w:pPr>
      <w:r w:rsidRPr="001E306D">
        <w:rPr>
          <w:color w:val="000000" w:themeColor="text1"/>
        </w:rPr>
        <w:t xml:space="preserve">The Forum requests that </w:t>
      </w:r>
      <w:r w:rsidR="00D72ED3">
        <w:rPr>
          <w:color w:val="000000" w:themeColor="text1"/>
        </w:rPr>
        <w:t xml:space="preserve">FRSC provides advice on </w:t>
      </w:r>
      <w:r w:rsidRPr="001E306D">
        <w:rPr>
          <w:color w:val="000000" w:themeColor="text1"/>
        </w:rPr>
        <w:t xml:space="preserve">whether </w:t>
      </w:r>
      <w:r w:rsidR="00B3691D" w:rsidRPr="001E306D">
        <w:rPr>
          <w:color w:val="000000" w:themeColor="text1"/>
        </w:rPr>
        <w:t xml:space="preserve">the alternative approach considered in the draft review report </w:t>
      </w:r>
      <w:r w:rsidRPr="001E306D">
        <w:rPr>
          <w:color w:val="000000" w:themeColor="text1"/>
        </w:rPr>
        <w:t xml:space="preserve">achieves an outcome that more closely aligns the HSR system with Dietary Guidelines. The Forum requests that FSANZ provide advice on the combined impact of </w:t>
      </w:r>
      <w:r w:rsidR="00B3691D" w:rsidRPr="001E306D">
        <w:rPr>
          <w:color w:val="000000" w:themeColor="text1"/>
        </w:rPr>
        <w:t xml:space="preserve">both the recommended scenario and the alternative </w:t>
      </w:r>
      <w:r w:rsidRPr="001E306D">
        <w:rPr>
          <w:color w:val="000000" w:themeColor="text1"/>
        </w:rPr>
        <w:t xml:space="preserve">scenario to support a conclusion with respect to sodium.  </w:t>
      </w:r>
    </w:p>
    <w:p w14:paraId="1BCBB174" w14:textId="77777777" w:rsidR="00582A35" w:rsidRPr="001E306D" w:rsidRDefault="00582A35" w:rsidP="00582A35">
      <w:pPr>
        <w:ind w:left="284"/>
        <w:rPr>
          <w:color w:val="000000" w:themeColor="text1"/>
        </w:rPr>
      </w:pPr>
      <w:r w:rsidRPr="001E306D">
        <w:rPr>
          <w:color w:val="000000" w:themeColor="text1"/>
        </w:rPr>
        <w:t xml:space="preserve">Recommendation 4d: The Forum recognises that the recommendation to redefine and rescale the dairy food categories is a step toward better discernment between similar products and improved alignment with Dietary Guidelines. </w:t>
      </w:r>
      <w:proofErr w:type="gramStart"/>
      <w:r w:rsidRPr="001E306D">
        <w:rPr>
          <w:color w:val="000000" w:themeColor="text1"/>
        </w:rPr>
        <w:t>However</w:t>
      </w:r>
      <w:proofErr w:type="gramEnd"/>
      <w:r w:rsidRPr="001E306D">
        <w:rPr>
          <w:color w:val="000000" w:themeColor="text1"/>
        </w:rPr>
        <w:t xml:space="preserve"> there is concern that </w:t>
      </w:r>
      <w:proofErr w:type="spellStart"/>
      <w:r w:rsidRPr="001E306D">
        <w:rPr>
          <w:color w:val="000000" w:themeColor="text1"/>
        </w:rPr>
        <w:t>recategoris</w:t>
      </w:r>
      <w:r w:rsidR="008B49D4" w:rsidRPr="001E306D">
        <w:rPr>
          <w:color w:val="000000" w:themeColor="text1"/>
        </w:rPr>
        <w:t>a</w:t>
      </w:r>
      <w:r w:rsidRPr="001E306D">
        <w:rPr>
          <w:color w:val="000000" w:themeColor="text1"/>
        </w:rPr>
        <w:t>tion</w:t>
      </w:r>
      <w:proofErr w:type="spellEnd"/>
      <w:r w:rsidRPr="001E306D">
        <w:rPr>
          <w:color w:val="000000" w:themeColor="text1"/>
        </w:rPr>
        <w:t xml:space="preserve"> and rescaling within this category was considered without sufficiently accounting for other </w:t>
      </w:r>
      <w:r w:rsidR="00246370" w:rsidRPr="001E306D">
        <w:rPr>
          <w:color w:val="000000" w:themeColor="text1"/>
        </w:rPr>
        <w:t xml:space="preserve">HSR </w:t>
      </w:r>
      <w:r w:rsidRPr="001E306D">
        <w:rPr>
          <w:color w:val="000000" w:themeColor="text1"/>
        </w:rPr>
        <w:t xml:space="preserve">system changes. </w:t>
      </w:r>
    </w:p>
    <w:p w14:paraId="70637C04" w14:textId="77777777" w:rsidR="00582A35" w:rsidRPr="00785B3E" w:rsidRDefault="00582A35" w:rsidP="00582A35">
      <w:pPr>
        <w:ind w:left="284"/>
        <w:rPr>
          <w:color w:val="000000" w:themeColor="text1"/>
        </w:rPr>
      </w:pPr>
      <w:r w:rsidRPr="001E306D">
        <w:rPr>
          <w:color w:val="000000" w:themeColor="text1"/>
        </w:rPr>
        <w:t xml:space="preserve">The Forum requests that FSANZ undertake further modelling in order to establish whether </w:t>
      </w:r>
      <w:proofErr w:type="spellStart"/>
      <w:r w:rsidRPr="001E306D">
        <w:rPr>
          <w:color w:val="000000" w:themeColor="text1"/>
        </w:rPr>
        <w:t>recategoris</w:t>
      </w:r>
      <w:r w:rsidR="008B49D4" w:rsidRPr="001E306D">
        <w:rPr>
          <w:color w:val="000000" w:themeColor="text1"/>
        </w:rPr>
        <w:t>a</w:t>
      </w:r>
      <w:r w:rsidRPr="001E306D">
        <w:rPr>
          <w:color w:val="000000" w:themeColor="text1"/>
        </w:rPr>
        <w:t>tion</w:t>
      </w:r>
      <w:proofErr w:type="spellEnd"/>
      <w:r w:rsidRPr="001E306D">
        <w:rPr>
          <w:color w:val="000000" w:themeColor="text1"/>
        </w:rPr>
        <w:t xml:space="preserve"> is the most appropriate approach</w:t>
      </w:r>
      <w:r w:rsidR="00A34799" w:rsidRPr="001E306D">
        <w:rPr>
          <w:color w:val="000000" w:themeColor="text1"/>
        </w:rPr>
        <w:t xml:space="preserve"> when combined with other enhancements</w:t>
      </w:r>
      <w:r w:rsidRPr="001E306D">
        <w:rPr>
          <w:color w:val="000000" w:themeColor="text1"/>
        </w:rPr>
        <w:t xml:space="preserve">, and whether it is appropriate and/or necessary to rescale whole categories in combination with </w:t>
      </w:r>
      <w:r w:rsidR="00A34799" w:rsidRPr="001E306D">
        <w:rPr>
          <w:color w:val="000000" w:themeColor="text1"/>
        </w:rPr>
        <w:t>the proposed adjustments to</w:t>
      </w:r>
      <w:r w:rsidRPr="001E306D">
        <w:rPr>
          <w:color w:val="000000" w:themeColor="text1"/>
        </w:rPr>
        <w:t xml:space="preserve"> individual nutrients (i.e. sugar and sodium). The Forum requests that FSANZ provide</w:t>
      </w:r>
      <w:r w:rsidRPr="00785B3E">
        <w:rPr>
          <w:color w:val="000000" w:themeColor="text1"/>
        </w:rPr>
        <w:t xml:space="preserve"> advice on the combined impact of all relevant scenarios required to support a conclusion with respect to </w:t>
      </w:r>
      <w:proofErr w:type="spellStart"/>
      <w:r w:rsidRPr="00785B3E">
        <w:rPr>
          <w:color w:val="000000" w:themeColor="text1"/>
        </w:rPr>
        <w:t>recategorisation</w:t>
      </w:r>
      <w:proofErr w:type="spellEnd"/>
      <w:r w:rsidRPr="00785B3E">
        <w:rPr>
          <w:color w:val="000000" w:themeColor="text1"/>
        </w:rPr>
        <w:t xml:space="preserve"> and rescaling.  </w:t>
      </w:r>
    </w:p>
    <w:p w14:paraId="33998D3B" w14:textId="77777777" w:rsidR="00582A35" w:rsidRPr="00785B3E" w:rsidRDefault="00582A35" w:rsidP="00582A35">
      <w:pPr>
        <w:ind w:left="284"/>
        <w:rPr>
          <w:color w:val="000000" w:themeColor="text1"/>
        </w:rPr>
      </w:pPr>
      <w:r w:rsidRPr="00785B3E">
        <w:rPr>
          <w:color w:val="000000" w:themeColor="text1"/>
        </w:rPr>
        <w:t xml:space="preserve">Recommendation 4e:  The Forum supports the recommendation to categorise jellies and water-based ice confections, finding that the outcome more closely aligns such products with Dietary Guidelines. The Forum requests that FSANZ incorporate this </w:t>
      </w:r>
      <w:proofErr w:type="spellStart"/>
      <w:r w:rsidRPr="00785B3E">
        <w:rPr>
          <w:color w:val="000000" w:themeColor="text1"/>
        </w:rPr>
        <w:t>recategorisation</w:t>
      </w:r>
      <w:proofErr w:type="spellEnd"/>
      <w:r w:rsidRPr="00785B3E">
        <w:rPr>
          <w:color w:val="000000" w:themeColor="text1"/>
        </w:rPr>
        <w:t xml:space="preserve"> within modelling undertaken to illustrate combined impacts of changes across the </w:t>
      </w:r>
      <w:r w:rsidR="00246370">
        <w:rPr>
          <w:color w:val="000000" w:themeColor="text1"/>
        </w:rPr>
        <w:t xml:space="preserve">HSR </w:t>
      </w:r>
      <w:r w:rsidRPr="00785B3E">
        <w:rPr>
          <w:color w:val="000000" w:themeColor="text1"/>
        </w:rPr>
        <w:t>system.</w:t>
      </w:r>
    </w:p>
    <w:p w14:paraId="24CBD9F1" w14:textId="77777777" w:rsidR="00582A35" w:rsidRDefault="00582A35" w:rsidP="00406DCE">
      <w:pPr>
        <w:pStyle w:val="Heading3"/>
        <w:spacing w:before="120"/>
      </w:pPr>
      <w:r>
        <w:t>Additional Considerations:</w:t>
      </w:r>
    </w:p>
    <w:p w14:paraId="3B74AD4C" w14:textId="77777777" w:rsidR="00293BB4" w:rsidRDefault="00293BB4" w:rsidP="00582A35">
      <w:pPr>
        <w:rPr>
          <w:color w:val="000000" w:themeColor="text1"/>
        </w:rPr>
      </w:pPr>
      <w:r>
        <w:rPr>
          <w:color w:val="000000" w:themeColor="text1"/>
        </w:rPr>
        <w:t>Recommendation 4a: There is a potential for undesirable environmental impacts resulting from the application of five stars to all minimally processed fruits and vegetables, through increased and unnecessary packaging. Applying this policy to fruit and vegetables, through increased and unnecessary packaging. Applying this policy to fruit and vegetables regardless of whether they are packaged and/or display an NIP would partially address this. The application of the HSR system to unpackaged and minimally processed fruit and vegetables has the potential to affect uptake monitoring, so the Forum suggests that it would not be appropriate to include the gamut of these products in uptake numbers.</w:t>
      </w:r>
    </w:p>
    <w:p w14:paraId="0628FFAD" w14:textId="77777777" w:rsidR="00582A35" w:rsidRPr="00785B3E" w:rsidRDefault="00582A35" w:rsidP="00582A35">
      <w:pPr>
        <w:rPr>
          <w:color w:val="000000" w:themeColor="text1"/>
        </w:rPr>
      </w:pPr>
      <w:r w:rsidRPr="00785B3E">
        <w:rPr>
          <w:color w:val="000000" w:themeColor="text1"/>
        </w:rPr>
        <w:t xml:space="preserve">Recommendation 4e: On 29 June 2018, Ministers agreed to limit the application of the HSR system to the product ‘as sold’, i.e. the HSR should be calculated and displayed on the basis of the product as it appears on the shelf with the exception of products which must be rehydrated with water, diluted with water, drained </w:t>
      </w:r>
      <w:r w:rsidRPr="00785B3E">
        <w:rPr>
          <w:color w:val="000000" w:themeColor="text1"/>
        </w:rPr>
        <w:lastRenderedPageBreak/>
        <w:t>of water or drained of brine. In ratifying Recommendation 4e, this explanation will need to be updated so that the HSR for jelly is calculated based on the liquid ‘as prepared’ formulation, not the product as sold.</w:t>
      </w:r>
    </w:p>
    <w:p w14:paraId="6DE532C3" w14:textId="77777777" w:rsidR="00B50F59" w:rsidRDefault="00B50F59" w:rsidP="00406DCE">
      <w:pPr>
        <w:pStyle w:val="Heading3"/>
        <w:spacing w:before="120"/>
      </w:pPr>
      <w:r>
        <w:t xml:space="preserve">Implementation timeframe: </w:t>
      </w:r>
    </w:p>
    <w:p w14:paraId="0CD95569" w14:textId="77777777" w:rsidR="00406DCE" w:rsidRPr="00785B3E" w:rsidRDefault="00406DCE" w:rsidP="00406DCE">
      <w:pPr>
        <w:rPr>
          <w:color w:val="000000" w:themeColor="text1"/>
        </w:rPr>
      </w:pPr>
      <w:r w:rsidRPr="00785B3E">
        <w:rPr>
          <w:color w:val="000000" w:themeColor="text1"/>
        </w:rPr>
        <w:t xml:space="preserve">Request to be referred to </w:t>
      </w:r>
      <w:r w:rsidR="00964EA3">
        <w:rPr>
          <w:color w:val="000000" w:themeColor="text1"/>
        </w:rPr>
        <w:t xml:space="preserve">FRSC and </w:t>
      </w:r>
      <w:r w:rsidRPr="00785B3E">
        <w:rPr>
          <w:color w:val="000000" w:themeColor="text1"/>
        </w:rPr>
        <w:t>FSANZ immediately.</w:t>
      </w:r>
    </w:p>
    <w:p w14:paraId="08AE4649" w14:textId="77777777" w:rsidR="00406DCE" w:rsidRPr="00785B3E" w:rsidRDefault="00406DCE" w:rsidP="00406DCE">
      <w:pPr>
        <w:rPr>
          <w:color w:val="000000" w:themeColor="text1"/>
        </w:rPr>
      </w:pPr>
      <w:r w:rsidRPr="00785B3E">
        <w:rPr>
          <w:color w:val="000000" w:themeColor="text1"/>
        </w:rPr>
        <w:t xml:space="preserve">The Forum requests that </w:t>
      </w:r>
      <w:r w:rsidR="00964EA3">
        <w:rPr>
          <w:color w:val="000000" w:themeColor="text1"/>
        </w:rPr>
        <w:t xml:space="preserve">FRSC and </w:t>
      </w:r>
      <w:r w:rsidRPr="00785B3E">
        <w:rPr>
          <w:color w:val="000000" w:themeColor="text1"/>
        </w:rPr>
        <w:t xml:space="preserve">FSANZ provide their advice to the first Forum meeting of 2020.  </w:t>
      </w:r>
    </w:p>
    <w:p w14:paraId="20CB0748" w14:textId="77777777" w:rsidR="00406DCE" w:rsidRPr="00785B3E" w:rsidRDefault="00406DCE" w:rsidP="00406DCE">
      <w:pPr>
        <w:rPr>
          <w:color w:val="000000" w:themeColor="text1"/>
        </w:rPr>
      </w:pPr>
      <w:r w:rsidRPr="00785B3E">
        <w:rPr>
          <w:color w:val="000000" w:themeColor="text1"/>
        </w:rPr>
        <w:t>Changes are then to be implemented within 2 years from agreed implementation start date.</w:t>
      </w:r>
    </w:p>
    <w:bookmarkStart w:id="13" w:name="_Toc21014905"/>
    <w:p w14:paraId="27E327CE" w14:textId="77777777" w:rsidR="002C64CA" w:rsidRPr="002C64CA" w:rsidRDefault="00F248F9" w:rsidP="008D5076">
      <w:pPr>
        <w:pStyle w:val="Heading2"/>
      </w:pPr>
      <w:r w:rsidRPr="009861A3">
        <w:rPr>
          <w:rFonts w:asciiTheme="minorHAnsi" w:hAnsiTheme="minorHAnsi" w:cstheme="minorHAnsi"/>
          <w:b/>
          <w:noProof/>
        </w:rPr>
        <mc:AlternateContent>
          <mc:Choice Requires="wps">
            <w:drawing>
              <wp:anchor distT="45720" distB="45720" distL="114300" distR="114300" simplePos="0" relativeHeight="251667456" behindDoc="0" locked="0" layoutInCell="1" allowOverlap="1" wp14:anchorId="0E7B37F0" wp14:editId="281DAD75">
                <wp:simplePos x="0" y="0"/>
                <wp:positionH relativeFrom="margin">
                  <wp:align>right</wp:align>
                </wp:positionH>
                <wp:positionV relativeFrom="paragraph">
                  <wp:posOffset>413385</wp:posOffset>
                </wp:positionV>
                <wp:extent cx="6098540" cy="3415665"/>
                <wp:effectExtent l="0" t="0" r="1651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415665"/>
                        </a:xfrm>
                        <a:prstGeom prst="rect">
                          <a:avLst/>
                        </a:prstGeom>
                        <a:solidFill>
                          <a:schemeClr val="accent5">
                            <a:lumMod val="20000"/>
                            <a:lumOff val="80000"/>
                          </a:schemeClr>
                        </a:solidFill>
                        <a:ln w="9525">
                          <a:solidFill>
                            <a:srgbClr val="000000"/>
                          </a:solidFill>
                          <a:miter lim="800000"/>
                          <a:headEnd/>
                          <a:tailEnd/>
                        </a:ln>
                      </wps:spPr>
                      <wps:txbx>
                        <w:txbxContent>
                          <w:p w14:paraId="67B5673E" w14:textId="77777777" w:rsidR="00133D2C" w:rsidRPr="00A1027F" w:rsidRDefault="00133D2C" w:rsidP="00A1027F">
                            <w:pPr>
                              <w:jc w:val="both"/>
                              <w:rPr>
                                <w:rFonts w:cstheme="minorHAnsi"/>
                                <w:b/>
                              </w:rPr>
                            </w:pPr>
                            <w:r w:rsidRPr="00A1027F">
                              <w:rPr>
                                <w:rFonts w:cstheme="minorHAnsi"/>
                                <w:b/>
                              </w:rPr>
                              <w:t xml:space="preserve">Recommendation 5: </w:t>
                            </w:r>
                            <w:r w:rsidRPr="00A1027F">
                              <w:rPr>
                                <w:rFonts w:cstheme="minorHAnsi"/>
                                <w:b/>
                              </w:rPr>
                              <w:tab/>
                              <w:t>Changes be made to the way the HSR is calculated for non-dairy beverages, based on adjusted sugars, energy and FVNL points, to better discern water (and drinks similar in nutritional profile to water) from high energy drinks.</w:t>
                            </w:r>
                          </w:p>
                          <w:p w14:paraId="3546A192" w14:textId="77777777" w:rsidR="00133D2C" w:rsidRPr="00A1027F" w:rsidRDefault="00133D2C" w:rsidP="001C0B7E">
                            <w:pPr>
                              <w:jc w:val="both"/>
                              <w:rPr>
                                <w:rFonts w:cstheme="minorHAnsi"/>
                                <w:i/>
                              </w:rPr>
                            </w:pPr>
                            <w:r w:rsidRPr="00A1027F">
                              <w:rPr>
                                <w:rFonts w:cstheme="minorHAnsi"/>
                                <w:i/>
                              </w:rPr>
                              <w:t>Non-dairy beverages contribute 27% of total sugars in Australian diets and 17% of total sugars in New Zealander diets. While the HSRs for sugar-sweetened soft drinks tend to appropriately reflect their limited nutritional value, the HSR System does not encourage consumption of low or sugar free flavoured waters or other drinks that are closer in nutritional value to water. For example, fruit juices with relatively high total sugars content generally receive HSRs of 4 to 5, while unsweetened flavoured waters generally receive HSRs of around 2 (despite having no sugars and being closer in nutritional profile to plain water).</w:t>
                            </w:r>
                          </w:p>
                          <w:p w14:paraId="71B13507" w14:textId="77777777" w:rsidR="00133D2C" w:rsidRPr="00A1027F" w:rsidRDefault="00133D2C" w:rsidP="001C0B7E">
                            <w:pPr>
                              <w:jc w:val="both"/>
                              <w:rPr>
                                <w:rFonts w:cstheme="minorHAnsi"/>
                              </w:rPr>
                            </w:pPr>
                            <w:r w:rsidRPr="00A1027F">
                              <w:rPr>
                                <w:rFonts w:cstheme="minorHAnsi"/>
                                <w:i/>
                              </w:rPr>
                              <w:t>The proposed changes mean that plain waters will have an HSR of 5, unsweetened flavoured waters 4.5, 100% fruit and vegetable juices between 2.5 and 4 (based on their sugars and energy content), diet drinks no more than 3.5 and sugary soft drinks between 0.5 and 2 (based on their sugars</w:t>
                            </w:r>
                            <w:r w:rsidRPr="00A1027F">
                              <w:rPr>
                                <w:i/>
                              </w:rPr>
                              <w:t xml:space="preserve"> and energy content).</w:t>
                            </w:r>
                          </w:p>
                          <w:p w14:paraId="364C4953" w14:textId="77777777" w:rsidR="00133D2C" w:rsidRPr="00A1027F" w:rsidRDefault="00133D2C" w:rsidP="001C0B7E">
                            <w:pPr>
                              <w:keepNext/>
                              <w:rPr>
                                <w:rFonts w:cstheme="minorHAnsi"/>
                              </w:rPr>
                            </w:pPr>
                            <w:r w:rsidRPr="00A1027F">
                              <w:rPr>
                                <w:rFonts w:cstheme="minorHAnsi"/>
                                <w:i/>
                              </w:rPr>
                              <w:t>Based on modelling, these changes are expected to decrease the HSRs of approximately 10% of products (mostly discretionary foods) and increase the HSRs of approximately 6% of products (mostly FFG foods such as fruits and vegetables, yoghurts and cheeses).</w:t>
                            </w:r>
                            <w:r w:rsidRPr="00A1027F">
                              <w:rPr>
                                <w:rFonts w:cstheme="minorHAnsi"/>
                              </w:rPr>
                              <w:t xml:space="preserve"> </w:t>
                            </w:r>
                          </w:p>
                          <w:p w14:paraId="27A5D1B1" w14:textId="77777777" w:rsidR="00133D2C" w:rsidRPr="00A1027F" w:rsidRDefault="00133D2C" w:rsidP="001C0B7E">
                            <w:pPr>
                              <w:jc w:val="both"/>
                              <w:rPr>
                                <w:rFonts w:cstheme="minorHAnsi"/>
                              </w:rPr>
                            </w:pPr>
                            <w:r w:rsidRPr="00A1027F">
                              <w:rPr>
                                <w:rFonts w:cstheme="minorHAnsi"/>
                                <w:i/>
                              </w:rPr>
                              <w:t>It is recommended that a two-year transition period (starting from the date recommendations are accepted by governments) be provided for industry to implement the changes.</w:t>
                            </w:r>
                          </w:p>
                          <w:p w14:paraId="1F6A334B" w14:textId="77777777" w:rsidR="00133D2C" w:rsidRPr="0056153F" w:rsidRDefault="00133D2C" w:rsidP="001C0B7E">
                            <w:pPr>
                              <w:pStyle w:val="mpcNormal"/>
                              <w:keepNext w:val="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210F7" id="_x0000_s1030" type="#_x0000_t202" style="position:absolute;left:0;text-align:left;margin-left:429pt;margin-top:32.55pt;width:480.2pt;height:268.9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" fillcolor="#e4e7dd [664]">
                <v:textbox>
                  <w:txbxContent>
                    <w:p w:rsidR="00133D2C" w:rsidRPr="00A1027F" w:rsidRDefault="00133D2C" w:rsidP="00A1027F">
                      <w:pPr>
                        <w:jc w:val="both"/>
                        <w:rPr>
                          <w:rFonts w:cstheme="minorHAnsi"/>
                          <w:b/>
                        </w:rPr>
                      </w:pPr>
                      <w:r w:rsidRPr="00A1027F">
                        <w:rPr>
                          <w:rFonts w:cstheme="minorHAnsi"/>
                          <w:b/>
                        </w:rPr>
                        <w:t xml:space="preserve">Recommendation 5: </w:t>
                      </w:r>
                      <w:r w:rsidRPr="00A1027F">
                        <w:rPr>
                          <w:rFonts w:cstheme="minorHAnsi"/>
                          <w:b/>
                        </w:rPr>
                        <w:tab/>
                        <w:t>Changes be made to the way the HSR is calculated for non-dairy beverages, based on adjusted sugars, energy and FVNL points, to better discern water (and drinks similar in nutritional profile to water) from high energy drinks.</w:t>
                      </w:r>
                    </w:p>
                    <w:p w:rsidR="00133D2C" w:rsidRPr="00A1027F" w:rsidRDefault="00133D2C" w:rsidP="001C0B7E">
                      <w:pPr>
                        <w:jc w:val="both"/>
                        <w:rPr>
                          <w:rFonts w:cstheme="minorHAnsi"/>
                          <w:i/>
                        </w:rPr>
                      </w:pPr>
                      <w:r w:rsidRPr="00A1027F">
                        <w:rPr>
                          <w:rFonts w:cstheme="minorHAnsi"/>
                          <w:i/>
                        </w:rPr>
                        <w:t>Non-dairy beverages contribute 27% of total sugars in Australian diets and 17% of total sugars in New Zealander diets. While the HSRs for sugar-sweetened soft drinks tend to appropriately reflect their limited nutritional value, the HSR System does not encourage consumption of low or sugar free flavoured waters or other drinks that are closer in nutritional value to water. For example, fruit juices with relatively high total sugars content generally receive HSRs of 4 to 5, while unsweetened flavoured waters generally receive HSRs of around 2 (despite having no sugars and being closer in nutritional profile to plain water).</w:t>
                      </w:r>
                    </w:p>
                    <w:p w:rsidR="00133D2C" w:rsidRPr="00A1027F" w:rsidRDefault="00133D2C" w:rsidP="001C0B7E">
                      <w:pPr>
                        <w:jc w:val="both"/>
                        <w:rPr>
                          <w:rFonts w:cstheme="minorHAnsi"/>
                        </w:rPr>
                      </w:pPr>
                      <w:r w:rsidRPr="00A1027F">
                        <w:rPr>
                          <w:rFonts w:cstheme="minorHAnsi"/>
                          <w:i/>
                        </w:rPr>
                        <w:t>The proposed changes mean that plain waters will have an HSR of 5, unsweetened flavoured waters 4.5, 100% fruit and vegetable juices between 2.5 and 4 (based on their sugars and energy content), diet drinks no more than 3.5 and sugary soft drinks between 0.5 and 2 (based on their sugars</w:t>
                      </w:r>
                      <w:r w:rsidRPr="00A1027F">
                        <w:rPr>
                          <w:i/>
                        </w:rPr>
                        <w:t xml:space="preserve"> and energy content).</w:t>
                      </w:r>
                    </w:p>
                    <w:p w:rsidR="00133D2C" w:rsidRPr="00A1027F" w:rsidRDefault="00133D2C" w:rsidP="001C0B7E">
                      <w:pPr>
                        <w:keepNext/>
                        <w:rPr>
                          <w:rFonts w:cstheme="minorHAnsi"/>
                        </w:rPr>
                      </w:pPr>
                      <w:r w:rsidRPr="00A1027F">
                        <w:rPr>
                          <w:rFonts w:cstheme="minorHAnsi"/>
                          <w:i/>
                        </w:rPr>
                        <w:t>Based on modelling, these changes are expected to decrease the HSRs of approximately 10% of products (mostly discretionary foods) and increase the HSRs of approximately 6% of products (mostly FFG foods such as fruits and vegetables, yoghurts and cheeses).</w:t>
                      </w:r>
                      <w:r w:rsidRPr="00A1027F">
                        <w:rPr>
                          <w:rFonts w:cstheme="minorHAnsi"/>
                        </w:rPr>
                        <w:t xml:space="preserve"> </w:t>
                      </w:r>
                    </w:p>
                    <w:p w:rsidR="00133D2C" w:rsidRPr="00A1027F" w:rsidRDefault="00133D2C" w:rsidP="001C0B7E">
                      <w:pPr>
                        <w:jc w:val="both"/>
                        <w:rPr>
                          <w:rFonts w:cstheme="minorHAnsi"/>
                        </w:rPr>
                      </w:pPr>
                      <w:r w:rsidRPr="00A1027F">
                        <w:rPr>
                          <w:rFonts w:cstheme="minorHAnsi"/>
                          <w:i/>
                        </w:rPr>
                        <w:t>It is recommended that a two-year transition period (starting from the date recommendations are accepted by governments) be provided for industry to implement the changes.</w:t>
                      </w:r>
                    </w:p>
                    <w:p w:rsidR="00133D2C" w:rsidRPr="0056153F" w:rsidRDefault="00133D2C" w:rsidP="001C0B7E">
                      <w:pPr>
                        <w:pStyle w:val="mpcNormal"/>
                        <w:keepNext w:val="0"/>
                        <w:jc w:val="both"/>
                        <w:rPr>
                          <w:sz w:val="24"/>
                          <w:szCs w:val="24"/>
                        </w:rPr>
                      </w:pPr>
                    </w:p>
                  </w:txbxContent>
                </v:textbox>
                <w10:wrap type="square" anchorx="margin"/>
              </v:shape>
            </w:pict>
          </mc:Fallback>
        </mc:AlternateContent>
      </w:r>
      <w:r w:rsidR="001C0B7E">
        <w:t>Changes to</w:t>
      </w:r>
      <w:r>
        <w:t xml:space="preserve"> the way </w:t>
      </w:r>
      <w:r w:rsidR="001C0B7E">
        <w:t xml:space="preserve">HSR </w:t>
      </w:r>
      <w:r>
        <w:t>is calculated for non-dairy beverages</w:t>
      </w:r>
      <w:r w:rsidR="0098046F">
        <w:t>.</w:t>
      </w:r>
      <w:bookmarkEnd w:id="13"/>
      <w:r>
        <w:t xml:space="preserve"> </w:t>
      </w:r>
    </w:p>
    <w:p w14:paraId="507ACAB9" w14:textId="77777777" w:rsidR="00F248F9" w:rsidRDefault="00F248F9" w:rsidP="00406DCE">
      <w:pPr>
        <w:pStyle w:val="Heading3"/>
        <w:spacing w:before="120"/>
      </w:pPr>
      <w:r>
        <w:t xml:space="preserve">Response: </w:t>
      </w:r>
    </w:p>
    <w:p w14:paraId="11C00097" w14:textId="77777777" w:rsidR="00BE5BB8" w:rsidRPr="00DE153D" w:rsidRDefault="00BE5BB8" w:rsidP="00BE5BB8">
      <w:r w:rsidRPr="00406DCE">
        <w:rPr>
          <w:b/>
        </w:rPr>
        <w:t>Supports</w:t>
      </w:r>
      <w:r>
        <w:t>, subject to a definition being developed and agreed</w:t>
      </w:r>
      <w:r w:rsidRPr="00DE153D">
        <w:t>.</w:t>
      </w:r>
    </w:p>
    <w:p w14:paraId="0DE34B1E" w14:textId="77777777" w:rsidR="003F3704" w:rsidRDefault="00F248F9" w:rsidP="008D5076">
      <w:pPr>
        <w:pStyle w:val="Heading3"/>
      </w:pPr>
      <w:r>
        <w:t>Rationale:</w:t>
      </w:r>
    </w:p>
    <w:p w14:paraId="63C58275" w14:textId="77777777" w:rsidR="00B32444" w:rsidRDefault="00B32444" w:rsidP="008D5076">
      <w:pPr>
        <w:rPr>
          <w:rFonts w:cstheme="minorHAnsi"/>
        </w:rPr>
      </w:pPr>
      <w:r>
        <w:rPr>
          <w:rFonts w:cstheme="minorHAnsi"/>
        </w:rPr>
        <w:t xml:space="preserve">Implementation of </w:t>
      </w:r>
      <w:r w:rsidR="00F248F9" w:rsidRPr="009861A3">
        <w:rPr>
          <w:rFonts w:cstheme="minorHAnsi"/>
        </w:rPr>
        <w:t xml:space="preserve">this recommendation would </w:t>
      </w:r>
      <w:r>
        <w:rPr>
          <w:rFonts w:cstheme="minorHAnsi"/>
        </w:rPr>
        <w:t xml:space="preserve">result in </w:t>
      </w:r>
      <w:r w:rsidR="00F248F9" w:rsidRPr="009861A3">
        <w:rPr>
          <w:rFonts w:cstheme="minorHAnsi"/>
        </w:rPr>
        <w:t>ratings for bever</w:t>
      </w:r>
      <w:r w:rsidR="00C80B8B">
        <w:rPr>
          <w:rFonts w:cstheme="minorHAnsi"/>
        </w:rPr>
        <w:t>ages align</w:t>
      </w:r>
      <w:r>
        <w:rPr>
          <w:rFonts w:cstheme="minorHAnsi"/>
        </w:rPr>
        <w:t>ing</w:t>
      </w:r>
      <w:r w:rsidR="00C80B8B">
        <w:rPr>
          <w:rFonts w:cstheme="minorHAnsi"/>
        </w:rPr>
        <w:t xml:space="preserve"> more closely with Dietary Guidelines</w:t>
      </w:r>
      <w:r w:rsidR="00BE5BB8">
        <w:rPr>
          <w:rFonts w:cstheme="minorHAnsi"/>
        </w:rPr>
        <w:t xml:space="preserve"> and </w:t>
      </w:r>
      <w:r>
        <w:rPr>
          <w:rFonts w:cstheme="minorHAnsi"/>
        </w:rPr>
        <w:t xml:space="preserve">would enhance </w:t>
      </w:r>
      <w:r w:rsidR="00BE5BB8">
        <w:rPr>
          <w:rFonts w:cstheme="minorHAnsi"/>
        </w:rPr>
        <w:t>consumers’ ability to compare different types of drinks</w:t>
      </w:r>
      <w:r w:rsidR="00F248F9" w:rsidRPr="009861A3">
        <w:rPr>
          <w:rFonts w:cstheme="minorHAnsi"/>
        </w:rPr>
        <w:t xml:space="preserve">. </w:t>
      </w:r>
    </w:p>
    <w:p w14:paraId="2B2AA410" w14:textId="77777777" w:rsidR="00A039D0" w:rsidRDefault="00B32444" w:rsidP="008D5076">
      <w:pPr>
        <w:rPr>
          <w:rFonts w:cstheme="minorHAnsi"/>
        </w:rPr>
      </w:pPr>
      <w:r>
        <w:rPr>
          <w:rFonts w:cstheme="minorHAnsi"/>
        </w:rPr>
        <w:t>D</w:t>
      </w:r>
      <w:r w:rsidR="00F248F9" w:rsidRPr="009861A3">
        <w:rPr>
          <w:rFonts w:cstheme="minorHAnsi"/>
        </w:rPr>
        <w:t xml:space="preserve">efining </w:t>
      </w:r>
      <w:r w:rsidR="00787C18">
        <w:rPr>
          <w:rFonts w:cstheme="minorHAnsi"/>
        </w:rPr>
        <w:t xml:space="preserve">non-dairy </w:t>
      </w:r>
      <w:r w:rsidR="00F248F9" w:rsidRPr="009861A3">
        <w:rPr>
          <w:rFonts w:cstheme="minorHAnsi"/>
        </w:rPr>
        <w:t xml:space="preserve">beverages beyond what is currently covered by the Australia New Zealand Food Standards Code was not </w:t>
      </w:r>
      <w:r>
        <w:rPr>
          <w:rFonts w:cstheme="minorHAnsi"/>
        </w:rPr>
        <w:t xml:space="preserve">part of </w:t>
      </w:r>
      <w:proofErr w:type="spellStart"/>
      <w:r w:rsidR="00787C18" w:rsidRPr="00787C18">
        <w:rPr>
          <w:rFonts w:cstheme="minorHAnsi"/>
          <w:i/>
        </w:rPr>
        <w:t>mpconsulting’s</w:t>
      </w:r>
      <w:proofErr w:type="spellEnd"/>
      <w:r w:rsidR="00D61A90">
        <w:rPr>
          <w:rFonts w:cstheme="minorHAnsi"/>
        </w:rPr>
        <w:t xml:space="preserve"> remi</w:t>
      </w:r>
      <w:r>
        <w:rPr>
          <w:rFonts w:cstheme="minorHAnsi"/>
        </w:rPr>
        <w:t>t</w:t>
      </w:r>
      <w:r w:rsidR="00F248F9" w:rsidRPr="009861A3">
        <w:rPr>
          <w:rFonts w:cstheme="minorHAnsi"/>
        </w:rPr>
        <w:t xml:space="preserve">. </w:t>
      </w:r>
      <w:r w:rsidR="00787C18">
        <w:rPr>
          <w:rFonts w:cstheme="minorHAnsi"/>
        </w:rPr>
        <w:t xml:space="preserve">Non-dairy beverages </w:t>
      </w:r>
      <w:r w:rsidR="001A6DAD">
        <w:rPr>
          <w:rFonts w:cstheme="minorHAnsi"/>
        </w:rPr>
        <w:t xml:space="preserve">are a quickly evolving market </w:t>
      </w:r>
      <w:r w:rsidR="00F248F9" w:rsidRPr="009861A3">
        <w:rPr>
          <w:rFonts w:cstheme="minorHAnsi"/>
        </w:rPr>
        <w:t>and further work on definitions</w:t>
      </w:r>
      <w:r>
        <w:rPr>
          <w:rFonts w:cstheme="minorHAnsi"/>
        </w:rPr>
        <w:t xml:space="preserve"> </w:t>
      </w:r>
      <w:r w:rsidRPr="009861A3">
        <w:rPr>
          <w:rFonts w:cstheme="minorHAnsi"/>
        </w:rPr>
        <w:t xml:space="preserve">by food and nutrition experts </w:t>
      </w:r>
      <w:r>
        <w:rPr>
          <w:rFonts w:cstheme="minorHAnsi"/>
        </w:rPr>
        <w:t>is required to account for this</w:t>
      </w:r>
      <w:r w:rsidR="00406DCE">
        <w:rPr>
          <w:rFonts w:cstheme="minorHAnsi"/>
        </w:rPr>
        <w:t>,</w:t>
      </w:r>
      <w:r>
        <w:rPr>
          <w:rFonts w:cstheme="minorHAnsi"/>
        </w:rPr>
        <w:t xml:space="preserve"> and </w:t>
      </w:r>
      <w:r w:rsidR="00406DCE">
        <w:rPr>
          <w:rFonts w:cstheme="minorHAnsi"/>
        </w:rPr>
        <w:t xml:space="preserve">to </w:t>
      </w:r>
      <w:r w:rsidR="00A039D0">
        <w:rPr>
          <w:rFonts w:cstheme="minorHAnsi"/>
        </w:rPr>
        <w:t>ensure t</w:t>
      </w:r>
      <w:r>
        <w:rPr>
          <w:rFonts w:cstheme="minorHAnsi"/>
        </w:rPr>
        <w:t>he</w:t>
      </w:r>
      <w:r w:rsidR="00A039D0">
        <w:rPr>
          <w:rFonts w:cstheme="minorHAnsi"/>
        </w:rPr>
        <w:t xml:space="preserve"> approach adequately captures the market.</w:t>
      </w:r>
    </w:p>
    <w:p w14:paraId="1DE4C053" w14:textId="77777777" w:rsidR="00F248F9" w:rsidRDefault="00A039D0" w:rsidP="008D5076">
      <w:pPr>
        <w:rPr>
          <w:rFonts w:cstheme="minorHAnsi"/>
        </w:rPr>
      </w:pPr>
      <w:r>
        <w:rPr>
          <w:rFonts w:cstheme="minorHAnsi"/>
        </w:rPr>
        <w:t>The Forum request</w:t>
      </w:r>
      <w:r w:rsidR="00B32444">
        <w:rPr>
          <w:rFonts w:cstheme="minorHAnsi"/>
        </w:rPr>
        <w:t>s</w:t>
      </w:r>
      <w:r>
        <w:rPr>
          <w:rFonts w:cstheme="minorHAnsi"/>
        </w:rPr>
        <w:t xml:space="preserve"> </w:t>
      </w:r>
      <w:r w:rsidR="00787C18">
        <w:t>FSANZ</w:t>
      </w:r>
      <w:r>
        <w:t xml:space="preserve"> provide advice on suitable definitions.</w:t>
      </w:r>
    </w:p>
    <w:p w14:paraId="6BB2E0B4" w14:textId="77777777" w:rsidR="00B50F59" w:rsidRDefault="00B50F59" w:rsidP="00406DCE">
      <w:pPr>
        <w:pStyle w:val="Heading3"/>
        <w:spacing w:before="120"/>
      </w:pPr>
      <w:r>
        <w:t xml:space="preserve">Implementation timeframe: </w:t>
      </w:r>
    </w:p>
    <w:p w14:paraId="48634E34" w14:textId="77777777" w:rsidR="00406DCE" w:rsidRDefault="00406DCE" w:rsidP="00406DCE">
      <w:r>
        <w:t>Request to be referred to FSANZ immediately.</w:t>
      </w:r>
    </w:p>
    <w:p w14:paraId="24BC01A0" w14:textId="77777777" w:rsidR="00406DCE" w:rsidRPr="00382D4B" w:rsidRDefault="00406DCE" w:rsidP="00406DCE">
      <w:r>
        <w:t xml:space="preserve">The Forum requests that FSANZ provide their advice to the first Forum meeting of 2020.  </w:t>
      </w:r>
    </w:p>
    <w:p w14:paraId="5B971DB5" w14:textId="77777777" w:rsidR="00541F4D" w:rsidRPr="00C05E33" w:rsidRDefault="00B32444" w:rsidP="00541F4D">
      <w:r>
        <w:t xml:space="preserve">Changes </w:t>
      </w:r>
      <w:r w:rsidR="00406DCE">
        <w:t xml:space="preserve">are then </w:t>
      </w:r>
      <w:r>
        <w:t>to be implemented w</w:t>
      </w:r>
      <w:r w:rsidR="00541F4D">
        <w:t>ithin 2 years</w:t>
      </w:r>
      <w:r w:rsidR="00541F4D" w:rsidRPr="004C0801">
        <w:t xml:space="preserve"> </w:t>
      </w:r>
      <w:r w:rsidR="00541F4D">
        <w:t>from agreed implementation start date.</w:t>
      </w:r>
    </w:p>
    <w:bookmarkStart w:id="14" w:name="_Toc21014906"/>
    <w:p w14:paraId="4F5B86A3" w14:textId="77777777" w:rsidR="00F248F9" w:rsidRPr="002C64CA" w:rsidRDefault="00541F4D" w:rsidP="008D5076">
      <w:pPr>
        <w:pStyle w:val="Heading2"/>
      </w:pPr>
      <w:r w:rsidRPr="009861A3">
        <w:rPr>
          <w:rFonts w:asciiTheme="minorHAnsi" w:hAnsiTheme="minorHAnsi" w:cstheme="minorHAnsi"/>
          <w:b/>
          <w:noProof/>
        </w:rPr>
        <w:lastRenderedPageBreak/>
        <mc:AlternateContent>
          <mc:Choice Requires="wps">
            <w:drawing>
              <wp:anchor distT="45720" distB="45720" distL="114300" distR="114300" simplePos="0" relativeHeight="251679744" behindDoc="0" locked="0" layoutInCell="1" allowOverlap="1" wp14:anchorId="15942EFC" wp14:editId="70DB25FA">
                <wp:simplePos x="0" y="0"/>
                <wp:positionH relativeFrom="margin">
                  <wp:align>right</wp:align>
                </wp:positionH>
                <wp:positionV relativeFrom="paragraph">
                  <wp:posOffset>362585</wp:posOffset>
                </wp:positionV>
                <wp:extent cx="6089650" cy="1750695"/>
                <wp:effectExtent l="0" t="0" r="2540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750695"/>
                        </a:xfrm>
                        <a:prstGeom prst="rect">
                          <a:avLst/>
                        </a:prstGeom>
                        <a:solidFill>
                          <a:schemeClr val="accent5">
                            <a:lumMod val="20000"/>
                            <a:lumOff val="80000"/>
                          </a:schemeClr>
                        </a:solidFill>
                        <a:ln w="9525">
                          <a:solidFill>
                            <a:srgbClr val="000000"/>
                          </a:solidFill>
                          <a:miter lim="800000"/>
                          <a:headEnd/>
                          <a:tailEnd/>
                        </a:ln>
                      </wps:spPr>
                      <wps:txbx>
                        <w:txbxContent>
                          <w:p w14:paraId="2035FDDD" w14:textId="77777777" w:rsidR="00133D2C" w:rsidRPr="00A1027F" w:rsidRDefault="00133D2C" w:rsidP="00A1027F">
                            <w:pPr>
                              <w:keepNext/>
                              <w:jc w:val="both"/>
                              <w:rPr>
                                <w:b/>
                                <w:szCs w:val="24"/>
                              </w:rPr>
                            </w:pPr>
                            <w:r w:rsidRPr="00A1027F">
                              <w:rPr>
                                <w:b/>
                                <w:szCs w:val="24"/>
                              </w:rPr>
                              <w:t>Recommendation 6: HSR System implementation continue to be jointly funded by Australian, State and Territory and New Zealand governments for a further four years.</w:t>
                            </w:r>
                          </w:p>
                          <w:p w14:paraId="5258C759" w14:textId="77777777" w:rsidR="00133D2C" w:rsidRPr="00A1027F" w:rsidRDefault="00133D2C" w:rsidP="00F248F9">
                            <w:pPr>
                              <w:pStyle w:val="mpcNormal"/>
                              <w:jc w:val="both"/>
                              <w:rPr>
                                <w:i/>
                                <w:szCs w:val="24"/>
                              </w:rPr>
                            </w:pPr>
                            <w:r w:rsidRPr="00A1027F">
                              <w:rPr>
                                <w:i/>
                                <w:szCs w:val="24"/>
                              </w:rPr>
                              <w:t xml:space="preserve">The next few years will be critical to the HSR System – proposed changes better align the System with Dietary Guidelines and address consumer concerns, and uptake by industry is expected to increase considerably. Funding is necessary to support the governance arrangements during this period, educate consumers about the changes and monitor consumer response and industry uptake. </w:t>
                            </w:r>
                          </w:p>
                          <w:p w14:paraId="32E486C9" w14:textId="77777777" w:rsidR="00133D2C" w:rsidRPr="00A1027F" w:rsidRDefault="00133D2C" w:rsidP="00F248F9">
                            <w:pPr>
                              <w:jc w:val="both"/>
                              <w:rPr>
                                <w:rFonts w:cstheme="minorHAnsi"/>
                                <w:szCs w:val="24"/>
                              </w:rPr>
                            </w:pPr>
                            <w:r w:rsidRPr="00A1027F">
                              <w:rPr>
                                <w:i/>
                                <w:szCs w:val="24"/>
                              </w:rPr>
                              <w:t>The Review acknowledges the considerable resources (including time, expertise, education, research and promotional materials) contributed by a range of stakeholders to date.</w:t>
                            </w:r>
                          </w:p>
                          <w:p w14:paraId="0413A49D" w14:textId="77777777" w:rsidR="00133D2C" w:rsidRPr="0056153F" w:rsidRDefault="00133D2C" w:rsidP="00F248F9">
                            <w:pPr>
                              <w:pStyle w:val="mpcNormal"/>
                              <w:keepNext w:val="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BEAA5" id="_x0000_s1031" type="#_x0000_t202" style="position:absolute;left:0;text-align:left;margin-left:428.3pt;margin-top:28.55pt;width:479.5pt;height:137.8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" fillcolor="#e4e7dd [664]">
                <v:textbox>
                  <w:txbxContent>
                    <w:p w:rsidR="00133D2C" w:rsidRPr="00A1027F" w:rsidRDefault="00133D2C" w:rsidP="00A1027F">
                      <w:pPr>
                        <w:keepNext/>
                        <w:jc w:val="both"/>
                        <w:rPr>
                          <w:b/>
                          <w:szCs w:val="24"/>
                        </w:rPr>
                      </w:pPr>
                      <w:r w:rsidRPr="00A1027F">
                        <w:rPr>
                          <w:b/>
                          <w:szCs w:val="24"/>
                        </w:rPr>
                        <w:t>Recommendation 6: HSR System implementation continue to be jointly funded by Australian, State and Territory and New Zealand governments for a further four years.</w:t>
                      </w:r>
                    </w:p>
                    <w:p w:rsidR="00133D2C" w:rsidRPr="00A1027F" w:rsidRDefault="00133D2C" w:rsidP="00F248F9">
                      <w:pPr>
                        <w:pStyle w:val="mpcNormal"/>
                        <w:jc w:val="both"/>
                        <w:rPr>
                          <w:i/>
                          <w:szCs w:val="24"/>
                        </w:rPr>
                      </w:pPr>
                      <w:r w:rsidRPr="00A1027F">
                        <w:rPr>
                          <w:i/>
                          <w:szCs w:val="24"/>
                        </w:rPr>
                        <w:t xml:space="preserve">The next few years will be critical to the HSR System – proposed changes better align the System with Dietary Guidelines and address consumer concerns, and uptake by industry is expected to increase considerably. Funding is necessary to support the governance arrangements during this period, educate consumers about the changes and monitor consumer response and industry uptake. </w:t>
                      </w:r>
                    </w:p>
                    <w:p w:rsidR="00133D2C" w:rsidRPr="00A1027F" w:rsidRDefault="00133D2C" w:rsidP="00F248F9">
                      <w:pPr>
                        <w:jc w:val="both"/>
                        <w:rPr>
                          <w:rFonts w:cstheme="minorHAnsi"/>
                          <w:szCs w:val="24"/>
                        </w:rPr>
                      </w:pPr>
                      <w:r w:rsidRPr="00A1027F">
                        <w:rPr>
                          <w:i/>
                          <w:szCs w:val="24"/>
                        </w:rPr>
                        <w:t>The Review acknowledges the considerable resources (including time, expertise, education, research and promotional materials) contributed by a range of stakeholders to date.</w:t>
                      </w:r>
                    </w:p>
                    <w:p w:rsidR="00133D2C" w:rsidRPr="0056153F" w:rsidRDefault="00133D2C" w:rsidP="00F248F9">
                      <w:pPr>
                        <w:pStyle w:val="mpcNormal"/>
                        <w:keepNext w:val="0"/>
                        <w:jc w:val="both"/>
                        <w:rPr>
                          <w:sz w:val="24"/>
                          <w:szCs w:val="24"/>
                        </w:rPr>
                      </w:pPr>
                    </w:p>
                  </w:txbxContent>
                </v:textbox>
                <w10:wrap type="square" anchorx="margin"/>
              </v:shape>
            </w:pict>
          </mc:Fallback>
        </mc:AlternateContent>
      </w:r>
      <w:r w:rsidR="00F248F9">
        <w:t>Continued joint funding of the HSR System for a further four years.</w:t>
      </w:r>
      <w:bookmarkEnd w:id="14"/>
      <w:r w:rsidR="00F248F9">
        <w:t xml:space="preserve">  </w:t>
      </w:r>
    </w:p>
    <w:p w14:paraId="05490BE9" w14:textId="77777777" w:rsidR="00F248F9" w:rsidRDefault="00F248F9" w:rsidP="00406DCE">
      <w:pPr>
        <w:pStyle w:val="Heading3"/>
        <w:spacing w:before="120"/>
      </w:pPr>
      <w:r>
        <w:t xml:space="preserve">Response: </w:t>
      </w:r>
    </w:p>
    <w:p w14:paraId="5E5AA450" w14:textId="77777777" w:rsidR="00406DCE" w:rsidRDefault="00F24F94" w:rsidP="00406DCE">
      <w:pPr>
        <w:rPr>
          <w:rFonts w:cstheme="minorHAnsi"/>
        </w:rPr>
      </w:pPr>
      <w:r w:rsidRPr="00406DCE">
        <w:rPr>
          <w:rFonts w:cstheme="minorHAnsi"/>
          <w:b/>
        </w:rPr>
        <w:t>Supports</w:t>
      </w:r>
      <w:r w:rsidR="00122308" w:rsidRPr="00406DCE">
        <w:rPr>
          <w:rFonts w:cstheme="minorHAnsi"/>
        </w:rPr>
        <w:t xml:space="preserve">, </w:t>
      </w:r>
      <w:r w:rsidR="00122308" w:rsidRPr="00BE5BB8">
        <w:rPr>
          <w:rFonts w:cstheme="minorHAnsi"/>
        </w:rPr>
        <w:t>with</w:t>
      </w:r>
      <w:r w:rsidR="00F248F9" w:rsidRPr="00BE5BB8">
        <w:rPr>
          <w:rFonts w:cstheme="minorHAnsi"/>
        </w:rPr>
        <w:t xml:space="preserve"> an amendment </w:t>
      </w:r>
      <w:r w:rsidR="00122308" w:rsidRPr="00BE5BB8">
        <w:rPr>
          <w:rFonts w:cstheme="minorHAnsi"/>
        </w:rPr>
        <w:t xml:space="preserve">from four </w:t>
      </w:r>
      <w:r w:rsidR="00F248F9" w:rsidRPr="00BE5BB8">
        <w:rPr>
          <w:rFonts w:cstheme="minorHAnsi"/>
        </w:rPr>
        <w:t xml:space="preserve">to </w:t>
      </w:r>
      <w:r w:rsidR="00F248F9" w:rsidRPr="00406DCE">
        <w:rPr>
          <w:rFonts w:cstheme="minorHAnsi"/>
        </w:rPr>
        <w:t>five</w:t>
      </w:r>
      <w:r w:rsidR="00F248F9" w:rsidRPr="00BE5BB8">
        <w:rPr>
          <w:rFonts w:cstheme="minorHAnsi"/>
        </w:rPr>
        <w:t xml:space="preserve"> years </w:t>
      </w:r>
      <w:r w:rsidR="00122308" w:rsidRPr="00BE5BB8">
        <w:rPr>
          <w:rFonts w:cstheme="minorHAnsi"/>
        </w:rPr>
        <w:t>to align</w:t>
      </w:r>
      <w:r w:rsidR="00F248F9" w:rsidRPr="00BE5BB8">
        <w:rPr>
          <w:rFonts w:cstheme="minorHAnsi"/>
        </w:rPr>
        <w:t xml:space="preserve"> with </w:t>
      </w:r>
      <w:r w:rsidR="00BE5BB8">
        <w:rPr>
          <w:rFonts w:cstheme="minorHAnsi"/>
        </w:rPr>
        <w:t>timeframes asso</w:t>
      </w:r>
      <w:r w:rsidR="00E34E15">
        <w:rPr>
          <w:rFonts w:cstheme="minorHAnsi"/>
        </w:rPr>
        <w:t>ciated with r</w:t>
      </w:r>
      <w:r w:rsidR="00BE5BB8">
        <w:rPr>
          <w:rFonts w:cstheme="minorHAnsi"/>
        </w:rPr>
        <w:t>ecommendation 9.</w:t>
      </w:r>
    </w:p>
    <w:p w14:paraId="565E7384" w14:textId="77777777" w:rsidR="00F248F9" w:rsidRDefault="00F248F9" w:rsidP="00406DCE">
      <w:pPr>
        <w:pStyle w:val="Heading3"/>
        <w:spacing w:before="120"/>
      </w:pPr>
      <w:r>
        <w:t>Rationale:</w:t>
      </w:r>
    </w:p>
    <w:p w14:paraId="008282B9" w14:textId="77777777" w:rsidR="00DE75EC" w:rsidRPr="000A0596" w:rsidRDefault="00B31D0A" w:rsidP="008D5076">
      <w:pPr>
        <w:rPr>
          <w:rFonts w:cstheme="minorHAnsi"/>
        </w:rPr>
      </w:pPr>
      <w:r>
        <w:rPr>
          <w:rFonts w:cstheme="minorHAnsi"/>
        </w:rPr>
        <w:t>Addressing</w:t>
      </w:r>
      <w:r w:rsidR="002B47BC">
        <w:rPr>
          <w:rFonts w:cstheme="minorHAnsi"/>
        </w:rPr>
        <w:t xml:space="preserve"> the burden or poor diets and related diseases </w:t>
      </w:r>
      <w:r w:rsidR="00CE0807">
        <w:rPr>
          <w:rFonts w:cstheme="minorHAnsi"/>
        </w:rPr>
        <w:t>is</w:t>
      </w:r>
      <w:r w:rsidR="002B47BC">
        <w:rPr>
          <w:rFonts w:cstheme="minorHAnsi"/>
        </w:rPr>
        <w:t xml:space="preserve"> to the </w:t>
      </w:r>
      <w:r w:rsidR="00CE0807">
        <w:rPr>
          <w:rFonts w:cstheme="minorHAnsi"/>
        </w:rPr>
        <w:t>benefit</w:t>
      </w:r>
      <w:r w:rsidR="002B47BC">
        <w:rPr>
          <w:rFonts w:cstheme="minorHAnsi"/>
        </w:rPr>
        <w:t xml:space="preserve"> of all government entities</w:t>
      </w:r>
      <w:r w:rsidR="00CE0807">
        <w:rPr>
          <w:rFonts w:cstheme="minorHAnsi"/>
        </w:rPr>
        <w:t xml:space="preserve"> and is a shared responsibility.</w:t>
      </w:r>
      <w:r w:rsidR="002B47BC">
        <w:rPr>
          <w:rFonts w:cstheme="minorHAnsi"/>
        </w:rPr>
        <w:t xml:space="preserve"> The </w:t>
      </w:r>
      <w:r w:rsidR="00F248F9" w:rsidRPr="009861A3">
        <w:rPr>
          <w:rFonts w:cstheme="minorHAnsi"/>
        </w:rPr>
        <w:t xml:space="preserve">HSR </w:t>
      </w:r>
      <w:r w:rsidR="002B47BC">
        <w:rPr>
          <w:rFonts w:cstheme="minorHAnsi"/>
        </w:rPr>
        <w:t>s</w:t>
      </w:r>
      <w:r w:rsidR="00F248F9" w:rsidRPr="009861A3">
        <w:rPr>
          <w:rFonts w:cstheme="minorHAnsi"/>
        </w:rPr>
        <w:t xml:space="preserve">ystem </w:t>
      </w:r>
      <w:r w:rsidR="002B47BC">
        <w:rPr>
          <w:rFonts w:cstheme="minorHAnsi"/>
        </w:rPr>
        <w:t>has operated well to th</w:t>
      </w:r>
      <w:r w:rsidR="00E34E15">
        <w:rPr>
          <w:rFonts w:cstheme="minorHAnsi"/>
        </w:rPr>
        <w:t xml:space="preserve">is point under the current cost </w:t>
      </w:r>
      <w:r w:rsidR="002B47BC">
        <w:rPr>
          <w:rFonts w:cstheme="minorHAnsi"/>
        </w:rPr>
        <w:t xml:space="preserve">share formula. A continued commitment to funding the </w:t>
      </w:r>
      <w:r w:rsidR="00246370">
        <w:rPr>
          <w:rFonts w:cstheme="minorHAnsi"/>
        </w:rPr>
        <w:t xml:space="preserve">HSR </w:t>
      </w:r>
      <w:r w:rsidR="002B47BC">
        <w:rPr>
          <w:rFonts w:cstheme="minorHAnsi"/>
        </w:rPr>
        <w:t xml:space="preserve">system by the </w:t>
      </w:r>
      <w:r w:rsidR="002B47BC" w:rsidRPr="002B47BC">
        <w:rPr>
          <w:rFonts w:cstheme="minorHAnsi"/>
        </w:rPr>
        <w:t xml:space="preserve">Australian, State and Territory and New Zealand governments </w:t>
      </w:r>
      <w:r w:rsidR="002B47BC">
        <w:rPr>
          <w:rFonts w:cstheme="minorHAnsi"/>
        </w:rPr>
        <w:t xml:space="preserve">would demonstrate a commitment to the </w:t>
      </w:r>
      <w:r w:rsidR="00246370">
        <w:rPr>
          <w:rFonts w:cstheme="minorHAnsi"/>
        </w:rPr>
        <w:t xml:space="preserve">HSR </w:t>
      </w:r>
      <w:r w:rsidR="002B47BC">
        <w:rPr>
          <w:rFonts w:cstheme="minorHAnsi"/>
        </w:rPr>
        <w:t>system and to its intended public health outcomes.</w:t>
      </w:r>
      <w:r w:rsidR="00BE5BB8">
        <w:rPr>
          <w:rFonts w:cstheme="minorHAnsi"/>
        </w:rPr>
        <w:t xml:space="preserve"> </w:t>
      </w:r>
      <w:r w:rsidR="002B47BC">
        <w:rPr>
          <w:rFonts w:cstheme="minorHAnsi"/>
        </w:rPr>
        <w:t xml:space="preserve">Extending the proposed timeframe to five, rather than four years, would align the timeframe for this </w:t>
      </w:r>
      <w:r w:rsidR="004C62B4">
        <w:rPr>
          <w:rFonts w:cstheme="minorHAnsi"/>
        </w:rPr>
        <w:t>r</w:t>
      </w:r>
      <w:r w:rsidR="00E34E15">
        <w:rPr>
          <w:rFonts w:cstheme="minorHAnsi"/>
        </w:rPr>
        <w:t>ecommendation with r</w:t>
      </w:r>
      <w:r w:rsidR="002B47BC" w:rsidRPr="002B47BC">
        <w:rPr>
          <w:rFonts w:cstheme="minorHAnsi"/>
        </w:rPr>
        <w:t xml:space="preserve">ecommendation 9 and with </w:t>
      </w:r>
      <w:r w:rsidR="005A3FFE">
        <w:rPr>
          <w:rFonts w:cstheme="minorHAnsi"/>
        </w:rPr>
        <w:t>the initial voluntary implementation phase of five years.</w:t>
      </w:r>
      <w:r w:rsidR="00BE5BB8">
        <w:rPr>
          <w:rFonts w:cstheme="minorHAnsi"/>
        </w:rPr>
        <w:t xml:space="preserve"> </w:t>
      </w:r>
    </w:p>
    <w:bookmarkStart w:id="15" w:name="_Toc21014907"/>
    <w:p w14:paraId="29DD98AC" w14:textId="77777777" w:rsidR="00476AD6" w:rsidRPr="00CD3048" w:rsidRDefault="00476AD6" w:rsidP="008D5076">
      <w:pPr>
        <w:pStyle w:val="Heading2"/>
      </w:pPr>
      <w:r w:rsidRPr="00CD3048">
        <w:rPr>
          <w:rFonts w:asciiTheme="minorHAnsi" w:hAnsiTheme="minorHAnsi" w:cstheme="minorHAnsi"/>
          <w:b/>
          <w:noProof/>
        </w:rPr>
        <mc:AlternateContent>
          <mc:Choice Requires="wps">
            <w:drawing>
              <wp:anchor distT="45720" distB="45720" distL="114300" distR="114300" simplePos="0" relativeHeight="251671552" behindDoc="0" locked="0" layoutInCell="1" allowOverlap="1" wp14:anchorId="224CDD03" wp14:editId="79C772DC">
                <wp:simplePos x="0" y="0"/>
                <wp:positionH relativeFrom="margin">
                  <wp:align>right</wp:align>
                </wp:positionH>
                <wp:positionV relativeFrom="paragraph">
                  <wp:posOffset>416860</wp:posOffset>
                </wp:positionV>
                <wp:extent cx="6089650" cy="2251075"/>
                <wp:effectExtent l="0" t="0" r="2540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251075"/>
                        </a:xfrm>
                        <a:prstGeom prst="rect">
                          <a:avLst/>
                        </a:prstGeom>
                        <a:solidFill>
                          <a:schemeClr val="accent5">
                            <a:lumMod val="20000"/>
                            <a:lumOff val="80000"/>
                          </a:schemeClr>
                        </a:solidFill>
                        <a:ln w="9525">
                          <a:solidFill>
                            <a:srgbClr val="000000"/>
                          </a:solidFill>
                          <a:miter lim="800000"/>
                          <a:headEnd/>
                          <a:tailEnd/>
                        </a:ln>
                      </wps:spPr>
                      <wps:txbx>
                        <w:txbxContent>
                          <w:p w14:paraId="695692E3" w14:textId="77777777" w:rsidR="00133D2C" w:rsidRPr="00A1027F" w:rsidRDefault="00133D2C" w:rsidP="00A1027F">
                            <w:pPr>
                              <w:pStyle w:val="mpcNormal"/>
                              <w:spacing w:before="120" w:after="120"/>
                              <w:jc w:val="both"/>
                              <w:rPr>
                                <w:b/>
                                <w:szCs w:val="24"/>
                              </w:rPr>
                            </w:pPr>
                            <w:r w:rsidRPr="00A1027F">
                              <w:rPr>
                                <w:b/>
                                <w:szCs w:val="24"/>
                              </w:rPr>
                              <w:t xml:space="preserve">Recommendation 7: </w:t>
                            </w:r>
                            <w:r w:rsidRPr="00A1027F">
                              <w:rPr>
                                <w:b/>
                                <w:szCs w:val="24"/>
                              </w:rPr>
                              <w:tab/>
                              <w:t>Minor changes be made to the governance of the HSR System to:</w:t>
                            </w:r>
                          </w:p>
                          <w:p w14:paraId="394DF7D1" w14:textId="77777777"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support greater consumer confidence in the System by transferring management of the HSR Calculator and TAG database to FSANZ</w:t>
                            </w:r>
                          </w:p>
                          <w:p w14:paraId="7F28DAB3" w14:textId="77777777"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 xml:space="preserve">clarify the role of governance committees </w:t>
                            </w:r>
                          </w:p>
                          <w:p w14:paraId="5D5AF3B2" w14:textId="77777777"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increase the transparency of the System</w:t>
                            </w:r>
                          </w:p>
                          <w:p w14:paraId="0543D872" w14:textId="77777777" w:rsidR="00133D2C" w:rsidRPr="00A1027F" w:rsidRDefault="00133D2C" w:rsidP="00476AD6">
                            <w:pPr>
                              <w:pStyle w:val="ListParagraph"/>
                              <w:numPr>
                                <w:ilvl w:val="0"/>
                                <w:numId w:val="23"/>
                              </w:numPr>
                              <w:spacing w:before="0" w:after="0"/>
                              <w:contextualSpacing/>
                              <w:jc w:val="both"/>
                              <w:rPr>
                                <w:rFonts w:cstheme="minorHAnsi"/>
                                <w:szCs w:val="24"/>
                              </w:rPr>
                            </w:pPr>
                            <w:r w:rsidRPr="00A1027F">
                              <w:rPr>
                                <w:rFonts w:cstheme="minorHAnsi"/>
                                <w:b/>
                                <w:szCs w:val="24"/>
                              </w:rPr>
                              <w:t>improve monitoring, enabling the System to be more responsive</w:t>
                            </w:r>
                            <w:r w:rsidRPr="00A1027F">
                              <w:rPr>
                                <w:rFonts w:cstheme="minorHAnsi"/>
                                <w:szCs w:val="24"/>
                              </w:rPr>
                              <w:t>.</w:t>
                            </w:r>
                          </w:p>
                          <w:p w14:paraId="16D34CA8" w14:textId="77777777" w:rsidR="00133D2C" w:rsidRPr="00A1027F" w:rsidRDefault="00133D2C" w:rsidP="00476AD6">
                            <w:pPr>
                              <w:jc w:val="both"/>
                              <w:rPr>
                                <w:rFonts w:cstheme="minorHAnsi"/>
                                <w:szCs w:val="24"/>
                              </w:rPr>
                            </w:pPr>
                            <w:r w:rsidRPr="00A1027F">
                              <w:rPr>
                                <w:rFonts w:cstheme="minorHAnsi"/>
                                <w:i/>
                                <w:szCs w:val="24"/>
                              </w:rPr>
                              <w:t>As the HSR System moves into the next stage of implementation, adjustments to the governance arrangements are recommended to support greater consumer confidence; enable more effective monitoring; provide greater transparency; and improve responsiveness. Recommended changes include adjustments to the composition and role of the HSRAC and independent custodianship (by FSANZ) of the HSR Calculator and TAG database (including resourcing for this work).</w:t>
                            </w:r>
                          </w:p>
                          <w:p w14:paraId="43308832" w14:textId="77777777" w:rsidR="00133D2C" w:rsidRPr="0056153F" w:rsidRDefault="00133D2C" w:rsidP="00476AD6">
                            <w:pPr>
                              <w:pStyle w:val="mpcNormal"/>
                              <w:keepNext w:val="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66DE9" id="_x0000_s1032" type="#_x0000_t202" style="position:absolute;left:0;text-align:left;margin-left:428.3pt;margin-top:32.8pt;width:479.5pt;height:177.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" fillcolor="#e4e7dd [664]">
                <v:textbox>
                  <w:txbxContent>
                    <w:p w:rsidR="00133D2C" w:rsidRPr="00A1027F" w:rsidRDefault="00133D2C" w:rsidP="00A1027F">
                      <w:pPr>
                        <w:pStyle w:val="mpcNormal"/>
                        <w:spacing w:before="120" w:after="120"/>
                        <w:jc w:val="both"/>
                        <w:rPr>
                          <w:b/>
                          <w:szCs w:val="24"/>
                        </w:rPr>
                      </w:pPr>
                      <w:r w:rsidRPr="00A1027F">
                        <w:rPr>
                          <w:b/>
                          <w:szCs w:val="24"/>
                        </w:rPr>
                        <w:t xml:space="preserve">Recommendation 7: </w:t>
                      </w:r>
                      <w:r w:rsidRPr="00A1027F">
                        <w:rPr>
                          <w:b/>
                          <w:szCs w:val="24"/>
                        </w:rPr>
                        <w:tab/>
                        <w:t>Minor changes be made to the governance of the HSR System to:</w:t>
                      </w:r>
                    </w:p>
                    <w:p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support greater consumer confidence in the System by transferring management of the HSR Calculator and TAG database to FSANZ</w:t>
                      </w:r>
                    </w:p>
                    <w:p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 xml:space="preserve">clarify the role of governance committees </w:t>
                      </w:r>
                    </w:p>
                    <w:p w:rsidR="00133D2C" w:rsidRPr="00A1027F" w:rsidRDefault="00133D2C" w:rsidP="00476AD6">
                      <w:pPr>
                        <w:pStyle w:val="ListParagraph"/>
                        <w:numPr>
                          <w:ilvl w:val="0"/>
                          <w:numId w:val="23"/>
                        </w:numPr>
                        <w:spacing w:before="0" w:after="0"/>
                        <w:contextualSpacing/>
                        <w:jc w:val="both"/>
                        <w:rPr>
                          <w:rFonts w:cstheme="minorHAnsi"/>
                          <w:b/>
                          <w:szCs w:val="24"/>
                        </w:rPr>
                      </w:pPr>
                      <w:r w:rsidRPr="00A1027F">
                        <w:rPr>
                          <w:rFonts w:cstheme="minorHAnsi"/>
                          <w:b/>
                          <w:szCs w:val="24"/>
                        </w:rPr>
                        <w:t>increase the transparency of the System</w:t>
                      </w:r>
                    </w:p>
                    <w:p w:rsidR="00133D2C" w:rsidRPr="00A1027F" w:rsidRDefault="00133D2C" w:rsidP="00476AD6">
                      <w:pPr>
                        <w:pStyle w:val="ListParagraph"/>
                        <w:numPr>
                          <w:ilvl w:val="0"/>
                          <w:numId w:val="23"/>
                        </w:numPr>
                        <w:spacing w:before="0" w:after="0"/>
                        <w:contextualSpacing/>
                        <w:jc w:val="both"/>
                        <w:rPr>
                          <w:rFonts w:cstheme="minorHAnsi"/>
                          <w:szCs w:val="24"/>
                        </w:rPr>
                      </w:pPr>
                      <w:r w:rsidRPr="00A1027F">
                        <w:rPr>
                          <w:rFonts w:cstheme="minorHAnsi"/>
                          <w:b/>
                          <w:szCs w:val="24"/>
                        </w:rPr>
                        <w:t>improve monitoring, enabling the System to be more responsive</w:t>
                      </w:r>
                      <w:r w:rsidRPr="00A1027F">
                        <w:rPr>
                          <w:rFonts w:cstheme="minorHAnsi"/>
                          <w:szCs w:val="24"/>
                        </w:rPr>
                        <w:t>.</w:t>
                      </w:r>
                    </w:p>
                    <w:p w:rsidR="00133D2C" w:rsidRPr="00A1027F" w:rsidRDefault="00133D2C" w:rsidP="00476AD6">
                      <w:pPr>
                        <w:jc w:val="both"/>
                        <w:rPr>
                          <w:rFonts w:cstheme="minorHAnsi"/>
                          <w:szCs w:val="24"/>
                        </w:rPr>
                      </w:pPr>
                      <w:r w:rsidRPr="00A1027F">
                        <w:rPr>
                          <w:rFonts w:cstheme="minorHAnsi"/>
                          <w:i/>
                          <w:szCs w:val="24"/>
                        </w:rPr>
                        <w:t>As the HSR System moves into the next stage of implementation, adjustments to the governance arrangements are recommended to support greater consumer confidence; enable more effective monitoring; provide greater transparency; and improve responsiveness. Recommended changes include adjustments to the composition and role of the HSRAC and independent custodianship (by FSANZ) of the HSR Calculator and TAG database (including resourcing for this work).</w:t>
                      </w:r>
                    </w:p>
                    <w:p w:rsidR="00133D2C" w:rsidRPr="0056153F" w:rsidRDefault="00133D2C" w:rsidP="00476AD6">
                      <w:pPr>
                        <w:pStyle w:val="mpcNormal"/>
                        <w:keepNext w:val="0"/>
                        <w:jc w:val="both"/>
                        <w:rPr>
                          <w:sz w:val="24"/>
                          <w:szCs w:val="24"/>
                        </w:rPr>
                      </w:pPr>
                    </w:p>
                  </w:txbxContent>
                </v:textbox>
                <w10:wrap type="square" anchorx="margin"/>
              </v:shape>
            </w:pict>
          </mc:Fallback>
        </mc:AlternateContent>
      </w:r>
      <w:r w:rsidRPr="00CD3048">
        <w:t>Minor Changes to be made to the governance of the HSR System.</w:t>
      </w:r>
      <w:bookmarkEnd w:id="15"/>
    </w:p>
    <w:p w14:paraId="3536D16F" w14:textId="77777777" w:rsidR="00476AD6" w:rsidRPr="008C1A63" w:rsidRDefault="00476AD6" w:rsidP="00406DCE">
      <w:pPr>
        <w:pStyle w:val="Heading3"/>
        <w:spacing w:before="120"/>
      </w:pPr>
      <w:r w:rsidRPr="008C1A63">
        <w:t xml:space="preserve">Response: </w:t>
      </w:r>
    </w:p>
    <w:p w14:paraId="130D513A" w14:textId="77777777" w:rsidR="00476AD6" w:rsidRPr="00891940" w:rsidRDefault="00F24F94" w:rsidP="00BE5BB8">
      <w:pPr>
        <w:rPr>
          <w:rFonts w:cstheme="minorHAnsi"/>
          <w:b/>
        </w:rPr>
      </w:pPr>
      <w:r w:rsidRPr="00406DCE">
        <w:rPr>
          <w:b/>
        </w:rPr>
        <w:t>Supports</w:t>
      </w:r>
      <w:r w:rsidR="00680F37" w:rsidRPr="008C1A63">
        <w:t>, s</w:t>
      </w:r>
      <w:r w:rsidR="00476AD6" w:rsidRPr="008C1A63">
        <w:rPr>
          <w:rFonts w:cstheme="minorHAnsi"/>
        </w:rPr>
        <w:t xml:space="preserve">ubject to </w:t>
      </w:r>
      <w:r w:rsidR="00476AD6" w:rsidRPr="00CD3048">
        <w:rPr>
          <w:rFonts w:cstheme="minorHAnsi"/>
        </w:rPr>
        <w:t>funding</w:t>
      </w:r>
      <w:r w:rsidR="00746789" w:rsidRPr="00891940">
        <w:rPr>
          <w:rFonts w:cstheme="minorHAnsi"/>
        </w:rPr>
        <w:t>.</w:t>
      </w:r>
    </w:p>
    <w:p w14:paraId="00F1DB41" w14:textId="77777777" w:rsidR="00476AD6" w:rsidRPr="00CD3048" w:rsidRDefault="00476AD6" w:rsidP="00406DCE">
      <w:pPr>
        <w:pStyle w:val="Heading3"/>
        <w:spacing w:before="120"/>
      </w:pPr>
      <w:r w:rsidRPr="00CD3048">
        <w:t>Rationale:</w:t>
      </w:r>
    </w:p>
    <w:p w14:paraId="5974F8C8" w14:textId="77777777" w:rsidR="004B58AC" w:rsidRPr="00CD3048" w:rsidRDefault="0063306B" w:rsidP="008D5076">
      <w:pPr>
        <w:rPr>
          <w:rFonts w:cstheme="minorHAnsi"/>
          <w:b/>
        </w:rPr>
      </w:pPr>
      <w:r>
        <w:rPr>
          <w:rFonts w:cstheme="minorHAnsi"/>
          <w:b/>
        </w:rPr>
        <w:t>S</w:t>
      </w:r>
      <w:r w:rsidR="004B58AC" w:rsidRPr="00CD3048">
        <w:rPr>
          <w:rFonts w:cstheme="minorHAnsi"/>
          <w:b/>
        </w:rPr>
        <w:t xml:space="preserve">upport greater consumer confidence in the </w:t>
      </w:r>
      <w:r w:rsidR="00246370">
        <w:rPr>
          <w:rFonts w:cstheme="minorHAnsi"/>
          <w:b/>
        </w:rPr>
        <w:t>HSR s</w:t>
      </w:r>
      <w:r w:rsidR="004B58AC" w:rsidRPr="00CD3048">
        <w:rPr>
          <w:rFonts w:cstheme="minorHAnsi"/>
          <w:b/>
        </w:rPr>
        <w:t>ystem by transferring management of the HSR Calculator and TAG database to FSANZ</w:t>
      </w:r>
      <w:r w:rsidR="00406DCE">
        <w:rPr>
          <w:rFonts w:cstheme="minorHAnsi"/>
          <w:b/>
        </w:rPr>
        <w:t xml:space="preserve"> - </w:t>
      </w:r>
      <w:r w:rsidR="00746789">
        <w:rPr>
          <w:rFonts w:cstheme="minorHAnsi"/>
        </w:rPr>
        <w:t xml:space="preserve">The Forum is supportive of the transfer to </w:t>
      </w:r>
      <w:r w:rsidR="007C5576" w:rsidRPr="00CD3048">
        <w:rPr>
          <w:rFonts w:cstheme="minorHAnsi"/>
        </w:rPr>
        <w:t xml:space="preserve">FSANZ </w:t>
      </w:r>
      <w:r w:rsidR="00746789">
        <w:rPr>
          <w:rFonts w:cstheme="minorHAnsi"/>
        </w:rPr>
        <w:t xml:space="preserve">as </w:t>
      </w:r>
      <w:r w:rsidR="00360020">
        <w:rPr>
          <w:rFonts w:cstheme="minorHAnsi"/>
        </w:rPr>
        <w:t>it has</w:t>
      </w:r>
      <w:r w:rsidR="007C5576" w:rsidRPr="00CD3048">
        <w:rPr>
          <w:rFonts w:cstheme="minorHAnsi"/>
        </w:rPr>
        <w:t xml:space="preserve"> a staff base with </w:t>
      </w:r>
      <w:r w:rsidR="000435E9" w:rsidRPr="00CD3048">
        <w:rPr>
          <w:rFonts w:cstheme="minorHAnsi"/>
        </w:rPr>
        <w:t xml:space="preserve">the appropriate and specific </w:t>
      </w:r>
      <w:r w:rsidR="007C5576" w:rsidRPr="00CD3048">
        <w:rPr>
          <w:rFonts w:cstheme="minorHAnsi"/>
        </w:rPr>
        <w:t xml:space="preserve">technical expertise, as well as </w:t>
      </w:r>
      <w:r w:rsidR="00CF4C74">
        <w:rPr>
          <w:rFonts w:cstheme="minorHAnsi"/>
        </w:rPr>
        <w:t>oversight of</w:t>
      </w:r>
      <w:r w:rsidR="007C5576" w:rsidRPr="00CD3048">
        <w:rPr>
          <w:rFonts w:cstheme="minorHAnsi"/>
        </w:rPr>
        <w:t xml:space="preserve"> the </w:t>
      </w:r>
      <w:r w:rsidR="008313E5">
        <w:rPr>
          <w:rFonts w:cstheme="minorHAnsi"/>
        </w:rPr>
        <w:t>NPSC</w:t>
      </w:r>
      <w:r w:rsidR="005A63A5">
        <w:rPr>
          <w:rFonts w:cstheme="minorHAnsi"/>
        </w:rPr>
        <w:t xml:space="preserve"> </w:t>
      </w:r>
      <w:r w:rsidR="007C5576" w:rsidRPr="00CD3048">
        <w:rPr>
          <w:rFonts w:cstheme="minorHAnsi"/>
        </w:rPr>
        <w:t xml:space="preserve">on which the HSR </w:t>
      </w:r>
      <w:r w:rsidR="008313E5">
        <w:rPr>
          <w:rFonts w:cstheme="minorHAnsi"/>
        </w:rPr>
        <w:t>Algorithm</w:t>
      </w:r>
      <w:r w:rsidR="007C5576" w:rsidRPr="00CD3048">
        <w:rPr>
          <w:rFonts w:cstheme="minorHAnsi"/>
        </w:rPr>
        <w:t xml:space="preserve"> is based. </w:t>
      </w:r>
    </w:p>
    <w:p w14:paraId="777900A2" w14:textId="77777777" w:rsidR="004B58AC" w:rsidRPr="00CD3048" w:rsidRDefault="0063306B" w:rsidP="008D5076">
      <w:pPr>
        <w:rPr>
          <w:rFonts w:cstheme="minorHAnsi"/>
        </w:rPr>
      </w:pPr>
      <w:r>
        <w:rPr>
          <w:rFonts w:cstheme="minorHAnsi"/>
          <w:b/>
        </w:rPr>
        <w:lastRenderedPageBreak/>
        <w:t>C</w:t>
      </w:r>
      <w:r w:rsidR="004B58AC" w:rsidRPr="00CD3048">
        <w:rPr>
          <w:rFonts w:cstheme="minorHAnsi"/>
          <w:b/>
        </w:rPr>
        <w:t xml:space="preserve">larify the role of governance committees </w:t>
      </w:r>
      <w:r w:rsidR="00406DCE">
        <w:rPr>
          <w:rFonts w:cstheme="minorHAnsi"/>
          <w:b/>
        </w:rPr>
        <w:t xml:space="preserve">- </w:t>
      </w:r>
      <w:r w:rsidR="002E3226">
        <w:rPr>
          <w:rFonts w:cstheme="minorHAnsi"/>
        </w:rPr>
        <w:t>T</w:t>
      </w:r>
      <w:r w:rsidR="005F1474" w:rsidRPr="002E3226">
        <w:rPr>
          <w:rFonts w:cstheme="minorHAnsi"/>
        </w:rPr>
        <w:t>he Forum agrees</w:t>
      </w:r>
      <w:r w:rsidR="005F1474">
        <w:rPr>
          <w:rFonts w:cstheme="minorHAnsi"/>
        </w:rPr>
        <w:t xml:space="preserve"> </w:t>
      </w:r>
      <w:r w:rsidR="00FA5B62">
        <w:rPr>
          <w:rFonts w:cstheme="minorHAnsi"/>
        </w:rPr>
        <w:t xml:space="preserve">that </w:t>
      </w:r>
      <w:r w:rsidR="005F1474">
        <w:rPr>
          <w:rFonts w:cstheme="minorHAnsi"/>
        </w:rPr>
        <w:t>d</w:t>
      </w:r>
      <w:r w:rsidR="007C5576" w:rsidRPr="00CD3048">
        <w:rPr>
          <w:rFonts w:cstheme="minorHAnsi"/>
        </w:rPr>
        <w:t xml:space="preserve">efining the scope and level of work appropriate to each committee </w:t>
      </w:r>
      <w:r w:rsidR="00CF7463" w:rsidRPr="00CD3048">
        <w:rPr>
          <w:rFonts w:cstheme="minorHAnsi"/>
        </w:rPr>
        <w:t>beyond</w:t>
      </w:r>
      <w:r w:rsidR="000637FF" w:rsidRPr="00CD3048">
        <w:rPr>
          <w:rFonts w:cstheme="minorHAnsi"/>
        </w:rPr>
        <w:t xml:space="preserve"> the current terms of reference</w:t>
      </w:r>
      <w:r w:rsidR="007C5576" w:rsidRPr="00CD3048">
        <w:rPr>
          <w:rFonts w:cstheme="minorHAnsi"/>
        </w:rPr>
        <w:t xml:space="preserve"> would assist committees and</w:t>
      </w:r>
      <w:r w:rsidR="00B12731" w:rsidRPr="00CD3048">
        <w:rPr>
          <w:rFonts w:cstheme="minorHAnsi"/>
        </w:rPr>
        <w:t xml:space="preserve"> members to perform their roles</w:t>
      </w:r>
      <w:r w:rsidR="003D3F5F" w:rsidRPr="00CD3048">
        <w:rPr>
          <w:rFonts w:cstheme="minorHAnsi"/>
        </w:rPr>
        <w:t xml:space="preserve"> appropriately.</w:t>
      </w:r>
      <w:r w:rsidR="00CF7463" w:rsidRPr="00CD3048">
        <w:rPr>
          <w:rFonts w:cstheme="minorHAnsi"/>
        </w:rPr>
        <w:t xml:space="preserve"> Once implementation of any changes commences a new or updated governance structure will need to be put in place and new terms of reference documents for each governing body will be required.  </w:t>
      </w:r>
    </w:p>
    <w:p w14:paraId="781A5117" w14:textId="77777777" w:rsidR="004B58AC" w:rsidRPr="00CD3048" w:rsidRDefault="0063306B" w:rsidP="008D5076">
      <w:pPr>
        <w:rPr>
          <w:rFonts w:cstheme="minorHAnsi"/>
          <w:b/>
        </w:rPr>
      </w:pPr>
      <w:r>
        <w:rPr>
          <w:rFonts w:cstheme="minorHAnsi"/>
          <w:b/>
        </w:rPr>
        <w:t>I</w:t>
      </w:r>
      <w:r w:rsidR="004B58AC" w:rsidRPr="00CD3048">
        <w:rPr>
          <w:rFonts w:cstheme="minorHAnsi"/>
          <w:b/>
        </w:rPr>
        <w:t xml:space="preserve">ncrease the transparency of the </w:t>
      </w:r>
      <w:r w:rsidR="00246370">
        <w:rPr>
          <w:rFonts w:cstheme="minorHAnsi"/>
          <w:b/>
        </w:rPr>
        <w:t>HSR s</w:t>
      </w:r>
      <w:r w:rsidR="004B58AC" w:rsidRPr="00CD3048">
        <w:rPr>
          <w:rFonts w:cstheme="minorHAnsi"/>
          <w:b/>
        </w:rPr>
        <w:t>ystem</w:t>
      </w:r>
      <w:r w:rsidR="00406DCE">
        <w:rPr>
          <w:rFonts w:cstheme="minorHAnsi"/>
          <w:b/>
        </w:rPr>
        <w:t xml:space="preserve"> - </w:t>
      </w:r>
      <w:r w:rsidR="002E3226" w:rsidRPr="001129F2">
        <w:t>While transparency of the HSR system governance has increased since early system implementation,</w:t>
      </w:r>
      <w:r w:rsidR="002E3226" w:rsidRPr="002E3226">
        <w:t xml:space="preserve"> t</w:t>
      </w:r>
      <w:r w:rsidR="00036ED6">
        <w:rPr>
          <w:rFonts w:cstheme="minorHAnsi"/>
        </w:rPr>
        <w:t>he Forum supports</w:t>
      </w:r>
      <w:r w:rsidR="00CF4C74">
        <w:rPr>
          <w:rFonts w:cstheme="minorHAnsi"/>
        </w:rPr>
        <w:t xml:space="preserve"> further</w:t>
      </w:r>
      <w:r w:rsidR="00036ED6">
        <w:rPr>
          <w:rFonts w:cstheme="minorHAnsi"/>
        </w:rPr>
        <w:t xml:space="preserve"> </w:t>
      </w:r>
      <w:r w:rsidR="002E3226">
        <w:rPr>
          <w:rFonts w:cstheme="minorHAnsi"/>
        </w:rPr>
        <w:t xml:space="preserve">improved </w:t>
      </w:r>
      <w:r w:rsidR="00036ED6">
        <w:rPr>
          <w:rFonts w:cstheme="minorHAnsi"/>
        </w:rPr>
        <w:t>p</w:t>
      </w:r>
      <w:r w:rsidR="003D3F5F" w:rsidRPr="00CD3048">
        <w:rPr>
          <w:rFonts w:cstheme="minorHAnsi"/>
        </w:rPr>
        <w:t xml:space="preserve">urposeful </w:t>
      </w:r>
      <w:r w:rsidR="00CF7463" w:rsidRPr="00CD3048">
        <w:rPr>
          <w:rFonts w:cstheme="minorHAnsi"/>
        </w:rPr>
        <w:t xml:space="preserve">and </w:t>
      </w:r>
      <w:r w:rsidR="00CF4C74">
        <w:rPr>
          <w:rFonts w:cstheme="minorHAnsi"/>
        </w:rPr>
        <w:t>accessible</w:t>
      </w:r>
      <w:r w:rsidR="00CF7463" w:rsidRPr="00CD3048">
        <w:rPr>
          <w:rFonts w:cstheme="minorHAnsi"/>
        </w:rPr>
        <w:t xml:space="preserve"> </w:t>
      </w:r>
      <w:r w:rsidR="003D3F5F" w:rsidRPr="00CD3048">
        <w:rPr>
          <w:rFonts w:cstheme="minorHAnsi"/>
        </w:rPr>
        <w:t xml:space="preserve">delivery of information </w:t>
      </w:r>
      <w:r w:rsidR="00CF7463" w:rsidRPr="00CD3048">
        <w:rPr>
          <w:rFonts w:cstheme="minorHAnsi"/>
        </w:rPr>
        <w:t xml:space="preserve">on the HSR system, including the </w:t>
      </w:r>
      <w:r w:rsidR="00246370">
        <w:rPr>
          <w:rFonts w:cstheme="minorHAnsi"/>
        </w:rPr>
        <w:t xml:space="preserve">HSR </w:t>
      </w:r>
      <w:r w:rsidR="00CF7463" w:rsidRPr="00CD3048">
        <w:rPr>
          <w:rFonts w:cstheme="minorHAnsi"/>
        </w:rPr>
        <w:t>Calculator and governance</w:t>
      </w:r>
      <w:r w:rsidR="002E3226">
        <w:rPr>
          <w:rFonts w:cstheme="minorHAnsi"/>
        </w:rPr>
        <w:t xml:space="preserve">. It is anticipated that </w:t>
      </w:r>
      <w:r w:rsidR="00CF4C74">
        <w:rPr>
          <w:rFonts w:cstheme="minorHAnsi"/>
        </w:rPr>
        <w:t xml:space="preserve">this </w:t>
      </w:r>
      <w:r w:rsidR="002E3226">
        <w:rPr>
          <w:rFonts w:cstheme="minorHAnsi"/>
        </w:rPr>
        <w:t>would increase</w:t>
      </w:r>
      <w:r w:rsidR="003D3F5F" w:rsidRPr="00CD3048">
        <w:rPr>
          <w:rFonts w:cstheme="minorHAnsi"/>
        </w:rPr>
        <w:t xml:space="preserve"> transparency,</w:t>
      </w:r>
      <w:r w:rsidR="00FA638D" w:rsidRPr="00CD3048">
        <w:rPr>
          <w:rFonts w:cstheme="minorHAnsi"/>
        </w:rPr>
        <w:t xml:space="preserve"> </w:t>
      </w:r>
      <w:r w:rsidR="003D3F5F" w:rsidRPr="00CD3048">
        <w:rPr>
          <w:rFonts w:cstheme="minorHAnsi"/>
        </w:rPr>
        <w:t>improve</w:t>
      </w:r>
      <w:r w:rsidR="002E3226">
        <w:rPr>
          <w:rFonts w:cstheme="minorHAnsi"/>
        </w:rPr>
        <w:t xml:space="preserve"> </w:t>
      </w:r>
      <w:r w:rsidR="00FA638D" w:rsidRPr="00CD3048">
        <w:rPr>
          <w:rFonts w:cstheme="minorHAnsi"/>
        </w:rPr>
        <w:t xml:space="preserve">consumer trust in and understanding of the </w:t>
      </w:r>
      <w:r w:rsidR="00246370">
        <w:rPr>
          <w:rFonts w:cstheme="minorHAnsi"/>
        </w:rPr>
        <w:t xml:space="preserve">HSR </w:t>
      </w:r>
      <w:r w:rsidR="00FA638D" w:rsidRPr="00CD3048">
        <w:rPr>
          <w:rFonts w:cstheme="minorHAnsi"/>
        </w:rPr>
        <w:t>system</w:t>
      </w:r>
      <w:r w:rsidR="003D3F5F" w:rsidRPr="00CD3048">
        <w:rPr>
          <w:rFonts w:cstheme="minorHAnsi"/>
        </w:rPr>
        <w:t xml:space="preserve"> and make the </w:t>
      </w:r>
      <w:r w:rsidR="00246370">
        <w:rPr>
          <w:rFonts w:cstheme="minorHAnsi"/>
        </w:rPr>
        <w:t xml:space="preserve">HSR </w:t>
      </w:r>
      <w:r w:rsidR="003D3F5F" w:rsidRPr="00CD3048">
        <w:rPr>
          <w:rFonts w:cstheme="minorHAnsi"/>
        </w:rPr>
        <w:t>system easier</w:t>
      </w:r>
      <w:r w:rsidR="00CF7463" w:rsidRPr="00CD3048">
        <w:rPr>
          <w:rFonts w:cstheme="minorHAnsi"/>
        </w:rPr>
        <w:t xml:space="preserve"> for industry to apply and support</w:t>
      </w:r>
      <w:r w:rsidR="00FA638D" w:rsidRPr="00CD3048">
        <w:rPr>
          <w:rFonts w:cstheme="minorHAnsi"/>
        </w:rPr>
        <w:t>.</w:t>
      </w:r>
    </w:p>
    <w:p w14:paraId="24A5E481" w14:textId="77777777" w:rsidR="004B58AC" w:rsidRPr="00CD3048" w:rsidRDefault="0063306B" w:rsidP="008D5076">
      <w:pPr>
        <w:rPr>
          <w:rFonts w:cstheme="minorHAnsi"/>
        </w:rPr>
      </w:pPr>
      <w:r>
        <w:rPr>
          <w:rFonts w:cstheme="minorHAnsi"/>
          <w:b/>
        </w:rPr>
        <w:t>I</w:t>
      </w:r>
      <w:r w:rsidR="004B58AC" w:rsidRPr="00CD3048">
        <w:rPr>
          <w:rFonts w:cstheme="minorHAnsi"/>
          <w:b/>
        </w:rPr>
        <w:t xml:space="preserve">mprove monitoring, enabling the </w:t>
      </w:r>
      <w:r w:rsidR="00246370">
        <w:rPr>
          <w:rFonts w:cstheme="minorHAnsi"/>
          <w:b/>
        </w:rPr>
        <w:t>HSR s</w:t>
      </w:r>
      <w:r w:rsidR="004B58AC" w:rsidRPr="00CD3048">
        <w:rPr>
          <w:rFonts w:cstheme="minorHAnsi"/>
          <w:b/>
        </w:rPr>
        <w:t>ystem to be more responsive</w:t>
      </w:r>
      <w:r w:rsidR="00406DCE">
        <w:rPr>
          <w:rFonts w:cstheme="minorHAnsi"/>
          <w:b/>
        </w:rPr>
        <w:t xml:space="preserve"> - </w:t>
      </w:r>
      <w:r w:rsidR="00FA638D" w:rsidRPr="00CD3048">
        <w:rPr>
          <w:rFonts w:cstheme="minorHAnsi"/>
        </w:rPr>
        <w:t xml:space="preserve">Monitoring deliverables </w:t>
      </w:r>
      <w:r w:rsidR="00CF7463" w:rsidRPr="00CD3048">
        <w:rPr>
          <w:rFonts w:cstheme="minorHAnsi"/>
        </w:rPr>
        <w:t xml:space="preserve">and methodology </w:t>
      </w:r>
      <w:r w:rsidR="00FA638D" w:rsidRPr="00CD3048">
        <w:rPr>
          <w:rFonts w:cstheme="minorHAnsi"/>
        </w:rPr>
        <w:t xml:space="preserve">will need to be adjusted in </w:t>
      </w:r>
      <w:r w:rsidR="00E34E15">
        <w:rPr>
          <w:rFonts w:cstheme="minorHAnsi"/>
        </w:rPr>
        <w:t>response to r</w:t>
      </w:r>
      <w:r w:rsidR="00FA638D" w:rsidRPr="00CD3048">
        <w:rPr>
          <w:rFonts w:cstheme="minorHAnsi"/>
        </w:rPr>
        <w:t xml:space="preserve">ecommendation 9 (uptake targets). This is a good opportunity to make monitoring requirements more </w:t>
      </w:r>
      <w:r w:rsidR="00CF7463" w:rsidRPr="00CD3048">
        <w:rPr>
          <w:rFonts w:cstheme="minorHAnsi"/>
        </w:rPr>
        <w:t>over</w:t>
      </w:r>
      <w:r w:rsidR="003D3F5F" w:rsidRPr="00CD3048">
        <w:rPr>
          <w:rFonts w:cstheme="minorHAnsi"/>
        </w:rPr>
        <w:t>a</w:t>
      </w:r>
      <w:r w:rsidR="00CF7463" w:rsidRPr="00CD3048">
        <w:rPr>
          <w:rFonts w:cstheme="minorHAnsi"/>
        </w:rPr>
        <w:t>r</w:t>
      </w:r>
      <w:r w:rsidR="003D3F5F" w:rsidRPr="00CD3048">
        <w:rPr>
          <w:rFonts w:cstheme="minorHAnsi"/>
        </w:rPr>
        <w:t xml:space="preserve">ching </w:t>
      </w:r>
      <w:r w:rsidR="00FA638D" w:rsidRPr="00CD3048">
        <w:rPr>
          <w:rFonts w:cstheme="minorHAnsi"/>
        </w:rPr>
        <w:t xml:space="preserve">as well as more </w:t>
      </w:r>
      <w:r w:rsidR="003D3F5F" w:rsidRPr="00CD3048">
        <w:rPr>
          <w:rFonts w:cstheme="minorHAnsi"/>
        </w:rPr>
        <w:t>specific</w:t>
      </w:r>
      <w:r w:rsidR="00FA638D" w:rsidRPr="00CD3048">
        <w:rPr>
          <w:rFonts w:cstheme="minorHAnsi"/>
        </w:rPr>
        <w:t xml:space="preserve"> – looking at the performance and results of the </w:t>
      </w:r>
      <w:r w:rsidR="00246370">
        <w:rPr>
          <w:rFonts w:cstheme="minorHAnsi"/>
        </w:rPr>
        <w:t xml:space="preserve">HSR </w:t>
      </w:r>
      <w:r w:rsidR="00FA638D" w:rsidRPr="00CD3048">
        <w:rPr>
          <w:rFonts w:cstheme="minorHAnsi"/>
        </w:rPr>
        <w:t xml:space="preserve">system </w:t>
      </w:r>
      <w:r w:rsidR="005978F0" w:rsidRPr="00CD3048">
        <w:rPr>
          <w:rFonts w:cstheme="minorHAnsi"/>
        </w:rPr>
        <w:t xml:space="preserve">on a population health level </w:t>
      </w:r>
      <w:r w:rsidR="00CF7463" w:rsidRPr="00CD3048">
        <w:rPr>
          <w:rFonts w:cstheme="minorHAnsi"/>
        </w:rPr>
        <w:t>as well as</w:t>
      </w:r>
      <w:r w:rsidR="005978F0" w:rsidRPr="00CD3048">
        <w:rPr>
          <w:rFonts w:cstheme="minorHAnsi"/>
        </w:rPr>
        <w:t xml:space="preserve"> </w:t>
      </w:r>
      <w:r w:rsidR="00280994" w:rsidRPr="00CD3048">
        <w:rPr>
          <w:rFonts w:cstheme="minorHAnsi"/>
        </w:rPr>
        <w:t>more</w:t>
      </w:r>
      <w:r w:rsidR="005978F0" w:rsidRPr="00CD3048">
        <w:rPr>
          <w:rFonts w:cstheme="minorHAnsi"/>
        </w:rPr>
        <w:t xml:space="preserve"> specific</w:t>
      </w:r>
      <w:r w:rsidR="00BD47C3" w:rsidRPr="00CD3048">
        <w:rPr>
          <w:rFonts w:cstheme="minorHAnsi"/>
        </w:rPr>
        <w:t xml:space="preserve"> </w:t>
      </w:r>
      <w:r w:rsidR="00BE2BDB" w:rsidRPr="00CD3048">
        <w:rPr>
          <w:rFonts w:cstheme="minorHAnsi"/>
        </w:rPr>
        <w:t>criteria</w:t>
      </w:r>
      <w:r w:rsidR="00854BBF">
        <w:rPr>
          <w:rFonts w:cstheme="minorHAnsi"/>
        </w:rPr>
        <w:t xml:space="preserve">. It also presents an opportunity to improve consistency between New Zealand and Australian monitoring moving forward. </w:t>
      </w:r>
    </w:p>
    <w:p w14:paraId="0B3BFA2A" w14:textId="77777777" w:rsidR="00257ECD" w:rsidRDefault="00257ECD" w:rsidP="00406DCE">
      <w:pPr>
        <w:pStyle w:val="Heading3"/>
        <w:spacing w:before="120"/>
      </w:pPr>
      <w:r>
        <w:t xml:space="preserve">Implementation timeframe: </w:t>
      </w:r>
    </w:p>
    <w:p w14:paraId="16F8D3CF" w14:textId="77777777" w:rsidR="00406DCE" w:rsidRPr="00C05E33" w:rsidRDefault="00257ECD" w:rsidP="00406DCE">
      <w:r>
        <w:t xml:space="preserve">Within 1 </w:t>
      </w:r>
      <w:r w:rsidR="00406DCE">
        <w:t>year</w:t>
      </w:r>
      <w:r w:rsidR="00406DCE" w:rsidRPr="004C0801">
        <w:t xml:space="preserve"> </w:t>
      </w:r>
      <w:r w:rsidR="00406DCE">
        <w:t>from agreed implementation start date.</w:t>
      </w:r>
    </w:p>
    <w:bookmarkStart w:id="16" w:name="_Toc21014908"/>
    <w:p w14:paraId="62E268AA" w14:textId="77777777" w:rsidR="003B2A42" w:rsidRPr="002C64CA" w:rsidRDefault="003B2A42" w:rsidP="008D5076">
      <w:pPr>
        <w:pStyle w:val="Heading2"/>
      </w:pPr>
      <w:r w:rsidRPr="009861A3">
        <w:rPr>
          <w:rFonts w:asciiTheme="minorHAnsi" w:hAnsiTheme="minorHAnsi" w:cstheme="minorHAnsi"/>
          <w:b/>
          <w:noProof/>
        </w:rPr>
        <mc:AlternateContent>
          <mc:Choice Requires="wps">
            <w:drawing>
              <wp:anchor distT="45720" distB="45720" distL="114300" distR="114300" simplePos="0" relativeHeight="251673600" behindDoc="0" locked="0" layoutInCell="1" allowOverlap="1" wp14:anchorId="738E59A8" wp14:editId="37126610">
                <wp:simplePos x="0" y="0"/>
                <wp:positionH relativeFrom="margin">
                  <wp:align>right</wp:align>
                </wp:positionH>
                <wp:positionV relativeFrom="paragraph">
                  <wp:posOffset>438150</wp:posOffset>
                </wp:positionV>
                <wp:extent cx="6098540" cy="1630045"/>
                <wp:effectExtent l="0" t="0" r="1651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630045"/>
                        </a:xfrm>
                        <a:prstGeom prst="rect">
                          <a:avLst/>
                        </a:prstGeom>
                        <a:solidFill>
                          <a:schemeClr val="accent5">
                            <a:lumMod val="20000"/>
                            <a:lumOff val="80000"/>
                          </a:schemeClr>
                        </a:solidFill>
                        <a:ln w="9525">
                          <a:solidFill>
                            <a:srgbClr val="000000"/>
                          </a:solidFill>
                          <a:miter lim="800000"/>
                          <a:headEnd/>
                          <a:tailEnd/>
                        </a:ln>
                      </wps:spPr>
                      <wps:txbx>
                        <w:txbxContent>
                          <w:p w14:paraId="04B8CFE4" w14:textId="77777777" w:rsidR="00133D2C" w:rsidRPr="00A1027F" w:rsidRDefault="00133D2C" w:rsidP="00A1027F">
                            <w:pPr>
                              <w:pStyle w:val="mpcNormal"/>
                              <w:rPr>
                                <w:b/>
                                <w:szCs w:val="24"/>
                              </w:rPr>
                            </w:pPr>
                            <w:r w:rsidRPr="00A1027F">
                              <w:rPr>
                                <w:b/>
                                <w:szCs w:val="24"/>
                              </w:rPr>
                              <w:t>Recommendation 8: Enhance the critical infrastructure to support implementation and evaluation of food and nutrition</w:t>
                            </w:r>
                            <w:r w:rsidRPr="00A1027F">
                              <w:rPr>
                                <w:b/>
                                <w:szCs w:val="24"/>
                              </w:rPr>
                              <w:noBreakHyphen/>
                              <w:t>related public health initiatives, including the HSR System, through: regular updates to Dietary Guidelines; regular national health and nutrition surveys; establishment of a comprehensive, dataset of branded food products; and improved monitoring of the System.</w:t>
                            </w:r>
                          </w:p>
                          <w:p w14:paraId="410C19C5" w14:textId="77777777" w:rsidR="00133D2C" w:rsidRPr="00A1027F" w:rsidRDefault="00133D2C" w:rsidP="00A1027F">
                            <w:pPr>
                              <w:jc w:val="both"/>
                              <w:rPr>
                                <w:rFonts w:cstheme="minorHAnsi"/>
                                <w:szCs w:val="24"/>
                              </w:rPr>
                            </w:pPr>
                            <w:r w:rsidRPr="00A1027F">
                              <w:rPr>
                                <w:rFonts w:cstheme="minorHAnsi"/>
                                <w:i/>
                                <w:szCs w:val="24"/>
                              </w:rPr>
                              <w:t>Expansion of FSANZ’s existing data management system to enable the automated upload, validation and public reporting of branded food data (including the HSR) will: support public and industry confidence in the HSR System; enable automated validation of the HSR displayed on a product; track longitudinal reformulation of products; and support development of food and nutrition policy, surveys and regulation.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F2486" id="_x0000_s1033" type="#_x0000_t202" style="position:absolute;left:0;text-align:left;margin-left:429pt;margin-top:34.5pt;width:480.2pt;height:128.3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" fillcolor="#e4e7dd [664]">
                <v:textbox>
                  <w:txbxContent>
                    <w:p w:rsidR="00133D2C" w:rsidRPr="00A1027F" w:rsidRDefault="00133D2C" w:rsidP="00A1027F">
                      <w:pPr>
                        <w:pStyle w:val="mpcNormal"/>
                        <w:rPr>
                          <w:b/>
                          <w:szCs w:val="24"/>
                        </w:rPr>
                      </w:pPr>
                      <w:r w:rsidRPr="00A1027F">
                        <w:rPr>
                          <w:b/>
                          <w:szCs w:val="24"/>
                        </w:rPr>
                        <w:t>Recommendation 8: Enhance the critical infrastructure to support implementation and evaluation of food and nutrition</w:t>
                      </w:r>
                      <w:r w:rsidRPr="00A1027F">
                        <w:rPr>
                          <w:b/>
                          <w:szCs w:val="24"/>
                        </w:rPr>
                        <w:noBreakHyphen/>
                        <w:t>related public health initiatives, including the HSR System, through: regular updates to Dietary Guidelines; regular national health and nutrition surveys; establishment of a comprehensive, dataset of branded food products; and improved monitoring of the System.</w:t>
                      </w:r>
                    </w:p>
                    <w:p w:rsidR="00133D2C" w:rsidRPr="00A1027F" w:rsidRDefault="00133D2C" w:rsidP="00A1027F">
                      <w:pPr>
                        <w:jc w:val="both"/>
                        <w:rPr>
                          <w:rFonts w:cstheme="minorHAnsi"/>
                          <w:szCs w:val="24"/>
                        </w:rPr>
                      </w:pPr>
                      <w:r w:rsidRPr="00A1027F">
                        <w:rPr>
                          <w:rFonts w:cstheme="minorHAnsi"/>
                          <w:i/>
                          <w:szCs w:val="24"/>
                        </w:rPr>
                        <w:t>Expansion of FSANZ’s existing data management system to enable the automated upload, validation and public reporting of branded food data (including the HSR) will: support public and industry confidence in the HSR System; enable automated validation of the HSR displayed on a product; track longitudinal reformulation of products; and support development of food and nutrition policy, surveys and regulation.</w:t>
                      </w:r>
                    </w:p>
                  </w:txbxContent>
                </v:textbox>
                <w10:wrap type="square" anchorx="margin"/>
              </v:shape>
            </w:pict>
          </mc:Fallback>
        </mc:AlternateContent>
      </w:r>
      <w:r>
        <w:t>Enhancement of infrastructure to support HSR System.</w:t>
      </w:r>
      <w:bookmarkEnd w:id="16"/>
      <w:r>
        <w:t xml:space="preserve"> </w:t>
      </w:r>
    </w:p>
    <w:p w14:paraId="22D63201" w14:textId="77777777" w:rsidR="003B2A42" w:rsidRPr="00C50D1E" w:rsidRDefault="003B2A42" w:rsidP="00406DCE">
      <w:pPr>
        <w:pStyle w:val="Heading3"/>
        <w:spacing w:before="120"/>
      </w:pPr>
      <w:r w:rsidRPr="00C50D1E">
        <w:t xml:space="preserve">Response: </w:t>
      </w:r>
    </w:p>
    <w:p w14:paraId="0E490797" w14:textId="77777777" w:rsidR="00680F37" w:rsidRPr="00C50D1E" w:rsidRDefault="00257ECD" w:rsidP="008D5076">
      <w:pPr>
        <w:rPr>
          <w:rFonts w:cstheme="minorHAnsi"/>
          <w:b/>
        </w:rPr>
      </w:pPr>
      <w:r w:rsidRPr="00785B3E">
        <w:rPr>
          <w:b/>
          <w:color w:val="000000" w:themeColor="text1"/>
        </w:rPr>
        <w:t>Supports</w:t>
      </w:r>
      <w:r w:rsidR="00680F37" w:rsidRPr="00785B3E">
        <w:rPr>
          <w:color w:val="000000" w:themeColor="text1"/>
        </w:rPr>
        <w:t>,</w:t>
      </w:r>
      <w:r w:rsidR="00680F37" w:rsidRPr="00785B3E">
        <w:rPr>
          <w:rFonts w:cstheme="minorHAnsi"/>
          <w:color w:val="000000" w:themeColor="text1"/>
        </w:rPr>
        <w:t xml:space="preserve"> subject to funding</w:t>
      </w:r>
      <w:r w:rsidR="00F24F94" w:rsidRPr="00785B3E">
        <w:rPr>
          <w:rFonts w:cstheme="minorHAnsi"/>
          <w:color w:val="000000" w:themeColor="text1"/>
        </w:rPr>
        <w:t>.</w:t>
      </w:r>
      <w:r w:rsidR="00680F37" w:rsidRPr="00785B3E">
        <w:rPr>
          <w:rFonts w:cstheme="minorHAnsi"/>
          <w:color w:val="000000" w:themeColor="text1"/>
        </w:rPr>
        <w:t xml:space="preserve"> </w:t>
      </w:r>
    </w:p>
    <w:p w14:paraId="22B4DA50" w14:textId="77777777" w:rsidR="00680F37" w:rsidRPr="00C50D1E" w:rsidRDefault="00680F37" w:rsidP="00406DCE">
      <w:pPr>
        <w:pStyle w:val="Heading3"/>
        <w:spacing w:before="120"/>
      </w:pPr>
      <w:r w:rsidRPr="00C50D1E">
        <w:t>Rationale:</w:t>
      </w:r>
    </w:p>
    <w:p w14:paraId="0F27FA38" w14:textId="77777777" w:rsidR="00EB0987" w:rsidRDefault="006026E8" w:rsidP="008D5076">
      <w:pPr>
        <w:rPr>
          <w:rFonts w:cstheme="minorHAnsi"/>
        </w:rPr>
      </w:pPr>
      <w:r w:rsidRPr="00C50D1E">
        <w:rPr>
          <w:rFonts w:cstheme="minorHAnsi"/>
        </w:rPr>
        <w:t xml:space="preserve">Overall the concept </w:t>
      </w:r>
      <w:r w:rsidR="003416DE" w:rsidRPr="00C50D1E">
        <w:rPr>
          <w:rFonts w:cstheme="minorHAnsi"/>
        </w:rPr>
        <w:t xml:space="preserve">of </w:t>
      </w:r>
      <w:r w:rsidR="00680F37" w:rsidRPr="00C50D1E">
        <w:rPr>
          <w:rFonts w:cstheme="minorHAnsi"/>
        </w:rPr>
        <w:t xml:space="preserve">enhancing and expanding existing </w:t>
      </w:r>
      <w:r w:rsidR="006A1778" w:rsidRPr="00C50D1E">
        <w:rPr>
          <w:rFonts w:cstheme="minorHAnsi"/>
        </w:rPr>
        <w:t>infrast</w:t>
      </w:r>
      <w:r w:rsidR="003018A8" w:rsidRPr="00C50D1E">
        <w:rPr>
          <w:rFonts w:cstheme="minorHAnsi"/>
        </w:rPr>
        <w:t>ructure is supported</w:t>
      </w:r>
      <w:r w:rsidR="0054149B" w:rsidRPr="00C50D1E">
        <w:rPr>
          <w:rFonts w:cstheme="minorHAnsi"/>
        </w:rPr>
        <w:t>. T</w:t>
      </w:r>
      <w:r w:rsidR="003416DE" w:rsidRPr="00C50D1E">
        <w:rPr>
          <w:rFonts w:cstheme="minorHAnsi"/>
        </w:rPr>
        <w:t xml:space="preserve">here are </w:t>
      </w:r>
      <w:r w:rsidR="00D3281A" w:rsidRPr="00C50D1E">
        <w:rPr>
          <w:rFonts w:cstheme="minorHAnsi"/>
        </w:rPr>
        <w:t xml:space="preserve">planned </w:t>
      </w:r>
      <w:r w:rsidR="003416DE" w:rsidRPr="00C50D1E">
        <w:rPr>
          <w:rFonts w:cstheme="minorHAnsi"/>
        </w:rPr>
        <w:t>activities irrespective of</w:t>
      </w:r>
      <w:r w:rsidR="00CE2479">
        <w:rPr>
          <w:rFonts w:cstheme="minorHAnsi"/>
        </w:rPr>
        <w:t>,</w:t>
      </w:r>
      <w:r w:rsidR="003416DE" w:rsidRPr="00C50D1E">
        <w:rPr>
          <w:rFonts w:cstheme="minorHAnsi"/>
        </w:rPr>
        <w:t xml:space="preserve"> and separate to</w:t>
      </w:r>
      <w:r w:rsidR="00CE2479">
        <w:rPr>
          <w:rFonts w:cstheme="minorHAnsi"/>
        </w:rPr>
        <w:t>,</w:t>
      </w:r>
      <w:r w:rsidR="003416DE" w:rsidRPr="00C50D1E">
        <w:rPr>
          <w:rFonts w:cstheme="minorHAnsi"/>
        </w:rPr>
        <w:t xml:space="preserve"> this recommendation</w:t>
      </w:r>
      <w:r w:rsidR="003018A8" w:rsidRPr="00C50D1E">
        <w:rPr>
          <w:rFonts w:cstheme="minorHAnsi"/>
        </w:rPr>
        <w:t xml:space="preserve">. </w:t>
      </w:r>
      <w:r w:rsidR="003416DE" w:rsidRPr="00C50D1E">
        <w:rPr>
          <w:rFonts w:cstheme="minorHAnsi"/>
        </w:rPr>
        <w:t xml:space="preserve">The recommended activities </w:t>
      </w:r>
      <w:r w:rsidR="003018A8" w:rsidRPr="00C50D1E">
        <w:rPr>
          <w:rFonts w:cstheme="minorHAnsi"/>
        </w:rPr>
        <w:t>come</w:t>
      </w:r>
      <w:r w:rsidR="006A1778" w:rsidRPr="00C50D1E">
        <w:rPr>
          <w:rFonts w:cstheme="minorHAnsi"/>
        </w:rPr>
        <w:t xml:space="preserve"> with several additional </w:t>
      </w:r>
      <w:r w:rsidRPr="00C50D1E">
        <w:rPr>
          <w:rFonts w:cstheme="minorHAnsi"/>
        </w:rPr>
        <w:t xml:space="preserve">logistical </w:t>
      </w:r>
      <w:r w:rsidR="006A1778" w:rsidRPr="00C50D1E">
        <w:rPr>
          <w:rFonts w:cstheme="minorHAnsi"/>
        </w:rPr>
        <w:t xml:space="preserve">considerations, particularly </w:t>
      </w:r>
      <w:r w:rsidR="003416DE" w:rsidRPr="00C50D1E">
        <w:rPr>
          <w:rFonts w:cstheme="minorHAnsi"/>
        </w:rPr>
        <w:t>regarding</w:t>
      </w:r>
      <w:r w:rsidR="006A1778" w:rsidRPr="00C50D1E">
        <w:rPr>
          <w:rFonts w:cstheme="minorHAnsi"/>
        </w:rPr>
        <w:t xml:space="preserve"> funding. </w:t>
      </w:r>
      <w:r w:rsidR="008313E5">
        <w:rPr>
          <w:rFonts w:cstheme="minorHAnsi"/>
        </w:rPr>
        <w:t>In particular, t</w:t>
      </w:r>
      <w:r w:rsidR="008313E5" w:rsidRPr="00C50D1E">
        <w:rPr>
          <w:rFonts w:cstheme="minorHAnsi"/>
        </w:rPr>
        <w:t>he cost</w:t>
      </w:r>
      <w:r w:rsidR="008313E5">
        <w:rPr>
          <w:rFonts w:cstheme="minorHAnsi"/>
        </w:rPr>
        <w:t>s</w:t>
      </w:r>
      <w:r w:rsidR="008313E5" w:rsidRPr="00C50D1E">
        <w:rPr>
          <w:rFonts w:cstheme="minorHAnsi"/>
        </w:rPr>
        <w:t xml:space="preserve"> associated with regular national health and nutrition surveys</w:t>
      </w:r>
      <w:r w:rsidR="008313E5">
        <w:rPr>
          <w:rFonts w:cstheme="minorHAnsi"/>
        </w:rPr>
        <w:t xml:space="preserve"> </w:t>
      </w:r>
      <w:r w:rsidR="008313E5" w:rsidRPr="00C50D1E">
        <w:rPr>
          <w:rFonts w:cstheme="minorHAnsi"/>
        </w:rPr>
        <w:t>is</w:t>
      </w:r>
      <w:r w:rsidR="008313E5">
        <w:rPr>
          <w:rFonts w:cstheme="minorHAnsi"/>
        </w:rPr>
        <w:t xml:space="preserve"> known to be high and the financial viability of such a proposal will need to be assessed. </w:t>
      </w:r>
      <w:r w:rsidR="003416DE" w:rsidRPr="00C50D1E">
        <w:rPr>
          <w:rFonts w:cstheme="minorHAnsi"/>
        </w:rPr>
        <w:t>Further work and substantial planning will be required to imp</w:t>
      </w:r>
      <w:r w:rsidR="00D3281A" w:rsidRPr="00C50D1E">
        <w:rPr>
          <w:rFonts w:cstheme="minorHAnsi"/>
        </w:rPr>
        <w:t>lement</w:t>
      </w:r>
      <w:r w:rsidR="008313E5">
        <w:rPr>
          <w:rFonts w:cstheme="minorHAnsi"/>
        </w:rPr>
        <w:t xml:space="preserve"> many of the initiatives recommended</w:t>
      </w:r>
      <w:r w:rsidR="003416DE" w:rsidRPr="00C50D1E">
        <w:rPr>
          <w:rFonts w:cstheme="minorHAnsi"/>
        </w:rPr>
        <w:t xml:space="preserve">. </w:t>
      </w:r>
    </w:p>
    <w:p w14:paraId="0BB6F0F1" w14:textId="77777777" w:rsidR="00257ECD" w:rsidRPr="001E306D" w:rsidRDefault="008313E5" w:rsidP="008D5076">
      <w:pPr>
        <w:rPr>
          <w:rFonts w:cstheme="minorHAnsi"/>
        </w:rPr>
      </w:pPr>
      <w:r>
        <w:rPr>
          <w:rFonts w:cstheme="minorHAnsi"/>
        </w:rPr>
        <w:t xml:space="preserve">Pleasingly, FSANZ has </w:t>
      </w:r>
      <w:r w:rsidRPr="001E306D">
        <w:rPr>
          <w:rFonts w:cstheme="minorHAnsi"/>
        </w:rPr>
        <w:t xml:space="preserve">already commenced </w:t>
      </w:r>
      <w:r w:rsidR="005D6F35" w:rsidRPr="001E306D">
        <w:rPr>
          <w:rFonts w:cstheme="minorHAnsi"/>
        </w:rPr>
        <w:t xml:space="preserve">scoping </w:t>
      </w:r>
      <w:r w:rsidRPr="001E306D">
        <w:rPr>
          <w:rFonts w:cstheme="minorHAnsi"/>
        </w:rPr>
        <w:t>w</w:t>
      </w:r>
      <w:r w:rsidR="00A1027F" w:rsidRPr="001E306D">
        <w:rPr>
          <w:rFonts w:cstheme="minorHAnsi"/>
        </w:rPr>
        <w:t xml:space="preserve">ork on </w:t>
      </w:r>
      <w:r w:rsidR="005D6F35" w:rsidRPr="001E306D">
        <w:rPr>
          <w:rFonts w:cstheme="minorHAnsi"/>
        </w:rPr>
        <w:t xml:space="preserve">options for </w:t>
      </w:r>
      <w:r w:rsidR="00257ECD" w:rsidRPr="001E306D">
        <w:rPr>
          <w:rFonts w:cstheme="minorHAnsi"/>
        </w:rPr>
        <w:t xml:space="preserve">a </w:t>
      </w:r>
      <w:r w:rsidRPr="001E306D">
        <w:rPr>
          <w:rFonts w:cstheme="minorHAnsi"/>
        </w:rPr>
        <w:t xml:space="preserve">comprehensive </w:t>
      </w:r>
      <w:r w:rsidR="00257ECD" w:rsidRPr="001E306D">
        <w:rPr>
          <w:rFonts w:cstheme="minorHAnsi"/>
        </w:rPr>
        <w:t xml:space="preserve">branded food database </w:t>
      </w:r>
      <w:r w:rsidRPr="001E306D">
        <w:rPr>
          <w:rFonts w:cstheme="minorHAnsi"/>
        </w:rPr>
        <w:t xml:space="preserve">– which will enable </w:t>
      </w:r>
      <w:r w:rsidR="00257ECD" w:rsidRPr="001E306D">
        <w:rPr>
          <w:rFonts w:cstheme="minorHAnsi"/>
        </w:rPr>
        <w:t>better monitor</w:t>
      </w:r>
      <w:r w:rsidRPr="001E306D">
        <w:rPr>
          <w:rFonts w:cstheme="minorHAnsi"/>
        </w:rPr>
        <w:t>ing of</w:t>
      </w:r>
      <w:r w:rsidR="00257ECD" w:rsidRPr="001E306D">
        <w:rPr>
          <w:rFonts w:cstheme="minorHAnsi"/>
        </w:rPr>
        <w:t xml:space="preserve"> the </w:t>
      </w:r>
      <w:r w:rsidR="0081086A" w:rsidRPr="001E306D">
        <w:rPr>
          <w:rFonts w:cstheme="minorHAnsi"/>
        </w:rPr>
        <w:t>food supply</w:t>
      </w:r>
      <w:r w:rsidR="00257ECD" w:rsidRPr="001E306D">
        <w:rPr>
          <w:rFonts w:cstheme="minorHAnsi"/>
        </w:rPr>
        <w:t>.</w:t>
      </w:r>
      <w:r w:rsidR="00245E1F" w:rsidRPr="001E306D">
        <w:rPr>
          <w:sz w:val="20"/>
          <w:szCs w:val="20"/>
          <w:lang w:val="en-GB"/>
        </w:rPr>
        <w:t xml:space="preserve"> </w:t>
      </w:r>
      <w:r w:rsidR="00245E1F" w:rsidRPr="001E306D">
        <w:rPr>
          <w:rFonts w:cstheme="minorHAnsi"/>
        </w:rPr>
        <w:t>Identification of a preferred option will include consideration of future financial obligations required to appropriately develop and maintain the database.</w:t>
      </w:r>
    </w:p>
    <w:p w14:paraId="044602AE" w14:textId="77777777" w:rsidR="00257ECD" w:rsidRDefault="00257ECD" w:rsidP="00406DCE">
      <w:pPr>
        <w:pStyle w:val="Heading3"/>
        <w:spacing w:before="120"/>
      </w:pPr>
      <w:r>
        <w:t xml:space="preserve">Implementation timeframe: </w:t>
      </w:r>
    </w:p>
    <w:p w14:paraId="0CE17860" w14:textId="77777777" w:rsidR="00257ECD" w:rsidRPr="00C05E33" w:rsidRDefault="00BE5BB8" w:rsidP="008D5076">
      <w:r>
        <w:t>As funding permits.</w:t>
      </w:r>
    </w:p>
    <w:p w14:paraId="40D39FF7" w14:textId="77777777" w:rsidR="003B2A42" w:rsidRDefault="003B2A42" w:rsidP="008D5076"/>
    <w:bookmarkStart w:id="17" w:name="_Toc21014909"/>
    <w:p w14:paraId="11AC9D33" w14:textId="77777777" w:rsidR="008D73A2" w:rsidRPr="002C64CA" w:rsidRDefault="008D73A2" w:rsidP="008D5076">
      <w:pPr>
        <w:pStyle w:val="Heading2"/>
      </w:pPr>
      <w:r w:rsidRPr="009861A3">
        <w:rPr>
          <w:rFonts w:asciiTheme="minorHAnsi" w:hAnsiTheme="minorHAnsi" w:cstheme="minorHAnsi"/>
          <w:b/>
          <w:noProof/>
        </w:rPr>
        <mc:AlternateContent>
          <mc:Choice Requires="wps">
            <w:drawing>
              <wp:anchor distT="45720" distB="45720" distL="114300" distR="114300" simplePos="0" relativeHeight="251675648" behindDoc="0" locked="0" layoutInCell="1" allowOverlap="1" wp14:anchorId="57E23A2B" wp14:editId="1CDE72F8">
                <wp:simplePos x="0" y="0"/>
                <wp:positionH relativeFrom="margin">
                  <wp:align>right</wp:align>
                </wp:positionH>
                <wp:positionV relativeFrom="paragraph">
                  <wp:posOffset>422275</wp:posOffset>
                </wp:positionV>
                <wp:extent cx="6098540" cy="2233930"/>
                <wp:effectExtent l="0" t="0" r="1651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2233930"/>
                        </a:xfrm>
                        <a:prstGeom prst="rect">
                          <a:avLst/>
                        </a:prstGeom>
                        <a:solidFill>
                          <a:schemeClr val="accent5">
                            <a:lumMod val="20000"/>
                            <a:lumOff val="80000"/>
                          </a:schemeClr>
                        </a:solidFill>
                        <a:ln w="9525">
                          <a:solidFill>
                            <a:srgbClr val="000000"/>
                          </a:solidFill>
                          <a:miter lim="800000"/>
                          <a:headEnd/>
                          <a:tailEnd/>
                        </a:ln>
                      </wps:spPr>
                      <wps:txbx>
                        <w:txbxContent>
                          <w:p w14:paraId="6D5B76C2" w14:textId="77777777" w:rsidR="00133D2C" w:rsidRPr="00A1027F" w:rsidRDefault="00133D2C" w:rsidP="00A1027F">
                            <w:pPr>
                              <w:pStyle w:val="mpcNormal"/>
                              <w:spacing w:before="120" w:after="120"/>
                              <w:rPr>
                                <w:b/>
                              </w:rPr>
                            </w:pPr>
                            <w:r w:rsidRPr="002E2508">
                              <w:rPr>
                                <w:b/>
                                <w:sz w:val="24"/>
                                <w:szCs w:val="24"/>
                              </w:rPr>
                              <w:t xml:space="preserve">Recommendation 9: </w:t>
                            </w:r>
                            <w:r w:rsidRPr="002E2508">
                              <w:rPr>
                                <w:b/>
                                <w:sz w:val="24"/>
                                <w:szCs w:val="24"/>
                              </w:rPr>
                              <w:tab/>
                            </w:r>
                            <w:r w:rsidRPr="00A1027F">
                              <w:rPr>
                                <w:b/>
                              </w:rPr>
                              <w:t>The HSR System remain voluntary, but with clear uptake targets set and all stakeholders working together to drive uptake. If the HSR System continues to perform well but the HSR is not displayed on 70% of target products within five years of a government decision on these recommendations, the HSR System should be mandated.</w:t>
                            </w:r>
                          </w:p>
                          <w:p w14:paraId="68E7E909" w14:textId="77777777" w:rsidR="00133D2C" w:rsidRPr="00A1027F" w:rsidRDefault="00133D2C" w:rsidP="00A1027F">
                            <w:pPr>
                              <w:pStyle w:val="mpcNormal"/>
                              <w:spacing w:before="120" w:after="120"/>
                              <w:rPr>
                                <w:i/>
                              </w:rPr>
                            </w:pPr>
                            <w:r w:rsidRPr="00A1027F">
                              <w:rPr>
                                <w:i/>
                              </w:rPr>
                              <w:t xml:space="preserve">Consistent and widespread adoption of the HSR is required for the System to have a significant public health impact. The Review closely considered whether improved uptake should be achieved through mandating the System. On balance, the Review considers that attention should first be focused on improving the System, setting clear uptake targets and continuing to incentivise uptake. </w:t>
                            </w:r>
                          </w:p>
                          <w:p w14:paraId="23E3E227" w14:textId="77777777" w:rsidR="00133D2C" w:rsidRPr="002E2508" w:rsidRDefault="00133D2C" w:rsidP="00A1027F">
                            <w:pPr>
                              <w:jc w:val="both"/>
                              <w:rPr>
                                <w:rFonts w:cstheme="minorHAnsi"/>
                                <w:i/>
                              </w:rPr>
                            </w:pPr>
                            <w:r w:rsidRPr="00A1027F">
                              <w:rPr>
                                <w:rFonts w:cstheme="minorHAnsi"/>
                                <w:i/>
                              </w:rPr>
                              <w:t>This approach continues to build on the significant investment and goodwill of industry and others; is consistent with the principles of best practice regulation; and reflects international experience (where the majority of interpretive front-of-pack labelling schemes have been implemented</w:t>
                            </w:r>
                            <w:r w:rsidRPr="002E2508">
                              <w:rPr>
                                <w:rFonts w:cstheme="minorHAnsi"/>
                                <w:i/>
                              </w:rPr>
                              <w:t xml:space="preserve"> on a voluntary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FAEEC" id="_x0000_s1034" type="#_x0000_t202" style="position:absolute;left:0;text-align:left;margin-left:429pt;margin-top:33.25pt;width:480.2pt;height:175.9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" fillcolor="#e4e7dd [664]">
                <v:textbox>
                  <w:txbxContent>
                    <w:p w:rsidR="00133D2C" w:rsidRPr="00A1027F" w:rsidRDefault="00133D2C" w:rsidP="00A1027F">
                      <w:pPr>
                        <w:pStyle w:val="mpcNormal"/>
                        <w:spacing w:before="120" w:after="120"/>
                        <w:rPr>
                          <w:b/>
                        </w:rPr>
                      </w:pPr>
                      <w:r w:rsidRPr="002E2508">
                        <w:rPr>
                          <w:b/>
                          <w:sz w:val="24"/>
                          <w:szCs w:val="24"/>
                        </w:rPr>
                        <w:t xml:space="preserve">Recommendation 9: </w:t>
                      </w:r>
                      <w:r w:rsidRPr="002E2508">
                        <w:rPr>
                          <w:b/>
                          <w:sz w:val="24"/>
                          <w:szCs w:val="24"/>
                        </w:rPr>
                        <w:tab/>
                      </w:r>
                      <w:r w:rsidRPr="00A1027F">
                        <w:rPr>
                          <w:b/>
                        </w:rPr>
                        <w:t>The HSR System remain voluntary, but with clear uptake targets set and all stakeholders working together to drive uptake. If the HSR System continues to perform well but the HSR is not displayed on 70% of target products within five years of a government decision on these recommendations, the HSR System should be mandated.</w:t>
                      </w:r>
                    </w:p>
                    <w:p w:rsidR="00133D2C" w:rsidRPr="00A1027F" w:rsidRDefault="00133D2C" w:rsidP="00A1027F">
                      <w:pPr>
                        <w:pStyle w:val="mpcNormal"/>
                        <w:spacing w:before="120" w:after="120"/>
                        <w:rPr>
                          <w:i/>
                        </w:rPr>
                      </w:pPr>
                      <w:r w:rsidRPr="00A1027F">
                        <w:rPr>
                          <w:i/>
                        </w:rPr>
                        <w:t xml:space="preserve">Consistent and widespread adoption of the HSR is required for the System to have a significant public health impact. The Review closely considered whether improved uptake should be achieved through mandating the System. On balance, the Review considers that attention should first be focused on improving the System, setting clear uptake targets and continuing to incentivise uptake. </w:t>
                      </w:r>
                    </w:p>
                    <w:p w:rsidR="00133D2C" w:rsidRPr="002E2508" w:rsidRDefault="00133D2C" w:rsidP="00A1027F">
                      <w:pPr>
                        <w:jc w:val="both"/>
                        <w:rPr>
                          <w:rFonts w:cstheme="minorHAnsi"/>
                          <w:i/>
                        </w:rPr>
                      </w:pPr>
                      <w:r w:rsidRPr="00A1027F">
                        <w:rPr>
                          <w:rFonts w:cstheme="minorHAnsi"/>
                          <w:i/>
                        </w:rPr>
                        <w:t>This approach continues to build on the significant investment and goodwill of industry and others; is consistent with the principles of best practice regulation; and reflects international experience (where the majority of interpretive front-of-pack labelling schemes have been implemented</w:t>
                      </w:r>
                      <w:r w:rsidRPr="002E2508">
                        <w:rPr>
                          <w:rFonts w:cstheme="minorHAnsi"/>
                          <w:i/>
                        </w:rPr>
                        <w:t xml:space="preserve"> on a voluntary basis).</w:t>
                      </w:r>
                    </w:p>
                  </w:txbxContent>
                </v:textbox>
                <w10:wrap type="square" anchorx="margin"/>
              </v:shape>
            </w:pict>
          </mc:Fallback>
        </mc:AlternateContent>
      </w:r>
      <w:r w:rsidR="003835C7">
        <w:t>HSR System (Voluntary / Mandated)</w:t>
      </w:r>
      <w:r>
        <w:t>.</w:t>
      </w:r>
      <w:bookmarkEnd w:id="17"/>
      <w:r>
        <w:t xml:space="preserve">  </w:t>
      </w:r>
    </w:p>
    <w:p w14:paraId="26177888" w14:textId="77777777" w:rsidR="008D73A2" w:rsidRDefault="008D73A2" w:rsidP="00406DCE">
      <w:pPr>
        <w:pStyle w:val="Heading3"/>
        <w:spacing w:before="120"/>
      </w:pPr>
      <w:r>
        <w:t xml:space="preserve">Response: </w:t>
      </w:r>
    </w:p>
    <w:p w14:paraId="6D77CC6D" w14:textId="77777777" w:rsidR="008D73A2" w:rsidRPr="00BE5BB8" w:rsidRDefault="00F24F94" w:rsidP="00BE5BB8">
      <w:pPr>
        <w:rPr>
          <w:rFonts w:cstheme="minorHAnsi"/>
          <w:b/>
        </w:rPr>
      </w:pPr>
      <w:r w:rsidRPr="00406DCE">
        <w:rPr>
          <w:b/>
        </w:rPr>
        <w:t>Supports</w:t>
      </w:r>
      <w:r w:rsidR="00A1027F" w:rsidRPr="00406DCE">
        <w:rPr>
          <w:b/>
        </w:rPr>
        <w:t xml:space="preserve"> in principle</w:t>
      </w:r>
      <w:r w:rsidR="00A1027F">
        <w:t>, subject to agreeing</w:t>
      </w:r>
      <w:r w:rsidR="003B6E5C">
        <w:t xml:space="preserve"> interim and final</w:t>
      </w:r>
      <w:r w:rsidR="00A1027F">
        <w:t xml:space="preserve"> target metrics and discussions with the Office of Best Practice Regulation</w:t>
      </w:r>
      <w:r w:rsidR="008D73A2" w:rsidRPr="00F248F9">
        <w:t xml:space="preserve">. </w:t>
      </w:r>
    </w:p>
    <w:p w14:paraId="27EA5554" w14:textId="77777777" w:rsidR="008D73A2" w:rsidRDefault="008D73A2" w:rsidP="00406DCE">
      <w:pPr>
        <w:pStyle w:val="Heading3"/>
        <w:spacing w:before="120"/>
      </w:pPr>
      <w:r>
        <w:t>Rationale:</w:t>
      </w:r>
    </w:p>
    <w:p w14:paraId="63D8485D" w14:textId="77777777" w:rsidR="00E82352" w:rsidRPr="001E306D" w:rsidRDefault="003C2A37" w:rsidP="008D5076">
      <w:pPr>
        <w:rPr>
          <w:rFonts w:cstheme="minorHAnsi"/>
        </w:rPr>
      </w:pPr>
      <w:r>
        <w:rPr>
          <w:rFonts w:cstheme="minorHAnsi"/>
        </w:rPr>
        <w:t xml:space="preserve">The </w:t>
      </w:r>
      <w:r w:rsidRPr="001E306D">
        <w:rPr>
          <w:rFonts w:cstheme="minorHAnsi"/>
        </w:rPr>
        <w:t xml:space="preserve">Forum is aware that </w:t>
      </w:r>
      <w:r w:rsidR="00E75D63" w:rsidRPr="001E306D">
        <w:rPr>
          <w:rFonts w:cstheme="minorHAnsi"/>
        </w:rPr>
        <w:t>t</w:t>
      </w:r>
      <w:r w:rsidR="003835C7" w:rsidRPr="001E306D">
        <w:rPr>
          <w:rFonts w:cstheme="minorHAnsi"/>
        </w:rPr>
        <w:t xml:space="preserve">he </w:t>
      </w:r>
      <w:r w:rsidR="00E82352" w:rsidRPr="001E306D">
        <w:rPr>
          <w:rFonts w:cstheme="minorHAnsi"/>
        </w:rPr>
        <w:t xml:space="preserve">voluntary basis on which the </w:t>
      </w:r>
      <w:r w:rsidR="00246370" w:rsidRPr="001E306D">
        <w:rPr>
          <w:rFonts w:cstheme="minorHAnsi"/>
        </w:rPr>
        <w:t xml:space="preserve">HSR </w:t>
      </w:r>
      <w:r w:rsidR="00E82352" w:rsidRPr="001E306D">
        <w:rPr>
          <w:rFonts w:cstheme="minorHAnsi"/>
        </w:rPr>
        <w:t xml:space="preserve">system currently </w:t>
      </w:r>
      <w:r w:rsidR="008313E5" w:rsidRPr="001E306D">
        <w:rPr>
          <w:rFonts w:cstheme="minorHAnsi"/>
        </w:rPr>
        <w:t xml:space="preserve">operates </w:t>
      </w:r>
      <w:r w:rsidR="00E82352" w:rsidRPr="001E306D">
        <w:rPr>
          <w:rFonts w:cstheme="minorHAnsi"/>
        </w:rPr>
        <w:t xml:space="preserve">has been a point of contention for </w:t>
      </w:r>
      <w:r w:rsidR="001956EB" w:rsidRPr="001E306D">
        <w:rPr>
          <w:rFonts w:cstheme="minorHAnsi"/>
        </w:rPr>
        <w:t xml:space="preserve">many </w:t>
      </w:r>
      <w:r w:rsidR="00E82352" w:rsidRPr="001E306D">
        <w:rPr>
          <w:rFonts w:cstheme="minorHAnsi"/>
        </w:rPr>
        <w:t xml:space="preserve">stakeholders since its inception. </w:t>
      </w:r>
      <w:r w:rsidR="001956EB" w:rsidRPr="001E306D">
        <w:rPr>
          <w:rFonts w:cstheme="minorHAnsi"/>
        </w:rPr>
        <w:t>The r</w:t>
      </w:r>
      <w:r w:rsidR="004662B8" w:rsidRPr="001E306D">
        <w:rPr>
          <w:rFonts w:cstheme="minorHAnsi"/>
        </w:rPr>
        <w:t>esulting inconsistent</w:t>
      </w:r>
      <w:r w:rsidR="00E82352" w:rsidRPr="001E306D">
        <w:rPr>
          <w:rFonts w:cstheme="minorHAnsi"/>
        </w:rPr>
        <w:t xml:space="preserve"> uptake on products </w:t>
      </w:r>
      <w:r w:rsidR="004662B8" w:rsidRPr="001E306D">
        <w:rPr>
          <w:rFonts w:cstheme="minorHAnsi"/>
        </w:rPr>
        <w:t xml:space="preserve">negatively </w:t>
      </w:r>
      <w:r w:rsidR="00E82352" w:rsidRPr="001E306D">
        <w:rPr>
          <w:rFonts w:cstheme="minorHAnsi"/>
        </w:rPr>
        <w:t xml:space="preserve">affects consumer trust in the </w:t>
      </w:r>
      <w:r w:rsidR="00246370" w:rsidRPr="001E306D">
        <w:rPr>
          <w:rFonts w:cstheme="minorHAnsi"/>
        </w:rPr>
        <w:t xml:space="preserve">HSR </w:t>
      </w:r>
      <w:r w:rsidR="00E82352" w:rsidRPr="001E306D">
        <w:rPr>
          <w:rFonts w:cstheme="minorHAnsi"/>
        </w:rPr>
        <w:t xml:space="preserve">system, as well as reducing the actual effectiveness of the </w:t>
      </w:r>
      <w:r w:rsidR="00246370" w:rsidRPr="001E306D">
        <w:rPr>
          <w:rFonts w:cstheme="minorHAnsi"/>
        </w:rPr>
        <w:t xml:space="preserve">HSR </w:t>
      </w:r>
      <w:r w:rsidR="00E82352" w:rsidRPr="001E306D">
        <w:rPr>
          <w:rFonts w:cstheme="minorHAnsi"/>
        </w:rPr>
        <w:t xml:space="preserve">system by allowing fewer opportunities for meaningful comparison.  </w:t>
      </w:r>
    </w:p>
    <w:p w14:paraId="7B5CF13F" w14:textId="77777777" w:rsidR="006822AF" w:rsidRPr="001E306D" w:rsidRDefault="00E82352" w:rsidP="008D5076">
      <w:pPr>
        <w:rPr>
          <w:rFonts w:cstheme="minorHAnsi"/>
        </w:rPr>
      </w:pPr>
      <w:r w:rsidRPr="001E306D">
        <w:rPr>
          <w:rFonts w:cstheme="minorHAnsi"/>
        </w:rPr>
        <w:t xml:space="preserve">A commitment to high </w:t>
      </w:r>
      <w:r w:rsidR="003B6E5C">
        <w:rPr>
          <w:rFonts w:cstheme="minorHAnsi"/>
        </w:rPr>
        <w:t xml:space="preserve">interim and final </w:t>
      </w:r>
      <w:r w:rsidRPr="001E306D">
        <w:rPr>
          <w:rFonts w:cstheme="minorHAnsi"/>
        </w:rPr>
        <w:t xml:space="preserve">uptake targets </w:t>
      </w:r>
      <w:r w:rsidR="004662B8" w:rsidRPr="001E306D">
        <w:rPr>
          <w:rFonts w:cstheme="minorHAnsi"/>
        </w:rPr>
        <w:t>with</w:t>
      </w:r>
      <w:r w:rsidRPr="001E306D">
        <w:rPr>
          <w:rFonts w:cstheme="minorHAnsi"/>
        </w:rPr>
        <w:t xml:space="preserve"> the </w:t>
      </w:r>
      <w:r w:rsidR="004662B8" w:rsidRPr="001E306D">
        <w:rPr>
          <w:rFonts w:cstheme="minorHAnsi"/>
        </w:rPr>
        <w:t>potential</w:t>
      </w:r>
      <w:r w:rsidRPr="001E306D">
        <w:rPr>
          <w:rFonts w:cstheme="minorHAnsi"/>
        </w:rPr>
        <w:t xml:space="preserve"> of mandating</w:t>
      </w:r>
      <w:r w:rsidR="00CF4C74" w:rsidRPr="001E306D">
        <w:rPr>
          <w:rFonts w:cstheme="minorHAnsi"/>
        </w:rPr>
        <w:t xml:space="preserve"> </w:t>
      </w:r>
      <w:r w:rsidR="00B3691D" w:rsidRPr="001E306D">
        <w:rPr>
          <w:rFonts w:cstheme="minorHAnsi"/>
        </w:rPr>
        <w:t xml:space="preserve">should those targets not be met </w:t>
      </w:r>
      <w:r w:rsidRPr="001E306D">
        <w:rPr>
          <w:rFonts w:cstheme="minorHAnsi"/>
        </w:rPr>
        <w:t xml:space="preserve">demonstrates a commitment to </w:t>
      </w:r>
      <w:r w:rsidR="004662B8" w:rsidRPr="001E306D">
        <w:rPr>
          <w:rFonts w:cstheme="minorHAnsi"/>
        </w:rPr>
        <w:t>improved</w:t>
      </w:r>
      <w:r w:rsidRPr="001E306D">
        <w:rPr>
          <w:rFonts w:cstheme="minorHAnsi"/>
        </w:rPr>
        <w:t xml:space="preserve"> public health nutrition outcomes. It would also render the </w:t>
      </w:r>
      <w:r w:rsidR="00246370" w:rsidRPr="001E306D">
        <w:rPr>
          <w:rFonts w:cstheme="minorHAnsi"/>
        </w:rPr>
        <w:t xml:space="preserve">HSR </w:t>
      </w:r>
      <w:r w:rsidRPr="001E306D">
        <w:rPr>
          <w:rFonts w:cstheme="minorHAnsi"/>
        </w:rPr>
        <w:t xml:space="preserve">system more </w:t>
      </w:r>
      <w:r w:rsidR="001956EB" w:rsidRPr="001E306D">
        <w:rPr>
          <w:rFonts w:cstheme="minorHAnsi"/>
        </w:rPr>
        <w:t xml:space="preserve">useful </w:t>
      </w:r>
      <w:r w:rsidRPr="001E306D">
        <w:rPr>
          <w:rFonts w:cstheme="minorHAnsi"/>
        </w:rPr>
        <w:t>for consumers if it w</w:t>
      </w:r>
      <w:r w:rsidR="00CF4C74" w:rsidRPr="001E306D">
        <w:rPr>
          <w:rFonts w:cstheme="minorHAnsi"/>
        </w:rPr>
        <w:t>ere</w:t>
      </w:r>
      <w:r w:rsidRPr="001E306D">
        <w:rPr>
          <w:rFonts w:cstheme="minorHAnsi"/>
        </w:rPr>
        <w:t xml:space="preserve"> applied to a greater </w:t>
      </w:r>
      <w:r w:rsidR="00000794" w:rsidRPr="001E306D">
        <w:rPr>
          <w:rFonts w:cstheme="minorHAnsi"/>
        </w:rPr>
        <w:t>number</w:t>
      </w:r>
      <w:r w:rsidRPr="001E306D">
        <w:rPr>
          <w:rFonts w:cstheme="minorHAnsi"/>
        </w:rPr>
        <w:t xml:space="preserve"> </w:t>
      </w:r>
      <w:r w:rsidR="004662B8" w:rsidRPr="001E306D">
        <w:rPr>
          <w:rFonts w:cstheme="minorHAnsi"/>
        </w:rPr>
        <w:t>o</w:t>
      </w:r>
      <w:r w:rsidRPr="001E306D">
        <w:rPr>
          <w:rFonts w:cstheme="minorHAnsi"/>
        </w:rPr>
        <w:t xml:space="preserve">f products. </w:t>
      </w:r>
    </w:p>
    <w:p w14:paraId="379FF972" w14:textId="77777777" w:rsidR="007C6361" w:rsidRDefault="007C6361" w:rsidP="00B6711C">
      <w:pPr>
        <w:rPr>
          <w:rFonts w:cstheme="minorHAnsi"/>
        </w:rPr>
      </w:pPr>
      <w:r w:rsidRPr="001E306D">
        <w:rPr>
          <w:rFonts w:cstheme="minorHAnsi"/>
        </w:rPr>
        <w:t xml:space="preserve">The Forum notes the original intention that the HSR system be applied to processed and packaged foods, and not to single ingredient foods and </w:t>
      </w:r>
      <w:r w:rsidR="00B3691D" w:rsidRPr="001E306D">
        <w:rPr>
          <w:rFonts w:cstheme="minorHAnsi"/>
        </w:rPr>
        <w:t xml:space="preserve">unpackaged, minimally processed </w:t>
      </w:r>
      <w:r w:rsidRPr="001E306D">
        <w:rPr>
          <w:rFonts w:cstheme="minorHAnsi"/>
        </w:rPr>
        <w:t>fruits and vegetables</w:t>
      </w:r>
      <w:r w:rsidR="001E306D" w:rsidRPr="001E306D">
        <w:rPr>
          <w:rFonts w:cstheme="minorHAnsi"/>
        </w:rPr>
        <w:t xml:space="preserve">. </w:t>
      </w:r>
      <w:r w:rsidRPr="001E306D">
        <w:rPr>
          <w:rFonts w:cstheme="minorHAnsi"/>
        </w:rPr>
        <w:t xml:space="preserve">Taking </w:t>
      </w:r>
      <w:r w:rsidR="005D6F35" w:rsidRPr="001E306D">
        <w:rPr>
          <w:rFonts w:cstheme="minorHAnsi"/>
        </w:rPr>
        <w:t xml:space="preserve">this rationale </w:t>
      </w:r>
      <w:r w:rsidRPr="001E306D">
        <w:rPr>
          <w:rFonts w:cstheme="minorHAnsi"/>
        </w:rPr>
        <w:t>into account, the Forum requests that FRSC consider the target metrics to be used to</w:t>
      </w:r>
      <w:r>
        <w:rPr>
          <w:rFonts w:cstheme="minorHAnsi"/>
        </w:rPr>
        <w:t xml:space="preserve"> measure successful uptake.</w:t>
      </w:r>
    </w:p>
    <w:p w14:paraId="0F315220" w14:textId="77777777" w:rsidR="007C6361" w:rsidRDefault="007C6361" w:rsidP="007C6361">
      <w:pPr>
        <w:rPr>
          <w:rFonts w:cstheme="minorHAnsi"/>
        </w:rPr>
      </w:pPr>
      <w:r>
        <w:rPr>
          <w:rFonts w:cstheme="minorHAnsi"/>
        </w:rPr>
        <w:t>The details of the agreed metrics and implementation timeframes will be included in an implementation plan to be developed following release of this response, and considered at the first Forum meeting of 2020. In addition to the metrics and timeframes, the implementation plan will also detail a process that further explores the implication of a voluntary versus mandatory approach.</w:t>
      </w:r>
    </w:p>
    <w:bookmarkStart w:id="18" w:name="_Toc21014910"/>
    <w:p w14:paraId="72284294" w14:textId="77777777" w:rsidR="003835C7" w:rsidRPr="002C64CA" w:rsidRDefault="003835C7" w:rsidP="008D5076">
      <w:pPr>
        <w:pStyle w:val="Heading2"/>
      </w:pPr>
      <w:r w:rsidRPr="009861A3">
        <w:rPr>
          <w:rFonts w:asciiTheme="minorHAnsi" w:hAnsiTheme="minorHAnsi" w:cstheme="minorHAnsi"/>
          <w:b/>
          <w:noProof/>
        </w:rPr>
        <w:lastRenderedPageBreak/>
        <mc:AlternateContent>
          <mc:Choice Requires="wps">
            <w:drawing>
              <wp:anchor distT="45720" distB="45720" distL="114300" distR="114300" simplePos="0" relativeHeight="251677696" behindDoc="0" locked="0" layoutInCell="1" allowOverlap="1" wp14:anchorId="1CED446D" wp14:editId="5566C324">
                <wp:simplePos x="0" y="0"/>
                <wp:positionH relativeFrom="margin">
                  <wp:align>right</wp:align>
                </wp:positionH>
                <wp:positionV relativeFrom="paragraph">
                  <wp:posOffset>421640</wp:posOffset>
                </wp:positionV>
                <wp:extent cx="6098540" cy="1310640"/>
                <wp:effectExtent l="0" t="0" r="1651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10640"/>
                        </a:xfrm>
                        <a:prstGeom prst="rect">
                          <a:avLst/>
                        </a:prstGeom>
                        <a:solidFill>
                          <a:schemeClr val="accent5">
                            <a:lumMod val="20000"/>
                            <a:lumOff val="80000"/>
                          </a:schemeClr>
                        </a:solidFill>
                        <a:ln w="9525">
                          <a:solidFill>
                            <a:srgbClr val="000000"/>
                          </a:solidFill>
                          <a:miter lim="800000"/>
                          <a:headEnd/>
                          <a:tailEnd/>
                        </a:ln>
                      </wps:spPr>
                      <wps:txbx>
                        <w:txbxContent>
                          <w:p w14:paraId="3C055435" w14:textId="77777777" w:rsidR="00133D2C" w:rsidRPr="00A1027F" w:rsidRDefault="00133D2C" w:rsidP="00A1027F">
                            <w:pPr>
                              <w:pStyle w:val="mpcNormal"/>
                              <w:keepNext w:val="0"/>
                              <w:spacing w:before="120" w:after="120"/>
                              <w:jc w:val="both"/>
                              <w:rPr>
                                <w:b/>
                                <w:szCs w:val="24"/>
                              </w:rPr>
                            </w:pPr>
                            <w:r w:rsidRPr="00A1027F">
                              <w:rPr>
                                <w:b/>
                                <w:szCs w:val="24"/>
                              </w:rPr>
                              <w:t>Recommendation 10:  The existing Guide for Industry to the HSR Calculator and the HSR System Style Guide be combined, revised and strengthened, providing greater certainty for stakeholders.</w:t>
                            </w:r>
                          </w:p>
                          <w:p w14:paraId="337C4F65" w14:textId="77777777" w:rsidR="00133D2C" w:rsidRPr="00A1027F" w:rsidRDefault="00133D2C" w:rsidP="00A1027F">
                            <w:pPr>
                              <w:jc w:val="both"/>
                              <w:rPr>
                                <w:rFonts w:cstheme="minorHAnsi"/>
                                <w:i/>
                                <w:szCs w:val="24"/>
                              </w:rPr>
                            </w:pPr>
                            <w:r w:rsidRPr="00A1027F">
                              <w:rPr>
                                <w:rFonts w:cstheme="minorHAnsi"/>
                                <w:i/>
                                <w:szCs w:val="24"/>
                              </w:rPr>
                              <w:t>Changes will be required to the Guide for Industry to the HSR Calculator and HSR System Style Guide. The opportunity should be taken to combine, improve and strengthen these documents such that there is a single resource (similar to a Code of Practice) that describes the HSR System, its objectives and industry obligations.</w:t>
                            </w:r>
                          </w:p>
                          <w:p w14:paraId="42FE9CE0" w14:textId="77777777" w:rsidR="00133D2C" w:rsidRPr="0056153F" w:rsidRDefault="00133D2C" w:rsidP="003835C7">
                            <w:pPr>
                              <w:pStyle w:val="mpcNormal"/>
                              <w:keepNext w:val="0"/>
                              <w:jc w:val="both"/>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583B7" id="_x0000_s1035" type="#_x0000_t202" style="position:absolute;left:0;text-align:left;margin-left:429pt;margin-top:33.2pt;width:480.2pt;height:103.2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" fillcolor="#e4e7dd [664]">
                <v:textbox>
                  <w:txbxContent>
                    <w:p w:rsidR="00133D2C" w:rsidRPr="00A1027F" w:rsidRDefault="00133D2C" w:rsidP="00A1027F">
                      <w:pPr>
                        <w:pStyle w:val="mpcNormal"/>
                        <w:keepNext w:val="0"/>
                        <w:spacing w:before="120" w:after="120"/>
                        <w:jc w:val="both"/>
                        <w:rPr>
                          <w:b/>
                          <w:szCs w:val="24"/>
                        </w:rPr>
                      </w:pPr>
                      <w:r w:rsidRPr="00A1027F">
                        <w:rPr>
                          <w:b/>
                          <w:szCs w:val="24"/>
                        </w:rPr>
                        <w:t>Recommendation 10:  The existing Guide for Industry to the HSR Calculator and the HSR System Style Guide be combined, revised and strengthened, providing greater certainty for stakeholders.</w:t>
                      </w:r>
                    </w:p>
                    <w:p w:rsidR="00133D2C" w:rsidRPr="00A1027F" w:rsidRDefault="00133D2C" w:rsidP="00A1027F">
                      <w:pPr>
                        <w:jc w:val="both"/>
                        <w:rPr>
                          <w:rFonts w:cstheme="minorHAnsi"/>
                          <w:i/>
                          <w:szCs w:val="24"/>
                        </w:rPr>
                      </w:pPr>
                      <w:r w:rsidRPr="00A1027F">
                        <w:rPr>
                          <w:rFonts w:cstheme="minorHAnsi"/>
                          <w:i/>
                          <w:szCs w:val="24"/>
                        </w:rPr>
                        <w:t>Changes will be required to the Guide for Industry to the HSR Calculator and HSR System Style Guide. The opportunity should be taken to combine, improve and strengthen these documents such that there is a single resource (similar to a Code of Practice) that describes the HSR System, its objectives and industry obligations.</w:t>
                      </w:r>
                    </w:p>
                    <w:p w:rsidR="00133D2C" w:rsidRPr="0056153F" w:rsidRDefault="00133D2C" w:rsidP="003835C7">
                      <w:pPr>
                        <w:pStyle w:val="mpcNormal"/>
                        <w:keepNext w:val="0"/>
                        <w:jc w:val="both"/>
                        <w:rPr>
                          <w:sz w:val="24"/>
                          <w:szCs w:val="24"/>
                        </w:rPr>
                      </w:pPr>
                    </w:p>
                  </w:txbxContent>
                </v:textbox>
                <w10:wrap type="square" anchorx="margin"/>
              </v:shape>
            </w:pict>
          </mc:Fallback>
        </mc:AlternateContent>
      </w:r>
      <w:r w:rsidR="00A23EE5">
        <w:t xml:space="preserve">  </w:t>
      </w:r>
      <w:r>
        <w:t>HSR Calculator and HSR System Style Guide.</w:t>
      </w:r>
      <w:bookmarkEnd w:id="18"/>
      <w:r>
        <w:t xml:space="preserve">  </w:t>
      </w:r>
    </w:p>
    <w:p w14:paraId="0D8F275F" w14:textId="77777777" w:rsidR="003835C7" w:rsidRDefault="003835C7" w:rsidP="00406DCE">
      <w:pPr>
        <w:pStyle w:val="Heading3"/>
        <w:spacing w:before="120"/>
      </w:pPr>
      <w:r>
        <w:t xml:space="preserve">Response: </w:t>
      </w:r>
    </w:p>
    <w:p w14:paraId="47E627E0" w14:textId="77777777" w:rsidR="003835C7" w:rsidRPr="00F248F9" w:rsidRDefault="00F24F94" w:rsidP="008D5076">
      <w:pPr>
        <w:rPr>
          <w:rFonts w:cstheme="minorHAnsi"/>
          <w:b/>
        </w:rPr>
      </w:pPr>
      <w:r w:rsidRPr="00406DCE">
        <w:rPr>
          <w:b/>
        </w:rPr>
        <w:t>Supports</w:t>
      </w:r>
      <w:r w:rsidR="003835C7" w:rsidRPr="00F248F9">
        <w:t xml:space="preserve">. </w:t>
      </w:r>
    </w:p>
    <w:p w14:paraId="63949756" w14:textId="77777777" w:rsidR="003835C7" w:rsidRDefault="003835C7" w:rsidP="00406DCE">
      <w:pPr>
        <w:pStyle w:val="Heading3"/>
        <w:spacing w:before="120"/>
      </w:pPr>
      <w:r>
        <w:t>Rationale:</w:t>
      </w:r>
    </w:p>
    <w:p w14:paraId="567EABB6" w14:textId="77777777" w:rsidR="00406DCE" w:rsidRDefault="00421140" w:rsidP="00406DCE">
      <w:pPr>
        <w:rPr>
          <w:rFonts w:cstheme="minorHAnsi"/>
        </w:rPr>
      </w:pPr>
      <w:r>
        <w:rPr>
          <w:rFonts w:cstheme="minorHAnsi"/>
        </w:rPr>
        <w:t xml:space="preserve">Several changes to the HSR system and </w:t>
      </w:r>
      <w:r w:rsidR="00E43661">
        <w:rPr>
          <w:rFonts w:cstheme="minorHAnsi"/>
        </w:rPr>
        <w:t xml:space="preserve">HSR </w:t>
      </w:r>
      <w:r w:rsidR="00E34E15">
        <w:rPr>
          <w:rFonts w:cstheme="minorHAnsi"/>
        </w:rPr>
        <w:t>A</w:t>
      </w:r>
      <w:r>
        <w:rPr>
          <w:rFonts w:cstheme="minorHAnsi"/>
        </w:rPr>
        <w:t xml:space="preserve">lgorithm are supported by the Forum, and these new details will need to be clearly documented. It is an </w:t>
      </w:r>
      <w:r w:rsidR="009E7E5A">
        <w:rPr>
          <w:rFonts w:cstheme="minorHAnsi"/>
        </w:rPr>
        <w:t>appropriate</w:t>
      </w:r>
      <w:r>
        <w:rPr>
          <w:rFonts w:cstheme="minorHAnsi"/>
        </w:rPr>
        <w:t xml:space="preserve"> opportunity to improve the guidance documents to address existing areas of ambiguity and ensure that the advice they contain is simple for industry to follow when applying the HSR system. Some areas of information within the current documents could fall under either style or calculation guidance, so it is logical to combine the documents to be one reference point for food manufacturers</w:t>
      </w:r>
      <w:r w:rsidR="00C4267A">
        <w:rPr>
          <w:rFonts w:cstheme="minorHAnsi"/>
        </w:rPr>
        <w:t>,</w:t>
      </w:r>
      <w:r>
        <w:rPr>
          <w:rFonts w:cstheme="minorHAnsi"/>
        </w:rPr>
        <w:t xml:space="preserve"> retailers</w:t>
      </w:r>
      <w:r w:rsidR="00C4267A">
        <w:rPr>
          <w:rFonts w:cstheme="minorHAnsi"/>
        </w:rPr>
        <w:t xml:space="preserve"> and consumers</w:t>
      </w:r>
      <w:r>
        <w:rPr>
          <w:rFonts w:cstheme="minorHAnsi"/>
        </w:rPr>
        <w:t>.</w:t>
      </w:r>
      <w:r w:rsidR="00674A49">
        <w:rPr>
          <w:rFonts w:cstheme="minorHAnsi"/>
        </w:rPr>
        <w:t xml:space="preserve"> </w:t>
      </w:r>
    </w:p>
    <w:p w14:paraId="548E4D6B" w14:textId="77777777" w:rsidR="00A966D5" w:rsidRPr="00406DCE" w:rsidRDefault="00A966D5" w:rsidP="00406DCE">
      <w:pPr>
        <w:pStyle w:val="Heading3"/>
        <w:spacing w:before="120"/>
      </w:pPr>
      <w:r w:rsidRPr="00406DCE">
        <w:t xml:space="preserve">Additional Considerations: </w:t>
      </w:r>
    </w:p>
    <w:p w14:paraId="723CD5B7" w14:textId="77777777" w:rsidR="00674A49" w:rsidRDefault="008313E5" w:rsidP="008D5076">
      <w:pPr>
        <w:rPr>
          <w:rFonts w:cstheme="minorHAnsi"/>
        </w:rPr>
      </w:pPr>
      <w:r>
        <w:rPr>
          <w:rFonts w:cstheme="minorHAnsi"/>
        </w:rPr>
        <w:t>The Review R</w:t>
      </w:r>
      <w:r w:rsidR="00674A49">
        <w:rPr>
          <w:rFonts w:cstheme="minorHAnsi"/>
        </w:rPr>
        <w:t xml:space="preserve">eport </w:t>
      </w:r>
      <w:r w:rsidR="00280D25">
        <w:rPr>
          <w:rFonts w:cstheme="minorHAnsi"/>
        </w:rPr>
        <w:t>outlines that these documents should be available prior to the commencement of the transition</w:t>
      </w:r>
      <w:r w:rsidR="00161D1A">
        <w:rPr>
          <w:rFonts w:cstheme="minorHAnsi"/>
        </w:rPr>
        <w:t xml:space="preserve"> </w:t>
      </w:r>
      <w:r w:rsidR="00280D25">
        <w:rPr>
          <w:rFonts w:cstheme="minorHAnsi"/>
        </w:rPr>
        <w:t xml:space="preserve">period. The Forum </w:t>
      </w:r>
      <w:r w:rsidR="00A67B2F">
        <w:rPr>
          <w:rFonts w:cstheme="minorHAnsi"/>
        </w:rPr>
        <w:t>considers</w:t>
      </w:r>
      <w:r w:rsidR="00280D25">
        <w:rPr>
          <w:rFonts w:cstheme="minorHAnsi"/>
        </w:rPr>
        <w:t xml:space="preserve"> that further consideration and modelling of some recommendations will be required, which will need to occur prior to gu</w:t>
      </w:r>
      <w:r w:rsidR="00A966D5">
        <w:rPr>
          <w:rFonts w:cstheme="minorHAnsi"/>
        </w:rPr>
        <w:t>idance material being produced, following which the transition period will begin</w:t>
      </w:r>
      <w:r w:rsidR="00C254F4">
        <w:rPr>
          <w:rFonts w:cstheme="minorHAnsi"/>
        </w:rPr>
        <w:t>.</w:t>
      </w:r>
    </w:p>
    <w:p w14:paraId="22DFB123" w14:textId="77777777" w:rsidR="00257ECD" w:rsidRDefault="00257ECD" w:rsidP="00406DCE">
      <w:pPr>
        <w:pStyle w:val="Heading3"/>
        <w:spacing w:before="120"/>
      </w:pPr>
      <w:r>
        <w:t xml:space="preserve">Implementation timeframe: </w:t>
      </w:r>
    </w:p>
    <w:p w14:paraId="7A9B55AA" w14:textId="77777777" w:rsidR="00CE4491" w:rsidRDefault="00257ECD" w:rsidP="008D5076">
      <w:r>
        <w:t>Within 1 year</w:t>
      </w:r>
      <w:r w:rsidR="002479F8" w:rsidRPr="002479F8">
        <w:t xml:space="preserve"> from the date that this response is confirmed (and prior to commencement of the transition period).</w:t>
      </w:r>
    </w:p>
    <w:p w14:paraId="343265AD" w14:textId="77777777" w:rsidR="003835C7" w:rsidRDefault="003835C7" w:rsidP="008D5076"/>
    <w:p w14:paraId="0C736EB3" w14:textId="77777777" w:rsidR="003835C7" w:rsidRDefault="003835C7" w:rsidP="008D5076"/>
    <w:sectPr w:rsidR="003835C7" w:rsidSect="00DB060C">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F6B00" w14:textId="77777777" w:rsidR="002F3627" w:rsidRDefault="002F3627" w:rsidP="00316D3C">
      <w:r>
        <w:separator/>
      </w:r>
    </w:p>
  </w:endnote>
  <w:endnote w:type="continuationSeparator" w:id="0">
    <w:p w14:paraId="28C70A21" w14:textId="77777777" w:rsidR="002F3627" w:rsidRDefault="002F3627" w:rsidP="00316D3C">
      <w:r>
        <w:continuationSeparator/>
      </w:r>
    </w:p>
  </w:endnote>
  <w:endnote w:type="continuationNotice" w:id="1">
    <w:p w14:paraId="7E941088" w14:textId="77777777" w:rsidR="002F3627" w:rsidRDefault="002F3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F903" w14:textId="77777777" w:rsidR="00133D2C" w:rsidRPr="00AF690D" w:rsidRDefault="00133D2C" w:rsidP="008B49B6">
    <w:pPr>
      <w:pStyle w:val="Footer"/>
      <w:jc w:val="center"/>
      <w:rPr>
        <w:rFonts w:ascii="Calibri" w:hAnsi="Calibri" w:cs="Calibri"/>
        <w:b/>
        <w:color w:val="F00000"/>
      </w:rPr>
    </w:pPr>
    <w:r>
      <w:fldChar w:fldCharType="begin" w:fldLock="1"/>
    </w:r>
    <w:r>
      <w:instrText xml:space="preserve"> DOCPROPERTY bjFooterEvenPageDocProperty \* MERGEFORMAT </w:instrText>
    </w:r>
    <w:r>
      <w:fldChar w:fldCharType="separate"/>
    </w:r>
  </w:p>
  <w:p w14:paraId="4B11B497" w14:textId="77777777" w:rsidR="00133D2C" w:rsidRPr="00AF690D" w:rsidRDefault="00133D2C" w:rsidP="008B49B6">
    <w:pPr>
      <w:pStyle w:val="Footer"/>
      <w:jc w:val="center"/>
    </w:pPr>
    <w:r w:rsidRPr="00AF690D">
      <w:rPr>
        <w:rFonts w:ascii="Calibri" w:hAnsi="Calibri" w:cs="Calibri"/>
        <w:b/>
        <w:color w:val="F00000"/>
      </w:rPr>
      <w:t>UNCLASSIFIED</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467338"/>
      <w:docPartObj>
        <w:docPartGallery w:val="Page Numbers (Bottom of Page)"/>
        <w:docPartUnique/>
      </w:docPartObj>
    </w:sdtPr>
    <w:sdtEndPr>
      <w:rPr>
        <w:noProof/>
        <w:sz w:val="20"/>
        <w:szCs w:val="20"/>
      </w:rPr>
    </w:sdtEndPr>
    <w:sdtContent>
      <w:p w14:paraId="0C8EE635" w14:textId="77777777" w:rsidR="00133D2C" w:rsidRPr="008C0F48" w:rsidRDefault="00133D2C" w:rsidP="007A62C2">
        <w:pPr>
          <w:pStyle w:val="Header"/>
          <w:jc w:val="center"/>
          <w:rPr>
            <w:rFonts w:ascii="Times New Roman" w:hAnsi="Times New Roman" w:cs="Times New Roman"/>
            <w:b/>
            <w:color w:val="FF0000"/>
            <w:spacing w:val="-20"/>
            <w:sz w:val="32"/>
            <w:szCs w:val="32"/>
          </w:rPr>
        </w:pPr>
      </w:p>
      <w:p w14:paraId="61223128" w14:textId="77777777" w:rsidR="00133D2C" w:rsidRPr="00C621BA" w:rsidRDefault="00133D2C" w:rsidP="00C621BA">
        <w:pPr>
          <w:pStyle w:val="Footer"/>
          <w:jc w:val="right"/>
          <w:rPr>
            <w:sz w:val="20"/>
            <w:szCs w:val="20"/>
          </w:rPr>
        </w:pPr>
        <w:r w:rsidRPr="00A16691">
          <w:rPr>
            <w:sz w:val="20"/>
            <w:szCs w:val="20"/>
          </w:rPr>
          <w:fldChar w:fldCharType="begin"/>
        </w:r>
        <w:r w:rsidRPr="00A16691">
          <w:rPr>
            <w:sz w:val="20"/>
            <w:szCs w:val="20"/>
          </w:rPr>
          <w:instrText xml:space="preserve"> PAGE   \* MERGEFORMAT </w:instrText>
        </w:r>
        <w:r w:rsidRPr="00A16691">
          <w:rPr>
            <w:sz w:val="20"/>
            <w:szCs w:val="20"/>
          </w:rPr>
          <w:fldChar w:fldCharType="separate"/>
        </w:r>
        <w:r w:rsidR="00BE49B1">
          <w:rPr>
            <w:noProof/>
            <w:sz w:val="20"/>
            <w:szCs w:val="20"/>
          </w:rPr>
          <w:t>17</w:t>
        </w:r>
        <w:r w:rsidRPr="00A16691">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C97B0" w14:textId="77777777" w:rsidR="00133D2C" w:rsidRPr="008C0F48" w:rsidRDefault="00133D2C" w:rsidP="00DB060C">
    <w:pPr>
      <w:pStyle w:val="Head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A88F0" w14:textId="77777777" w:rsidR="002F3627" w:rsidRDefault="002F3627" w:rsidP="00316D3C">
      <w:r>
        <w:separator/>
      </w:r>
    </w:p>
  </w:footnote>
  <w:footnote w:type="continuationSeparator" w:id="0">
    <w:p w14:paraId="3C0B7519" w14:textId="77777777" w:rsidR="002F3627" w:rsidRDefault="002F3627" w:rsidP="00316D3C">
      <w:r>
        <w:continuationSeparator/>
      </w:r>
    </w:p>
  </w:footnote>
  <w:footnote w:type="continuationNotice" w:id="1">
    <w:p w14:paraId="4CEABB9D" w14:textId="77777777" w:rsidR="002F3627" w:rsidRDefault="002F3627"/>
  </w:footnote>
  <w:footnote w:id="2">
    <w:p w14:paraId="272F2A0D" w14:textId="77777777" w:rsidR="00133D2C" w:rsidRPr="00B474DE" w:rsidRDefault="00133D2C" w:rsidP="003C3EFF">
      <w:pPr>
        <w:pStyle w:val="NoSpacing"/>
        <w:rPr>
          <w:sz w:val="18"/>
          <w:szCs w:val="18"/>
        </w:rPr>
      </w:pPr>
      <w:r w:rsidRPr="00C77851">
        <w:rPr>
          <w:rStyle w:val="FootnoteReference"/>
          <w:rFonts w:asciiTheme="majorHAnsi" w:hAnsiTheme="majorHAnsi" w:cstheme="majorHAnsi"/>
          <w:sz w:val="18"/>
          <w:szCs w:val="18"/>
        </w:rPr>
        <w:footnoteRef/>
      </w:r>
      <w:r w:rsidRPr="00C77851">
        <w:rPr>
          <w:rFonts w:asciiTheme="majorHAnsi" w:hAnsiTheme="majorHAnsi" w:cstheme="majorHAnsi"/>
          <w:sz w:val="18"/>
          <w:szCs w:val="18"/>
        </w:rPr>
        <w:t xml:space="preserve"> </w:t>
      </w:r>
      <w:r w:rsidRPr="00C77851">
        <w:rPr>
          <w:rFonts w:asciiTheme="majorHAnsi" w:hAnsiTheme="majorHAnsi" w:cstheme="majorHAnsi"/>
          <w:sz w:val="18"/>
          <w:szCs w:val="18"/>
          <w:lang w:val="en-GB"/>
        </w:rPr>
        <w:t xml:space="preserve">National Heart Foundation 2019, </w:t>
      </w:r>
      <w:r w:rsidRPr="00C77851">
        <w:rPr>
          <w:rFonts w:asciiTheme="majorHAnsi" w:hAnsiTheme="majorHAnsi" w:cstheme="majorHAnsi"/>
          <w:i/>
          <w:sz w:val="18"/>
          <w:szCs w:val="18"/>
        </w:rPr>
        <w:t xml:space="preserve">Report on the monitoring of the implementation of the </w:t>
      </w:r>
      <w:r w:rsidRPr="00C77851">
        <w:rPr>
          <w:rFonts w:asciiTheme="majorHAnsi" w:hAnsiTheme="majorHAnsi" w:cstheme="majorHAnsi"/>
          <w:i/>
          <w:sz w:val="18"/>
          <w:szCs w:val="18"/>
          <w:lang w:val="en-GB"/>
        </w:rPr>
        <w:t xml:space="preserve">Health Star Rating </w:t>
      </w:r>
      <w:r w:rsidRPr="00B474DE">
        <w:rPr>
          <w:rFonts w:asciiTheme="majorHAnsi" w:hAnsiTheme="majorHAnsi" w:cstheme="majorHAnsi"/>
          <w:i/>
          <w:sz w:val="18"/>
          <w:szCs w:val="18"/>
          <w:lang w:val="en-GB"/>
        </w:rPr>
        <w:t xml:space="preserve">system </w:t>
      </w:r>
      <w:r w:rsidRPr="00B474DE">
        <w:rPr>
          <w:rFonts w:asciiTheme="majorHAnsi" w:hAnsiTheme="majorHAnsi" w:cstheme="majorHAnsi"/>
          <w:i/>
          <w:sz w:val="18"/>
          <w:szCs w:val="18"/>
        </w:rPr>
        <w:t>in the first four years of implementation: June 2014 to June 2018</w:t>
      </w:r>
      <w:r w:rsidRPr="00B474DE">
        <w:rPr>
          <w:rFonts w:asciiTheme="majorHAnsi" w:hAnsiTheme="majorHAnsi" w:cstheme="majorHAnsi"/>
          <w:sz w:val="18"/>
          <w:szCs w:val="18"/>
          <w:lang w:val="en-GB"/>
        </w:rPr>
        <w:t xml:space="preserve"> (Prepared for the Commonwealth Department of Health)</w:t>
      </w:r>
      <w:r w:rsidRPr="00B474DE">
        <w:rPr>
          <w:rFonts w:asciiTheme="majorHAnsi" w:hAnsiTheme="majorHAnsi" w:cstheme="majorHAnsi"/>
          <w:i/>
          <w:sz w:val="18"/>
          <w:szCs w:val="18"/>
          <w:lang w:val="en-GB"/>
        </w:rPr>
        <w:t xml:space="preserve"> </w:t>
      </w:r>
      <w:r w:rsidRPr="00B474DE">
        <w:rPr>
          <w:rFonts w:asciiTheme="majorHAnsi" w:hAnsiTheme="majorHAnsi" w:cstheme="majorHAnsi"/>
          <w:sz w:val="18"/>
          <w:szCs w:val="18"/>
          <w:lang w:val="en-GB"/>
        </w:rPr>
        <w:t xml:space="preserve">Available at: </w:t>
      </w:r>
      <w:hyperlink r:id="rId1" w:history="1">
        <w:r w:rsidRPr="00B474DE">
          <w:rPr>
            <w:rStyle w:val="Hyperlink"/>
            <w:rFonts w:asciiTheme="majorHAnsi" w:hAnsiTheme="majorHAnsi" w:cstheme="majorHAnsi"/>
            <w:sz w:val="18"/>
            <w:szCs w:val="18"/>
            <w:lang w:val="en-GB"/>
          </w:rPr>
          <w:t>http://healthstarrating.gov.au/internet/healthstarrating/publishing.nsf/Content/monitoring</w:t>
        </w:r>
      </w:hyperlink>
      <w:r w:rsidRPr="00B474DE">
        <w:rPr>
          <w:rFonts w:asciiTheme="majorHAnsi" w:hAnsiTheme="majorHAnsi" w:cstheme="majorHAnsi"/>
          <w:sz w:val="18"/>
          <w:szCs w:val="18"/>
          <w:lang w:val="en-GB"/>
        </w:rPr>
        <w:t xml:space="preserve"> </w:t>
      </w:r>
    </w:p>
  </w:footnote>
  <w:footnote w:id="3">
    <w:p w14:paraId="576CFC94" w14:textId="77777777" w:rsidR="00133D2C" w:rsidRDefault="00133D2C" w:rsidP="003C3EFF">
      <w:pPr>
        <w:pStyle w:val="FootnoteText"/>
      </w:pPr>
      <w:r w:rsidRPr="00B474DE">
        <w:rPr>
          <w:rStyle w:val="FootnoteReference"/>
          <w:sz w:val="18"/>
          <w:szCs w:val="18"/>
        </w:rPr>
        <w:footnoteRef/>
      </w:r>
      <w:r w:rsidRPr="00B474DE">
        <w:rPr>
          <w:sz w:val="18"/>
          <w:szCs w:val="18"/>
        </w:rPr>
        <w:t xml:space="preserve"> </w:t>
      </w:r>
      <w:r w:rsidRPr="00B474DE">
        <w:rPr>
          <w:sz w:val="18"/>
          <w:szCs w:val="18"/>
          <w:lang w:val="en-NZ"/>
        </w:rPr>
        <w:t>New Zealand Food Safety 2018</w:t>
      </w:r>
      <w:r>
        <w:rPr>
          <w:sz w:val="18"/>
          <w:szCs w:val="18"/>
          <w:lang w:val="en-NZ"/>
        </w:rPr>
        <w:t>,</w:t>
      </w:r>
      <w:r w:rsidRPr="00B474DE">
        <w:rPr>
          <w:sz w:val="18"/>
          <w:szCs w:val="18"/>
          <w:lang w:val="en-NZ"/>
        </w:rPr>
        <w:t xml:space="preserve"> </w:t>
      </w:r>
      <w:r w:rsidRPr="00B474DE">
        <w:rPr>
          <w:i/>
          <w:sz w:val="18"/>
          <w:szCs w:val="18"/>
          <w:lang w:val="en-NZ"/>
        </w:rPr>
        <w:t xml:space="preserve">Health Star Rating: monitoring implementation for the </w:t>
      </w:r>
      <w:r w:rsidRPr="00B474DE">
        <w:rPr>
          <w:i/>
          <w:sz w:val="18"/>
          <w:szCs w:val="18"/>
          <w:lang w:val="en-NZ"/>
        </w:rPr>
        <w:t>five year review</w:t>
      </w:r>
      <w:r w:rsidRPr="00B474DE">
        <w:rPr>
          <w:sz w:val="18"/>
          <w:szCs w:val="18"/>
          <w:lang w:val="en-NZ"/>
        </w:rPr>
        <w:t xml:space="preserve">. Available at: </w:t>
      </w:r>
      <w:hyperlink r:id="rId2" w:history="1">
        <w:r w:rsidRPr="00B474DE">
          <w:rPr>
            <w:rStyle w:val="Hyperlink"/>
            <w:sz w:val="18"/>
            <w:szCs w:val="18"/>
            <w:lang w:val="en-NZ"/>
          </w:rPr>
          <w:t>https://www.mpi.govt.nz/dmsdocument/31632-health-star-rating-monitoring-implementation-for-the-five-year-review</w:t>
        </w:r>
      </w:hyperlink>
      <w:r w:rsidRPr="00B474DE">
        <w:rPr>
          <w:sz w:val="18"/>
          <w:szCs w:val="18"/>
          <w:lang w:val="en-NZ"/>
        </w:rPr>
        <w:t xml:space="preserve">  </w:t>
      </w:r>
    </w:p>
  </w:footnote>
  <w:footnote w:id="4">
    <w:p w14:paraId="0B229B07" w14:textId="77777777" w:rsidR="00133D2C" w:rsidRPr="002A1B09" w:rsidRDefault="00133D2C" w:rsidP="001515F7">
      <w:pPr>
        <w:rPr>
          <w:sz w:val="18"/>
          <w:szCs w:val="18"/>
        </w:rPr>
      </w:pPr>
      <w:r w:rsidRPr="002A1B09">
        <w:rPr>
          <w:rStyle w:val="FootnoteReference"/>
          <w:sz w:val="18"/>
          <w:szCs w:val="18"/>
        </w:rPr>
        <w:footnoteRef/>
      </w:r>
      <w:r w:rsidRPr="002A1B09">
        <w:rPr>
          <w:sz w:val="18"/>
          <w:szCs w:val="18"/>
        </w:rPr>
        <w:t xml:space="preserve"> </w:t>
      </w:r>
      <w:r w:rsidRPr="002A1B09">
        <w:rPr>
          <w:color w:val="000000"/>
          <w:sz w:val="18"/>
          <w:szCs w:val="18"/>
        </w:rPr>
        <w:t xml:space="preserve">Food and Agriculture Organization of the United Nations </w:t>
      </w:r>
      <w:r w:rsidRPr="002A1B09">
        <w:rPr>
          <w:sz w:val="18"/>
          <w:szCs w:val="18"/>
        </w:rPr>
        <w:t xml:space="preserve">(FAO) 2016, </w:t>
      </w:r>
      <w:r w:rsidRPr="002A1B09">
        <w:rPr>
          <w:bCs/>
          <w:i/>
          <w:sz w:val="18"/>
          <w:szCs w:val="18"/>
        </w:rPr>
        <w:t>Influencing food environments for healthy diets</w:t>
      </w:r>
      <w:r>
        <w:rPr>
          <w:sz w:val="18"/>
          <w:szCs w:val="18"/>
        </w:rPr>
        <w:t xml:space="preserve">. </w:t>
      </w:r>
      <w:r w:rsidRPr="002A1B09">
        <w:rPr>
          <w:sz w:val="18"/>
          <w:szCs w:val="18"/>
        </w:rPr>
        <w:t xml:space="preserve">Available at: </w:t>
      </w:r>
      <w:hyperlink r:id="rId3" w:history="1">
        <w:r w:rsidRPr="002A1B09">
          <w:rPr>
            <w:rStyle w:val="Hyperlink"/>
            <w:sz w:val="18"/>
            <w:szCs w:val="18"/>
          </w:rPr>
          <w:t>http://www.fao.org/3/a-i6484e.pdf</w:t>
        </w:r>
      </w:hyperlink>
    </w:p>
  </w:footnote>
  <w:footnote w:id="5">
    <w:p w14:paraId="49A2062D" w14:textId="77777777" w:rsidR="00133D2C" w:rsidRPr="002A1B09" w:rsidRDefault="00133D2C" w:rsidP="001515F7">
      <w:pPr>
        <w:pStyle w:val="FootnoteText"/>
        <w:rPr>
          <w:sz w:val="18"/>
          <w:szCs w:val="18"/>
        </w:rPr>
      </w:pPr>
      <w:r w:rsidRPr="002A1B09">
        <w:rPr>
          <w:rStyle w:val="FootnoteReference"/>
          <w:sz w:val="18"/>
          <w:szCs w:val="18"/>
        </w:rPr>
        <w:footnoteRef/>
      </w:r>
      <w:r w:rsidRPr="002A1B09">
        <w:rPr>
          <w:sz w:val="18"/>
          <w:szCs w:val="18"/>
        </w:rPr>
        <w:t xml:space="preserve"> Ni </w:t>
      </w:r>
      <w:r w:rsidRPr="002A1B09">
        <w:rPr>
          <w:sz w:val="18"/>
          <w:szCs w:val="18"/>
        </w:rPr>
        <w:t xml:space="preserve">Mhurchu C, Eyles H, Jiang Y, Blakely T 2018, </w:t>
      </w:r>
      <w:r w:rsidRPr="002A1B09">
        <w:rPr>
          <w:i/>
          <w:sz w:val="18"/>
          <w:szCs w:val="18"/>
        </w:rPr>
        <w:t xml:space="preserve">Do nutrition labels influence healthier food choices? Analysis of label viewing behaviour and subsequent food purchases in a labelling intervention trial, </w:t>
      </w:r>
      <w:r>
        <w:rPr>
          <w:sz w:val="18"/>
          <w:szCs w:val="18"/>
        </w:rPr>
        <w:t xml:space="preserve">Appetite, vol. 121, pp 360-365. </w:t>
      </w:r>
      <w:r w:rsidRPr="002A1B09">
        <w:rPr>
          <w:sz w:val="18"/>
          <w:szCs w:val="18"/>
        </w:rPr>
        <w:t xml:space="preserve">Available at: </w:t>
      </w:r>
      <w:hyperlink r:id="rId4" w:tgtFrame="_blank" w:tooltip="Persistent link using digital object identifier" w:history="1">
        <w:r w:rsidRPr="002A1B09">
          <w:rPr>
            <w:rStyle w:val="Hyperlink"/>
            <w:sz w:val="18"/>
            <w:szCs w:val="18"/>
            <w:lang w:val="en"/>
          </w:rPr>
          <w:t>https://doi.org/10.1016/j.appet.2017.11.105</w:t>
        </w:r>
      </w:hyperlink>
      <w:r w:rsidRPr="002A1B09">
        <w:rPr>
          <w:color w:val="505050"/>
          <w:sz w:val="18"/>
          <w:szCs w:val="18"/>
          <w:lang w:val="en"/>
        </w:rPr>
        <w:t xml:space="preserve"> </w:t>
      </w:r>
    </w:p>
  </w:footnote>
  <w:footnote w:id="6">
    <w:p w14:paraId="67D3D3BF" w14:textId="77777777" w:rsidR="00133D2C" w:rsidRPr="002A1B09" w:rsidRDefault="00133D2C" w:rsidP="001515F7">
      <w:pPr>
        <w:pStyle w:val="FootnoteText"/>
        <w:rPr>
          <w:sz w:val="18"/>
          <w:szCs w:val="18"/>
        </w:rPr>
      </w:pPr>
      <w:r w:rsidRPr="002A1B09">
        <w:rPr>
          <w:rStyle w:val="FootnoteReference"/>
          <w:sz w:val="18"/>
          <w:szCs w:val="18"/>
        </w:rPr>
        <w:footnoteRef/>
      </w:r>
      <w:r w:rsidRPr="002A1B09">
        <w:rPr>
          <w:sz w:val="18"/>
          <w:szCs w:val="18"/>
        </w:rPr>
        <w:t xml:space="preserve"> Hall &amp; Partners Open Mind 2014</w:t>
      </w:r>
      <w:r w:rsidRPr="002A1B09">
        <w:rPr>
          <w:i/>
          <w:sz w:val="18"/>
          <w:szCs w:val="18"/>
        </w:rPr>
        <w:t xml:space="preserve">, </w:t>
      </w:r>
      <w:r w:rsidRPr="002A1B09">
        <w:rPr>
          <w:i/>
          <w:sz w:val="18"/>
          <w:szCs w:val="18"/>
        </w:rPr>
        <w:t>FoPL Stage 2 Research – Measuring the impact of FoPL labelling on consumer food purchase choices</w:t>
      </w:r>
      <w:r w:rsidRPr="002A1B09">
        <w:rPr>
          <w:sz w:val="18"/>
          <w:szCs w:val="18"/>
        </w:rPr>
        <w:t xml:space="preserve"> (Prepared for the Commonwealth Department of Health). Available at: </w:t>
      </w:r>
      <w:hyperlink r:id="rId5" w:history="1">
        <w:r w:rsidRPr="002A1B09">
          <w:rPr>
            <w:rStyle w:val="Hyperlink"/>
            <w:sz w:val="18"/>
            <w:szCs w:val="18"/>
          </w:rPr>
          <w:t>https://www1.health.gov.au/internet/fr/publishing.nsf/Content/E6C6919B62C492BCCA257F720076F4C8/$File/FoPL%20Stage%202%20Research.pdf</w:t>
        </w:r>
      </w:hyperlink>
      <w:r w:rsidRPr="002A1B09">
        <w:rPr>
          <w:sz w:val="18"/>
          <w:szCs w:val="18"/>
        </w:rPr>
        <w:t xml:space="preserve"> </w:t>
      </w:r>
    </w:p>
  </w:footnote>
  <w:footnote w:id="7">
    <w:p w14:paraId="446F39B4" w14:textId="77777777" w:rsidR="00133D2C" w:rsidRPr="00913EF3" w:rsidRDefault="00133D2C">
      <w:pPr>
        <w:pStyle w:val="FootnoteText"/>
        <w:rPr>
          <w:sz w:val="18"/>
          <w:szCs w:val="18"/>
        </w:rPr>
      </w:pPr>
      <w:r w:rsidRPr="00913EF3">
        <w:rPr>
          <w:rStyle w:val="FootnoteReference"/>
          <w:sz w:val="18"/>
          <w:szCs w:val="18"/>
        </w:rPr>
        <w:footnoteRef/>
      </w:r>
      <w:r w:rsidRPr="00913EF3">
        <w:rPr>
          <w:sz w:val="18"/>
          <w:szCs w:val="18"/>
        </w:rPr>
        <w:t xml:space="preserve"> </w:t>
      </w:r>
      <w:r w:rsidRPr="00913EF3">
        <w:rPr>
          <w:sz w:val="18"/>
          <w:szCs w:val="18"/>
        </w:rPr>
        <w:t xml:space="preserve">Brownbill A, Braunack‐Mayer A, Miller C 2018, </w:t>
      </w:r>
      <w:r w:rsidRPr="00913EF3">
        <w:rPr>
          <w:i/>
          <w:sz w:val="18"/>
          <w:szCs w:val="18"/>
        </w:rPr>
        <w:t xml:space="preserve">Health Star Ratings: What’s on the labels of Australian beverages? </w:t>
      </w:r>
      <w:r w:rsidRPr="00913EF3">
        <w:rPr>
          <w:sz w:val="18"/>
          <w:szCs w:val="18"/>
        </w:rPr>
        <w:t>Health Promotion Journal of Australia,</w:t>
      </w:r>
      <w:r w:rsidRPr="00913EF3">
        <w:rPr>
          <w:i/>
          <w:sz w:val="18"/>
          <w:szCs w:val="18"/>
        </w:rPr>
        <w:t xml:space="preserve"> </w:t>
      </w:r>
      <w:r w:rsidRPr="00913EF3">
        <w:rPr>
          <w:sz w:val="18"/>
          <w:szCs w:val="18"/>
        </w:rPr>
        <w:t xml:space="preserve">vol. 30, pp. 114-118. Available at: </w:t>
      </w:r>
      <w:hyperlink r:id="rId6" w:history="1">
        <w:r w:rsidRPr="00913EF3">
          <w:rPr>
            <w:rStyle w:val="Hyperlink"/>
            <w:color w:val="auto"/>
            <w:sz w:val="18"/>
            <w:szCs w:val="18"/>
            <w:u w:val="none"/>
          </w:rPr>
          <w:t>https://doi.org/10.1002/hpja.197</w:t>
        </w:r>
      </w:hyperlink>
      <w:r w:rsidRPr="00913EF3">
        <w:rPr>
          <w:sz w:val="18"/>
          <w:szCs w:val="18"/>
        </w:rPr>
        <w:t xml:space="preserve"> </w:t>
      </w:r>
    </w:p>
  </w:footnote>
  <w:footnote w:id="8">
    <w:p w14:paraId="7A0576C5" w14:textId="77777777" w:rsidR="00133D2C" w:rsidRPr="00913EF3" w:rsidRDefault="00133D2C" w:rsidP="001515F7">
      <w:pPr>
        <w:pStyle w:val="FootnoteText"/>
        <w:rPr>
          <w:sz w:val="18"/>
          <w:szCs w:val="18"/>
        </w:rPr>
      </w:pPr>
      <w:r w:rsidRPr="00913EF3">
        <w:rPr>
          <w:rStyle w:val="FootnoteReference"/>
          <w:sz w:val="18"/>
          <w:szCs w:val="18"/>
        </w:rPr>
        <w:footnoteRef/>
      </w:r>
      <w:r w:rsidRPr="00913EF3">
        <w:rPr>
          <w:sz w:val="18"/>
          <w:szCs w:val="18"/>
        </w:rPr>
        <w:t xml:space="preserve"> </w:t>
      </w:r>
      <w:r w:rsidRPr="00913EF3">
        <w:rPr>
          <w:sz w:val="18"/>
          <w:szCs w:val="18"/>
        </w:rPr>
        <w:t xml:space="preserve">Talati Z, Norman R, Pettigrew S, Neal B, Kelly B, Dixon H, Ball K, Miller C, Shilton T 2017, </w:t>
      </w:r>
      <w:r w:rsidRPr="00913EF3">
        <w:rPr>
          <w:i/>
          <w:sz w:val="18"/>
          <w:szCs w:val="18"/>
        </w:rPr>
        <w:t>The impact of interpretive and reductive front-of-pack labels on food choice and willingness to pay,</w:t>
      </w:r>
      <w:r w:rsidRPr="00913EF3">
        <w:rPr>
          <w:sz w:val="18"/>
          <w:szCs w:val="18"/>
        </w:rPr>
        <w:t xml:space="preserve"> </w:t>
      </w:r>
      <w:r w:rsidRPr="00913EF3">
        <w:rPr>
          <w:iCs/>
          <w:sz w:val="18"/>
          <w:szCs w:val="18"/>
        </w:rPr>
        <w:t>International Journal of Behavioural Nutrition and Physical Activity</w:t>
      </w:r>
      <w:r w:rsidRPr="00913EF3">
        <w:rPr>
          <w:sz w:val="18"/>
          <w:szCs w:val="18"/>
        </w:rPr>
        <w:t xml:space="preserve">, vol. 14, pp. 2-10. Available at: </w:t>
      </w:r>
      <w:hyperlink r:id="rId7" w:history="1">
        <w:r w:rsidRPr="00913EF3">
          <w:rPr>
            <w:rStyle w:val="Hyperlink"/>
            <w:color w:val="auto"/>
            <w:sz w:val="18"/>
            <w:szCs w:val="18"/>
            <w:u w:val="none"/>
          </w:rPr>
          <w:t>https://ijbnpa.biomedcentral.com/articles/10.1186/s12966-017-0628-2</w:t>
        </w:r>
      </w:hyperlink>
      <w:r w:rsidRPr="00913EF3">
        <w:rPr>
          <w:sz w:val="18"/>
          <w:szCs w:val="18"/>
        </w:rPr>
        <w:t xml:space="preserve"> </w:t>
      </w:r>
    </w:p>
  </w:footnote>
  <w:footnote w:id="9">
    <w:p w14:paraId="3EAA4F3D" w14:textId="77777777" w:rsidR="00133D2C" w:rsidRDefault="00133D2C" w:rsidP="001515F7">
      <w:pPr>
        <w:pStyle w:val="FootnoteText"/>
      </w:pPr>
      <w:r w:rsidRPr="00913EF3">
        <w:rPr>
          <w:rStyle w:val="FootnoteReference"/>
          <w:sz w:val="18"/>
          <w:szCs w:val="18"/>
        </w:rPr>
        <w:footnoteRef/>
      </w:r>
      <w:r w:rsidRPr="00913EF3">
        <w:rPr>
          <w:sz w:val="18"/>
          <w:szCs w:val="18"/>
        </w:rPr>
        <w:t xml:space="preserve"> </w:t>
      </w:r>
      <w:r w:rsidRPr="00913EF3">
        <w:rPr>
          <w:sz w:val="18"/>
          <w:szCs w:val="18"/>
        </w:rPr>
        <w:t xml:space="preserve">Talati Z, Pettigrew S, Ball K, Hughes C, Kelly B, Neal B 2017, </w:t>
      </w:r>
      <w:r w:rsidRPr="00913EF3">
        <w:rPr>
          <w:i/>
          <w:sz w:val="18"/>
          <w:szCs w:val="18"/>
        </w:rPr>
        <w:t>The relative ability of different front-of-pack labels to assist consumers discriminate between healthy, moderately healthy, and unhealthy foods,</w:t>
      </w:r>
      <w:r w:rsidRPr="00913EF3">
        <w:rPr>
          <w:sz w:val="18"/>
          <w:szCs w:val="18"/>
        </w:rPr>
        <w:t xml:space="preserve"> Food Qual Prefer, vol. 59, pp. 109–13. Available at: https://doi.org/10.1016/j.foodqual.2017.02.010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D6D51" w14:textId="77777777" w:rsidR="00133D2C" w:rsidRPr="00AF690D" w:rsidRDefault="00242228" w:rsidP="008B49B6">
    <w:pPr>
      <w:pStyle w:val="Header"/>
      <w:rPr>
        <w:rFonts w:ascii="Calibri" w:hAnsi="Calibri" w:cs="Calibri"/>
        <w:color w:val="F00000"/>
      </w:rPr>
    </w:pPr>
    <w:r>
      <w:rPr>
        <w:noProof/>
      </w:rPr>
      <w:pict w14:anchorId="78C13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172579" o:spid="_x0000_s2050" type="#_x0000_t136" style="position:absolute;margin-left:0;margin-top:0;width:424.65pt;height:254.75pt;rotation:315;z-index:-251658752;mso-position-horizontal:center;mso-position-horizontal-relative:margin;mso-position-vertical:center;mso-position-vertical-relative:margin" o:allowincell="f" fillcolor="silver" stroked="f">
          <v:fill opacity=".5"/>
          <v:textpath style="font-family:&quot;Calibri Light&quot;;font-size:1pt" string="DRAFT"/>
          <w10:wrap anchorx="margin" anchory="margin"/>
        </v:shape>
      </w:pict>
    </w:r>
    <w:r w:rsidR="00133D2C">
      <w:fldChar w:fldCharType="begin" w:fldLock="1"/>
    </w:r>
    <w:r w:rsidR="00133D2C">
      <w:instrText xml:space="preserve"> DOCPROPERTY bjHeaderEvenPageDocProperty \* MERGEFORMAT </w:instrText>
    </w:r>
    <w:r w:rsidR="00133D2C">
      <w:fldChar w:fldCharType="separate"/>
    </w:r>
    <w:r w:rsidR="00133D2C" w:rsidRPr="00AF690D">
      <w:rPr>
        <w:rFonts w:ascii="Calibri" w:hAnsi="Calibri" w:cs="Calibri"/>
        <w:color w:val="F00000"/>
      </w:rPr>
      <w:t>UNCLASSIFIED</w:t>
    </w:r>
  </w:p>
  <w:p w14:paraId="4B6774EC" w14:textId="77777777" w:rsidR="00133D2C" w:rsidRPr="00AF690D" w:rsidRDefault="00133D2C" w:rsidP="008B49B6">
    <w:pPr>
      <w:pStyle w:val="Header"/>
    </w:pPr>
    <w:r w:rsidRPr="00AF690D">
      <w:rPr>
        <w:rFonts w:ascii="Calibri" w:hAnsi="Calibri" w:cs="Calibri"/>
        <w:color w:val="F00000"/>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AAEB" w14:textId="77777777" w:rsidR="00133D2C" w:rsidRPr="00DB060C" w:rsidRDefault="00133D2C" w:rsidP="00DB060C">
    <w:pPr>
      <w:pStyle w:val="Header"/>
      <w:spacing w:before="0" w:after="0"/>
      <w:jc w:val="right"/>
      <w:rPr>
        <w:rFonts w:ascii="Times New Roman" w:hAnsi="Times New Roman" w:cs="Times New Roman"/>
        <w:b/>
        <w:color w:val="FF0000"/>
        <w:spacing w:val="-2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FD2E" w14:textId="77777777" w:rsidR="00133D2C" w:rsidRPr="00DB060C" w:rsidRDefault="00133D2C" w:rsidP="00DB060C">
    <w:pPr>
      <w:pStyle w:val="Header"/>
      <w:spacing w:before="0" w:after="0"/>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1AAF"/>
    <w:multiLevelType w:val="hybridMultilevel"/>
    <w:tmpl w:val="9D30EC1C"/>
    <w:lvl w:ilvl="0" w:tplc="786AE2A2">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AF412A"/>
    <w:multiLevelType w:val="hybridMultilevel"/>
    <w:tmpl w:val="E572C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AD3EF0"/>
    <w:multiLevelType w:val="hybridMultilevel"/>
    <w:tmpl w:val="1C9625AE"/>
    <w:lvl w:ilvl="0" w:tplc="6C3E0F80">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3762C"/>
    <w:multiLevelType w:val="hybridMultilevel"/>
    <w:tmpl w:val="70E6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B54F8"/>
    <w:multiLevelType w:val="hybridMultilevel"/>
    <w:tmpl w:val="ED94F92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F1D88"/>
    <w:multiLevelType w:val="hybridMultilevel"/>
    <w:tmpl w:val="4F7CE0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B67DC4"/>
    <w:multiLevelType w:val="hybridMultilevel"/>
    <w:tmpl w:val="213A11AC"/>
    <w:lvl w:ilvl="0" w:tplc="6FFCB3B6">
      <w:start w:val="1"/>
      <w:numFmt w:val="bullet"/>
      <w:lvlText w:val=""/>
      <w:lvlJc w:val="left"/>
      <w:pPr>
        <w:ind w:left="720" w:hanging="360"/>
      </w:pPr>
      <w:rPr>
        <w:rFonts w:ascii="Symbol" w:hAnsi="Symbol" w:hint="default"/>
      </w:rPr>
    </w:lvl>
    <w:lvl w:ilvl="1" w:tplc="FC5049E8">
      <w:start w:val="1"/>
      <w:numFmt w:val="bullet"/>
      <w:lvlText w:val="o"/>
      <w:lvlJc w:val="left"/>
      <w:pPr>
        <w:ind w:left="1440" w:hanging="360"/>
      </w:pPr>
      <w:rPr>
        <w:rFonts w:ascii="Courier New" w:hAnsi="Courier New" w:cs="Courier New" w:hint="default"/>
      </w:rPr>
    </w:lvl>
    <w:lvl w:ilvl="2" w:tplc="A1164474">
      <w:start w:val="1"/>
      <w:numFmt w:val="bullet"/>
      <w:lvlText w:val=""/>
      <w:lvlJc w:val="left"/>
      <w:pPr>
        <w:ind w:left="2160" w:hanging="360"/>
      </w:pPr>
      <w:rPr>
        <w:rFonts w:ascii="Wingdings" w:hAnsi="Wingdings" w:hint="default"/>
      </w:rPr>
    </w:lvl>
    <w:lvl w:ilvl="3" w:tplc="7AF0E316">
      <w:start w:val="1"/>
      <w:numFmt w:val="bullet"/>
      <w:lvlText w:val=""/>
      <w:lvlJc w:val="left"/>
      <w:pPr>
        <w:ind w:left="2880" w:hanging="360"/>
      </w:pPr>
      <w:rPr>
        <w:rFonts w:ascii="Symbol" w:hAnsi="Symbol" w:hint="default"/>
      </w:rPr>
    </w:lvl>
    <w:lvl w:ilvl="4" w:tplc="602E5EE6">
      <w:start w:val="1"/>
      <w:numFmt w:val="bullet"/>
      <w:lvlText w:val="o"/>
      <w:lvlJc w:val="left"/>
      <w:pPr>
        <w:ind w:left="3600" w:hanging="360"/>
      </w:pPr>
      <w:rPr>
        <w:rFonts w:ascii="Courier New" w:hAnsi="Courier New" w:cs="Courier New" w:hint="default"/>
      </w:rPr>
    </w:lvl>
    <w:lvl w:ilvl="5" w:tplc="1520E8D8">
      <w:start w:val="1"/>
      <w:numFmt w:val="bullet"/>
      <w:lvlText w:val=""/>
      <w:lvlJc w:val="left"/>
      <w:pPr>
        <w:ind w:left="4320" w:hanging="360"/>
      </w:pPr>
      <w:rPr>
        <w:rFonts w:ascii="Wingdings" w:hAnsi="Wingdings" w:hint="default"/>
      </w:rPr>
    </w:lvl>
    <w:lvl w:ilvl="6" w:tplc="41D03A4C">
      <w:start w:val="1"/>
      <w:numFmt w:val="bullet"/>
      <w:lvlText w:val=""/>
      <w:lvlJc w:val="left"/>
      <w:pPr>
        <w:ind w:left="5040" w:hanging="360"/>
      </w:pPr>
      <w:rPr>
        <w:rFonts w:ascii="Symbol" w:hAnsi="Symbol" w:hint="default"/>
      </w:rPr>
    </w:lvl>
    <w:lvl w:ilvl="7" w:tplc="F65A7D14">
      <w:start w:val="1"/>
      <w:numFmt w:val="bullet"/>
      <w:lvlText w:val="o"/>
      <w:lvlJc w:val="left"/>
      <w:pPr>
        <w:ind w:left="5760" w:hanging="360"/>
      </w:pPr>
      <w:rPr>
        <w:rFonts w:ascii="Courier New" w:hAnsi="Courier New" w:cs="Courier New" w:hint="default"/>
      </w:rPr>
    </w:lvl>
    <w:lvl w:ilvl="8" w:tplc="CFAC7924">
      <w:start w:val="1"/>
      <w:numFmt w:val="bullet"/>
      <w:lvlText w:val=""/>
      <w:lvlJc w:val="left"/>
      <w:pPr>
        <w:ind w:left="6480" w:hanging="360"/>
      </w:pPr>
      <w:rPr>
        <w:rFonts w:ascii="Wingdings" w:hAnsi="Wingdings" w:hint="default"/>
      </w:rPr>
    </w:lvl>
  </w:abstractNum>
  <w:abstractNum w:abstractNumId="7" w15:restartNumberingAfterBreak="0">
    <w:nsid w:val="1ABD74C6"/>
    <w:multiLevelType w:val="hybridMultilevel"/>
    <w:tmpl w:val="4A46C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CA73F5"/>
    <w:multiLevelType w:val="hybridMultilevel"/>
    <w:tmpl w:val="E974C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3013B6"/>
    <w:multiLevelType w:val="hybridMultilevel"/>
    <w:tmpl w:val="A6A465B4"/>
    <w:lvl w:ilvl="0" w:tplc="BE007C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4D3BAD"/>
    <w:multiLevelType w:val="multilevel"/>
    <w:tmpl w:val="81F4E4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A024DE"/>
    <w:multiLevelType w:val="hybridMultilevel"/>
    <w:tmpl w:val="1CBA8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60E5D"/>
    <w:multiLevelType w:val="hybridMultilevel"/>
    <w:tmpl w:val="E0EAF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E83201B"/>
    <w:multiLevelType w:val="hybridMultilevel"/>
    <w:tmpl w:val="CC1A85C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D27B03"/>
    <w:multiLevelType w:val="hybridMultilevel"/>
    <w:tmpl w:val="D08C048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D4116A"/>
    <w:multiLevelType w:val="hybridMultilevel"/>
    <w:tmpl w:val="1B120AF4"/>
    <w:lvl w:ilvl="0" w:tplc="FF84EE9A">
      <w:start w:val="1"/>
      <w:numFmt w:val="decimal"/>
      <w:lvlText w:val="%1."/>
      <w:lvlJc w:val="left"/>
      <w:pPr>
        <w:ind w:left="720" w:hanging="360"/>
      </w:pPr>
      <w:rPr>
        <w:rFonts w:cstheme="minorBidi"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744013"/>
    <w:multiLevelType w:val="hybridMultilevel"/>
    <w:tmpl w:val="24AEA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3D70CE"/>
    <w:multiLevelType w:val="hybridMultilevel"/>
    <w:tmpl w:val="96FCE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93334"/>
    <w:multiLevelType w:val="hybridMultilevel"/>
    <w:tmpl w:val="1892096C"/>
    <w:lvl w:ilvl="0" w:tplc="BB3EA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95E76"/>
    <w:multiLevelType w:val="hybridMultilevel"/>
    <w:tmpl w:val="F9028BA6"/>
    <w:lvl w:ilvl="0" w:tplc="288279BE">
      <w:start w:val="1"/>
      <w:numFmt w:val="bullet"/>
      <w:lvlText w:val=""/>
      <w:lvlJc w:val="left"/>
      <w:pPr>
        <w:ind w:left="720" w:hanging="360"/>
      </w:pPr>
      <w:rPr>
        <w:rFonts w:ascii="Symbol" w:hAnsi="Symbol" w:hint="default"/>
      </w:rPr>
    </w:lvl>
    <w:lvl w:ilvl="1" w:tplc="CCC2C3E2">
      <w:start w:val="1"/>
      <w:numFmt w:val="bullet"/>
      <w:lvlText w:val="o"/>
      <w:lvlJc w:val="left"/>
      <w:pPr>
        <w:ind w:left="1440" w:hanging="360"/>
      </w:pPr>
      <w:rPr>
        <w:rFonts w:ascii="Courier New" w:hAnsi="Courier New" w:cs="Courier New" w:hint="default"/>
      </w:rPr>
    </w:lvl>
    <w:lvl w:ilvl="2" w:tplc="3D148320">
      <w:start w:val="1"/>
      <w:numFmt w:val="bullet"/>
      <w:lvlText w:val=""/>
      <w:lvlJc w:val="left"/>
      <w:pPr>
        <w:ind w:left="2160" w:hanging="360"/>
      </w:pPr>
      <w:rPr>
        <w:rFonts w:ascii="Wingdings" w:hAnsi="Wingdings" w:hint="default"/>
      </w:rPr>
    </w:lvl>
    <w:lvl w:ilvl="3" w:tplc="C72216F4">
      <w:start w:val="1"/>
      <w:numFmt w:val="bullet"/>
      <w:lvlText w:val=""/>
      <w:lvlJc w:val="left"/>
      <w:pPr>
        <w:ind w:left="2880" w:hanging="360"/>
      </w:pPr>
      <w:rPr>
        <w:rFonts w:ascii="Symbol" w:hAnsi="Symbol" w:hint="default"/>
      </w:rPr>
    </w:lvl>
    <w:lvl w:ilvl="4" w:tplc="E1B2FBA4">
      <w:start w:val="1"/>
      <w:numFmt w:val="bullet"/>
      <w:lvlText w:val="o"/>
      <w:lvlJc w:val="left"/>
      <w:pPr>
        <w:ind w:left="3600" w:hanging="360"/>
      </w:pPr>
      <w:rPr>
        <w:rFonts w:ascii="Courier New" w:hAnsi="Courier New" w:cs="Courier New" w:hint="default"/>
      </w:rPr>
    </w:lvl>
    <w:lvl w:ilvl="5" w:tplc="7F7E9AC8">
      <w:start w:val="1"/>
      <w:numFmt w:val="bullet"/>
      <w:lvlText w:val=""/>
      <w:lvlJc w:val="left"/>
      <w:pPr>
        <w:ind w:left="4320" w:hanging="360"/>
      </w:pPr>
      <w:rPr>
        <w:rFonts w:ascii="Wingdings" w:hAnsi="Wingdings" w:hint="default"/>
      </w:rPr>
    </w:lvl>
    <w:lvl w:ilvl="6" w:tplc="7B50429C">
      <w:start w:val="1"/>
      <w:numFmt w:val="bullet"/>
      <w:lvlText w:val=""/>
      <w:lvlJc w:val="left"/>
      <w:pPr>
        <w:ind w:left="5040" w:hanging="360"/>
      </w:pPr>
      <w:rPr>
        <w:rFonts w:ascii="Symbol" w:hAnsi="Symbol" w:hint="default"/>
      </w:rPr>
    </w:lvl>
    <w:lvl w:ilvl="7" w:tplc="E1D2C1E0">
      <w:start w:val="1"/>
      <w:numFmt w:val="bullet"/>
      <w:lvlText w:val="o"/>
      <w:lvlJc w:val="left"/>
      <w:pPr>
        <w:ind w:left="5760" w:hanging="360"/>
      </w:pPr>
      <w:rPr>
        <w:rFonts w:ascii="Courier New" w:hAnsi="Courier New" w:cs="Courier New" w:hint="default"/>
      </w:rPr>
    </w:lvl>
    <w:lvl w:ilvl="8" w:tplc="5CAEE67A">
      <w:start w:val="1"/>
      <w:numFmt w:val="bullet"/>
      <w:lvlText w:val=""/>
      <w:lvlJc w:val="left"/>
      <w:pPr>
        <w:ind w:left="6480" w:hanging="360"/>
      </w:pPr>
      <w:rPr>
        <w:rFonts w:ascii="Wingdings" w:hAnsi="Wingdings" w:hint="default"/>
      </w:rPr>
    </w:lvl>
  </w:abstractNum>
  <w:abstractNum w:abstractNumId="20" w15:restartNumberingAfterBreak="0">
    <w:nsid w:val="3BD63B9A"/>
    <w:multiLevelType w:val="hybridMultilevel"/>
    <w:tmpl w:val="6AF22E04"/>
    <w:lvl w:ilvl="0" w:tplc="0C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696EAC"/>
    <w:multiLevelType w:val="hybridMultilevel"/>
    <w:tmpl w:val="6B10E796"/>
    <w:lvl w:ilvl="0" w:tplc="7A48C23E">
      <w:start w:val="1"/>
      <w:numFmt w:val="decimal"/>
      <w:lvlText w:val="%1."/>
      <w:lvlJc w:val="left"/>
      <w:pPr>
        <w:ind w:left="720" w:hanging="360"/>
      </w:pPr>
      <w:rPr>
        <w:rFonts w:cstheme="minorBidi"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E5873"/>
    <w:multiLevelType w:val="hybridMultilevel"/>
    <w:tmpl w:val="E6DC28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6A86B1E"/>
    <w:multiLevelType w:val="hybridMultilevel"/>
    <w:tmpl w:val="58BEC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74DBE"/>
    <w:multiLevelType w:val="hybridMultilevel"/>
    <w:tmpl w:val="8F227B04"/>
    <w:lvl w:ilvl="0" w:tplc="E5D4AB2A">
      <w:start w:val="1"/>
      <w:numFmt w:val="bullet"/>
      <w:pStyle w:val="mpcbullets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67795F"/>
    <w:multiLevelType w:val="hybridMultilevel"/>
    <w:tmpl w:val="FCF4C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BE7B95"/>
    <w:multiLevelType w:val="hybridMultilevel"/>
    <w:tmpl w:val="B91C1AEC"/>
    <w:lvl w:ilvl="0" w:tplc="E7763CF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BB504D"/>
    <w:multiLevelType w:val="hybridMultilevel"/>
    <w:tmpl w:val="DC9A80C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A305CA"/>
    <w:multiLevelType w:val="hybridMultilevel"/>
    <w:tmpl w:val="E02EBE0E"/>
    <w:lvl w:ilvl="0" w:tplc="B4000A66">
      <w:start w:val="20"/>
      <w:numFmt w:val="bullet"/>
      <w:pStyle w:val="mpcbullets2"/>
      <w:lvlText w:val="–"/>
      <w:lvlJc w:val="left"/>
      <w:pPr>
        <w:ind w:left="720" w:hanging="360"/>
      </w:pPr>
      <w:rPr>
        <w:rFonts w:ascii="Times New Roman" w:eastAsia="Times New Roman" w:hAnsi="Times New Roman" w:cs="Times New Roman" w:hint="default"/>
      </w:rPr>
    </w:lvl>
    <w:lvl w:ilvl="1" w:tplc="7A36FB6C">
      <w:start w:val="20"/>
      <w:numFmt w:val="bullet"/>
      <w:lvlText w:val="–"/>
      <w:lvlJc w:val="left"/>
      <w:pPr>
        <w:ind w:left="1440" w:hanging="360"/>
      </w:pPr>
      <w:rPr>
        <w:rFonts w:ascii="Times New Roman" w:eastAsia="Times New Roman" w:hAnsi="Times New Roman" w:cs="Times New Roman" w:hint="default"/>
      </w:rPr>
    </w:lvl>
    <w:lvl w:ilvl="2" w:tplc="0C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A1F4F"/>
    <w:multiLevelType w:val="hybridMultilevel"/>
    <w:tmpl w:val="A44EF5D8"/>
    <w:lvl w:ilvl="0" w:tplc="BE007C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DB526F"/>
    <w:multiLevelType w:val="hybridMultilevel"/>
    <w:tmpl w:val="32AE96EA"/>
    <w:lvl w:ilvl="0" w:tplc="2D989CE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3F6921"/>
    <w:multiLevelType w:val="hybridMultilevel"/>
    <w:tmpl w:val="E9946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7B1ED1"/>
    <w:multiLevelType w:val="hybridMultilevel"/>
    <w:tmpl w:val="FC3ADC92"/>
    <w:lvl w:ilvl="0" w:tplc="0C09000F">
      <w:start w:val="1"/>
      <w:numFmt w:val="decimal"/>
      <w:lvlText w:val="%1."/>
      <w:lvlJc w:val="left"/>
      <w:pPr>
        <w:ind w:left="720" w:hanging="360"/>
      </w:pPr>
    </w:lvl>
    <w:lvl w:ilvl="1" w:tplc="4E824B92">
      <w:start w:val="1"/>
      <w:numFmt w:val="lowerLetter"/>
      <w:pStyle w:val="Bulletsalphabetic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6A0281"/>
    <w:multiLevelType w:val="hybridMultilevel"/>
    <w:tmpl w:val="921A6B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9C6777"/>
    <w:multiLevelType w:val="hybridMultilevel"/>
    <w:tmpl w:val="099E2BC4"/>
    <w:lvl w:ilvl="0" w:tplc="47BE9D60">
      <w:start w:val="1"/>
      <w:numFmt w:val="bullet"/>
      <w:pStyle w:val="Bulletlines"/>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35" w15:restartNumberingAfterBreak="0">
    <w:nsid w:val="68927D15"/>
    <w:multiLevelType w:val="hybridMultilevel"/>
    <w:tmpl w:val="D5BACF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9F64864"/>
    <w:multiLevelType w:val="hybridMultilevel"/>
    <w:tmpl w:val="7E5862D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8E004C"/>
    <w:multiLevelType w:val="hybridMultilevel"/>
    <w:tmpl w:val="1E2285AE"/>
    <w:lvl w:ilvl="0" w:tplc="E7763CF6">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DFB7888"/>
    <w:multiLevelType w:val="hybridMultilevel"/>
    <w:tmpl w:val="7758F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425FD"/>
    <w:multiLevelType w:val="hybridMultilevel"/>
    <w:tmpl w:val="916A06B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4E4165"/>
    <w:multiLevelType w:val="hybridMultilevel"/>
    <w:tmpl w:val="16F2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124C8A"/>
    <w:multiLevelType w:val="hybridMultilevel"/>
    <w:tmpl w:val="FC060BD2"/>
    <w:lvl w:ilvl="0" w:tplc="E8E8A52A">
      <w:start w:val="1"/>
      <w:numFmt w:val="bullet"/>
      <w:pStyle w:val="FSBulletlist"/>
      <w:lvlText w:val=""/>
      <w:lvlJc w:val="left"/>
      <w:pPr>
        <w:ind w:left="363" w:hanging="360"/>
      </w:pPr>
      <w:rPr>
        <w:rFonts w:ascii="Symbol" w:hAnsi="Symbol" w:hint="default"/>
        <w:sz w:val="16"/>
        <w:szCs w:val="16"/>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7B164E46"/>
    <w:multiLevelType w:val="hybridMultilevel"/>
    <w:tmpl w:val="26F015D4"/>
    <w:lvl w:ilvl="0" w:tplc="BB3EAF6A">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47182C"/>
    <w:multiLevelType w:val="hybridMultilevel"/>
    <w:tmpl w:val="2DBE4BB4"/>
    <w:lvl w:ilvl="0" w:tplc="BB3EAF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8C5D4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1442927">
    <w:abstractNumId w:val="10"/>
  </w:num>
  <w:num w:numId="2" w16cid:durableId="1316033763">
    <w:abstractNumId w:val="38"/>
  </w:num>
  <w:num w:numId="3" w16cid:durableId="1081290885">
    <w:abstractNumId w:val="34"/>
  </w:num>
  <w:num w:numId="4" w16cid:durableId="1121001459">
    <w:abstractNumId w:val="41"/>
  </w:num>
  <w:num w:numId="5" w16cid:durableId="781650040">
    <w:abstractNumId w:val="32"/>
  </w:num>
  <w:num w:numId="6" w16cid:durableId="507863637">
    <w:abstractNumId w:val="33"/>
  </w:num>
  <w:num w:numId="7" w16cid:durableId="1293056364">
    <w:abstractNumId w:val="1"/>
  </w:num>
  <w:num w:numId="8" w16cid:durableId="382488667">
    <w:abstractNumId w:val="5"/>
  </w:num>
  <w:num w:numId="9" w16cid:durableId="497186810">
    <w:abstractNumId w:val="7"/>
  </w:num>
  <w:num w:numId="10" w16cid:durableId="1404527400">
    <w:abstractNumId w:val="42"/>
  </w:num>
  <w:num w:numId="11" w16cid:durableId="2059938647">
    <w:abstractNumId w:val="14"/>
  </w:num>
  <w:num w:numId="12" w16cid:durableId="1463688185">
    <w:abstractNumId w:val="18"/>
  </w:num>
  <w:num w:numId="13" w16cid:durableId="971129510">
    <w:abstractNumId w:val="43"/>
  </w:num>
  <w:num w:numId="14" w16cid:durableId="1941066903">
    <w:abstractNumId w:val="8"/>
  </w:num>
  <w:num w:numId="15" w16cid:durableId="835877769">
    <w:abstractNumId w:val="3"/>
  </w:num>
  <w:num w:numId="16" w16cid:durableId="1923754013">
    <w:abstractNumId w:val="44"/>
  </w:num>
  <w:num w:numId="17" w16cid:durableId="1614385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1960715">
    <w:abstractNumId w:val="13"/>
  </w:num>
  <w:num w:numId="19" w16cid:durableId="1184785220">
    <w:abstractNumId w:val="4"/>
  </w:num>
  <w:num w:numId="20" w16cid:durableId="1419986674">
    <w:abstractNumId w:val="25"/>
  </w:num>
  <w:num w:numId="21" w16cid:durableId="1229725395">
    <w:abstractNumId w:val="28"/>
  </w:num>
  <w:num w:numId="22" w16cid:durableId="1105463848">
    <w:abstractNumId w:val="24"/>
  </w:num>
  <w:num w:numId="23" w16cid:durableId="1097556352">
    <w:abstractNumId w:val="27"/>
  </w:num>
  <w:num w:numId="24" w16cid:durableId="1472404702">
    <w:abstractNumId w:val="20"/>
  </w:num>
  <w:num w:numId="25" w16cid:durableId="1910577757">
    <w:abstractNumId w:val="22"/>
  </w:num>
  <w:num w:numId="26" w16cid:durableId="1472597616">
    <w:abstractNumId w:val="37"/>
  </w:num>
  <w:num w:numId="27" w16cid:durableId="970525502">
    <w:abstractNumId w:val="26"/>
  </w:num>
  <w:num w:numId="28" w16cid:durableId="1159616952">
    <w:abstractNumId w:val="12"/>
  </w:num>
  <w:num w:numId="29" w16cid:durableId="2065635881">
    <w:abstractNumId w:val="19"/>
  </w:num>
  <w:num w:numId="30" w16cid:durableId="254558525">
    <w:abstractNumId w:val="6"/>
  </w:num>
  <w:num w:numId="31" w16cid:durableId="1340230815">
    <w:abstractNumId w:val="44"/>
  </w:num>
  <w:num w:numId="32" w16cid:durableId="1429425151">
    <w:abstractNumId w:val="36"/>
  </w:num>
  <w:num w:numId="33" w16cid:durableId="1349520905">
    <w:abstractNumId w:val="15"/>
  </w:num>
  <w:num w:numId="34" w16cid:durableId="1682203459">
    <w:abstractNumId w:val="21"/>
  </w:num>
  <w:num w:numId="35" w16cid:durableId="711274921">
    <w:abstractNumId w:val="16"/>
  </w:num>
  <w:num w:numId="36" w16cid:durableId="916592807">
    <w:abstractNumId w:val="39"/>
  </w:num>
  <w:num w:numId="37" w16cid:durableId="1709060302">
    <w:abstractNumId w:val="17"/>
  </w:num>
  <w:num w:numId="38" w16cid:durableId="517932808">
    <w:abstractNumId w:val="40"/>
  </w:num>
  <w:num w:numId="39" w16cid:durableId="1518697432">
    <w:abstractNumId w:val="30"/>
  </w:num>
  <w:num w:numId="40" w16cid:durableId="350768963">
    <w:abstractNumId w:val="9"/>
  </w:num>
  <w:num w:numId="41" w16cid:durableId="482966019">
    <w:abstractNumId w:val="29"/>
  </w:num>
  <w:num w:numId="42" w16cid:durableId="1005671218">
    <w:abstractNumId w:val="2"/>
  </w:num>
  <w:num w:numId="43" w16cid:durableId="2140756718">
    <w:abstractNumId w:val="11"/>
  </w:num>
  <w:num w:numId="44" w16cid:durableId="2116554937">
    <w:abstractNumId w:val="31"/>
  </w:num>
  <w:num w:numId="45" w16cid:durableId="104615558">
    <w:abstractNumId w:val="0"/>
  </w:num>
  <w:num w:numId="46" w16cid:durableId="1139155131">
    <w:abstractNumId w:val="23"/>
  </w:num>
  <w:num w:numId="47" w16cid:durableId="180696570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05"/>
    <w:rsid w:val="000000B0"/>
    <w:rsid w:val="00000366"/>
    <w:rsid w:val="00000794"/>
    <w:rsid w:val="00001792"/>
    <w:rsid w:val="00003743"/>
    <w:rsid w:val="00004ADA"/>
    <w:rsid w:val="0000581C"/>
    <w:rsid w:val="00006031"/>
    <w:rsid w:val="0000707B"/>
    <w:rsid w:val="00007C6D"/>
    <w:rsid w:val="00010110"/>
    <w:rsid w:val="00011799"/>
    <w:rsid w:val="00011A01"/>
    <w:rsid w:val="00012BD3"/>
    <w:rsid w:val="00013028"/>
    <w:rsid w:val="0001484C"/>
    <w:rsid w:val="00014FF9"/>
    <w:rsid w:val="00017CE3"/>
    <w:rsid w:val="00020788"/>
    <w:rsid w:val="00020859"/>
    <w:rsid w:val="00021564"/>
    <w:rsid w:val="0002600E"/>
    <w:rsid w:val="00030296"/>
    <w:rsid w:val="00030500"/>
    <w:rsid w:val="00030EEC"/>
    <w:rsid w:val="00032D3A"/>
    <w:rsid w:val="00033104"/>
    <w:rsid w:val="000338E4"/>
    <w:rsid w:val="000357E6"/>
    <w:rsid w:val="00035D83"/>
    <w:rsid w:val="00035F3D"/>
    <w:rsid w:val="000361D7"/>
    <w:rsid w:val="00036ED6"/>
    <w:rsid w:val="000379B4"/>
    <w:rsid w:val="000403B2"/>
    <w:rsid w:val="0004070A"/>
    <w:rsid w:val="00040A0A"/>
    <w:rsid w:val="00042FE1"/>
    <w:rsid w:val="000435E9"/>
    <w:rsid w:val="00043C3E"/>
    <w:rsid w:val="00044A35"/>
    <w:rsid w:val="00047920"/>
    <w:rsid w:val="00047D53"/>
    <w:rsid w:val="0005087D"/>
    <w:rsid w:val="000512BC"/>
    <w:rsid w:val="00051BF0"/>
    <w:rsid w:val="000520D6"/>
    <w:rsid w:val="00052D47"/>
    <w:rsid w:val="00053233"/>
    <w:rsid w:val="00054B09"/>
    <w:rsid w:val="00056997"/>
    <w:rsid w:val="000569C7"/>
    <w:rsid w:val="000570FA"/>
    <w:rsid w:val="000576F4"/>
    <w:rsid w:val="000614F3"/>
    <w:rsid w:val="00062190"/>
    <w:rsid w:val="000637FF"/>
    <w:rsid w:val="00063937"/>
    <w:rsid w:val="00065CD4"/>
    <w:rsid w:val="00067456"/>
    <w:rsid w:val="000674C8"/>
    <w:rsid w:val="000701BC"/>
    <w:rsid w:val="00071483"/>
    <w:rsid w:val="0007233C"/>
    <w:rsid w:val="0007429F"/>
    <w:rsid w:val="0007523F"/>
    <w:rsid w:val="000755B4"/>
    <w:rsid w:val="000758D7"/>
    <w:rsid w:val="00076721"/>
    <w:rsid w:val="0008107E"/>
    <w:rsid w:val="00081711"/>
    <w:rsid w:val="00083B13"/>
    <w:rsid w:val="0008500B"/>
    <w:rsid w:val="00086217"/>
    <w:rsid w:val="0008645B"/>
    <w:rsid w:val="00086522"/>
    <w:rsid w:val="00086E9B"/>
    <w:rsid w:val="00087BD7"/>
    <w:rsid w:val="00091CBA"/>
    <w:rsid w:val="00092B4C"/>
    <w:rsid w:val="00092D13"/>
    <w:rsid w:val="000940FD"/>
    <w:rsid w:val="00094692"/>
    <w:rsid w:val="0009520D"/>
    <w:rsid w:val="000961D6"/>
    <w:rsid w:val="00096405"/>
    <w:rsid w:val="00096531"/>
    <w:rsid w:val="000976D0"/>
    <w:rsid w:val="000A0596"/>
    <w:rsid w:val="000A071D"/>
    <w:rsid w:val="000A29A7"/>
    <w:rsid w:val="000A4088"/>
    <w:rsid w:val="000A5D42"/>
    <w:rsid w:val="000A796F"/>
    <w:rsid w:val="000B0DCC"/>
    <w:rsid w:val="000B3384"/>
    <w:rsid w:val="000B742B"/>
    <w:rsid w:val="000B7B2F"/>
    <w:rsid w:val="000C1ABA"/>
    <w:rsid w:val="000C1BF0"/>
    <w:rsid w:val="000C295E"/>
    <w:rsid w:val="000C52F5"/>
    <w:rsid w:val="000C6D54"/>
    <w:rsid w:val="000C7AA2"/>
    <w:rsid w:val="000D1415"/>
    <w:rsid w:val="000D268C"/>
    <w:rsid w:val="000D28D4"/>
    <w:rsid w:val="000D2A5E"/>
    <w:rsid w:val="000D3201"/>
    <w:rsid w:val="000D34CE"/>
    <w:rsid w:val="000D49BF"/>
    <w:rsid w:val="000D4B1E"/>
    <w:rsid w:val="000D5784"/>
    <w:rsid w:val="000D6AF4"/>
    <w:rsid w:val="000D6B72"/>
    <w:rsid w:val="000D76B0"/>
    <w:rsid w:val="000E1EB1"/>
    <w:rsid w:val="000E6370"/>
    <w:rsid w:val="000E73E8"/>
    <w:rsid w:val="000F022D"/>
    <w:rsid w:val="000F07AE"/>
    <w:rsid w:val="000F106D"/>
    <w:rsid w:val="000F3122"/>
    <w:rsid w:val="000F3E87"/>
    <w:rsid w:val="000F745A"/>
    <w:rsid w:val="00100DA1"/>
    <w:rsid w:val="001023B3"/>
    <w:rsid w:val="00103530"/>
    <w:rsid w:val="00103EDB"/>
    <w:rsid w:val="001048CA"/>
    <w:rsid w:val="00110215"/>
    <w:rsid w:val="00110C2F"/>
    <w:rsid w:val="00111526"/>
    <w:rsid w:val="001138D8"/>
    <w:rsid w:val="00113EB9"/>
    <w:rsid w:val="001158F8"/>
    <w:rsid w:val="0012002E"/>
    <w:rsid w:val="001213D5"/>
    <w:rsid w:val="00121DAC"/>
    <w:rsid w:val="00122308"/>
    <w:rsid w:val="001228E5"/>
    <w:rsid w:val="001232DC"/>
    <w:rsid w:val="001242AA"/>
    <w:rsid w:val="00124F46"/>
    <w:rsid w:val="00125C95"/>
    <w:rsid w:val="00125D76"/>
    <w:rsid w:val="00125FC5"/>
    <w:rsid w:val="00126862"/>
    <w:rsid w:val="0013191F"/>
    <w:rsid w:val="001319A7"/>
    <w:rsid w:val="00133B3E"/>
    <w:rsid w:val="00133D2C"/>
    <w:rsid w:val="00134B85"/>
    <w:rsid w:val="001351CE"/>
    <w:rsid w:val="00137A8E"/>
    <w:rsid w:val="001406BB"/>
    <w:rsid w:val="00142ABB"/>
    <w:rsid w:val="001443F3"/>
    <w:rsid w:val="0014461A"/>
    <w:rsid w:val="00146C89"/>
    <w:rsid w:val="0014779F"/>
    <w:rsid w:val="0014798F"/>
    <w:rsid w:val="00150C8F"/>
    <w:rsid w:val="001515F7"/>
    <w:rsid w:val="00155724"/>
    <w:rsid w:val="00160CA7"/>
    <w:rsid w:val="00161919"/>
    <w:rsid w:val="00161978"/>
    <w:rsid w:val="00161A89"/>
    <w:rsid w:val="00161D1A"/>
    <w:rsid w:val="0016232C"/>
    <w:rsid w:val="00162775"/>
    <w:rsid w:val="0016297B"/>
    <w:rsid w:val="00164145"/>
    <w:rsid w:val="001641F0"/>
    <w:rsid w:val="00164AC5"/>
    <w:rsid w:val="00165145"/>
    <w:rsid w:val="001655B7"/>
    <w:rsid w:val="00166189"/>
    <w:rsid w:val="00166D40"/>
    <w:rsid w:val="00170A08"/>
    <w:rsid w:val="00171750"/>
    <w:rsid w:val="001722C8"/>
    <w:rsid w:val="0017230A"/>
    <w:rsid w:val="00175E28"/>
    <w:rsid w:val="001761AA"/>
    <w:rsid w:val="00176783"/>
    <w:rsid w:val="00180395"/>
    <w:rsid w:val="00180D9D"/>
    <w:rsid w:val="0018138A"/>
    <w:rsid w:val="001814F2"/>
    <w:rsid w:val="00181998"/>
    <w:rsid w:val="0018305A"/>
    <w:rsid w:val="00183D27"/>
    <w:rsid w:val="00183D44"/>
    <w:rsid w:val="00184007"/>
    <w:rsid w:val="001847D7"/>
    <w:rsid w:val="00184E08"/>
    <w:rsid w:val="00185849"/>
    <w:rsid w:val="00185C24"/>
    <w:rsid w:val="00187742"/>
    <w:rsid w:val="00187B53"/>
    <w:rsid w:val="00190095"/>
    <w:rsid w:val="00190502"/>
    <w:rsid w:val="00192754"/>
    <w:rsid w:val="0019372F"/>
    <w:rsid w:val="001942AA"/>
    <w:rsid w:val="00194D19"/>
    <w:rsid w:val="00194D55"/>
    <w:rsid w:val="001956EB"/>
    <w:rsid w:val="00196825"/>
    <w:rsid w:val="00197092"/>
    <w:rsid w:val="001A0883"/>
    <w:rsid w:val="001A0D3D"/>
    <w:rsid w:val="001A1328"/>
    <w:rsid w:val="001A1794"/>
    <w:rsid w:val="001A1A3A"/>
    <w:rsid w:val="001A36B1"/>
    <w:rsid w:val="001A4ADB"/>
    <w:rsid w:val="001A57B3"/>
    <w:rsid w:val="001A6251"/>
    <w:rsid w:val="001A694A"/>
    <w:rsid w:val="001A6DAD"/>
    <w:rsid w:val="001B3443"/>
    <w:rsid w:val="001B4265"/>
    <w:rsid w:val="001C0B7E"/>
    <w:rsid w:val="001C188E"/>
    <w:rsid w:val="001C1B3D"/>
    <w:rsid w:val="001C2ECE"/>
    <w:rsid w:val="001C2F91"/>
    <w:rsid w:val="001C3236"/>
    <w:rsid w:val="001C5307"/>
    <w:rsid w:val="001D2BFF"/>
    <w:rsid w:val="001D436E"/>
    <w:rsid w:val="001D4AF5"/>
    <w:rsid w:val="001D66DB"/>
    <w:rsid w:val="001E1790"/>
    <w:rsid w:val="001E306D"/>
    <w:rsid w:val="001E3DA4"/>
    <w:rsid w:val="001E3EB9"/>
    <w:rsid w:val="001E56A2"/>
    <w:rsid w:val="001E5B43"/>
    <w:rsid w:val="001E5E27"/>
    <w:rsid w:val="001E603C"/>
    <w:rsid w:val="001E6B9C"/>
    <w:rsid w:val="001E74D4"/>
    <w:rsid w:val="001E7840"/>
    <w:rsid w:val="001F0231"/>
    <w:rsid w:val="001F0942"/>
    <w:rsid w:val="001F10FE"/>
    <w:rsid w:val="001F19DE"/>
    <w:rsid w:val="001F2201"/>
    <w:rsid w:val="001F2A9E"/>
    <w:rsid w:val="001F2C22"/>
    <w:rsid w:val="001F3D13"/>
    <w:rsid w:val="001F5694"/>
    <w:rsid w:val="001F6093"/>
    <w:rsid w:val="001F725B"/>
    <w:rsid w:val="001F75DE"/>
    <w:rsid w:val="002005A1"/>
    <w:rsid w:val="00200EE7"/>
    <w:rsid w:val="00201334"/>
    <w:rsid w:val="002019B0"/>
    <w:rsid w:val="00201B74"/>
    <w:rsid w:val="00202104"/>
    <w:rsid w:val="00203302"/>
    <w:rsid w:val="0020350C"/>
    <w:rsid w:val="0020383F"/>
    <w:rsid w:val="0020389D"/>
    <w:rsid w:val="00204DF9"/>
    <w:rsid w:val="002055FC"/>
    <w:rsid w:val="002057BF"/>
    <w:rsid w:val="00205C79"/>
    <w:rsid w:val="00206522"/>
    <w:rsid w:val="00207532"/>
    <w:rsid w:val="002107B1"/>
    <w:rsid w:val="00210CD7"/>
    <w:rsid w:val="00210ED6"/>
    <w:rsid w:val="002113B2"/>
    <w:rsid w:val="002135FA"/>
    <w:rsid w:val="00213BE1"/>
    <w:rsid w:val="002221D9"/>
    <w:rsid w:val="002222CC"/>
    <w:rsid w:val="00224E44"/>
    <w:rsid w:val="002254C8"/>
    <w:rsid w:val="00232F8D"/>
    <w:rsid w:val="00234FAE"/>
    <w:rsid w:val="00235411"/>
    <w:rsid w:val="00236617"/>
    <w:rsid w:val="00236B60"/>
    <w:rsid w:val="00240C5D"/>
    <w:rsid w:val="0024203A"/>
    <w:rsid w:val="00242228"/>
    <w:rsid w:val="002449DB"/>
    <w:rsid w:val="00244D89"/>
    <w:rsid w:val="00244F4D"/>
    <w:rsid w:val="0024501A"/>
    <w:rsid w:val="00245E1F"/>
    <w:rsid w:val="00246370"/>
    <w:rsid w:val="00246C15"/>
    <w:rsid w:val="00246FBF"/>
    <w:rsid w:val="002479F8"/>
    <w:rsid w:val="0025069B"/>
    <w:rsid w:val="00250FBA"/>
    <w:rsid w:val="002524AE"/>
    <w:rsid w:val="00254B05"/>
    <w:rsid w:val="00254DAC"/>
    <w:rsid w:val="00255CAF"/>
    <w:rsid w:val="00256446"/>
    <w:rsid w:val="00257ECD"/>
    <w:rsid w:val="0026051F"/>
    <w:rsid w:val="002616A5"/>
    <w:rsid w:val="00263D00"/>
    <w:rsid w:val="002652EC"/>
    <w:rsid w:val="00265CEB"/>
    <w:rsid w:val="00266A32"/>
    <w:rsid w:val="00266A47"/>
    <w:rsid w:val="002677F6"/>
    <w:rsid w:val="002703F7"/>
    <w:rsid w:val="00270B61"/>
    <w:rsid w:val="002718AE"/>
    <w:rsid w:val="00272165"/>
    <w:rsid w:val="00272DDD"/>
    <w:rsid w:val="002732F8"/>
    <w:rsid w:val="0027408D"/>
    <w:rsid w:val="00275298"/>
    <w:rsid w:val="00275E1F"/>
    <w:rsid w:val="002761BF"/>
    <w:rsid w:val="00276373"/>
    <w:rsid w:val="00276502"/>
    <w:rsid w:val="00276A09"/>
    <w:rsid w:val="00277106"/>
    <w:rsid w:val="00277C55"/>
    <w:rsid w:val="00280994"/>
    <w:rsid w:val="00280C6F"/>
    <w:rsid w:val="00280D25"/>
    <w:rsid w:val="00282CFC"/>
    <w:rsid w:val="00283E52"/>
    <w:rsid w:val="00285366"/>
    <w:rsid w:val="00285D85"/>
    <w:rsid w:val="002863E7"/>
    <w:rsid w:val="00287153"/>
    <w:rsid w:val="0028768A"/>
    <w:rsid w:val="00290594"/>
    <w:rsid w:val="002907F6"/>
    <w:rsid w:val="0029124A"/>
    <w:rsid w:val="00292BE4"/>
    <w:rsid w:val="00293B3B"/>
    <w:rsid w:val="00293BB4"/>
    <w:rsid w:val="002941D9"/>
    <w:rsid w:val="00296143"/>
    <w:rsid w:val="00296939"/>
    <w:rsid w:val="00296B82"/>
    <w:rsid w:val="0029786D"/>
    <w:rsid w:val="00297872"/>
    <w:rsid w:val="00297F4F"/>
    <w:rsid w:val="002A1D77"/>
    <w:rsid w:val="002A2FB4"/>
    <w:rsid w:val="002A306F"/>
    <w:rsid w:val="002A3A74"/>
    <w:rsid w:val="002A4E59"/>
    <w:rsid w:val="002A4E96"/>
    <w:rsid w:val="002A60D7"/>
    <w:rsid w:val="002A6185"/>
    <w:rsid w:val="002A61EE"/>
    <w:rsid w:val="002A7BC0"/>
    <w:rsid w:val="002A7D1C"/>
    <w:rsid w:val="002B3D81"/>
    <w:rsid w:val="002B4751"/>
    <w:rsid w:val="002B47BC"/>
    <w:rsid w:val="002B5721"/>
    <w:rsid w:val="002B607A"/>
    <w:rsid w:val="002B7189"/>
    <w:rsid w:val="002B7C98"/>
    <w:rsid w:val="002C206E"/>
    <w:rsid w:val="002C2F79"/>
    <w:rsid w:val="002C367E"/>
    <w:rsid w:val="002C4C8E"/>
    <w:rsid w:val="002C4FE5"/>
    <w:rsid w:val="002C57F6"/>
    <w:rsid w:val="002C64CA"/>
    <w:rsid w:val="002C7CF8"/>
    <w:rsid w:val="002C7D0D"/>
    <w:rsid w:val="002D02F0"/>
    <w:rsid w:val="002D0678"/>
    <w:rsid w:val="002D2235"/>
    <w:rsid w:val="002D2F1F"/>
    <w:rsid w:val="002E0DE4"/>
    <w:rsid w:val="002E1AFF"/>
    <w:rsid w:val="002E2E59"/>
    <w:rsid w:val="002E3226"/>
    <w:rsid w:val="002E404D"/>
    <w:rsid w:val="002E41C7"/>
    <w:rsid w:val="002E460B"/>
    <w:rsid w:val="002E483A"/>
    <w:rsid w:val="002E550D"/>
    <w:rsid w:val="002E75FE"/>
    <w:rsid w:val="002F0790"/>
    <w:rsid w:val="002F0AB7"/>
    <w:rsid w:val="002F192E"/>
    <w:rsid w:val="002F25A2"/>
    <w:rsid w:val="002F2B65"/>
    <w:rsid w:val="002F3627"/>
    <w:rsid w:val="002F3AE3"/>
    <w:rsid w:val="002F418B"/>
    <w:rsid w:val="002F49E6"/>
    <w:rsid w:val="002F5D71"/>
    <w:rsid w:val="00300272"/>
    <w:rsid w:val="003018A8"/>
    <w:rsid w:val="0030223D"/>
    <w:rsid w:val="00302B04"/>
    <w:rsid w:val="003043C5"/>
    <w:rsid w:val="00305525"/>
    <w:rsid w:val="0030677C"/>
    <w:rsid w:val="0030786C"/>
    <w:rsid w:val="0031072F"/>
    <w:rsid w:val="003112A1"/>
    <w:rsid w:val="003126F2"/>
    <w:rsid w:val="00313870"/>
    <w:rsid w:val="00313C40"/>
    <w:rsid w:val="0031533B"/>
    <w:rsid w:val="00316CB0"/>
    <w:rsid w:val="00316D3C"/>
    <w:rsid w:val="00320C55"/>
    <w:rsid w:val="00323398"/>
    <w:rsid w:val="003234BA"/>
    <w:rsid w:val="00323761"/>
    <w:rsid w:val="003243BB"/>
    <w:rsid w:val="00324990"/>
    <w:rsid w:val="00325842"/>
    <w:rsid w:val="00327268"/>
    <w:rsid w:val="00331D93"/>
    <w:rsid w:val="0033326E"/>
    <w:rsid w:val="00333F52"/>
    <w:rsid w:val="003350C6"/>
    <w:rsid w:val="00340205"/>
    <w:rsid w:val="00340389"/>
    <w:rsid w:val="00340652"/>
    <w:rsid w:val="0034160A"/>
    <w:rsid w:val="003416DE"/>
    <w:rsid w:val="0034296A"/>
    <w:rsid w:val="00343285"/>
    <w:rsid w:val="00344EA3"/>
    <w:rsid w:val="003456D0"/>
    <w:rsid w:val="0034717B"/>
    <w:rsid w:val="0034777C"/>
    <w:rsid w:val="00347B5C"/>
    <w:rsid w:val="003508BA"/>
    <w:rsid w:val="00351DB9"/>
    <w:rsid w:val="0035203E"/>
    <w:rsid w:val="003546CD"/>
    <w:rsid w:val="003558B8"/>
    <w:rsid w:val="00356AEA"/>
    <w:rsid w:val="00357D67"/>
    <w:rsid w:val="00360020"/>
    <w:rsid w:val="0036011A"/>
    <w:rsid w:val="003604FF"/>
    <w:rsid w:val="00360D51"/>
    <w:rsid w:val="0036463A"/>
    <w:rsid w:val="00364E29"/>
    <w:rsid w:val="003663E3"/>
    <w:rsid w:val="00366406"/>
    <w:rsid w:val="0037032E"/>
    <w:rsid w:val="00370E87"/>
    <w:rsid w:val="003719E2"/>
    <w:rsid w:val="00371ACB"/>
    <w:rsid w:val="00372CE7"/>
    <w:rsid w:val="00376252"/>
    <w:rsid w:val="00376563"/>
    <w:rsid w:val="00377682"/>
    <w:rsid w:val="00380E73"/>
    <w:rsid w:val="00381011"/>
    <w:rsid w:val="0038261F"/>
    <w:rsid w:val="00382D4B"/>
    <w:rsid w:val="003831AA"/>
    <w:rsid w:val="003835B5"/>
    <w:rsid w:val="003835C7"/>
    <w:rsid w:val="003837DF"/>
    <w:rsid w:val="003842D3"/>
    <w:rsid w:val="00384E03"/>
    <w:rsid w:val="00384EF4"/>
    <w:rsid w:val="003866DC"/>
    <w:rsid w:val="00390ED6"/>
    <w:rsid w:val="00391448"/>
    <w:rsid w:val="0039195F"/>
    <w:rsid w:val="003931DF"/>
    <w:rsid w:val="0039351D"/>
    <w:rsid w:val="003942E4"/>
    <w:rsid w:val="003943FD"/>
    <w:rsid w:val="00394C39"/>
    <w:rsid w:val="00395EA7"/>
    <w:rsid w:val="00396395"/>
    <w:rsid w:val="003A10DC"/>
    <w:rsid w:val="003A1774"/>
    <w:rsid w:val="003A1A3A"/>
    <w:rsid w:val="003A2942"/>
    <w:rsid w:val="003A3583"/>
    <w:rsid w:val="003A3A68"/>
    <w:rsid w:val="003A43CC"/>
    <w:rsid w:val="003A46F2"/>
    <w:rsid w:val="003A4B5C"/>
    <w:rsid w:val="003A7517"/>
    <w:rsid w:val="003B0049"/>
    <w:rsid w:val="003B0098"/>
    <w:rsid w:val="003B1F66"/>
    <w:rsid w:val="003B25F1"/>
    <w:rsid w:val="003B2692"/>
    <w:rsid w:val="003B2A42"/>
    <w:rsid w:val="003B37AD"/>
    <w:rsid w:val="003B3E31"/>
    <w:rsid w:val="003B6E5C"/>
    <w:rsid w:val="003B7382"/>
    <w:rsid w:val="003B78ED"/>
    <w:rsid w:val="003C0674"/>
    <w:rsid w:val="003C2A37"/>
    <w:rsid w:val="003C362E"/>
    <w:rsid w:val="003C3C72"/>
    <w:rsid w:val="003C3EFF"/>
    <w:rsid w:val="003C5E1C"/>
    <w:rsid w:val="003C7449"/>
    <w:rsid w:val="003D17F9"/>
    <w:rsid w:val="003D3034"/>
    <w:rsid w:val="003D3F5F"/>
    <w:rsid w:val="003D4828"/>
    <w:rsid w:val="003D543B"/>
    <w:rsid w:val="003D6030"/>
    <w:rsid w:val="003E0E00"/>
    <w:rsid w:val="003E1E39"/>
    <w:rsid w:val="003E3046"/>
    <w:rsid w:val="003E3C3C"/>
    <w:rsid w:val="003E3E51"/>
    <w:rsid w:val="003E42EE"/>
    <w:rsid w:val="003E54AA"/>
    <w:rsid w:val="003E66E6"/>
    <w:rsid w:val="003F00CD"/>
    <w:rsid w:val="003F3704"/>
    <w:rsid w:val="003F3925"/>
    <w:rsid w:val="003F540A"/>
    <w:rsid w:val="003F6492"/>
    <w:rsid w:val="003F6A94"/>
    <w:rsid w:val="003F7FC7"/>
    <w:rsid w:val="00402B2F"/>
    <w:rsid w:val="0040585E"/>
    <w:rsid w:val="00405B5C"/>
    <w:rsid w:val="00406989"/>
    <w:rsid w:val="00406DCE"/>
    <w:rsid w:val="00407430"/>
    <w:rsid w:val="00407F97"/>
    <w:rsid w:val="00411D73"/>
    <w:rsid w:val="00411E09"/>
    <w:rsid w:val="0041327E"/>
    <w:rsid w:val="0041374E"/>
    <w:rsid w:val="00414325"/>
    <w:rsid w:val="004173F7"/>
    <w:rsid w:val="00417A3A"/>
    <w:rsid w:val="00417F12"/>
    <w:rsid w:val="00421140"/>
    <w:rsid w:val="00422F68"/>
    <w:rsid w:val="00424F58"/>
    <w:rsid w:val="0042501F"/>
    <w:rsid w:val="00425669"/>
    <w:rsid w:val="00426FC2"/>
    <w:rsid w:val="0043174F"/>
    <w:rsid w:val="00432739"/>
    <w:rsid w:val="0043360E"/>
    <w:rsid w:val="004345B7"/>
    <w:rsid w:val="0043475E"/>
    <w:rsid w:val="0043676F"/>
    <w:rsid w:val="004405B8"/>
    <w:rsid w:val="00442CA8"/>
    <w:rsid w:val="004454A4"/>
    <w:rsid w:val="00446BFB"/>
    <w:rsid w:val="00447665"/>
    <w:rsid w:val="00447782"/>
    <w:rsid w:val="0045025C"/>
    <w:rsid w:val="0045235D"/>
    <w:rsid w:val="00453BD7"/>
    <w:rsid w:val="00455EC0"/>
    <w:rsid w:val="00455FF7"/>
    <w:rsid w:val="00457DBB"/>
    <w:rsid w:val="004607C0"/>
    <w:rsid w:val="00462EAA"/>
    <w:rsid w:val="0046323F"/>
    <w:rsid w:val="00463F68"/>
    <w:rsid w:val="0046561C"/>
    <w:rsid w:val="00465AD7"/>
    <w:rsid w:val="00465B90"/>
    <w:rsid w:val="0046605D"/>
    <w:rsid w:val="004662B8"/>
    <w:rsid w:val="00466614"/>
    <w:rsid w:val="0046776C"/>
    <w:rsid w:val="00471794"/>
    <w:rsid w:val="004720BF"/>
    <w:rsid w:val="00473CAA"/>
    <w:rsid w:val="0047451A"/>
    <w:rsid w:val="00475469"/>
    <w:rsid w:val="004765E2"/>
    <w:rsid w:val="00476AD6"/>
    <w:rsid w:val="00476CC5"/>
    <w:rsid w:val="004802F2"/>
    <w:rsid w:val="00480CE1"/>
    <w:rsid w:val="00481CC3"/>
    <w:rsid w:val="00481CD9"/>
    <w:rsid w:val="00481F18"/>
    <w:rsid w:val="00483309"/>
    <w:rsid w:val="004859C7"/>
    <w:rsid w:val="0048647B"/>
    <w:rsid w:val="00486488"/>
    <w:rsid w:val="004867E2"/>
    <w:rsid w:val="0048681D"/>
    <w:rsid w:val="00486AE7"/>
    <w:rsid w:val="00487300"/>
    <w:rsid w:val="004906EE"/>
    <w:rsid w:val="00490B08"/>
    <w:rsid w:val="0049183D"/>
    <w:rsid w:val="0049186F"/>
    <w:rsid w:val="00492C68"/>
    <w:rsid w:val="00495F21"/>
    <w:rsid w:val="00496B1E"/>
    <w:rsid w:val="00496B7C"/>
    <w:rsid w:val="00497E5C"/>
    <w:rsid w:val="004A06FB"/>
    <w:rsid w:val="004A2244"/>
    <w:rsid w:val="004A2EC9"/>
    <w:rsid w:val="004A4E68"/>
    <w:rsid w:val="004A55F4"/>
    <w:rsid w:val="004A66CD"/>
    <w:rsid w:val="004A6D84"/>
    <w:rsid w:val="004B0C99"/>
    <w:rsid w:val="004B12D3"/>
    <w:rsid w:val="004B296E"/>
    <w:rsid w:val="004B2FD8"/>
    <w:rsid w:val="004B3D5E"/>
    <w:rsid w:val="004B40C7"/>
    <w:rsid w:val="004B4AAA"/>
    <w:rsid w:val="004B58AC"/>
    <w:rsid w:val="004B6C4C"/>
    <w:rsid w:val="004B7596"/>
    <w:rsid w:val="004C024E"/>
    <w:rsid w:val="004C0801"/>
    <w:rsid w:val="004C0C0B"/>
    <w:rsid w:val="004C10F1"/>
    <w:rsid w:val="004C1B1C"/>
    <w:rsid w:val="004C37C0"/>
    <w:rsid w:val="004C4DEE"/>
    <w:rsid w:val="004C62B4"/>
    <w:rsid w:val="004C69A3"/>
    <w:rsid w:val="004D2C4C"/>
    <w:rsid w:val="004D3C05"/>
    <w:rsid w:val="004D3F94"/>
    <w:rsid w:val="004D41D4"/>
    <w:rsid w:val="004D5539"/>
    <w:rsid w:val="004D5FCE"/>
    <w:rsid w:val="004D6040"/>
    <w:rsid w:val="004D6274"/>
    <w:rsid w:val="004D69C6"/>
    <w:rsid w:val="004E1202"/>
    <w:rsid w:val="004E41CB"/>
    <w:rsid w:val="004E50C4"/>
    <w:rsid w:val="004E557A"/>
    <w:rsid w:val="004E5B3B"/>
    <w:rsid w:val="004E5B97"/>
    <w:rsid w:val="004E6DA0"/>
    <w:rsid w:val="004E782E"/>
    <w:rsid w:val="004F123D"/>
    <w:rsid w:val="004F13AA"/>
    <w:rsid w:val="004F24B4"/>
    <w:rsid w:val="004F289A"/>
    <w:rsid w:val="004F3B1B"/>
    <w:rsid w:val="004F4629"/>
    <w:rsid w:val="004F6280"/>
    <w:rsid w:val="004F65F4"/>
    <w:rsid w:val="004F72DE"/>
    <w:rsid w:val="004F7478"/>
    <w:rsid w:val="00500060"/>
    <w:rsid w:val="0050085C"/>
    <w:rsid w:val="005015B8"/>
    <w:rsid w:val="005015D2"/>
    <w:rsid w:val="00503726"/>
    <w:rsid w:val="005058B1"/>
    <w:rsid w:val="0050630A"/>
    <w:rsid w:val="005110C1"/>
    <w:rsid w:val="0051162C"/>
    <w:rsid w:val="0051306F"/>
    <w:rsid w:val="00513428"/>
    <w:rsid w:val="005138BB"/>
    <w:rsid w:val="00513F64"/>
    <w:rsid w:val="00514BB3"/>
    <w:rsid w:val="005167D5"/>
    <w:rsid w:val="00517453"/>
    <w:rsid w:val="00521670"/>
    <w:rsid w:val="005222F8"/>
    <w:rsid w:val="005235E3"/>
    <w:rsid w:val="0052540C"/>
    <w:rsid w:val="005255A8"/>
    <w:rsid w:val="0052582C"/>
    <w:rsid w:val="00527CAE"/>
    <w:rsid w:val="00530C82"/>
    <w:rsid w:val="0053166A"/>
    <w:rsid w:val="005345F5"/>
    <w:rsid w:val="00534773"/>
    <w:rsid w:val="00535622"/>
    <w:rsid w:val="005356A1"/>
    <w:rsid w:val="0053589D"/>
    <w:rsid w:val="00535F25"/>
    <w:rsid w:val="0053647A"/>
    <w:rsid w:val="00537901"/>
    <w:rsid w:val="00540C35"/>
    <w:rsid w:val="0054149B"/>
    <w:rsid w:val="005416A4"/>
    <w:rsid w:val="00541F4D"/>
    <w:rsid w:val="0054504F"/>
    <w:rsid w:val="005452D3"/>
    <w:rsid w:val="00545EF3"/>
    <w:rsid w:val="00546430"/>
    <w:rsid w:val="00552794"/>
    <w:rsid w:val="00554048"/>
    <w:rsid w:val="005565A1"/>
    <w:rsid w:val="00557E22"/>
    <w:rsid w:val="00561F11"/>
    <w:rsid w:val="0056275F"/>
    <w:rsid w:val="005647D1"/>
    <w:rsid w:val="005655FA"/>
    <w:rsid w:val="0056587D"/>
    <w:rsid w:val="00565BFD"/>
    <w:rsid w:val="0057138B"/>
    <w:rsid w:val="00571658"/>
    <w:rsid w:val="00571982"/>
    <w:rsid w:val="00571D6D"/>
    <w:rsid w:val="00572053"/>
    <w:rsid w:val="0057215C"/>
    <w:rsid w:val="00574A82"/>
    <w:rsid w:val="00577063"/>
    <w:rsid w:val="00582A35"/>
    <w:rsid w:val="00582DC2"/>
    <w:rsid w:val="005837C6"/>
    <w:rsid w:val="00584A20"/>
    <w:rsid w:val="00585B29"/>
    <w:rsid w:val="00585CBA"/>
    <w:rsid w:val="005879DC"/>
    <w:rsid w:val="005922E9"/>
    <w:rsid w:val="00592529"/>
    <w:rsid w:val="005927BD"/>
    <w:rsid w:val="005928E8"/>
    <w:rsid w:val="00593A73"/>
    <w:rsid w:val="005978F0"/>
    <w:rsid w:val="00597D82"/>
    <w:rsid w:val="00597FB2"/>
    <w:rsid w:val="005A1473"/>
    <w:rsid w:val="005A1D22"/>
    <w:rsid w:val="005A2127"/>
    <w:rsid w:val="005A22C2"/>
    <w:rsid w:val="005A2ACD"/>
    <w:rsid w:val="005A3CDB"/>
    <w:rsid w:val="005A3FFE"/>
    <w:rsid w:val="005A4877"/>
    <w:rsid w:val="005A55D9"/>
    <w:rsid w:val="005A579A"/>
    <w:rsid w:val="005A63A5"/>
    <w:rsid w:val="005A739E"/>
    <w:rsid w:val="005A7CD4"/>
    <w:rsid w:val="005A7D36"/>
    <w:rsid w:val="005B0030"/>
    <w:rsid w:val="005B01EA"/>
    <w:rsid w:val="005B1A6F"/>
    <w:rsid w:val="005B2056"/>
    <w:rsid w:val="005B2952"/>
    <w:rsid w:val="005B2FB8"/>
    <w:rsid w:val="005B34B5"/>
    <w:rsid w:val="005B374E"/>
    <w:rsid w:val="005B385E"/>
    <w:rsid w:val="005B50E4"/>
    <w:rsid w:val="005B5249"/>
    <w:rsid w:val="005B73C5"/>
    <w:rsid w:val="005B7659"/>
    <w:rsid w:val="005C0248"/>
    <w:rsid w:val="005C2393"/>
    <w:rsid w:val="005C2A03"/>
    <w:rsid w:val="005C33CC"/>
    <w:rsid w:val="005C378D"/>
    <w:rsid w:val="005C3C94"/>
    <w:rsid w:val="005C56F3"/>
    <w:rsid w:val="005C56F6"/>
    <w:rsid w:val="005C574F"/>
    <w:rsid w:val="005C5C18"/>
    <w:rsid w:val="005C6A03"/>
    <w:rsid w:val="005D0BCE"/>
    <w:rsid w:val="005D0C33"/>
    <w:rsid w:val="005D52E5"/>
    <w:rsid w:val="005D5D46"/>
    <w:rsid w:val="005D6614"/>
    <w:rsid w:val="005D6F35"/>
    <w:rsid w:val="005D7561"/>
    <w:rsid w:val="005E2084"/>
    <w:rsid w:val="005E2CA2"/>
    <w:rsid w:val="005E3177"/>
    <w:rsid w:val="005E4255"/>
    <w:rsid w:val="005E4625"/>
    <w:rsid w:val="005E4BE0"/>
    <w:rsid w:val="005E4C4D"/>
    <w:rsid w:val="005E59ED"/>
    <w:rsid w:val="005E6C7F"/>
    <w:rsid w:val="005F04B1"/>
    <w:rsid w:val="005F1474"/>
    <w:rsid w:val="005F1558"/>
    <w:rsid w:val="005F1C2C"/>
    <w:rsid w:val="005F43AA"/>
    <w:rsid w:val="005F43DA"/>
    <w:rsid w:val="005F748C"/>
    <w:rsid w:val="005F797A"/>
    <w:rsid w:val="006013B9"/>
    <w:rsid w:val="00601BAE"/>
    <w:rsid w:val="00601FF8"/>
    <w:rsid w:val="0060222F"/>
    <w:rsid w:val="006026E8"/>
    <w:rsid w:val="006057B2"/>
    <w:rsid w:val="00605B37"/>
    <w:rsid w:val="006060CB"/>
    <w:rsid w:val="00606227"/>
    <w:rsid w:val="00606F64"/>
    <w:rsid w:val="00607A42"/>
    <w:rsid w:val="006103BD"/>
    <w:rsid w:val="00610D8D"/>
    <w:rsid w:val="00611170"/>
    <w:rsid w:val="00613721"/>
    <w:rsid w:val="00615A1F"/>
    <w:rsid w:val="00616E49"/>
    <w:rsid w:val="00621730"/>
    <w:rsid w:val="0062184B"/>
    <w:rsid w:val="00621C23"/>
    <w:rsid w:val="0062230E"/>
    <w:rsid w:val="006234AA"/>
    <w:rsid w:val="00624133"/>
    <w:rsid w:val="00624168"/>
    <w:rsid w:val="006274FB"/>
    <w:rsid w:val="006304F6"/>
    <w:rsid w:val="00630E6C"/>
    <w:rsid w:val="0063306B"/>
    <w:rsid w:val="0063312B"/>
    <w:rsid w:val="006341DE"/>
    <w:rsid w:val="00635546"/>
    <w:rsid w:val="006357F4"/>
    <w:rsid w:val="00636A44"/>
    <w:rsid w:val="00637112"/>
    <w:rsid w:val="00637409"/>
    <w:rsid w:val="00637FC3"/>
    <w:rsid w:val="00640342"/>
    <w:rsid w:val="0064082B"/>
    <w:rsid w:val="00645BC6"/>
    <w:rsid w:val="006461CE"/>
    <w:rsid w:val="006461EF"/>
    <w:rsid w:val="00646B2C"/>
    <w:rsid w:val="00646CDD"/>
    <w:rsid w:val="00647684"/>
    <w:rsid w:val="006520A4"/>
    <w:rsid w:val="006534DE"/>
    <w:rsid w:val="00653AA7"/>
    <w:rsid w:val="00653DFD"/>
    <w:rsid w:val="00654E82"/>
    <w:rsid w:val="00654EA5"/>
    <w:rsid w:val="006554CD"/>
    <w:rsid w:val="006554DD"/>
    <w:rsid w:val="00655CED"/>
    <w:rsid w:val="00656D58"/>
    <w:rsid w:val="00656DC8"/>
    <w:rsid w:val="006608ED"/>
    <w:rsid w:val="006609AC"/>
    <w:rsid w:val="00660C4B"/>
    <w:rsid w:val="006625BA"/>
    <w:rsid w:val="0066291E"/>
    <w:rsid w:val="00663654"/>
    <w:rsid w:val="00664118"/>
    <w:rsid w:val="00664277"/>
    <w:rsid w:val="006657FE"/>
    <w:rsid w:val="00667E71"/>
    <w:rsid w:val="006704F1"/>
    <w:rsid w:val="00672973"/>
    <w:rsid w:val="00672D66"/>
    <w:rsid w:val="0067354B"/>
    <w:rsid w:val="00673C6C"/>
    <w:rsid w:val="006749A3"/>
    <w:rsid w:val="00674A49"/>
    <w:rsid w:val="00674BCC"/>
    <w:rsid w:val="00674F70"/>
    <w:rsid w:val="00675D3E"/>
    <w:rsid w:val="00676B55"/>
    <w:rsid w:val="00676FA7"/>
    <w:rsid w:val="00677BF1"/>
    <w:rsid w:val="0068033E"/>
    <w:rsid w:val="00680908"/>
    <w:rsid w:val="00680F37"/>
    <w:rsid w:val="006822AF"/>
    <w:rsid w:val="00682475"/>
    <w:rsid w:val="0068383F"/>
    <w:rsid w:val="006850E0"/>
    <w:rsid w:val="0068737D"/>
    <w:rsid w:val="0068778B"/>
    <w:rsid w:val="00687C91"/>
    <w:rsid w:val="006900B0"/>
    <w:rsid w:val="00690736"/>
    <w:rsid w:val="006911A4"/>
    <w:rsid w:val="00694C72"/>
    <w:rsid w:val="00696BA7"/>
    <w:rsid w:val="00696D94"/>
    <w:rsid w:val="006A1778"/>
    <w:rsid w:val="006A1E43"/>
    <w:rsid w:val="006A33C8"/>
    <w:rsid w:val="006A4DE1"/>
    <w:rsid w:val="006A783C"/>
    <w:rsid w:val="006B14DC"/>
    <w:rsid w:val="006B28F4"/>
    <w:rsid w:val="006B33B9"/>
    <w:rsid w:val="006B5C6D"/>
    <w:rsid w:val="006B6CB1"/>
    <w:rsid w:val="006C20EB"/>
    <w:rsid w:val="006C390B"/>
    <w:rsid w:val="006C4405"/>
    <w:rsid w:val="006C47AF"/>
    <w:rsid w:val="006C797B"/>
    <w:rsid w:val="006D12E7"/>
    <w:rsid w:val="006D43E4"/>
    <w:rsid w:val="006D5138"/>
    <w:rsid w:val="006D608D"/>
    <w:rsid w:val="006E0E80"/>
    <w:rsid w:val="006E2410"/>
    <w:rsid w:val="006E2751"/>
    <w:rsid w:val="006E2B4F"/>
    <w:rsid w:val="006E3146"/>
    <w:rsid w:val="006E31D9"/>
    <w:rsid w:val="006E4071"/>
    <w:rsid w:val="006E6C52"/>
    <w:rsid w:val="006E72DB"/>
    <w:rsid w:val="006F058A"/>
    <w:rsid w:val="006F2932"/>
    <w:rsid w:val="006F323F"/>
    <w:rsid w:val="006F5948"/>
    <w:rsid w:val="006F6BC6"/>
    <w:rsid w:val="007005FC"/>
    <w:rsid w:val="00700781"/>
    <w:rsid w:val="00700AC8"/>
    <w:rsid w:val="00702E6D"/>
    <w:rsid w:val="007035AF"/>
    <w:rsid w:val="00703E38"/>
    <w:rsid w:val="00704324"/>
    <w:rsid w:val="007049A1"/>
    <w:rsid w:val="00704EB8"/>
    <w:rsid w:val="00705911"/>
    <w:rsid w:val="0070624D"/>
    <w:rsid w:val="00706998"/>
    <w:rsid w:val="00710145"/>
    <w:rsid w:val="00710244"/>
    <w:rsid w:val="00712B48"/>
    <w:rsid w:val="007130C8"/>
    <w:rsid w:val="007133D3"/>
    <w:rsid w:val="007139A6"/>
    <w:rsid w:val="0071573D"/>
    <w:rsid w:val="00716E73"/>
    <w:rsid w:val="00717038"/>
    <w:rsid w:val="00720CCE"/>
    <w:rsid w:val="0072187B"/>
    <w:rsid w:val="00722563"/>
    <w:rsid w:val="0072318B"/>
    <w:rsid w:val="0072344F"/>
    <w:rsid w:val="00725E0C"/>
    <w:rsid w:val="007275C6"/>
    <w:rsid w:val="00727948"/>
    <w:rsid w:val="007305A4"/>
    <w:rsid w:val="007305AC"/>
    <w:rsid w:val="00731932"/>
    <w:rsid w:val="00732810"/>
    <w:rsid w:val="00732B44"/>
    <w:rsid w:val="00733099"/>
    <w:rsid w:val="007338F0"/>
    <w:rsid w:val="0073490D"/>
    <w:rsid w:val="00735AA4"/>
    <w:rsid w:val="00736471"/>
    <w:rsid w:val="00736D76"/>
    <w:rsid w:val="00736E22"/>
    <w:rsid w:val="007377AC"/>
    <w:rsid w:val="00740948"/>
    <w:rsid w:val="00741DCC"/>
    <w:rsid w:val="00742912"/>
    <w:rsid w:val="00742CCF"/>
    <w:rsid w:val="00746382"/>
    <w:rsid w:val="00746789"/>
    <w:rsid w:val="00751CD6"/>
    <w:rsid w:val="007555D8"/>
    <w:rsid w:val="00756153"/>
    <w:rsid w:val="0075676E"/>
    <w:rsid w:val="00756A47"/>
    <w:rsid w:val="007574D4"/>
    <w:rsid w:val="007575C9"/>
    <w:rsid w:val="00760421"/>
    <w:rsid w:val="00761C3D"/>
    <w:rsid w:val="00762A13"/>
    <w:rsid w:val="00763338"/>
    <w:rsid w:val="00765CF9"/>
    <w:rsid w:val="00767CA2"/>
    <w:rsid w:val="007723FB"/>
    <w:rsid w:val="007727E3"/>
    <w:rsid w:val="007737C0"/>
    <w:rsid w:val="007747B6"/>
    <w:rsid w:val="00774A05"/>
    <w:rsid w:val="00777D62"/>
    <w:rsid w:val="007807B2"/>
    <w:rsid w:val="007808A1"/>
    <w:rsid w:val="007836B4"/>
    <w:rsid w:val="00784D6E"/>
    <w:rsid w:val="00785B3E"/>
    <w:rsid w:val="0078626F"/>
    <w:rsid w:val="007872E8"/>
    <w:rsid w:val="007874A7"/>
    <w:rsid w:val="00787C18"/>
    <w:rsid w:val="00791AD0"/>
    <w:rsid w:val="007933BF"/>
    <w:rsid w:val="00793C90"/>
    <w:rsid w:val="007953F4"/>
    <w:rsid w:val="00797339"/>
    <w:rsid w:val="007978BF"/>
    <w:rsid w:val="007A093A"/>
    <w:rsid w:val="007A0A88"/>
    <w:rsid w:val="007A205C"/>
    <w:rsid w:val="007A62C2"/>
    <w:rsid w:val="007A66F9"/>
    <w:rsid w:val="007B1A28"/>
    <w:rsid w:val="007B25D2"/>
    <w:rsid w:val="007B33A9"/>
    <w:rsid w:val="007B395C"/>
    <w:rsid w:val="007B7ADD"/>
    <w:rsid w:val="007C0C74"/>
    <w:rsid w:val="007C0F42"/>
    <w:rsid w:val="007C2840"/>
    <w:rsid w:val="007C2A4A"/>
    <w:rsid w:val="007C369F"/>
    <w:rsid w:val="007C5576"/>
    <w:rsid w:val="007C6361"/>
    <w:rsid w:val="007C7095"/>
    <w:rsid w:val="007C755B"/>
    <w:rsid w:val="007D15FD"/>
    <w:rsid w:val="007D3348"/>
    <w:rsid w:val="007D3FCD"/>
    <w:rsid w:val="007D4A16"/>
    <w:rsid w:val="007D5E2A"/>
    <w:rsid w:val="007D6858"/>
    <w:rsid w:val="007E1063"/>
    <w:rsid w:val="007E1780"/>
    <w:rsid w:val="007E312F"/>
    <w:rsid w:val="007E43E4"/>
    <w:rsid w:val="007E49F8"/>
    <w:rsid w:val="007E4E27"/>
    <w:rsid w:val="007E54BE"/>
    <w:rsid w:val="007F2D91"/>
    <w:rsid w:val="007F3209"/>
    <w:rsid w:val="007F3806"/>
    <w:rsid w:val="007F3F4F"/>
    <w:rsid w:val="007F7182"/>
    <w:rsid w:val="007F76F9"/>
    <w:rsid w:val="00800AE4"/>
    <w:rsid w:val="00801011"/>
    <w:rsid w:val="00801A90"/>
    <w:rsid w:val="00802A76"/>
    <w:rsid w:val="00802E62"/>
    <w:rsid w:val="00803590"/>
    <w:rsid w:val="00810182"/>
    <w:rsid w:val="0081086A"/>
    <w:rsid w:val="00813B54"/>
    <w:rsid w:val="0081410F"/>
    <w:rsid w:val="00814DD2"/>
    <w:rsid w:val="00816DFE"/>
    <w:rsid w:val="008175C1"/>
    <w:rsid w:val="00820468"/>
    <w:rsid w:val="008212B0"/>
    <w:rsid w:val="008213FC"/>
    <w:rsid w:val="00821E74"/>
    <w:rsid w:val="0082427C"/>
    <w:rsid w:val="00824504"/>
    <w:rsid w:val="00825B37"/>
    <w:rsid w:val="008264EB"/>
    <w:rsid w:val="00826F0A"/>
    <w:rsid w:val="00827275"/>
    <w:rsid w:val="00830A73"/>
    <w:rsid w:val="008313E5"/>
    <w:rsid w:val="00832373"/>
    <w:rsid w:val="0083266A"/>
    <w:rsid w:val="0083277C"/>
    <w:rsid w:val="00834B4E"/>
    <w:rsid w:val="00836487"/>
    <w:rsid w:val="0083691A"/>
    <w:rsid w:val="00836AA7"/>
    <w:rsid w:val="00837154"/>
    <w:rsid w:val="00837195"/>
    <w:rsid w:val="00837DCB"/>
    <w:rsid w:val="00840C10"/>
    <w:rsid w:val="008443C7"/>
    <w:rsid w:val="00844943"/>
    <w:rsid w:val="00846761"/>
    <w:rsid w:val="00846D81"/>
    <w:rsid w:val="008475C9"/>
    <w:rsid w:val="00850981"/>
    <w:rsid w:val="00850A7C"/>
    <w:rsid w:val="00850C9E"/>
    <w:rsid w:val="00850DFD"/>
    <w:rsid w:val="00853CB1"/>
    <w:rsid w:val="00854BBF"/>
    <w:rsid w:val="008569FC"/>
    <w:rsid w:val="00857821"/>
    <w:rsid w:val="008605D6"/>
    <w:rsid w:val="008611EC"/>
    <w:rsid w:val="0086699D"/>
    <w:rsid w:val="008669E8"/>
    <w:rsid w:val="00870342"/>
    <w:rsid w:val="00870FE8"/>
    <w:rsid w:val="00871104"/>
    <w:rsid w:val="00871943"/>
    <w:rsid w:val="00871E1F"/>
    <w:rsid w:val="00872C9A"/>
    <w:rsid w:val="008734D9"/>
    <w:rsid w:val="00875A31"/>
    <w:rsid w:val="00875AAA"/>
    <w:rsid w:val="0087622A"/>
    <w:rsid w:val="00876F3B"/>
    <w:rsid w:val="008770B5"/>
    <w:rsid w:val="00877815"/>
    <w:rsid w:val="008806F1"/>
    <w:rsid w:val="00880A0C"/>
    <w:rsid w:val="008817C5"/>
    <w:rsid w:val="00884A56"/>
    <w:rsid w:val="00884C3F"/>
    <w:rsid w:val="00885F62"/>
    <w:rsid w:val="0088602C"/>
    <w:rsid w:val="00886678"/>
    <w:rsid w:val="008867C8"/>
    <w:rsid w:val="00887DEA"/>
    <w:rsid w:val="00891843"/>
    <w:rsid w:val="00891940"/>
    <w:rsid w:val="008938B5"/>
    <w:rsid w:val="008950DD"/>
    <w:rsid w:val="00895AB5"/>
    <w:rsid w:val="00896B68"/>
    <w:rsid w:val="00897B8B"/>
    <w:rsid w:val="008A24D7"/>
    <w:rsid w:val="008A3083"/>
    <w:rsid w:val="008A37B7"/>
    <w:rsid w:val="008A3D23"/>
    <w:rsid w:val="008A4184"/>
    <w:rsid w:val="008A564F"/>
    <w:rsid w:val="008A75A8"/>
    <w:rsid w:val="008B09AC"/>
    <w:rsid w:val="008B167D"/>
    <w:rsid w:val="008B2819"/>
    <w:rsid w:val="008B2944"/>
    <w:rsid w:val="008B2E92"/>
    <w:rsid w:val="008B387D"/>
    <w:rsid w:val="008B3D71"/>
    <w:rsid w:val="008B418C"/>
    <w:rsid w:val="008B41CF"/>
    <w:rsid w:val="008B49B6"/>
    <w:rsid w:val="008B49D4"/>
    <w:rsid w:val="008C0F48"/>
    <w:rsid w:val="008C1A63"/>
    <w:rsid w:val="008C39BC"/>
    <w:rsid w:val="008C4627"/>
    <w:rsid w:val="008C5A55"/>
    <w:rsid w:val="008D0389"/>
    <w:rsid w:val="008D0CD5"/>
    <w:rsid w:val="008D167B"/>
    <w:rsid w:val="008D1E4E"/>
    <w:rsid w:val="008D3692"/>
    <w:rsid w:val="008D4792"/>
    <w:rsid w:val="008D5076"/>
    <w:rsid w:val="008D5805"/>
    <w:rsid w:val="008D663A"/>
    <w:rsid w:val="008D73A2"/>
    <w:rsid w:val="008D7BBC"/>
    <w:rsid w:val="008E0357"/>
    <w:rsid w:val="008E1457"/>
    <w:rsid w:val="008E170F"/>
    <w:rsid w:val="008E2339"/>
    <w:rsid w:val="008E310D"/>
    <w:rsid w:val="008E5AD2"/>
    <w:rsid w:val="008E6862"/>
    <w:rsid w:val="008E73F6"/>
    <w:rsid w:val="008F2074"/>
    <w:rsid w:val="008F400A"/>
    <w:rsid w:val="008F5D32"/>
    <w:rsid w:val="00901067"/>
    <w:rsid w:val="009028CB"/>
    <w:rsid w:val="0090469B"/>
    <w:rsid w:val="00904B65"/>
    <w:rsid w:val="009058F4"/>
    <w:rsid w:val="00905C38"/>
    <w:rsid w:val="00905DFF"/>
    <w:rsid w:val="00910339"/>
    <w:rsid w:val="00910B0E"/>
    <w:rsid w:val="00910BD8"/>
    <w:rsid w:val="00911538"/>
    <w:rsid w:val="00911926"/>
    <w:rsid w:val="009122CD"/>
    <w:rsid w:val="00913EF3"/>
    <w:rsid w:val="00914DC9"/>
    <w:rsid w:val="00915057"/>
    <w:rsid w:val="00917420"/>
    <w:rsid w:val="00920450"/>
    <w:rsid w:val="0092109D"/>
    <w:rsid w:val="009210FF"/>
    <w:rsid w:val="0092121D"/>
    <w:rsid w:val="009216F4"/>
    <w:rsid w:val="009217B8"/>
    <w:rsid w:val="00921A03"/>
    <w:rsid w:val="00921BCC"/>
    <w:rsid w:val="0092393D"/>
    <w:rsid w:val="00923C89"/>
    <w:rsid w:val="00924847"/>
    <w:rsid w:val="00924AAB"/>
    <w:rsid w:val="0092685F"/>
    <w:rsid w:val="0092693D"/>
    <w:rsid w:val="009277E3"/>
    <w:rsid w:val="0093154F"/>
    <w:rsid w:val="00931772"/>
    <w:rsid w:val="009320D8"/>
    <w:rsid w:val="00935489"/>
    <w:rsid w:val="00935D82"/>
    <w:rsid w:val="0093681D"/>
    <w:rsid w:val="00936FBD"/>
    <w:rsid w:val="0093757F"/>
    <w:rsid w:val="00937B58"/>
    <w:rsid w:val="00937BCB"/>
    <w:rsid w:val="00937F54"/>
    <w:rsid w:val="009403BF"/>
    <w:rsid w:val="00943A7B"/>
    <w:rsid w:val="00943CF8"/>
    <w:rsid w:val="0094433F"/>
    <w:rsid w:val="00945DC2"/>
    <w:rsid w:val="00946FB4"/>
    <w:rsid w:val="00947C2A"/>
    <w:rsid w:val="00952600"/>
    <w:rsid w:val="00953B25"/>
    <w:rsid w:val="00953C94"/>
    <w:rsid w:val="009543A4"/>
    <w:rsid w:val="0095530D"/>
    <w:rsid w:val="009555CF"/>
    <w:rsid w:val="0095580A"/>
    <w:rsid w:val="00956CBC"/>
    <w:rsid w:val="00957A12"/>
    <w:rsid w:val="009623F6"/>
    <w:rsid w:val="00963422"/>
    <w:rsid w:val="00964CE6"/>
    <w:rsid w:val="00964EA3"/>
    <w:rsid w:val="009650A4"/>
    <w:rsid w:val="0096559A"/>
    <w:rsid w:val="00966501"/>
    <w:rsid w:val="00967587"/>
    <w:rsid w:val="00967CDB"/>
    <w:rsid w:val="0097076C"/>
    <w:rsid w:val="00970C9F"/>
    <w:rsid w:val="00971263"/>
    <w:rsid w:val="009717CF"/>
    <w:rsid w:val="00971914"/>
    <w:rsid w:val="00974A66"/>
    <w:rsid w:val="00976893"/>
    <w:rsid w:val="0097738C"/>
    <w:rsid w:val="0098046F"/>
    <w:rsid w:val="00980B46"/>
    <w:rsid w:val="00980D23"/>
    <w:rsid w:val="00981289"/>
    <w:rsid w:val="00981AE9"/>
    <w:rsid w:val="00982ADB"/>
    <w:rsid w:val="00982E30"/>
    <w:rsid w:val="009832A4"/>
    <w:rsid w:val="00985329"/>
    <w:rsid w:val="00985AC6"/>
    <w:rsid w:val="00986258"/>
    <w:rsid w:val="00986F99"/>
    <w:rsid w:val="009912BB"/>
    <w:rsid w:val="00993032"/>
    <w:rsid w:val="00993D69"/>
    <w:rsid w:val="0099521C"/>
    <w:rsid w:val="00995E41"/>
    <w:rsid w:val="00996398"/>
    <w:rsid w:val="00996ED9"/>
    <w:rsid w:val="009A08B9"/>
    <w:rsid w:val="009A0EAC"/>
    <w:rsid w:val="009A213F"/>
    <w:rsid w:val="009A2F84"/>
    <w:rsid w:val="009A44EE"/>
    <w:rsid w:val="009A4FBB"/>
    <w:rsid w:val="009A6422"/>
    <w:rsid w:val="009A6F93"/>
    <w:rsid w:val="009A75B7"/>
    <w:rsid w:val="009A79FA"/>
    <w:rsid w:val="009A7FE4"/>
    <w:rsid w:val="009B01EB"/>
    <w:rsid w:val="009B1820"/>
    <w:rsid w:val="009B1B02"/>
    <w:rsid w:val="009B287A"/>
    <w:rsid w:val="009B3281"/>
    <w:rsid w:val="009B4724"/>
    <w:rsid w:val="009B5081"/>
    <w:rsid w:val="009B56C3"/>
    <w:rsid w:val="009B574B"/>
    <w:rsid w:val="009B666F"/>
    <w:rsid w:val="009C0445"/>
    <w:rsid w:val="009C0E8A"/>
    <w:rsid w:val="009C1A3F"/>
    <w:rsid w:val="009C1A94"/>
    <w:rsid w:val="009C2D2B"/>
    <w:rsid w:val="009C3403"/>
    <w:rsid w:val="009C406F"/>
    <w:rsid w:val="009C4897"/>
    <w:rsid w:val="009C4A0A"/>
    <w:rsid w:val="009C5532"/>
    <w:rsid w:val="009C594C"/>
    <w:rsid w:val="009C66C8"/>
    <w:rsid w:val="009C7D13"/>
    <w:rsid w:val="009D17EC"/>
    <w:rsid w:val="009D1D89"/>
    <w:rsid w:val="009D21AA"/>
    <w:rsid w:val="009D4313"/>
    <w:rsid w:val="009D4A72"/>
    <w:rsid w:val="009D4FA3"/>
    <w:rsid w:val="009D7CAD"/>
    <w:rsid w:val="009E0DE8"/>
    <w:rsid w:val="009E16E4"/>
    <w:rsid w:val="009E2B69"/>
    <w:rsid w:val="009E34BA"/>
    <w:rsid w:val="009E38A3"/>
    <w:rsid w:val="009E4371"/>
    <w:rsid w:val="009E4E32"/>
    <w:rsid w:val="009E658E"/>
    <w:rsid w:val="009E690F"/>
    <w:rsid w:val="009E7E5A"/>
    <w:rsid w:val="009F0ACD"/>
    <w:rsid w:val="009F1BFD"/>
    <w:rsid w:val="009F2E3E"/>
    <w:rsid w:val="009F2F7C"/>
    <w:rsid w:val="009F30BE"/>
    <w:rsid w:val="009F33CA"/>
    <w:rsid w:val="009F355F"/>
    <w:rsid w:val="009F5D70"/>
    <w:rsid w:val="009F63E5"/>
    <w:rsid w:val="009F6C9A"/>
    <w:rsid w:val="009F79E3"/>
    <w:rsid w:val="00A039D0"/>
    <w:rsid w:val="00A047DC"/>
    <w:rsid w:val="00A064C7"/>
    <w:rsid w:val="00A06C0C"/>
    <w:rsid w:val="00A06FE2"/>
    <w:rsid w:val="00A073BE"/>
    <w:rsid w:val="00A1027F"/>
    <w:rsid w:val="00A1037D"/>
    <w:rsid w:val="00A1099E"/>
    <w:rsid w:val="00A1248E"/>
    <w:rsid w:val="00A12C35"/>
    <w:rsid w:val="00A131A8"/>
    <w:rsid w:val="00A141AE"/>
    <w:rsid w:val="00A14533"/>
    <w:rsid w:val="00A15975"/>
    <w:rsid w:val="00A15ED1"/>
    <w:rsid w:val="00A16691"/>
    <w:rsid w:val="00A17A43"/>
    <w:rsid w:val="00A17BDC"/>
    <w:rsid w:val="00A20875"/>
    <w:rsid w:val="00A22CEF"/>
    <w:rsid w:val="00A238BA"/>
    <w:rsid w:val="00A23998"/>
    <w:rsid w:val="00A23EE5"/>
    <w:rsid w:val="00A24715"/>
    <w:rsid w:val="00A24B6F"/>
    <w:rsid w:val="00A256E3"/>
    <w:rsid w:val="00A26709"/>
    <w:rsid w:val="00A27CA5"/>
    <w:rsid w:val="00A305F1"/>
    <w:rsid w:val="00A30E45"/>
    <w:rsid w:val="00A31EA2"/>
    <w:rsid w:val="00A32013"/>
    <w:rsid w:val="00A329BB"/>
    <w:rsid w:val="00A32B14"/>
    <w:rsid w:val="00A34799"/>
    <w:rsid w:val="00A361C6"/>
    <w:rsid w:val="00A3685E"/>
    <w:rsid w:val="00A36D40"/>
    <w:rsid w:val="00A41D31"/>
    <w:rsid w:val="00A44B68"/>
    <w:rsid w:val="00A44EA7"/>
    <w:rsid w:val="00A4512D"/>
    <w:rsid w:val="00A51959"/>
    <w:rsid w:val="00A5307F"/>
    <w:rsid w:val="00A54640"/>
    <w:rsid w:val="00A54F70"/>
    <w:rsid w:val="00A56BF8"/>
    <w:rsid w:val="00A56E22"/>
    <w:rsid w:val="00A56F43"/>
    <w:rsid w:val="00A5759D"/>
    <w:rsid w:val="00A576AE"/>
    <w:rsid w:val="00A605D2"/>
    <w:rsid w:val="00A60C56"/>
    <w:rsid w:val="00A60CAA"/>
    <w:rsid w:val="00A613C5"/>
    <w:rsid w:val="00A6315F"/>
    <w:rsid w:val="00A63255"/>
    <w:rsid w:val="00A63D3A"/>
    <w:rsid w:val="00A65E44"/>
    <w:rsid w:val="00A67B2F"/>
    <w:rsid w:val="00A705AF"/>
    <w:rsid w:val="00A716C9"/>
    <w:rsid w:val="00A72A6C"/>
    <w:rsid w:val="00A72DA1"/>
    <w:rsid w:val="00A73236"/>
    <w:rsid w:val="00A73370"/>
    <w:rsid w:val="00A7362B"/>
    <w:rsid w:val="00A7437D"/>
    <w:rsid w:val="00A74E58"/>
    <w:rsid w:val="00A77814"/>
    <w:rsid w:val="00A81114"/>
    <w:rsid w:val="00A81F92"/>
    <w:rsid w:val="00A83B36"/>
    <w:rsid w:val="00A83EE1"/>
    <w:rsid w:val="00A83FA8"/>
    <w:rsid w:val="00A8493A"/>
    <w:rsid w:val="00A84C47"/>
    <w:rsid w:val="00A84F48"/>
    <w:rsid w:val="00A8569A"/>
    <w:rsid w:val="00A861FE"/>
    <w:rsid w:val="00A86C15"/>
    <w:rsid w:val="00A879AA"/>
    <w:rsid w:val="00A90EF7"/>
    <w:rsid w:val="00A918C6"/>
    <w:rsid w:val="00A91DBB"/>
    <w:rsid w:val="00A9307D"/>
    <w:rsid w:val="00A94315"/>
    <w:rsid w:val="00A95130"/>
    <w:rsid w:val="00A966D5"/>
    <w:rsid w:val="00AA40C7"/>
    <w:rsid w:val="00AA4BD9"/>
    <w:rsid w:val="00AB0D7F"/>
    <w:rsid w:val="00AB1F1A"/>
    <w:rsid w:val="00AB2765"/>
    <w:rsid w:val="00AB3279"/>
    <w:rsid w:val="00AB4B75"/>
    <w:rsid w:val="00AB56DD"/>
    <w:rsid w:val="00AB6E70"/>
    <w:rsid w:val="00AB7520"/>
    <w:rsid w:val="00AB7D96"/>
    <w:rsid w:val="00AC1C45"/>
    <w:rsid w:val="00AC1E9B"/>
    <w:rsid w:val="00AC3C0E"/>
    <w:rsid w:val="00AC4FA7"/>
    <w:rsid w:val="00AC7E38"/>
    <w:rsid w:val="00AD36D7"/>
    <w:rsid w:val="00AD3DCB"/>
    <w:rsid w:val="00AD446A"/>
    <w:rsid w:val="00AD6840"/>
    <w:rsid w:val="00AD6A43"/>
    <w:rsid w:val="00AD7E50"/>
    <w:rsid w:val="00AD7F14"/>
    <w:rsid w:val="00AE092E"/>
    <w:rsid w:val="00AE1358"/>
    <w:rsid w:val="00AE276A"/>
    <w:rsid w:val="00AE293C"/>
    <w:rsid w:val="00AE2EDC"/>
    <w:rsid w:val="00AE33D6"/>
    <w:rsid w:val="00AE4B4C"/>
    <w:rsid w:val="00AE5415"/>
    <w:rsid w:val="00AE607A"/>
    <w:rsid w:val="00AE6A3F"/>
    <w:rsid w:val="00AE6FE7"/>
    <w:rsid w:val="00AE72B2"/>
    <w:rsid w:val="00AF074B"/>
    <w:rsid w:val="00AF13CB"/>
    <w:rsid w:val="00AF18ED"/>
    <w:rsid w:val="00AF382C"/>
    <w:rsid w:val="00AF4CF7"/>
    <w:rsid w:val="00AF6317"/>
    <w:rsid w:val="00AF7DD5"/>
    <w:rsid w:val="00B00E4F"/>
    <w:rsid w:val="00B01424"/>
    <w:rsid w:val="00B035DC"/>
    <w:rsid w:val="00B03D7F"/>
    <w:rsid w:val="00B058D4"/>
    <w:rsid w:val="00B05F80"/>
    <w:rsid w:val="00B07C00"/>
    <w:rsid w:val="00B12731"/>
    <w:rsid w:val="00B14B6B"/>
    <w:rsid w:val="00B14C80"/>
    <w:rsid w:val="00B154B4"/>
    <w:rsid w:val="00B1592B"/>
    <w:rsid w:val="00B161D1"/>
    <w:rsid w:val="00B16F13"/>
    <w:rsid w:val="00B2012E"/>
    <w:rsid w:val="00B212E1"/>
    <w:rsid w:val="00B21DD4"/>
    <w:rsid w:val="00B220F6"/>
    <w:rsid w:val="00B22759"/>
    <w:rsid w:val="00B22FBA"/>
    <w:rsid w:val="00B25D1D"/>
    <w:rsid w:val="00B26157"/>
    <w:rsid w:val="00B27072"/>
    <w:rsid w:val="00B31D0A"/>
    <w:rsid w:val="00B32444"/>
    <w:rsid w:val="00B34FCA"/>
    <w:rsid w:val="00B353FB"/>
    <w:rsid w:val="00B35F23"/>
    <w:rsid w:val="00B3691D"/>
    <w:rsid w:val="00B373FB"/>
    <w:rsid w:val="00B37753"/>
    <w:rsid w:val="00B40372"/>
    <w:rsid w:val="00B42851"/>
    <w:rsid w:val="00B44104"/>
    <w:rsid w:val="00B449AB"/>
    <w:rsid w:val="00B45A9F"/>
    <w:rsid w:val="00B4632E"/>
    <w:rsid w:val="00B474DE"/>
    <w:rsid w:val="00B4771F"/>
    <w:rsid w:val="00B4778F"/>
    <w:rsid w:val="00B50F59"/>
    <w:rsid w:val="00B51DAD"/>
    <w:rsid w:val="00B52A32"/>
    <w:rsid w:val="00B53A59"/>
    <w:rsid w:val="00B56B33"/>
    <w:rsid w:val="00B56E4D"/>
    <w:rsid w:val="00B577AF"/>
    <w:rsid w:val="00B57C34"/>
    <w:rsid w:val="00B60099"/>
    <w:rsid w:val="00B6085C"/>
    <w:rsid w:val="00B617CC"/>
    <w:rsid w:val="00B61F88"/>
    <w:rsid w:val="00B621AD"/>
    <w:rsid w:val="00B62DA7"/>
    <w:rsid w:val="00B63AEE"/>
    <w:rsid w:val="00B649A2"/>
    <w:rsid w:val="00B64AA7"/>
    <w:rsid w:val="00B6563D"/>
    <w:rsid w:val="00B66295"/>
    <w:rsid w:val="00B6711C"/>
    <w:rsid w:val="00B67707"/>
    <w:rsid w:val="00B701B6"/>
    <w:rsid w:val="00B70EF2"/>
    <w:rsid w:val="00B71B65"/>
    <w:rsid w:val="00B7316A"/>
    <w:rsid w:val="00B732A9"/>
    <w:rsid w:val="00B75104"/>
    <w:rsid w:val="00B8091A"/>
    <w:rsid w:val="00B8103C"/>
    <w:rsid w:val="00B81EDD"/>
    <w:rsid w:val="00B8529F"/>
    <w:rsid w:val="00B86260"/>
    <w:rsid w:val="00B9107B"/>
    <w:rsid w:val="00B930A7"/>
    <w:rsid w:val="00B953CE"/>
    <w:rsid w:val="00B95450"/>
    <w:rsid w:val="00B95A3A"/>
    <w:rsid w:val="00B95FB7"/>
    <w:rsid w:val="00B9632D"/>
    <w:rsid w:val="00BA0C30"/>
    <w:rsid w:val="00BA218F"/>
    <w:rsid w:val="00BA3882"/>
    <w:rsid w:val="00BA6063"/>
    <w:rsid w:val="00BA61C8"/>
    <w:rsid w:val="00BB0993"/>
    <w:rsid w:val="00BB0A6A"/>
    <w:rsid w:val="00BB1318"/>
    <w:rsid w:val="00BB14B0"/>
    <w:rsid w:val="00BB17C2"/>
    <w:rsid w:val="00BB26EA"/>
    <w:rsid w:val="00BB2928"/>
    <w:rsid w:val="00BB548A"/>
    <w:rsid w:val="00BB5BB5"/>
    <w:rsid w:val="00BB5CF2"/>
    <w:rsid w:val="00BB71AE"/>
    <w:rsid w:val="00BC1E0E"/>
    <w:rsid w:val="00BC2C72"/>
    <w:rsid w:val="00BC306A"/>
    <w:rsid w:val="00BC587F"/>
    <w:rsid w:val="00BC6164"/>
    <w:rsid w:val="00BD1258"/>
    <w:rsid w:val="00BD1651"/>
    <w:rsid w:val="00BD21CF"/>
    <w:rsid w:val="00BD28C6"/>
    <w:rsid w:val="00BD34B9"/>
    <w:rsid w:val="00BD47C3"/>
    <w:rsid w:val="00BD48BD"/>
    <w:rsid w:val="00BD526C"/>
    <w:rsid w:val="00BD587E"/>
    <w:rsid w:val="00BD687B"/>
    <w:rsid w:val="00BD75A1"/>
    <w:rsid w:val="00BD7A79"/>
    <w:rsid w:val="00BD7EEB"/>
    <w:rsid w:val="00BE057B"/>
    <w:rsid w:val="00BE0A1E"/>
    <w:rsid w:val="00BE1817"/>
    <w:rsid w:val="00BE1BDC"/>
    <w:rsid w:val="00BE2BDB"/>
    <w:rsid w:val="00BE303A"/>
    <w:rsid w:val="00BE34AD"/>
    <w:rsid w:val="00BE49B1"/>
    <w:rsid w:val="00BE5BB8"/>
    <w:rsid w:val="00BE6A72"/>
    <w:rsid w:val="00BF1BEB"/>
    <w:rsid w:val="00BF3AF6"/>
    <w:rsid w:val="00BF45DE"/>
    <w:rsid w:val="00BF5CF9"/>
    <w:rsid w:val="00BF7F40"/>
    <w:rsid w:val="00C026F1"/>
    <w:rsid w:val="00C046C7"/>
    <w:rsid w:val="00C05E33"/>
    <w:rsid w:val="00C06D51"/>
    <w:rsid w:val="00C07D35"/>
    <w:rsid w:val="00C1141E"/>
    <w:rsid w:val="00C127B0"/>
    <w:rsid w:val="00C1397D"/>
    <w:rsid w:val="00C1471B"/>
    <w:rsid w:val="00C14915"/>
    <w:rsid w:val="00C20105"/>
    <w:rsid w:val="00C239CA"/>
    <w:rsid w:val="00C24A83"/>
    <w:rsid w:val="00C254F4"/>
    <w:rsid w:val="00C264FC"/>
    <w:rsid w:val="00C30B0A"/>
    <w:rsid w:val="00C35F73"/>
    <w:rsid w:val="00C4062C"/>
    <w:rsid w:val="00C40E4B"/>
    <w:rsid w:val="00C41748"/>
    <w:rsid w:val="00C4267A"/>
    <w:rsid w:val="00C465F0"/>
    <w:rsid w:val="00C471A2"/>
    <w:rsid w:val="00C50D1E"/>
    <w:rsid w:val="00C51002"/>
    <w:rsid w:val="00C52E11"/>
    <w:rsid w:val="00C52ECC"/>
    <w:rsid w:val="00C541D2"/>
    <w:rsid w:val="00C54CA5"/>
    <w:rsid w:val="00C56FCE"/>
    <w:rsid w:val="00C621BA"/>
    <w:rsid w:val="00C629B2"/>
    <w:rsid w:val="00C64C34"/>
    <w:rsid w:val="00C64CDB"/>
    <w:rsid w:val="00C652E6"/>
    <w:rsid w:val="00C65DAE"/>
    <w:rsid w:val="00C6607D"/>
    <w:rsid w:val="00C66DCE"/>
    <w:rsid w:val="00C7199E"/>
    <w:rsid w:val="00C71F51"/>
    <w:rsid w:val="00C746BE"/>
    <w:rsid w:val="00C74EF8"/>
    <w:rsid w:val="00C755DF"/>
    <w:rsid w:val="00C75D6C"/>
    <w:rsid w:val="00C7612A"/>
    <w:rsid w:val="00C77851"/>
    <w:rsid w:val="00C80B8B"/>
    <w:rsid w:val="00C815B4"/>
    <w:rsid w:val="00C8163C"/>
    <w:rsid w:val="00C81738"/>
    <w:rsid w:val="00C81FF1"/>
    <w:rsid w:val="00C82DA8"/>
    <w:rsid w:val="00C83D86"/>
    <w:rsid w:val="00C843C1"/>
    <w:rsid w:val="00C84941"/>
    <w:rsid w:val="00C85F94"/>
    <w:rsid w:val="00C878A7"/>
    <w:rsid w:val="00C9044F"/>
    <w:rsid w:val="00C9112D"/>
    <w:rsid w:val="00C93A66"/>
    <w:rsid w:val="00C93B46"/>
    <w:rsid w:val="00C93BED"/>
    <w:rsid w:val="00C93D76"/>
    <w:rsid w:val="00C94798"/>
    <w:rsid w:val="00C956E3"/>
    <w:rsid w:val="00C95866"/>
    <w:rsid w:val="00CA0839"/>
    <w:rsid w:val="00CA245D"/>
    <w:rsid w:val="00CA4607"/>
    <w:rsid w:val="00CA4B41"/>
    <w:rsid w:val="00CA4B8F"/>
    <w:rsid w:val="00CA63F2"/>
    <w:rsid w:val="00CA68DB"/>
    <w:rsid w:val="00CA717B"/>
    <w:rsid w:val="00CB045C"/>
    <w:rsid w:val="00CB0EB8"/>
    <w:rsid w:val="00CB0FB5"/>
    <w:rsid w:val="00CB17BA"/>
    <w:rsid w:val="00CB1D52"/>
    <w:rsid w:val="00CB31E3"/>
    <w:rsid w:val="00CB502C"/>
    <w:rsid w:val="00CB5B1A"/>
    <w:rsid w:val="00CB626B"/>
    <w:rsid w:val="00CB696C"/>
    <w:rsid w:val="00CB6C04"/>
    <w:rsid w:val="00CB7973"/>
    <w:rsid w:val="00CC032B"/>
    <w:rsid w:val="00CC26B3"/>
    <w:rsid w:val="00CC29DC"/>
    <w:rsid w:val="00CC4706"/>
    <w:rsid w:val="00CC56C1"/>
    <w:rsid w:val="00CC74FC"/>
    <w:rsid w:val="00CC7D85"/>
    <w:rsid w:val="00CC7FB4"/>
    <w:rsid w:val="00CD1795"/>
    <w:rsid w:val="00CD3048"/>
    <w:rsid w:val="00CD3B1D"/>
    <w:rsid w:val="00CD3D25"/>
    <w:rsid w:val="00CD54FA"/>
    <w:rsid w:val="00CD63A6"/>
    <w:rsid w:val="00CD78B6"/>
    <w:rsid w:val="00CD7ED3"/>
    <w:rsid w:val="00CE0807"/>
    <w:rsid w:val="00CE1415"/>
    <w:rsid w:val="00CE21C5"/>
    <w:rsid w:val="00CE2479"/>
    <w:rsid w:val="00CE4491"/>
    <w:rsid w:val="00CE5647"/>
    <w:rsid w:val="00CE64D1"/>
    <w:rsid w:val="00CE6D7D"/>
    <w:rsid w:val="00CE7466"/>
    <w:rsid w:val="00CF0833"/>
    <w:rsid w:val="00CF13D2"/>
    <w:rsid w:val="00CF18AF"/>
    <w:rsid w:val="00CF2B5D"/>
    <w:rsid w:val="00CF3C0E"/>
    <w:rsid w:val="00CF3E5E"/>
    <w:rsid w:val="00CF4C20"/>
    <w:rsid w:val="00CF4C74"/>
    <w:rsid w:val="00CF54D5"/>
    <w:rsid w:val="00CF66EF"/>
    <w:rsid w:val="00CF7463"/>
    <w:rsid w:val="00CF78D5"/>
    <w:rsid w:val="00CF7FDF"/>
    <w:rsid w:val="00D01DA3"/>
    <w:rsid w:val="00D01EFC"/>
    <w:rsid w:val="00D02CA1"/>
    <w:rsid w:val="00D02CDA"/>
    <w:rsid w:val="00D03349"/>
    <w:rsid w:val="00D04E02"/>
    <w:rsid w:val="00D05D8D"/>
    <w:rsid w:val="00D05FDF"/>
    <w:rsid w:val="00D07022"/>
    <w:rsid w:val="00D076FE"/>
    <w:rsid w:val="00D07C41"/>
    <w:rsid w:val="00D11823"/>
    <w:rsid w:val="00D120B1"/>
    <w:rsid w:val="00D12D53"/>
    <w:rsid w:val="00D13B7B"/>
    <w:rsid w:val="00D153EC"/>
    <w:rsid w:val="00D15687"/>
    <w:rsid w:val="00D15F68"/>
    <w:rsid w:val="00D165B9"/>
    <w:rsid w:val="00D165BD"/>
    <w:rsid w:val="00D16CB2"/>
    <w:rsid w:val="00D21965"/>
    <w:rsid w:val="00D229D9"/>
    <w:rsid w:val="00D23586"/>
    <w:rsid w:val="00D2379C"/>
    <w:rsid w:val="00D240C8"/>
    <w:rsid w:val="00D25331"/>
    <w:rsid w:val="00D265B5"/>
    <w:rsid w:val="00D2695A"/>
    <w:rsid w:val="00D27AEE"/>
    <w:rsid w:val="00D301A4"/>
    <w:rsid w:val="00D31959"/>
    <w:rsid w:val="00D3281A"/>
    <w:rsid w:val="00D32B7E"/>
    <w:rsid w:val="00D33AB5"/>
    <w:rsid w:val="00D35549"/>
    <w:rsid w:val="00D35AF0"/>
    <w:rsid w:val="00D415F2"/>
    <w:rsid w:val="00D43A80"/>
    <w:rsid w:val="00D44EAF"/>
    <w:rsid w:val="00D50367"/>
    <w:rsid w:val="00D518BA"/>
    <w:rsid w:val="00D51D9D"/>
    <w:rsid w:val="00D52910"/>
    <w:rsid w:val="00D5340D"/>
    <w:rsid w:val="00D53B19"/>
    <w:rsid w:val="00D54464"/>
    <w:rsid w:val="00D54F3B"/>
    <w:rsid w:val="00D57216"/>
    <w:rsid w:val="00D61A90"/>
    <w:rsid w:val="00D630A0"/>
    <w:rsid w:val="00D6678B"/>
    <w:rsid w:val="00D67429"/>
    <w:rsid w:val="00D67E5B"/>
    <w:rsid w:val="00D67EAA"/>
    <w:rsid w:val="00D716AF"/>
    <w:rsid w:val="00D72B7F"/>
    <w:rsid w:val="00D72ED3"/>
    <w:rsid w:val="00D73004"/>
    <w:rsid w:val="00D730B7"/>
    <w:rsid w:val="00D73866"/>
    <w:rsid w:val="00D7447C"/>
    <w:rsid w:val="00D76C49"/>
    <w:rsid w:val="00D77E26"/>
    <w:rsid w:val="00D80150"/>
    <w:rsid w:val="00D8087E"/>
    <w:rsid w:val="00D8091A"/>
    <w:rsid w:val="00D817FF"/>
    <w:rsid w:val="00D82FFA"/>
    <w:rsid w:val="00D83214"/>
    <w:rsid w:val="00D836B4"/>
    <w:rsid w:val="00D83F58"/>
    <w:rsid w:val="00D84060"/>
    <w:rsid w:val="00D8560C"/>
    <w:rsid w:val="00D90775"/>
    <w:rsid w:val="00D91264"/>
    <w:rsid w:val="00D94B8F"/>
    <w:rsid w:val="00D95309"/>
    <w:rsid w:val="00D954B4"/>
    <w:rsid w:val="00D95C6F"/>
    <w:rsid w:val="00D9602C"/>
    <w:rsid w:val="00D97F04"/>
    <w:rsid w:val="00DA18F1"/>
    <w:rsid w:val="00DA2B4D"/>
    <w:rsid w:val="00DA32EB"/>
    <w:rsid w:val="00DA4008"/>
    <w:rsid w:val="00DA42E3"/>
    <w:rsid w:val="00DA5F08"/>
    <w:rsid w:val="00DA63E9"/>
    <w:rsid w:val="00DA76F5"/>
    <w:rsid w:val="00DB05B8"/>
    <w:rsid w:val="00DB060C"/>
    <w:rsid w:val="00DB167A"/>
    <w:rsid w:val="00DB32EC"/>
    <w:rsid w:val="00DB3BF5"/>
    <w:rsid w:val="00DB3D8E"/>
    <w:rsid w:val="00DB42E4"/>
    <w:rsid w:val="00DB5AA1"/>
    <w:rsid w:val="00DB7709"/>
    <w:rsid w:val="00DC0A26"/>
    <w:rsid w:val="00DC0D44"/>
    <w:rsid w:val="00DC0FE1"/>
    <w:rsid w:val="00DC123E"/>
    <w:rsid w:val="00DC361A"/>
    <w:rsid w:val="00DC3857"/>
    <w:rsid w:val="00DC501D"/>
    <w:rsid w:val="00DC7522"/>
    <w:rsid w:val="00DC77BF"/>
    <w:rsid w:val="00DD0F71"/>
    <w:rsid w:val="00DD22B1"/>
    <w:rsid w:val="00DD2421"/>
    <w:rsid w:val="00DD2CB7"/>
    <w:rsid w:val="00DD2E3B"/>
    <w:rsid w:val="00DD2F52"/>
    <w:rsid w:val="00DD3D9C"/>
    <w:rsid w:val="00DD4EE1"/>
    <w:rsid w:val="00DD5445"/>
    <w:rsid w:val="00DD71A0"/>
    <w:rsid w:val="00DE153D"/>
    <w:rsid w:val="00DE1AA4"/>
    <w:rsid w:val="00DE2EBD"/>
    <w:rsid w:val="00DE310D"/>
    <w:rsid w:val="00DE5566"/>
    <w:rsid w:val="00DE6A6F"/>
    <w:rsid w:val="00DE6A99"/>
    <w:rsid w:val="00DE75EC"/>
    <w:rsid w:val="00DE7CE3"/>
    <w:rsid w:val="00DF008F"/>
    <w:rsid w:val="00DF21A4"/>
    <w:rsid w:val="00DF3326"/>
    <w:rsid w:val="00DF3A5D"/>
    <w:rsid w:val="00DF3C6C"/>
    <w:rsid w:val="00DF57EC"/>
    <w:rsid w:val="00DF5A40"/>
    <w:rsid w:val="00E006BE"/>
    <w:rsid w:val="00E01241"/>
    <w:rsid w:val="00E01613"/>
    <w:rsid w:val="00E019C9"/>
    <w:rsid w:val="00E01D88"/>
    <w:rsid w:val="00E022B3"/>
    <w:rsid w:val="00E034F8"/>
    <w:rsid w:val="00E039E2"/>
    <w:rsid w:val="00E03D09"/>
    <w:rsid w:val="00E04AE7"/>
    <w:rsid w:val="00E051A9"/>
    <w:rsid w:val="00E0601D"/>
    <w:rsid w:val="00E07529"/>
    <w:rsid w:val="00E10A1B"/>
    <w:rsid w:val="00E11379"/>
    <w:rsid w:val="00E12457"/>
    <w:rsid w:val="00E139A6"/>
    <w:rsid w:val="00E1504E"/>
    <w:rsid w:val="00E152E3"/>
    <w:rsid w:val="00E15CFB"/>
    <w:rsid w:val="00E16D2B"/>
    <w:rsid w:val="00E16E10"/>
    <w:rsid w:val="00E170DA"/>
    <w:rsid w:val="00E17C39"/>
    <w:rsid w:val="00E2000F"/>
    <w:rsid w:val="00E207D6"/>
    <w:rsid w:val="00E22359"/>
    <w:rsid w:val="00E226B6"/>
    <w:rsid w:val="00E22B34"/>
    <w:rsid w:val="00E23393"/>
    <w:rsid w:val="00E23ED5"/>
    <w:rsid w:val="00E242D6"/>
    <w:rsid w:val="00E24307"/>
    <w:rsid w:val="00E24A06"/>
    <w:rsid w:val="00E24B47"/>
    <w:rsid w:val="00E25E09"/>
    <w:rsid w:val="00E26778"/>
    <w:rsid w:val="00E26AA7"/>
    <w:rsid w:val="00E33161"/>
    <w:rsid w:val="00E33D2C"/>
    <w:rsid w:val="00E341B1"/>
    <w:rsid w:val="00E34E15"/>
    <w:rsid w:val="00E35B73"/>
    <w:rsid w:val="00E361C4"/>
    <w:rsid w:val="00E3639C"/>
    <w:rsid w:val="00E36CE4"/>
    <w:rsid w:val="00E372B9"/>
    <w:rsid w:val="00E372C0"/>
    <w:rsid w:val="00E37341"/>
    <w:rsid w:val="00E37947"/>
    <w:rsid w:val="00E403BF"/>
    <w:rsid w:val="00E4116C"/>
    <w:rsid w:val="00E427A9"/>
    <w:rsid w:val="00E43661"/>
    <w:rsid w:val="00E43EAD"/>
    <w:rsid w:val="00E4486B"/>
    <w:rsid w:val="00E452FB"/>
    <w:rsid w:val="00E46545"/>
    <w:rsid w:val="00E46EC3"/>
    <w:rsid w:val="00E50F58"/>
    <w:rsid w:val="00E52011"/>
    <w:rsid w:val="00E5345D"/>
    <w:rsid w:val="00E53611"/>
    <w:rsid w:val="00E538EF"/>
    <w:rsid w:val="00E54CA6"/>
    <w:rsid w:val="00E5529E"/>
    <w:rsid w:val="00E55A1F"/>
    <w:rsid w:val="00E55CF0"/>
    <w:rsid w:val="00E568A0"/>
    <w:rsid w:val="00E57CC4"/>
    <w:rsid w:val="00E61228"/>
    <w:rsid w:val="00E6267B"/>
    <w:rsid w:val="00E62E7F"/>
    <w:rsid w:val="00E635A4"/>
    <w:rsid w:val="00E64884"/>
    <w:rsid w:val="00E64B9B"/>
    <w:rsid w:val="00E65677"/>
    <w:rsid w:val="00E6691C"/>
    <w:rsid w:val="00E66E12"/>
    <w:rsid w:val="00E66E36"/>
    <w:rsid w:val="00E6706D"/>
    <w:rsid w:val="00E6732E"/>
    <w:rsid w:val="00E71A03"/>
    <w:rsid w:val="00E728FD"/>
    <w:rsid w:val="00E749AB"/>
    <w:rsid w:val="00E75D63"/>
    <w:rsid w:val="00E75E12"/>
    <w:rsid w:val="00E776BA"/>
    <w:rsid w:val="00E80A38"/>
    <w:rsid w:val="00E82352"/>
    <w:rsid w:val="00E827DF"/>
    <w:rsid w:val="00E82B10"/>
    <w:rsid w:val="00E82BEA"/>
    <w:rsid w:val="00E84722"/>
    <w:rsid w:val="00E86DFB"/>
    <w:rsid w:val="00E87CFE"/>
    <w:rsid w:val="00E90157"/>
    <w:rsid w:val="00E91513"/>
    <w:rsid w:val="00E9374C"/>
    <w:rsid w:val="00E940E6"/>
    <w:rsid w:val="00E966DE"/>
    <w:rsid w:val="00E96E88"/>
    <w:rsid w:val="00EA03EF"/>
    <w:rsid w:val="00EA1888"/>
    <w:rsid w:val="00EA3EA2"/>
    <w:rsid w:val="00EA4412"/>
    <w:rsid w:val="00EA569B"/>
    <w:rsid w:val="00EA63F5"/>
    <w:rsid w:val="00EA64CB"/>
    <w:rsid w:val="00EA7D46"/>
    <w:rsid w:val="00EA7E1C"/>
    <w:rsid w:val="00EB0987"/>
    <w:rsid w:val="00EB309A"/>
    <w:rsid w:val="00EB60C6"/>
    <w:rsid w:val="00EC0C1C"/>
    <w:rsid w:val="00EC150D"/>
    <w:rsid w:val="00EC2A11"/>
    <w:rsid w:val="00EC44C4"/>
    <w:rsid w:val="00EC4F30"/>
    <w:rsid w:val="00EC5DD1"/>
    <w:rsid w:val="00EC7056"/>
    <w:rsid w:val="00ED063B"/>
    <w:rsid w:val="00ED18B4"/>
    <w:rsid w:val="00ED3D70"/>
    <w:rsid w:val="00ED3F7C"/>
    <w:rsid w:val="00ED47BC"/>
    <w:rsid w:val="00ED4817"/>
    <w:rsid w:val="00ED494A"/>
    <w:rsid w:val="00ED5B38"/>
    <w:rsid w:val="00ED5E73"/>
    <w:rsid w:val="00ED717D"/>
    <w:rsid w:val="00ED73C7"/>
    <w:rsid w:val="00EE36C8"/>
    <w:rsid w:val="00EE3E50"/>
    <w:rsid w:val="00EE6643"/>
    <w:rsid w:val="00EE74E0"/>
    <w:rsid w:val="00EE78E3"/>
    <w:rsid w:val="00EF0803"/>
    <w:rsid w:val="00EF144E"/>
    <w:rsid w:val="00EF1EBA"/>
    <w:rsid w:val="00EF4B2C"/>
    <w:rsid w:val="00EF5267"/>
    <w:rsid w:val="00EF5C89"/>
    <w:rsid w:val="00EF5F30"/>
    <w:rsid w:val="00F00731"/>
    <w:rsid w:val="00F007FA"/>
    <w:rsid w:val="00F0418D"/>
    <w:rsid w:val="00F0543A"/>
    <w:rsid w:val="00F065CE"/>
    <w:rsid w:val="00F06FF0"/>
    <w:rsid w:val="00F07473"/>
    <w:rsid w:val="00F077F2"/>
    <w:rsid w:val="00F07F98"/>
    <w:rsid w:val="00F10766"/>
    <w:rsid w:val="00F1128A"/>
    <w:rsid w:val="00F114F0"/>
    <w:rsid w:val="00F1412D"/>
    <w:rsid w:val="00F14692"/>
    <w:rsid w:val="00F159C0"/>
    <w:rsid w:val="00F16E38"/>
    <w:rsid w:val="00F1765A"/>
    <w:rsid w:val="00F176B8"/>
    <w:rsid w:val="00F21734"/>
    <w:rsid w:val="00F21E49"/>
    <w:rsid w:val="00F22EA1"/>
    <w:rsid w:val="00F236D9"/>
    <w:rsid w:val="00F23825"/>
    <w:rsid w:val="00F248F9"/>
    <w:rsid w:val="00F24EA3"/>
    <w:rsid w:val="00F24F94"/>
    <w:rsid w:val="00F257FC"/>
    <w:rsid w:val="00F25A78"/>
    <w:rsid w:val="00F25EF3"/>
    <w:rsid w:val="00F2611D"/>
    <w:rsid w:val="00F27083"/>
    <w:rsid w:val="00F272E4"/>
    <w:rsid w:val="00F32174"/>
    <w:rsid w:val="00F325B4"/>
    <w:rsid w:val="00F3317C"/>
    <w:rsid w:val="00F33915"/>
    <w:rsid w:val="00F33951"/>
    <w:rsid w:val="00F4064D"/>
    <w:rsid w:val="00F414FD"/>
    <w:rsid w:val="00F415DA"/>
    <w:rsid w:val="00F419A8"/>
    <w:rsid w:val="00F433B2"/>
    <w:rsid w:val="00F43B2D"/>
    <w:rsid w:val="00F44825"/>
    <w:rsid w:val="00F44A5F"/>
    <w:rsid w:val="00F44E54"/>
    <w:rsid w:val="00F45F0B"/>
    <w:rsid w:val="00F46596"/>
    <w:rsid w:val="00F477A0"/>
    <w:rsid w:val="00F53BEB"/>
    <w:rsid w:val="00F54104"/>
    <w:rsid w:val="00F55738"/>
    <w:rsid w:val="00F57AAC"/>
    <w:rsid w:val="00F60013"/>
    <w:rsid w:val="00F60083"/>
    <w:rsid w:val="00F700F8"/>
    <w:rsid w:val="00F70482"/>
    <w:rsid w:val="00F706EA"/>
    <w:rsid w:val="00F70C9F"/>
    <w:rsid w:val="00F71544"/>
    <w:rsid w:val="00F732B5"/>
    <w:rsid w:val="00F757E5"/>
    <w:rsid w:val="00F76CB0"/>
    <w:rsid w:val="00F83071"/>
    <w:rsid w:val="00F835B4"/>
    <w:rsid w:val="00F83624"/>
    <w:rsid w:val="00F83FBE"/>
    <w:rsid w:val="00F84923"/>
    <w:rsid w:val="00F86328"/>
    <w:rsid w:val="00F90FAD"/>
    <w:rsid w:val="00F918CE"/>
    <w:rsid w:val="00F9406A"/>
    <w:rsid w:val="00F94865"/>
    <w:rsid w:val="00F9499D"/>
    <w:rsid w:val="00F95306"/>
    <w:rsid w:val="00F95D69"/>
    <w:rsid w:val="00F95EA6"/>
    <w:rsid w:val="00F96278"/>
    <w:rsid w:val="00F975B6"/>
    <w:rsid w:val="00F97D5F"/>
    <w:rsid w:val="00FA0EC5"/>
    <w:rsid w:val="00FA1519"/>
    <w:rsid w:val="00FA3C1C"/>
    <w:rsid w:val="00FA3FBF"/>
    <w:rsid w:val="00FA498C"/>
    <w:rsid w:val="00FA563E"/>
    <w:rsid w:val="00FA5B62"/>
    <w:rsid w:val="00FA638D"/>
    <w:rsid w:val="00FB01D6"/>
    <w:rsid w:val="00FB7B75"/>
    <w:rsid w:val="00FC0406"/>
    <w:rsid w:val="00FC20EF"/>
    <w:rsid w:val="00FC2D35"/>
    <w:rsid w:val="00FC313A"/>
    <w:rsid w:val="00FC36CF"/>
    <w:rsid w:val="00FC46DB"/>
    <w:rsid w:val="00FC5B8F"/>
    <w:rsid w:val="00FC5BA7"/>
    <w:rsid w:val="00FC6863"/>
    <w:rsid w:val="00FC715E"/>
    <w:rsid w:val="00FD21B6"/>
    <w:rsid w:val="00FD26E0"/>
    <w:rsid w:val="00FD309D"/>
    <w:rsid w:val="00FD3A13"/>
    <w:rsid w:val="00FD3C50"/>
    <w:rsid w:val="00FD4189"/>
    <w:rsid w:val="00FD460B"/>
    <w:rsid w:val="00FD50E8"/>
    <w:rsid w:val="00FD5533"/>
    <w:rsid w:val="00FD6C55"/>
    <w:rsid w:val="00FE0021"/>
    <w:rsid w:val="00FE0345"/>
    <w:rsid w:val="00FE08EA"/>
    <w:rsid w:val="00FE40A6"/>
    <w:rsid w:val="00FE5252"/>
    <w:rsid w:val="00FE62B0"/>
    <w:rsid w:val="00FE715D"/>
    <w:rsid w:val="00FE73A7"/>
    <w:rsid w:val="00FE7F08"/>
    <w:rsid w:val="00FF3C87"/>
    <w:rsid w:val="00FF4AB1"/>
    <w:rsid w:val="00FF5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D6FD9D9"/>
  <w15:docId w15:val="{3E511603-BB46-4F36-B6FC-CA98C931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3AA"/>
    <w:pPr>
      <w:spacing w:before="120" w:after="120" w:line="240" w:lineRule="auto"/>
    </w:pPr>
  </w:style>
  <w:style w:type="paragraph" w:styleId="Heading1">
    <w:name w:val="heading 1"/>
    <w:aliases w:val="Heading 1 numbered"/>
    <w:basedOn w:val="Normal"/>
    <w:next w:val="Normal"/>
    <w:link w:val="Heading1Char"/>
    <w:uiPriority w:val="9"/>
    <w:qFormat/>
    <w:rsid w:val="00A23998"/>
    <w:pPr>
      <w:keepNext/>
      <w:keepLines/>
      <w:numPr>
        <w:numId w:val="16"/>
      </w:numPr>
      <w:spacing w:before="160" w:after="40"/>
      <w:outlineLvl w:val="0"/>
    </w:pPr>
    <w:rPr>
      <w:rFonts w:asciiTheme="majorHAnsi" w:eastAsiaTheme="majorEastAsia" w:hAnsiTheme="majorHAnsi" w:cstheme="majorBidi"/>
      <w:color w:val="215E6A" w:themeColor="accent1" w:themeShade="80"/>
      <w:sz w:val="36"/>
      <w:szCs w:val="36"/>
    </w:rPr>
  </w:style>
  <w:style w:type="paragraph" w:styleId="Heading2">
    <w:name w:val="heading 2"/>
    <w:basedOn w:val="Normal"/>
    <w:next w:val="Normal"/>
    <w:link w:val="Heading2Char"/>
    <w:uiPriority w:val="9"/>
    <w:unhideWhenUsed/>
    <w:qFormat/>
    <w:rsid w:val="00CB696C"/>
    <w:pPr>
      <w:keepNext/>
      <w:keepLines/>
      <w:numPr>
        <w:ilvl w:val="1"/>
        <w:numId w:val="16"/>
      </w:numPr>
      <w:spacing w:before="160"/>
      <w:outlineLvl w:val="1"/>
    </w:pPr>
    <w:rPr>
      <w:rFonts w:asciiTheme="majorHAnsi" w:eastAsiaTheme="majorEastAsia" w:hAnsiTheme="majorHAnsi" w:cstheme="majorBidi"/>
      <w:color w:val="215E6A" w:themeColor="accent1" w:themeShade="80"/>
      <w:sz w:val="32"/>
      <w:szCs w:val="32"/>
    </w:rPr>
  </w:style>
  <w:style w:type="paragraph" w:styleId="Heading3">
    <w:name w:val="heading 3"/>
    <w:basedOn w:val="Heading2"/>
    <w:next w:val="Normal"/>
    <w:link w:val="Heading3Char"/>
    <w:uiPriority w:val="9"/>
    <w:unhideWhenUsed/>
    <w:qFormat/>
    <w:rsid w:val="00E91513"/>
    <w:pPr>
      <w:numPr>
        <w:ilvl w:val="0"/>
        <w:numId w:val="0"/>
      </w:numPr>
      <w:outlineLvl w:val="2"/>
    </w:pPr>
    <w:rPr>
      <w:sz w:val="28"/>
      <w:szCs w:val="28"/>
    </w:rPr>
  </w:style>
  <w:style w:type="paragraph" w:styleId="Heading4">
    <w:name w:val="heading 4"/>
    <w:basedOn w:val="Heading3"/>
    <w:next w:val="Normal"/>
    <w:link w:val="Heading4Char"/>
    <w:uiPriority w:val="9"/>
    <w:unhideWhenUsed/>
    <w:qFormat/>
    <w:rsid w:val="00C40E4B"/>
    <w:pPr>
      <w:spacing w:before="120" w:after="0"/>
      <w:outlineLvl w:val="3"/>
    </w:pPr>
    <w:rPr>
      <w:sz w:val="24"/>
      <w:szCs w:val="24"/>
    </w:rPr>
  </w:style>
  <w:style w:type="paragraph" w:styleId="Heading5">
    <w:name w:val="heading 5"/>
    <w:basedOn w:val="Heading4"/>
    <w:next w:val="Normal"/>
    <w:link w:val="Heading5Char"/>
    <w:uiPriority w:val="9"/>
    <w:unhideWhenUsed/>
    <w:qFormat/>
    <w:rsid w:val="00C40E4B"/>
    <w:pPr>
      <w:spacing w:before="40"/>
      <w:outlineLvl w:val="4"/>
    </w:pPr>
    <w:rPr>
      <w:color w:val="328D9F" w:themeColor="accent1" w:themeShade="BF"/>
    </w:rPr>
  </w:style>
  <w:style w:type="paragraph" w:styleId="Heading6">
    <w:name w:val="heading 6"/>
    <w:basedOn w:val="Normal"/>
    <w:next w:val="Normal"/>
    <w:link w:val="Heading6Char"/>
    <w:uiPriority w:val="9"/>
    <w:unhideWhenUsed/>
    <w:rsid w:val="00A16691"/>
    <w:pPr>
      <w:keepNext/>
      <w:keepLines/>
      <w:numPr>
        <w:ilvl w:val="5"/>
        <w:numId w:val="16"/>
      </w:numPr>
      <w:spacing w:before="40" w:after="0"/>
      <w:outlineLvl w:val="5"/>
    </w:pPr>
    <w:rPr>
      <w:rFonts w:asciiTheme="majorHAnsi" w:eastAsiaTheme="majorEastAsia" w:hAnsiTheme="majorHAnsi" w:cstheme="majorBidi"/>
      <w:i/>
      <w:iCs/>
      <w:caps/>
      <w:color w:val="215E6A" w:themeColor="accent1" w:themeShade="80"/>
    </w:rPr>
  </w:style>
  <w:style w:type="paragraph" w:styleId="Heading7">
    <w:name w:val="heading 7"/>
    <w:basedOn w:val="Normal"/>
    <w:next w:val="Normal"/>
    <w:link w:val="Heading7Char"/>
    <w:uiPriority w:val="9"/>
    <w:semiHidden/>
    <w:unhideWhenUsed/>
    <w:qFormat/>
    <w:rsid w:val="00A16691"/>
    <w:pPr>
      <w:keepNext/>
      <w:keepLines/>
      <w:numPr>
        <w:ilvl w:val="6"/>
        <w:numId w:val="16"/>
      </w:numPr>
      <w:spacing w:before="40" w:after="0"/>
      <w:outlineLvl w:val="6"/>
    </w:pPr>
    <w:rPr>
      <w:rFonts w:asciiTheme="majorHAnsi" w:eastAsiaTheme="majorEastAsia" w:hAnsiTheme="majorHAnsi" w:cstheme="majorBidi"/>
      <w:b/>
      <w:bCs/>
      <w:color w:val="215E6A" w:themeColor="accent1" w:themeShade="80"/>
    </w:rPr>
  </w:style>
  <w:style w:type="paragraph" w:styleId="Heading8">
    <w:name w:val="heading 8"/>
    <w:basedOn w:val="Normal"/>
    <w:next w:val="Normal"/>
    <w:link w:val="Heading8Char"/>
    <w:uiPriority w:val="9"/>
    <w:semiHidden/>
    <w:unhideWhenUsed/>
    <w:qFormat/>
    <w:rsid w:val="00A16691"/>
    <w:pPr>
      <w:keepNext/>
      <w:keepLines/>
      <w:numPr>
        <w:ilvl w:val="7"/>
        <w:numId w:val="16"/>
      </w:numPr>
      <w:spacing w:before="40" w:after="0"/>
      <w:outlineLvl w:val="7"/>
    </w:pPr>
    <w:rPr>
      <w:rFonts w:asciiTheme="majorHAnsi" w:eastAsiaTheme="majorEastAsia" w:hAnsiTheme="majorHAnsi" w:cstheme="majorBidi"/>
      <w:b/>
      <w:bCs/>
      <w:i/>
      <w:iCs/>
      <w:color w:val="215E6A" w:themeColor="accent1" w:themeShade="80"/>
    </w:rPr>
  </w:style>
  <w:style w:type="paragraph" w:styleId="Heading9">
    <w:name w:val="heading 9"/>
    <w:basedOn w:val="Normal"/>
    <w:next w:val="Normal"/>
    <w:link w:val="Heading9Char"/>
    <w:uiPriority w:val="9"/>
    <w:semiHidden/>
    <w:unhideWhenUsed/>
    <w:qFormat/>
    <w:rsid w:val="00A16691"/>
    <w:pPr>
      <w:keepNext/>
      <w:keepLines/>
      <w:numPr>
        <w:ilvl w:val="8"/>
        <w:numId w:val="16"/>
      </w:numPr>
      <w:spacing w:before="40" w:after="0"/>
      <w:outlineLvl w:val="8"/>
    </w:pPr>
    <w:rPr>
      <w:rFonts w:asciiTheme="majorHAnsi" w:eastAsiaTheme="majorEastAsia" w:hAnsiTheme="majorHAnsi" w:cstheme="majorBidi"/>
      <w:i/>
      <w:iCs/>
      <w:color w:val="215E6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umbered Char"/>
    <w:basedOn w:val="DefaultParagraphFont"/>
    <w:link w:val="Heading1"/>
    <w:uiPriority w:val="9"/>
    <w:rsid w:val="00A23998"/>
    <w:rPr>
      <w:rFonts w:asciiTheme="majorHAnsi" w:eastAsiaTheme="majorEastAsia" w:hAnsiTheme="majorHAnsi" w:cstheme="majorBidi"/>
      <w:color w:val="215E6A" w:themeColor="accent1" w:themeShade="80"/>
      <w:sz w:val="36"/>
      <w:szCs w:val="36"/>
    </w:rPr>
  </w:style>
  <w:style w:type="character" w:customStyle="1" w:styleId="Heading2Char">
    <w:name w:val="Heading 2 Char"/>
    <w:basedOn w:val="DefaultParagraphFont"/>
    <w:link w:val="Heading2"/>
    <w:uiPriority w:val="9"/>
    <w:rsid w:val="00CB696C"/>
    <w:rPr>
      <w:rFonts w:asciiTheme="majorHAnsi" w:eastAsiaTheme="majorEastAsia" w:hAnsiTheme="majorHAnsi" w:cstheme="majorBidi"/>
      <w:color w:val="215E6A" w:themeColor="accent1" w:themeShade="80"/>
      <w:sz w:val="32"/>
      <w:szCs w:val="32"/>
    </w:rPr>
  </w:style>
  <w:style w:type="character" w:customStyle="1" w:styleId="Heading3Char">
    <w:name w:val="Heading 3 Char"/>
    <w:basedOn w:val="DefaultParagraphFont"/>
    <w:link w:val="Heading3"/>
    <w:uiPriority w:val="9"/>
    <w:rsid w:val="00C84941"/>
    <w:rPr>
      <w:rFonts w:asciiTheme="majorHAnsi" w:eastAsiaTheme="majorEastAsia" w:hAnsiTheme="majorHAnsi" w:cstheme="majorBidi"/>
      <w:color w:val="215E6A" w:themeColor="accent1" w:themeShade="80"/>
      <w:sz w:val="28"/>
      <w:szCs w:val="28"/>
    </w:rPr>
  </w:style>
  <w:style w:type="character" w:customStyle="1" w:styleId="Heading4Char">
    <w:name w:val="Heading 4 Char"/>
    <w:basedOn w:val="DefaultParagraphFont"/>
    <w:link w:val="Heading4"/>
    <w:uiPriority w:val="9"/>
    <w:rsid w:val="00183D44"/>
    <w:rPr>
      <w:rFonts w:asciiTheme="majorHAnsi" w:eastAsiaTheme="majorEastAsia" w:hAnsiTheme="majorHAnsi" w:cstheme="majorBidi"/>
      <w:color w:val="215E6A" w:themeColor="accent1" w:themeShade="80"/>
      <w:sz w:val="24"/>
      <w:szCs w:val="24"/>
    </w:rPr>
  </w:style>
  <w:style w:type="character" w:customStyle="1" w:styleId="Heading5Char">
    <w:name w:val="Heading 5 Char"/>
    <w:basedOn w:val="DefaultParagraphFont"/>
    <w:link w:val="Heading5"/>
    <w:uiPriority w:val="9"/>
    <w:rsid w:val="00C40E4B"/>
    <w:rPr>
      <w:rFonts w:asciiTheme="majorHAnsi" w:eastAsiaTheme="majorEastAsia" w:hAnsiTheme="majorHAnsi" w:cstheme="majorBidi"/>
      <w:color w:val="328D9F" w:themeColor="accent1" w:themeShade="BF"/>
      <w:sz w:val="24"/>
      <w:szCs w:val="24"/>
    </w:rPr>
  </w:style>
  <w:style w:type="character" w:customStyle="1" w:styleId="Heading6Char">
    <w:name w:val="Heading 6 Char"/>
    <w:basedOn w:val="DefaultParagraphFont"/>
    <w:link w:val="Heading6"/>
    <w:uiPriority w:val="9"/>
    <w:rsid w:val="00A16691"/>
    <w:rPr>
      <w:rFonts w:asciiTheme="majorHAnsi" w:eastAsiaTheme="majorEastAsia" w:hAnsiTheme="majorHAnsi" w:cstheme="majorBidi"/>
      <w:i/>
      <w:iCs/>
      <w:caps/>
      <w:color w:val="215E6A" w:themeColor="accent1" w:themeShade="80"/>
    </w:rPr>
  </w:style>
  <w:style w:type="character" w:customStyle="1" w:styleId="Heading7Char">
    <w:name w:val="Heading 7 Char"/>
    <w:basedOn w:val="DefaultParagraphFont"/>
    <w:link w:val="Heading7"/>
    <w:uiPriority w:val="9"/>
    <w:semiHidden/>
    <w:rsid w:val="00A16691"/>
    <w:rPr>
      <w:rFonts w:asciiTheme="majorHAnsi" w:eastAsiaTheme="majorEastAsia" w:hAnsiTheme="majorHAnsi" w:cstheme="majorBidi"/>
      <w:b/>
      <w:bCs/>
      <w:color w:val="215E6A" w:themeColor="accent1" w:themeShade="80"/>
    </w:rPr>
  </w:style>
  <w:style w:type="character" w:customStyle="1" w:styleId="Heading8Char">
    <w:name w:val="Heading 8 Char"/>
    <w:basedOn w:val="DefaultParagraphFont"/>
    <w:link w:val="Heading8"/>
    <w:uiPriority w:val="9"/>
    <w:semiHidden/>
    <w:rsid w:val="00A16691"/>
    <w:rPr>
      <w:rFonts w:asciiTheme="majorHAnsi" w:eastAsiaTheme="majorEastAsia" w:hAnsiTheme="majorHAnsi" w:cstheme="majorBidi"/>
      <w:b/>
      <w:bCs/>
      <w:i/>
      <w:iCs/>
      <w:color w:val="215E6A" w:themeColor="accent1" w:themeShade="80"/>
    </w:rPr>
  </w:style>
  <w:style w:type="character" w:customStyle="1" w:styleId="Heading9Char">
    <w:name w:val="Heading 9 Char"/>
    <w:basedOn w:val="DefaultParagraphFont"/>
    <w:link w:val="Heading9"/>
    <w:uiPriority w:val="9"/>
    <w:semiHidden/>
    <w:rsid w:val="00A16691"/>
    <w:rPr>
      <w:rFonts w:asciiTheme="majorHAnsi" w:eastAsiaTheme="majorEastAsia" w:hAnsiTheme="majorHAnsi" w:cstheme="majorBidi"/>
      <w:i/>
      <w:iCs/>
      <w:color w:val="215E6A" w:themeColor="accent1" w:themeShade="80"/>
    </w:rPr>
  </w:style>
  <w:style w:type="character" w:styleId="Emphasis">
    <w:name w:val="Emphasis"/>
    <w:basedOn w:val="DefaultParagraphFont"/>
    <w:uiPriority w:val="20"/>
    <w:qFormat/>
    <w:rsid w:val="00A16691"/>
    <w:rPr>
      <w:i/>
      <w:iCs/>
    </w:rPr>
  </w:style>
  <w:style w:type="character" w:styleId="Strong">
    <w:name w:val="Strong"/>
    <w:basedOn w:val="DefaultParagraphFont"/>
    <w:uiPriority w:val="22"/>
    <w:qFormat/>
    <w:rsid w:val="00A16691"/>
    <w:rPr>
      <w:b/>
      <w:bCs/>
    </w:rPr>
  </w:style>
  <w:style w:type="paragraph" w:styleId="Subtitle">
    <w:name w:val="Subtitle"/>
    <w:basedOn w:val="Normal"/>
    <w:next w:val="Normal"/>
    <w:link w:val="SubtitleChar"/>
    <w:uiPriority w:val="11"/>
    <w:qFormat/>
    <w:rsid w:val="00BC587F"/>
    <w:pPr>
      <w:numPr>
        <w:ilvl w:val="1"/>
      </w:numPr>
      <w:spacing w:after="240"/>
    </w:pPr>
    <w:rPr>
      <w:rFonts w:asciiTheme="majorHAnsi" w:eastAsiaTheme="majorEastAsia" w:hAnsiTheme="majorHAnsi" w:cstheme="majorBidi"/>
      <w:b/>
      <w:sz w:val="36"/>
      <w:szCs w:val="28"/>
    </w:rPr>
  </w:style>
  <w:style w:type="character" w:customStyle="1" w:styleId="SubtitleChar">
    <w:name w:val="Subtitle Char"/>
    <w:basedOn w:val="DefaultParagraphFont"/>
    <w:link w:val="Subtitle"/>
    <w:uiPriority w:val="11"/>
    <w:rsid w:val="00BC587F"/>
    <w:rPr>
      <w:rFonts w:asciiTheme="majorHAnsi" w:eastAsiaTheme="majorEastAsia" w:hAnsiTheme="majorHAnsi" w:cstheme="majorBidi"/>
      <w:b/>
      <w:sz w:val="36"/>
      <w:szCs w:val="28"/>
    </w:rPr>
  </w:style>
  <w:style w:type="paragraph" w:styleId="Title">
    <w:name w:val="Title"/>
    <w:basedOn w:val="Normal"/>
    <w:next w:val="Normal"/>
    <w:link w:val="TitleChar"/>
    <w:uiPriority w:val="10"/>
    <w:qFormat/>
    <w:rsid w:val="00C71F51"/>
    <w:pPr>
      <w:spacing w:before="2040" w:after="1560" w:line="204" w:lineRule="auto"/>
      <w:contextualSpacing/>
    </w:pPr>
    <w:rPr>
      <w:rFonts w:asciiTheme="majorHAnsi" w:eastAsiaTheme="majorEastAsia" w:hAnsiTheme="majorHAnsi" w:cstheme="majorBidi"/>
      <w:b/>
      <w:color w:val="162F33" w:themeColor="text2"/>
      <w:spacing w:val="-15"/>
      <w:sz w:val="48"/>
      <w:szCs w:val="72"/>
    </w:rPr>
  </w:style>
  <w:style w:type="character" w:customStyle="1" w:styleId="TitleChar">
    <w:name w:val="Title Char"/>
    <w:basedOn w:val="DefaultParagraphFont"/>
    <w:link w:val="Title"/>
    <w:uiPriority w:val="10"/>
    <w:rsid w:val="00C71F51"/>
    <w:rPr>
      <w:rFonts w:asciiTheme="majorHAnsi" w:eastAsiaTheme="majorEastAsia" w:hAnsiTheme="majorHAnsi" w:cstheme="majorBidi"/>
      <w:b/>
      <w:color w:val="162F33" w:themeColor="text2"/>
      <w:spacing w:val="-15"/>
      <w:sz w:val="48"/>
      <w:szCs w:val="72"/>
    </w:rPr>
  </w:style>
  <w:style w:type="paragraph" w:styleId="NoSpacing">
    <w:name w:val="No Spacing"/>
    <w:link w:val="NoSpacingChar"/>
    <w:uiPriority w:val="1"/>
    <w:qFormat/>
    <w:rsid w:val="00A16691"/>
    <w:pPr>
      <w:spacing w:after="0" w:line="240" w:lineRule="auto"/>
    </w:pPr>
  </w:style>
  <w:style w:type="character" w:styleId="SubtleEmphasis">
    <w:name w:val="Subtle Emphasis"/>
    <w:basedOn w:val="DefaultParagraphFont"/>
    <w:uiPriority w:val="19"/>
    <w:qFormat/>
    <w:rsid w:val="00A16691"/>
    <w:rPr>
      <w:i/>
      <w:iCs/>
      <w:color w:val="595959" w:themeColor="text1" w:themeTint="A6"/>
    </w:rPr>
  </w:style>
  <w:style w:type="paragraph" w:styleId="ListParagraph">
    <w:name w:val="List Paragraph"/>
    <w:aliases w:val="dot point 1,Bullet point,CV text,Dot pt,F5 List Paragraph,FooterText,L,List Paragraph1,List Paragraph11,List Paragraph111,List Paragraph2,Medium Grid 1 - Accent 21,NAST Quote,NFP GP Bulleted List,Numbered Paragraph,Recommendation,numbered"/>
    <w:basedOn w:val="Normal"/>
    <w:uiPriority w:val="34"/>
    <w:qFormat/>
    <w:rsid w:val="00846D81"/>
    <w:pPr>
      <w:spacing w:before="60" w:after="60"/>
      <w:ind w:left="340"/>
    </w:pPr>
  </w:style>
  <w:style w:type="character" w:styleId="SubtleReference">
    <w:name w:val="Subtle Reference"/>
    <w:basedOn w:val="DefaultParagraphFont"/>
    <w:uiPriority w:val="31"/>
    <w:qFormat/>
    <w:rsid w:val="00A16691"/>
    <w:rPr>
      <w:smallCaps/>
      <w:color w:val="595959" w:themeColor="text1" w:themeTint="A6"/>
      <w:u w:val="none" w:color="7F7F7F" w:themeColor="text1" w:themeTint="80"/>
      <w:bdr w:val="none" w:sz="0" w:space="0" w:color="auto"/>
    </w:rPr>
  </w:style>
  <w:style w:type="paragraph" w:customStyle="1" w:styleId="Bulletsalphabetical">
    <w:name w:val="Bullets alphabetical"/>
    <w:basedOn w:val="Normal"/>
    <w:link w:val="BulletsalphabeticalChar"/>
    <w:qFormat/>
    <w:rsid w:val="004F13AA"/>
    <w:pPr>
      <w:numPr>
        <w:ilvl w:val="1"/>
        <w:numId w:val="5"/>
      </w:numPr>
      <w:spacing w:before="40"/>
      <w:ind w:left="1134" w:hanging="567"/>
      <w:jc w:val="both"/>
    </w:pPr>
    <w:rPr>
      <w:rFonts w:ascii="Calibri Light" w:hAnsi="Calibri Light"/>
      <w:sz w:val="20"/>
    </w:rPr>
  </w:style>
  <w:style w:type="character" w:customStyle="1" w:styleId="BulletsalphabeticalChar">
    <w:name w:val="Bullets alphabetical Char"/>
    <w:basedOn w:val="DefaultParagraphFont"/>
    <w:link w:val="Bulletsalphabetical"/>
    <w:rsid w:val="004F13AA"/>
    <w:rPr>
      <w:rFonts w:ascii="Calibri Light" w:hAnsi="Calibri Light"/>
      <w:sz w:val="20"/>
    </w:rPr>
  </w:style>
  <w:style w:type="paragraph" w:customStyle="1" w:styleId="StyleListParagraphJustifiedBefore3pt">
    <w:name w:val="Style List Paragraph + Justified Before:  3 pt"/>
    <w:basedOn w:val="ListParagraph"/>
    <w:rsid w:val="00C84941"/>
    <w:pPr>
      <w:jc w:val="both"/>
    </w:pPr>
    <w:rPr>
      <w:rFonts w:eastAsia="Times New Roman" w:cs="Times New Roman"/>
      <w:szCs w:val="20"/>
    </w:rPr>
  </w:style>
  <w:style w:type="paragraph" w:customStyle="1" w:styleId="Tabletext">
    <w:name w:val="Table text"/>
    <w:basedOn w:val="Normal"/>
    <w:qFormat/>
    <w:rsid w:val="00C84941"/>
    <w:pPr>
      <w:spacing w:before="0" w:after="0"/>
    </w:pPr>
  </w:style>
  <w:style w:type="character" w:styleId="Hyperlink">
    <w:name w:val="Hyperlink"/>
    <w:basedOn w:val="DefaultParagraphFont"/>
    <w:uiPriority w:val="99"/>
    <w:unhideWhenUsed/>
    <w:rsid w:val="00316D3C"/>
    <w:rPr>
      <w:color w:val="0000FF"/>
      <w:u w:val="single"/>
    </w:rPr>
  </w:style>
  <w:style w:type="character" w:styleId="FootnoteReference">
    <w:name w:val="footnote reference"/>
    <w:basedOn w:val="DefaultParagraphFont"/>
    <w:unhideWhenUsed/>
    <w:rsid w:val="00316D3C"/>
    <w:rPr>
      <w:vertAlign w:val="superscript"/>
    </w:rPr>
  </w:style>
  <w:style w:type="paragraph" w:styleId="FootnoteText">
    <w:name w:val="footnote text"/>
    <w:aliases w:val="Footnotes Text,FSFootnotes Text"/>
    <w:basedOn w:val="Normal"/>
    <w:link w:val="FootnoteTextChar"/>
    <w:unhideWhenUsed/>
    <w:qFormat/>
    <w:rsid w:val="00316D3C"/>
    <w:rPr>
      <w:rFonts w:eastAsiaTheme="minorHAnsi"/>
      <w:sz w:val="20"/>
      <w:szCs w:val="20"/>
    </w:rPr>
  </w:style>
  <w:style w:type="character" w:customStyle="1" w:styleId="FootnoteTextChar">
    <w:name w:val="Footnote Text Char"/>
    <w:aliases w:val="Footnotes Text Char,FSFootnotes Text Char"/>
    <w:basedOn w:val="DefaultParagraphFont"/>
    <w:link w:val="FootnoteText"/>
    <w:rsid w:val="00316D3C"/>
    <w:rPr>
      <w:rFonts w:asciiTheme="minorHAnsi" w:eastAsiaTheme="minorHAnsi" w:hAnsiTheme="minorHAnsi" w:cstheme="minorBidi"/>
      <w:lang w:eastAsia="en-US"/>
    </w:rPr>
  </w:style>
  <w:style w:type="character" w:styleId="CommentReference">
    <w:name w:val="annotation reference"/>
    <w:basedOn w:val="DefaultParagraphFont"/>
    <w:uiPriority w:val="99"/>
    <w:rsid w:val="005C56F6"/>
    <w:rPr>
      <w:sz w:val="16"/>
      <w:szCs w:val="16"/>
    </w:rPr>
  </w:style>
  <w:style w:type="table" w:styleId="TableGrid">
    <w:name w:val="Table Grid"/>
    <w:basedOn w:val="TableNormal"/>
    <w:uiPriority w:val="39"/>
    <w:rsid w:val="00CD3B1D"/>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FSHeader"/>
    <w:basedOn w:val="Normal"/>
    <w:link w:val="HeaderChar"/>
    <w:uiPriority w:val="99"/>
    <w:qFormat/>
    <w:rsid w:val="0000707B"/>
    <w:pPr>
      <w:tabs>
        <w:tab w:val="center" w:pos="4513"/>
        <w:tab w:val="right" w:pos="9026"/>
      </w:tabs>
    </w:pPr>
  </w:style>
  <w:style w:type="character" w:customStyle="1" w:styleId="HeaderChar">
    <w:name w:val="Header Char"/>
    <w:aliases w:val="FSHeader Char"/>
    <w:basedOn w:val="DefaultParagraphFont"/>
    <w:link w:val="Header"/>
    <w:uiPriority w:val="99"/>
    <w:rsid w:val="0000707B"/>
    <w:rPr>
      <w:sz w:val="24"/>
      <w:szCs w:val="24"/>
      <w:lang w:eastAsia="en-US"/>
    </w:rPr>
  </w:style>
  <w:style w:type="paragraph" w:styleId="Footer">
    <w:name w:val="footer"/>
    <w:aliases w:val="FSFooter"/>
    <w:basedOn w:val="Normal"/>
    <w:link w:val="FooterChar"/>
    <w:uiPriority w:val="99"/>
    <w:qFormat/>
    <w:rsid w:val="0000707B"/>
    <w:pPr>
      <w:tabs>
        <w:tab w:val="center" w:pos="4513"/>
        <w:tab w:val="right" w:pos="9026"/>
      </w:tabs>
    </w:pPr>
  </w:style>
  <w:style w:type="character" w:customStyle="1" w:styleId="FooterChar">
    <w:name w:val="Footer Char"/>
    <w:aliases w:val="FSFooter Char"/>
    <w:basedOn w:val="DefaultParagraphFont"/>
    <w:link w:val="Footer"/>
    <w:uiPriority w:val="99"/>
    <w:rsid w:val="0000707B"/>
    <w:rPr>
      <w:sz w:val="24"/>
      <w:szCs w:val="24"/>
      <w:lang w:eastAsia="en-US"/>
    </w:rPr>
  </w:style>
  <w:style w:type="character" w:customStyle="1" w:styleId="A2">
    <w:name w:val="A2"/>
    <w:uiPriority w:val="99"/>
    <w:rsid w:val="00552794"/>
    <w:rPr>
      <w:rFonts w:cs="Univers LT Std 55"/>
      <w:color w:val="000000"/>
      <w:sz w:val="18"/>
      <w:szCs w:val="18"/>
    </w:rPr>
  </w:style>
  <w:style w:type="paragraph" w:customStyle="1" w:styleId="FSBulletlist">
    <w:name w:val="FSBullet list"/>
    <w:basedOn w:val="Normal"/>
    <w:link w:val="FSBulletlistChar"/>
    <w:uiPriority w:val="5"/>
    <w:qFormat/>
    <w:locked/>
    <w:rsid w:val="004F13AA"/>
    <w:pPr>
      <w:numPr>
        <w:numId w:val="4"/>
      </w:numPr>
    </w:pPr>
    <w:rPr>
      <w:rFonts w:ascii="Arial" w:eastAsiaTheme="minorHAnsi" w:hAnsi="Arial" w:cs="Arial"/>
      <w:color w:val="2E3037"/>
      <w:sz w:val="20"/>
      <w:lang w:eastAsia="en-GB"/>
    </w:rPr>
  </w:style>
  <w:style w:type="character" w:customStyle="1" w:styleId="FSBulletlistChar">
    <w:name w:val="FSBullet list Char"/>
    <w:basedOn w:val="DefaultParagraphFont"/>
    <w:link w:val="FSBulletlist"/>
    <w:uiPriority w:val="5"/>
    <w:rsid w:val="00552794"/>
    <w:rPr>
      <w:rFonts w:ascii="Arial" w:eastAsiaTheme="minorHAnsi" w:hAnsi="Arial" w:cs="Arial"/>
      <w:color w:val="2E3037"/>
      <w:sz w:val="20"/>
      <w:lang w:eastAsia="en-GB"/>
    </w:rPr>
  </w:style>
  <w:style w:type="paragraph" w:styleId="Revision">
    <w:name w:val="Revision"/>
    <w:hidden/>
    <w:uiPriority w:val="99"/>
    <w:semiHidden/>
    <w:rsid w:val="005C3C94"/>
    <w:rPr>
      <w:sz w:val="24"/>
      <w:szCs w:val="24"/>
      <w:lang w:eastAsia="en-US"/>
    </w:rPr>
  </w:style>
  <w:style w:type="paragraph" w:styleId="TOCHeading">
    <w:name w:val="TOC Heading"/>
    <w:basedOn w:val="Heading1"/>
    <w:next w:val="Normal"/>
    <w:uiPriority w:val="39"/>
    <w:semiHidden/>
    <w:unhideWhenUsed/>
    <w:qFormat/>
    <w:rsid w:val="00A16691"/>
    <w:pPr>
      <w:outlineLvl w:val="9"/>
    </w:pPr>
  </w:style>
  <w:style w:type="paragraph" w:styleId="TOC2">
    <w:name w:val="toc 2"/>
    <w:basedOn w:val="Normal"/>
    <w:next w:val="Normal"/>
    <w:autoRedefine/>
    <w:uiPriority w:val="39"/>
    <w:unhideWhenUsed/>
    <w:rsid w:val="00F57AAC"/>
    <w:pPr>
      <w:tabs>
        <w:tab w:val="right" w:leader="dot" w:pos="9070"/>
      </w:tabs>
      <w:spacing w:after="100"/>
      <w:ind w:left="240"/>
    </w:pPr>
    <w:rPr>
      <w:rFonts w:cs="Arial"/>
      <w:noProof/>
    </w:rPr>
  </w:style>
  <w:style w:type="paragraph" w:styleId="TOC1">
    <w:name w:val="toc 1"/>
    <w:basedOn w:val="Normal"/>
    <w:next w:val="Normal"/>
    <w:autoRedefine/>
    <w:uiPriority w:val="39"/>
    <w:unhideWhenUsed/>
    <w:rsid w:val="002B7189"/>
    <w:pPr>
      <w:tabs>
        <w:tab w:val="left" w:pos="284"/>
        <w:tab w:val="right" w:leader="dot" w:pos="9070"/>
      </w:tabs>
      <w:spacing w:before="100" w:after="100"/>
    </w:pPr>
    <w:rPr>
      <w:rFonts w:ascii="Calibri Light" w:hAnsi="Calibri Light" w:cs="Arial"/>
      <w:noProof/>
      <w:sz w:val="24"/>
    </w:rPr>
  </w:style>
  <w:style w:type="paragraph" w:styleId="TOC3">
    <w:name w:val="toc 3"/>
    <w:basedOn w:val="Normal"/>
    <w:next w:val="Normal"/>
    <w:autoRedefine/>
    <w:uiPriority w:val="39"/>
    <w:unhideWhenUsed/>
    <w:rsid w:val="00E9374C"/>
    <w:pPr>
      <w:tabs>
        <w:tab w:val="right" w:leader="dot" w:pos="9060"/>
      </w:tabs>
      <w:spacing w:after="100"/>
      <w:ind w:left="240"/>
    </w:pPr>
  </w:style>
  <w:style w:type="paragraph" w:styleId="NormalWeb">
    <w:name w:val="Normal (Web)"/>
    <w:basedOn w:val="Normal"/>
    <w:uiPriority w:val="99"/>
    <w:semiHidden/>
    <w:unhideWhenUsed/>
    <w:rsid w:val="00B21DD4"/>
    <w:pPr>
      <w:spacing w:before="100" w:beforeAutospacing="1" w:after="100" w:afterAutospacing="1"/>
    </w:pPr>
  </w:style>
  <w:style w:type="paragraph" w:styleId="Caption">
    <w:name w:val="caption"/>
    <w:basedOn w:val="Normal"/>
    <w:next w:val="Normal"/>
    <w:uiPriority w:val="35"/>
    <w:unhideWhenUsed/>
    <w:qFormat/>
    <w:rsid w:val="004C37C0"/>
    <w:pPr>
      <w:keepNext/>
      <w:spacing w:before="160"/>
    </w:pPr>
    <w:rPr>
      <w:b/>
      <w:bCs/>
      <w:color w:val="162F33" w:themeColor="text2"/>
    </w:rPr>
  </w:style>
  <w:style w:type="paragraph" w:customStyle="1" w:styleId="StyleNormal">
    <w:name w:val="Style Normal +"/>
    <w:basedOn w:val="Normal"/>
    <w:rsid w:val="00A56F43"/>
    <w:rPr>
      <w:rFonts w:eastAsiaTheme="minorHAnsi"/>
      <w:lang w:eastAsia="en-US"/>
    </w:rPr>
  </w:style>
  <w:style w:type="character" w:styleId="PlaceholderText">
    <w:name w:val="Placeholder Text"/>
    <w:basedOn w:val="DefaultParagraphFont"/>
    <w:uiPriority w:val="99"/>
    <w:semiHidden/>
    <w:rsid w:val="00B449AB"/>
    <w:rPr>
      <w:color w:val="808080"/>
    </w:rPr>
  </w:style>
  <w:style w:type="paragraph" w:customStyle="1" w:styleId="Tableheader">
    <w:name w:val="Table header"/>
    <w:basedOn w:val="Normal"/>
    <w:link w:val="TableheaderChar"/>
    <w:autoRedefine/>
    <w:qFormat/>
    <w:rsid w:val="004C37C0"/>
    <w:pPr>
      <w:keepNext/>
      <w:spacing w:before="0" w:after="0"/>
    </w:pPr>
    <w:rPr>
      <w:rFonts w:eastAsiaTheme="minorHAnsi" w:cstheme="minorHAnsi"/>
      <w:b/>
      <w:lang w:eastAsia="en-US"/>
    </w:rPr>
  </w:style>
  <w:style w:type="character" w:customStyle="1" w:styleId="TableheaderChar">
    <w:name w:val="Table header Char"/>
    <w:basedOn w:val="DefaultParagraphFont"/>
    <w:link w:val="Tableheader"/>
    <w:rsid w:val="004C37C0"/>
    <w:rPr>
      <w:rFonts w:eastAsiaTheme="minorHAnsi" w:cstheme="minorHAnsi"/>
      <w:b/>
      <w:lang w:eastAsia="en-US"/>
    </w:rPr>
  </w:style>
  <w:style w:type="paragraph" w:customStyle="1" w:styleId="Boxtext">
    <w:name w:val="Box text"/>
    <w:basedOn w:val="Normal"/>
    <w:link w:val="BoxtextChar"/>
    <w:qFormat/>
    <w:rsid w:val="00727948"/>
    <w:pPr>
      <w:pBdr>
        <w:top w:val="single" w:sz="4" w:space="1" w:color="auto"/>
        <w:left w:val="single" w:sz="4" w:space="4" w:color="auto"/>
        <w:bottom w:val="single" w:sz="4" w:space="1" w:color="auto"/>
        <w:right w:val="single" w:sz="4" w:space="4" w:color="auto"/>
      </w:pBdr>
      <w:jc w:val="both"/>
    </w:pPr>
    <w:rPr>
      <w:i/>
      <w:sz w:val="28"/>
      <w:szCs w:val="28"/>
    </w:rPr>
  </w:style>
  <w:style w:type="character" w:customStyle="1" w:styleId="BoxtextChar">
    <w:name w:val="Box text Char"/>
    <w:basedOn w:val="DefaultParagraphFont"/>
    <w:link w:val="Boxtext"/>
    <w:rsid w:val="00727948"/>
    <w:rPr>
      <w:i/>
      <w:sz w:val="28"/>
      <w:szCs w:val="28"/>
    </w:rPr>
  </w:style>
  <w:style w:type="paragraph" w:customStyle="1" w:styleId="Bullets">
    <w:name w:val="Bullets"/>
    <w:basedOn w:val="ListParagraph"/>
    <w:link w:val="BulletsChar"/>
    <w:qFormat/>
    <w:rsid w:val="00C84941"/>
    <w:pPr>
      <w:numPr>
        <w:numId w:val="10"/>
      </w:numPr>
    </w:pPr>
  </w:style>
  <w:style w:type="character" w:customStyle="1" w:styleId="BulletsChar">
    <w:name w:val="Bullets Char"/>
    <w:aliases w:val="List Paragraph Char,dot point 1 Char,Bullet point Char,CV text Char,Dot pt Char,F5 List Paragraph Char,FooterText Char,L Char,List Paragraph1 Char,List Paragraph11 Char,List Paragraph111 Char,List Paragraph2 Char,NAST Quote Char"/>
    <w:basedOn w:val="DefaultParagraphFont"/>
    <w:link w:val="Bullets"/>
    <w:uiPriority w:val="34"/>
    <w:qFormat/>
    <w:rsid w:val="00C84941"/>
  </w:style>
  <w:style w:type="paragraph" w:customStyle="1" w:styleId="Bulletlines">
    <w:name w:val="Bullet lines"/>
    <w:basedOn w:val="Normal"/>
    <w:link w:val="BulletlinesChar"/>
    <w:qFormat/>
    <w:rsid w:val="004F13AA"/>
    <w:pPr>
      <w:numPr>
        <w:numId w:val="3"/>
      </w:numPr>
      <w:autoSpaceDE w:val="0"/>
      <w:autoSpaceDN w:val="0"/>
      <w:adjustRightInd w:val="0"/>
      <w:spacing w:before="60"/>
      <w:ind w:left="567" w:hanging="567"/>
      <w:jc w:val="both"/>
    </w:pPr>
    <w:rPr>
      <w:rFonts w:ascii="Calibri Light" w:hAnsi="Calibri Light"/>
      <w:sz w:val="20"/>
    </w:rPr>
  </w:style>
  <w:style w:type="character" w:customStyle="1" w:styleId="BulletlinesChar">
    <w:name w:val="Bullet lines Char"/>
    <w:basedOn w:val="DefaultParagraphFont"/>
    <w:link w:val="Bulletlines"/>
    <w:rsid w:val="004F13AA"/>
    <w:rPr>
      <w:rFonts w:ascii="Calibri Light" w:hAnsi="Calibri Light"/>
      <w:sz w:val="20"/>
    </w:rPr>
  </w:style>
  <w:style w:type="character" w:customStyle="1" w:styleId="Footnotes">
    <w:name w:val="Footnotes"/>
    <w:basedOn w:val="Emphasis"/>
    <w:rsid w:val="00BC587F"/>
    <w:rPr>
      <w:rFonts w:ascii="Calibri Light" w:hAnsi="Calibri Light"/>
      <w:i/>
      <w:iCs/>
      <w:color w:val="000000"/>
      <w:vertAlign w:val="superscript"/>
    </w:rPr>
  </w:style>
  <w:style w:type="paragraph" w:customStyle="1" w:styleId="StyleHeading1numbered">
    <w:name w:val="Style Heading 1 numbered"/>
    <w:basedOn w:val="Heading1"/>
    <w:rsid w:val="00181998"/>
    <w:pPr>
      <w:ind w:left="0" w:firstLine="0"/>
    </w:pPr>
    <w:rPr>
      <w:rFonts w:eastAsia="Times New Roman" w:cs="Times New Roman"/>
      <w:szCs w:val="20"/>
    </w:rPr>
  </w:style>
  <w:style w:type="paragraph" w:styleId="TOC4">
    <w:name w:val="toc 4"/>
    <w:basedOn w:val="Normal"/>
    <w:next w:val="Normal"/>
    <w:autoRedefine/>
    <w:uiPriority w:val="39"/>
    <w:unhideWhenUsed/>
    <w:rsid w:val="002B7189"/>
    <w:pPr>
      <w:spacing w:before="0" w:after="100" w:line="259" w:lineRule="auto"/>
      <w:ind w:left="660"/>
    </w:pPr>
  </w:style>
  <w:style w:type="paragraph" w:styleId="TOC5">
    <w:name w:val="toc 5"/>
    <w:basedOn w:val="Normal"/>
    <w:next w:val="Normal"/>
    <w:autoRedefine/>
    <w:uiPriority w:val="39"/>
    <w:unhideWhenUsed/>
    <w:rsid w:val="002B7189"/>
    <w:pPr>
      <w:spacing w:before="0" w:after="100" w:line="259" w:lineRule="auto"/>
      <w:ind w:left="880"/>
    </w:pPr>
  </w:style>
  <w:style w:type="paragraph" w:styleId="TOC6">
    <w:name w:val="toc 6"/>
    <w:basedOn w:val="Normal"/>
    <w:next w:val="Normal"/>
    <w:autoRedefine/>
    <w:uiPriority w:val="39"/>
    <w:unhideWhenUsed/>
    <w:rsid w:val="002B7189"/>
    <w:pPr>
      <w:spacing w:before="0" w:after="100" w:line="259" w:lineRule="auto"/>
      <w:ind w:left="1100"/>
    </w:pPr>
  </w:style>
  <w:style w:type="paragraph" w:styleId="TOC7">
    <w:name w:val="toc 7"/>
    <w:basedOn w:val="Normal"/>
    <w:next w:val="Normal"/>
    <w:autoRedefine/>
    <w:uiPriority w:val="39"/>
    <w:unhideWhenUsed/>
    <w:rsid w:val="002B7189"/>
    <w:pPr>
      <w:spacing w:before="0" w:after="100" w:line="259" w:lineRule="auto"/>
      <w:ind w:left="1320"/>
    </w:pPr>
  </w:style>
  <w:style w:type="paragraph" w:styleId="TOC8">
    <w:name w:val="toc 8"/>
    <w:basedOn w:val="Normal"/>
    <w:next w:val="Normal"/>
    <w:autoRedefine/>
    <w:uiPriority w:val="39"/>
    <w:unhideWhenUsed/>
    <w:rsid w:val="002B7189"/>
    <w:pPr>
      <w:spacing w:before="0" w:after="100" w:line="259" w:lineRule="auto"/>
      <w:ind w:left="1540"/>
    </w:pPr>
  </w:style>
  <w:style w:type="paragraph" w:styleId="TOC9">
    <w:name w:val="toc 9"/>
    <w:basedOn w:val="Normal"/>
    <w:next w:val="Normal"/>
    <w:autoRedefine/>
    <w:uiPriority w:val="39"/>
    <w:unhideWhenUsed/>
    <w:rsid w:val="002B7189"/>
    <w:pPr>
      <w:spacing w:before="0" w:after="100" w:line="259" w:lineRule="auto"/>
      <w:ind w:left="1760"/>
    </w:pPr>
  </w:style>
  <w:style w:type="paragraph" w:customStyle="1" w:styleId="Heading1nonumbers">
    <w:name w:val="Heading 1 no numbers"/>
    <w:basedOn w:val="Heading1"/>
    <w:rsid w:val="00814DD2"/>
    <w:pPr>
      <w:numPr>
        <w:numId w:val="0"/>
      </w:numPr>
    </w:pPr>
    <w:rPr>
      <w:rFonts w:eastAsia="Times New Roman" w:cs="Times New Roman"/>
      <w:szCs w:val="20"/>
    </w:rPr>
  </w:style>
  <w:style w:type="character" w:styleId="FollowedHyperlink">
    <w:name w:val="FollowedHyperlink"/>
    <w:basedOn w:val="DefaultParagraphFont"/>
    <w:semiHidden/>
    <w:unhideWhenUsed/>
    <w:rsid w:val="001D2BFF"/>
    <w:rPr>
      <w:color w:val="877589" w:themeColor="followedHyperlink"/>
      <w:u w:val="single"/>
    </w:rPr>
  </w:style>
  <w:style w:type="paragraph" w:customStyle="1" w:styleId="mpcNormal">
    <w:name w:val="mpc Normal"/>
    <w:basedOn w:val="Normal"/>
    <w:qFormat/>
    <w:rsid w:val="008E310D"/>
    <w:pPr>
      <w:keepNext/>
      <w:spacing w:before="0" w:after="0"/>
    </w:pPr>
    <w:rPr>
      <w:rFonts w:eastAsiaTheme="minorHAnsi" w:cstheme="minorHAnsi"/>
      <w:lang w:eastAsia="en-US"/>
    </w:rPr>
  </w:style>
  <w:style w:type="paragraph" w:styleId="CommentText">
    <w:name w:val="annotation text"/>
    <w:basedOn w:val="Normal"/>
    <w:link w:val="CommentTextChar"/>
    <w:uiPriority w:val="99"/>
    <w:unhideWhenUsed/>
    <w:rsid w:val="00BE057B"/>
    <w:pPr>
      <w:spacing w:before="0" w:after="160"/>
    </w:pPr>
    <w:rPr>
      <w:rFonts w:ascii="Times New Roman" w:eastAsiaTheme="minorHAnsi" w:hAnsi="Times New Roman" w:cs="Times New Roman"/>
      <w:sz w:val="20"/>
      <w:szCs w:val="20"/>
      <w:lang w:eastAsia="en-US"/>
    </w:rPr>
  </w:style>
  <w:style w:type="character" w:customStyle="1" w:styleId="CommentTextChar">
    <w:name w:val="Comment Text Char"/>
    <w:basedOn w:val="DefaultParagraphFont"/>
    <w:link w:val="CommentText"/>
    <w:uiPriority w:val="99"/>
    <w:rsid w:val="00BE057B"/>
    <w:rPr>
      <w:rFonts w:ascii="Times New Roman" w:eastAsiaTheme="minorHAnsi" w:hAnsi="Times New Roman" w:cs="Times New Roman"/>
      <w:sz w:val="20"/>
      <w:szCs w:val="20"/>
      <w:lang w:eastAsia="en-US"/>
    </w:rPr>
  </w:style>
  <w:style w:type="paragraph" w:customStyle="1" w:styleId="VisionBox">
    <w:name w:val="VisionBox"/>
    <w:basedOn w:val="Normal"/>
    <w:qFormat/>
    <w:rsid w:val="00BE057B"/>
    <w:pPr>
      <w:keepNext/>
      <w:keepLines/>
      <w:pBdr>
        <w:top w:val="single" w:sz="4" w:space="15" w:color="328D9F" w:themeColor="accent1" w:themeShade="BF"/>
        <w:bottom w:val="single" w:sz="4" w:space="10" w:color="328D9F" w:themeColor="accent1" w:themeShade="BF"/>
      </w:pBdr>
      <w:spacing w:before="360" w:after="360" w:line="340" w:lineRule="exact"/>
    </w:pPr>
    <w:rPr>
      <w:rFonts w:ascii="Arial" w:eastAsiaTheme="minorHAnsi" w:hAnsi="Arial" w:cs="Times New Roman"/>
      <w:color w:val="328D9F" w:themeColor="accent1" w:themeShade="BF"/>
      <w:szCs w:val="24"/>
      <w:lang w:eastAsia="en-US"/>
    </w:rPr>
  </w:style>
  <w:style w:type="paragraph" w:styleId="BalloonText">
    <w:name w:val="Balloon Text"/>
    <w:basedOn w:val="Normal"/>
    <w:link w:val="BalloonTextChar"/>
    <w:semiHidden/>
    <w:unhideWhenUsed/>
    <w:rsid w:val="00BE057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BE057B"/>
    <w:rPr>
      <w:rFonts w:ascii="Segoe UI" w:hAnsi="Segoe UI" w:cs="Segoe UI"/>
      <w:sz w:val="18"/>
      <w:szCs w:val="18"/>
    </w:rPr>
  </w:style>
  <w:style w:type="paragraph" w:customStyle="1" w:styleId="ms-rteelement-p">
    <w:name w:val="ms-rteelement-p"/>
    <w:basedOn w:val="Normal"/>
    <w:rsid w:val="002F5D71"/>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mpctabletext">
    <w:name w:val="mpc table text"/>
    <w:qFormat/>
    <w:rsid w:val="00840C10"/>
    <w:pPr>
      <w:spacing w:after="0" w:line="240" w:lineRule="auto"/>
    </w:pPr>
    <w:rPr>
      <w:rFonts w:eastAsiaTheme="minorHAnsi"/>
      <w:sz w:val="20"/>
      <w:szCs w:val="18"/>
      <w:lang w:eastAsia="en-US"/>
    </w:rPr>
  </w:style>
  <w:style w:type="paragraph" w:customStyle="1" w:styleId="mpcbullets2">
    <w:name w:val="mpc bullets 2"/>
    <w:basedOn w:val="mpcNormal"/>
    <w:qFormat/>
    <w:rsid w:val="00296B82"/>
    <w:pPr>
      <w:keepNext w:val="0"/>
      <w:numPr>
        <w:numId w:val="21"/>
      </w:numPr>
    </w:pPr>
  </w:style>
  <w:style w:type="paragraph" w:customStyle="1" w:styleId="mpcbullets1">
    <w:name w:val="mpc bullets 1"/>
    <w:basedOn w:val="ListParagraph"/>
    <w:autoRedefine/>
    <w:qFormat/>
    <w:rsid w:val="00296B82"/>
    <w:pPr>
      <w:keepNext/>
      <w:numPr>
        <w:numId w:val="22"/>
      </w:numPr>
      <w:spacing w:before="0" w:after="0"/>
      <w:ind w:left="357" w:hanging="357"/>
      <w:contextualSpacing/>
    </w:pPr>
    <w:rPr>
      <w:rFonts w:eastAsia="Times New Roman" w:cstheme="minorHAnsi"/>
      <w:color w:val="000000"/>
      <w:lang w:eastAsia="en-US"/>
    </w:rPr>
  </w:style>
  <w:style w:type="paragraph" w:customStyle="1" w:styleId="Default">
    <w:name w:val="Default"/>
    <w:rsid w:val="003F3704"/>
    <w:pPr>
      <w:autoSpaceDE w:val="0"/>
      <w:autoSpaceDN w:val="0"/>
      <w:adjustRightInd w:val="0"/>
      <w:spacing w:after="0" w:line="240" w:lineRule="auto"/>
    </w:pPr>
    <w:rPr>
      <w:rFonts w:ascii="Verdana" w:eastAsiaTheme="minorHAnsi" w:hAnsi="Verdana" w:cs="Verdana"/>
      <w:color w:val="000000"/>
      <w:sz w:val="24"/>
      <w:szCs w:val="24"/>
      <w:lang w:val="en-US" w:eastAsia="en-US"/>
    </w:rPr>
  </w:style>
  <w:style w:type="character" w:customStyle="1" w:styleId="NoSpacingChar">
    <w:name w:val="No Spacing Char"/>
    <w:basedOn w:val="DefaultParagraphFont"/>
    <w:link w:val="NoSpacing"/>
    <w:uiPriority w:val="1"/>
    <w:rsid w:val="001515F7"/>
  </w:style>
  <w:style w:type="paragraph" w:styleId="CommentSubject">
    <w:name w:val="annotation subject"/>
    <w:basedOn w:val="CommentText"/>
    <w:next w:val="CommentText"/>
    <w:link w:val="CommentSubjectChar"/>
    <w:semiHidden/>
    <w:unhideWhenUsed/>
    <w:rsid w:val="0052582C"/>
    <w:pPr>
      <w:spacing w:before="120" w:after="120"/>
    </w:pPr>
    <w:rPr>
      <w:rFonts w:asciiTheme="minorHAnsi" w:eastAsiaTheme="minorEastAsia" w:hAnsiTheme="minorHAnsi" w:cstheme="minorBidi"/>
      <w:b/>
      <w:bCs/>
      <w:lang w:eastAsia="en-AU"/>
    </w:rPr>
  </w:style>
  <w:style w:type="character" w:customStyle="1" w:styleId="CommentSubjectChar">
    <w:name w:val="Comment Subject Char"/>
    <w:basedOn w:val="CommentTextChar"/>
    <w:link w:val="CommentSubject"/>
    <w:semiHidden/>
    <w:rsid w:val="0052582C"/>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171">
      <w:bodyDiv w:val="1"/>
      <w:marLeft w:val="0"/>
      <w:marRight w:val="0"/>
      <w:marTop w:val="0"/>
      <w:marBottom w:val="0"/>
      <w:divBdr>
        <w:top w:val="none" w:sz="0" w:space="0" w:color="auto"/>
        <w:left w:val="none" w:sz="0" w:space="0" w:color="auto"/>
        <w:bottom w:val="none" w:sz="0" w:space="0" w:color="auto"/>
        <w:right w:val="none" w:sz="0" w:space="0" w:color="auto"/>
      </w:divBdr>
      <w:divsChild>
        <w:div w:id="799571583">
          <w:marLeft w:val="0"/>
          <w:marRight w:val="0"/>
          <w:marTop w:val="288"/>
          <w:marBottom w:val="100"/>
          <w:divBdr>
            <w:top w:val="none" w:sz="0" w:space="0" w:color="auto"/>
            <w:left w:val="none" w:sz="0" w:space="0" w:color="auto"/>
            <w:bottom w:val="none" w:sz="0" w:space="0" w:color="auto"/>
            <w:right w:val="none" w:sz="0" w:space="0" w:color="auto"/>
          </w:divBdr>
          <w:divsChild>
            <w:div w:id="670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946">
      <w:bodyDiv w:val="1"/>
      <w:marLeft w:val="0"/>
      <w:marRight w:val="0"/>
      <w:marTop w:val="0"/>
      <w:marBottom w:val="0"/>
      <w:divBdr>
        <w:top w:val="none" w:sz="0" w:space="0" w:color="auto"/>
        <w:left w:val="none" w:sz="0" w:space="0" w:color="auto"/>
        <w:bottom w:val="none" w:sz="0" w:space="0" w:color="auto"/>
        <w:right w:val="none" w:sz="0" w:space="0" w:color="auto"/>
      </w:divBdr>
    </w:div>
    <w:div w:id="107969914">
      <w:bodyDiv w:val="1"/>
      <w:marLeft w:val="0"/>
      <w:marRight w:val="0"/>
      <w:marTop w:val="0"/>
      <w:marBottom w:val="0"/>
      <w:divBdr>
        <w:top w:val="none" w:sz="0" w:space="0" w:color="auto"/>
        <w:left w:val="none" w:sz="0" w:space="0" w:color="auto"/>
        <w:bottom w:val="none" w:sz="0" w:space="0" w:color="auto"/>
        <w:right w:val="none" w:sz="0" w:space="0" w:color="auto"/>
      </w:divBdr>
    </w:div>
    <w:div w:id="148715135">
      <w:bodyDiv w:val="1"/>
      <w:marLeft w:val="0"/>
      <w:marRight w:val="0"/>
      <w:marTop w:val="0"/>
      <w:marBottom w:val="0"/>
      <w:divBdr>
        <w:top w:val="none" w:sz="0" w:space="0" w:color="auto"/>
        <w:left w:val="none" w:sz="0" w:space="0" w:color="auto"/>
        <w:bottom w:val="none" w:sz="0" w:space="0" w:color="auto"/>
        <w:right w:val="none" w:sz="0" w:space="0" w:color="auto"/>
      </w:divBdr>
      <w:divsChild>
        <w:div w:id="1010523933">
          <w:marLeft w:val="0"/>
          <w:marRight w:val="0"/>
          <w:marTop w:val="0"/>
          <w:marBottom w:val="0"/>
          <w:divBdr>
            <w:top w:val="none" w:sz="0" w:space="0" w:color="auto"/>
            <w:left w:val="none" w:sz="0" w:space="0" w:color="auto"/>
            <w:bottom w:val="none" w:sz="0" w:space="0" w:color="auto"/>
            <w:right w:val="none" w:sz="0" w:space="0" w:color="auto"/>
          </w:divBdr>
          <w:divsChild>
            <w:div w:id="817309784">
              <w:marLeft w:val="0"/>
              <w:marRight w:val="0"/>
              <w:marTop w:val="0"/>
              <w:marBottom w:val="0"/>
              <w:divBdr>
                <w:top w:val="none" w:sz="0" w:space="0" w:color="auto"/>
                <w:left w:val="none" w:sz="0" w:space="0" w:color="auto"/>
                <w:bottom w:val="none" w:sz="0" w:space="0" w:color="auto"/>
                <w:right w:val="none" w:sz="0" w:space="0" w:color="auto"/>
              </w:divBdr>
              <w:divsChild>
                <w:div w:id="488013087">
                  <w:marLeft w:val="0"/>
                  <w:marRight w:val="0"/>
                  <w:marTop w:val="0"/>
                  <w:marBottom w:val="0"/>
                  <w:divBdr>
                    <w:top w:val="none" w:sz="0" w:space="0" w:color="auto"/>
                    <w:left w:val="none" w:sz="0" w:space="0" w:color="auto"/>
                    <w:bottom w:val="none" w:sz="0" w:space="0" w:color="auto"/>
                    <w:right w:val="none" w:sz="0" w:space="0" w:color="auto"/>
                  </w:divBdr>
                  <w:divsChild>
                    <w:div w:id="366486501">
                      <w:marLeft w:val="0"/>
                      <w:marRight w:val="0"/>
                      <w:marTop w:val="0"/>
                      <w:marBottom w:val="0"/>
                      <w:divBdr>
                        <w:top w:val="none" w:sz="0" w:space="0" w:color="auto"/>
                        <w:left w:val="none" w:sz="0" w:space="0" w:color="auto"/>
                        <w:bottom w:val="none" w:sz="0" w:space="0" w:color="auto"/>
                        <w:right w:val="none" w:sz="0" w:space="0" w:color="auto"/>
                      </w:divBdr>
                      <w:divsChild>
                        <w:div w:id="571081515">
                          <w:marLeft w:val="0"/>
                          <w:marRight w:val="0"/>
                          <w:marTop w:val="0"/>
                          <w:marBottom w:val="0"/>
                          <w:divBdr>
                            <w:top w:val="none" w:sz="0" w:space="0" w:color="auto"/>
                            <w:left w:val="none" w:sz="0" w:space="0" w:color="auto"/>
                            <w:bottom w:val="none" w:sz="0" w:space="0" w:color="auto"/>
                            <w:right w:val="none" w:sz="0" w:space="0" w:color="auto"/>
                          </w:divBdr>
                          <w:divsChild>
                            <w:div w:id="1443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1534">
      <w:bodyDiv w:val="1"/>
      <w:marLeft w:val="0"/>
      <w:marRight w:val="0"/>
      <w:marTop w:val="0"/>
      <w:marBottom w:val="0"/>
      <w:divBdr>
        <w:top w:val="none" w:sz="0" w:space="0" w:color="auto"/>
        <w:left w:val="none" w:sz="0" w:space="0" w:color="auto"/>
        <w:bottom w:val="none" w:sz="0" w:space="0" w:color="auto"/>
        <w:right w:val="none" w:sz="0" w:space="0" w:color="auto"/>
      </w:divBdr>
    </w:div>
    <w:div w:id="221870444">
      <w:bodyDiv w:val="1"/>
      <w:marLeft w:val="0"/>
      <w:marRight w:val="0"/>
      <w:marTop w:val="0"/>
      <w:marBottom w:val="0"/>
      <w:divBdr>
        <w:top w:val="none" w:sz="0" w:space="0" w:color="auto"/>
        <w:left w:val="none" w:sz="0" w:space="0" w:color="auto"/>
        <w:bottom w:val="none" w:sz="0" w:space="0" w:color="auto"/>
        <w:right w:val="none" w:sz="0" w:space="0" w:color="auto"/>
      </w:divBdr>
    </w:div>
    <w:div w:id="268900508">
      <w:bodyDiv w:val="1"/>
      <w:marLeft w:val="0"/>
      <w:marRight w:val="0"/>
      <w:marTop w:val="0"/>
      <w:marBottom w:val="0"/>
      <w:divBdr>
        <w:top w:val="none" w:sz="0" w:space="0" w:color="auto"/>
        <w:left w:val="none" w:sz="0" w:space="0" w:color="auto"/>
        <w:bottom w:val="none" w:sz="0" w:space="0" w:color="auto"/>
        <w:right w:val="none" w:sz="0" w:space="0" w:color="auto"/>
      </w:divBdr>
    </w:div>
    <w:div w:id="300575462">
      <w:bodyDiv w:val="1"/>
      <w:marLeft w:val="0"/>
      <w:marRight w:val="0"/>
      <w:marTop w:val="0"/>
      <w:marBottom w:val="0"/>
      <w:divBdr>
        <w:top w:val="none" w:sz="0" w:space="0" w:color="auto"/>
        <w:left w:val="none" w:sz="0" w:space="0" w:color="auto"/>
        <w:bottom w:val="none" w:sz="0" w:space="0" w:color="auto"/>
        <w:right w:val="none" w:sz="0" w:space="0" w:color="auto"/>
      </w:divBdr>
      <w:divsChild>
        <w:div w:id="11422886">
          <w:marLeft w:val="0"/>
          <w:marRight w:val="0"/>
          <w:marTop w:val="0"/>
          <w:marBottom w:val="0"/>
          <w:divBdr>
            <w:top w:val="none" w:sz="0" w:space="0" w:color="auto"/>
            <w:left w:val="none" w:sz="0" w:space="0" w:color="auto"/>
            <w:bottom w:val="none" w:sz="0" w:space="0" w:color="auto"/>
            <w:right w:val="none" w:sz="0" w:space="0" w:color="auto"/>
          </w:divBdr>
          <w:divsChild>
            <w:div w:id="1933388676">
              <w:marLeft w:val="0"/>
              <w:marRight w:val="0"/>
              <w:marTop w:val="0"/>
              <w:marBottom w:val="0"/>
              <w:divBdr>
                <w:top w:val="none" w:sz="0" w:space="0" w:color="auto"/>
                <w:left w:val="none" w:sz="0" w:space="0" w:color="auto"/>
                <w:bottom w:val="none" w:sz="0" w:space="0" w:color="auto"/>
                <w:right w:val="none" w:sz="0" w:space="0" w:color="auto"/>
              </w:divBdr>
              <w:divsChild>
                <w:div w:id="1171795367">
                  <w:marLeft w:val="0"/>
                  <w:marRight w:val="0"/>
                  <w:marTop w:val="0"/>
                  <w:marBottom w:val="0"/>
                  <w:divBdr>
                    <w:top w:val="none" w:sz="0" w:space="0" w:color="auto"/>
                    <w:left w:val="none" w:sz="0" w:space="0" w:color="auto"/>
                    <w:bottom w:val="none" w:sz="0" w:space="0" w:color="auto"/>
                    <w:right w:val="none" w:sz="0" w:space="0" w:color="auto"/>
                  </w:divBdr>
                  <w:divsChild>
                    <w:div w:id="218826210">
                      <w:marLeft w:val="0"/>
                      <w:marRight w:val="0"/>
                      <w:marTop w:val="0"/>
                      <w:marBottom w:val="0"/>
                      <w:divBdr>
                        <w:top w:val="none" w:sz="0" w:space="0" w:color="auto"/>
                        <w:left w:val="none" w:sz="0" w:space="0" w:color="auto"/>
                        <w:bottom w:val="none" w:sz="0" w:space="0" w:color="auto"/>
                        <w:right w:val="none" w:sz="0" w:space="0" w:color="auto"/>
                      </w:divBdr>
                      <w:divsChild>
                        <w:div w:id="1465198798">
                          <w:marLeft w:val="0"/>
                          <w:marRight w:val="0"/>
                          <w:marTop w:val="0"/>
                          <w:marBottom w:val="0"/>
                          <w:divBdr>
                            <w:top w:val="none" w:sz="0" w:space="0" w:color="auto"/>
                            <w:left w:val="none" w:sz="0" w:space="0" w:color="auto"/>
                            <w:bottom w:val="none" w:sz="0" w:space="0" w:color="auto"/>
                            <w:right w:val="none" w:sz="0" w:space="0" w:color="auto"/>
                          </w:divBdr>
                          <w:divsChild>
                            <w:div w:id="1223250545">
                              <w:marLeft w:val="0"/>
                              <w:marRight w:val="0"/>
                              <w:marTop w:val="0"/>
                              <w:marBottom w:val="0"/>
                              <w:divBdr>
                                <w:top w:val="none" w:sz="0" w:space="0" w:color="auto"/>
                                <w:left w:val="none" w:sz="0" w:space="0" w:color="auto"/>
                                <w:bottom w:val="none" w:sz="0" w:space="0" w:color="auto"/>
                                <w:right w:val="none" w:sz="0" w:space="0" w:color="auto"/>
                              </w:divBdr>
                              <w:divsChild>
                                <w:div w:id="112330094">
                                  <w:marLeft w:val="-225"/>
                                  <w:marRight w:val="-225"/>
                                  <w:marTop w:val="0"/>
                                  <w:marBottom w:val="0"/>
                                  <w:divBdr>
                                    <w:top w:val="none" w:sz="0" w:space="0" w:color="auto"/>
                                    <w:left w:val="none" w:sz="0" w:space="0" w:color="auto"/>
                                    <w:bottom w:val="none" w:sz="0" w:space="0" w:color="auto"/>
                                    <w:right w:val="none" w:sz="0" w:space="0" w:color="auto"/>
                                  </w:divBdr>
                                  <w:divsChild>
                                    <w:div w:id="2127773690">
                                      <w:marLeft w:val="0"/>
                                      <w:marRight w:val="0"/>
                                      <w:marTop w:val="0"/>
                                      <w:marBottom w:val="0"/>
                                      <w:divBdr>
                                        <w:top w:val="none" w:sz="0" w:space="0" w:color="auto"/>
                                        <w:left w:val="none" w:sz="0" w:space="0" w:color="auto"/>
                                        <w:bottom w:val="none" w:sz="0" w:space="0" w:color="auto"/>
                                        <w:right w:val="none" w:sz="0" w:space="0" w:color="auto"/>
                                      </w:divBdr>
                                      <w:divsChild>
                                        <w:div w:id="1165897020">
                                          <w:marLeft w:val="0"/>
                                          <w:marRight w:val="0"/>
                                          <w:marTop w:val="0"/>
                                          <w:marBottom w:val="0"/>
                                          <w:divBdr>
                                            <w:top w:val="none" w:sz="0" w:space="0" w:color="auto"/>
                                            <w:left w:val="none" w:sz="0" w:space="0" w:color="auto"/>
                                            <w:bottom w:val="none" w:sz="0" w:space="0" w:color="auto"/>
                                            <w:right w:val="none" w:sz="0" w:space="0" w:color="auto"/>
                                          </w:divBdr>
                                          <w:divsChild>
                                            <w:div w:id="1806042117">
                                              <w:marLeft w:val="-225"/>
                                              <w:marRight w:val="-225"/>
                                              <w:marTop w:val="0"/>
                                              <w:marBottom w:val="0"/>
                                              <w:divBdr>
                                                <w:top w:val="none" w:sz="0" w:space="0" w:color="auto"/>
                                                <w:left w:val="none" w:sz="0" w:space="0" w:color="auto"/>
                                                <w:bottom w:val="none" w:sz="0" w:space="0" w:color="auto"/>
                                                <w:right w:val="none" w:sz="0" w:space="0" w:color="auto"/>
                                              </w:divBdr>
                                              <w:divsChild>
                                                <w:div w:id="83310148">
                                                  <w:marLeft w:val="0"/>
                                                  <w:marRight w:val="0"/>
                                                  <w:marTop w:val="0"/>
                                                  <w:marBottom w:val="0"/>
                                                  <w:divBdr>
                                                    <w:top w:val="none" w:sz="0" w:space="0" w:color="auto"/>
                                                    <w:left w:val="none" w:sz="0" w:space="0" w:color="auto"/>
                                                    <w:bottom w:val="none" w:sz="0" w:space="0" w:color="auto"/>
                                                    <w:right w:val="none" w:sz="0" w:space="0" w:color="auto"/>
                                                  </w:divBdr>
                                                  <w:divsChild>
                                                    <w:div w:id="752312036">
                                                      <w:marLeft w:val="0"/>
                                                      <w:marRight w:val="0"/>
                                                      <w:marTop w:val="0"/>
                                                      <w:marBottom w:val="0"/>
                                                      <w:divBdr>
                                                        <w:top w:val="none" w:sz="0" w:space="0" w:color="auto"/>
                                                        <w:left w:val="none" w:sz="0" w:space="0" w:color="auto"/>
                                                        <w:bottom w:val="none" w:sz="0" w:space="0" w:color="auto"/>
                                                        <w:right w:val="none" w:sz="0" w:space="0" w:color="auto"/>
                                                      </w:divBdr>
                                                      <w:divsChild>
                                                        <w:div w:id="499583478">
                                                          <w:marLeft w:val="0"/>
                                                          <w:marRight w:val="0"/>
                                                          <w:marTop w:val="0"/>
                                                          <w:marBottom w:val="0"/>
                                                          <w:divBdr>
                                                            <w:top w:val="none" w:sz="0" w:space="0" w:color="auto"/>
                                                            <w:left w:val="none" w:sz="0" w:space="0" w:color="auto"/>
                                                            <w:bottom w:val="none" w:sz="0" w:space="0" w:color="auto"/>
                                                            <w:right w:val="none" w:sz="0" w:space="0" w:color="auto"/>
                                                          </w:divBdr>
                                                          <w:divsChild>
                                                            <w:div w:id="111290812">
                                                              <w:marLeft w:val="0"/>
                                                              <w:marRight w:val="0"/>
                                                              <w:marTop w:val="0"/>
                                                              <w:marBottom w:val="0"/>
                                                              <w:divBdr>
                                                                <w:top w:val="none" w:sz="0" w:space="0" w:color="auto"/>
                                                                <w:left w:val="none" w:sz="0" w:space="0" w:color="auto"/>
                                                                <w:bottom w:val="none" w:sz="0" w:space="0" w:color="auto"/>
                                                                <w:right w:val="none" w:sz="0" w:space="0" w:color="auto"/>
                                                              </w:divBdr>
                                                              <w:divsChild>
                                                                <w:div w:id="389035192">
                                                                  <w:marLeft w:val="0"/>
                                                                  <w:marRight w:val="0"/>
                                                                  <w:marTop w:val="0"/>
                                                                  <w:marBottom w:val="0"/>
                                                                  <w:divBdr>
                                                                    <w:top w:val="none" w:sz="0" w:space="0" w:color="auto"/>
                                                                    <w:left w:val="none" w:sz="0" w:space="0" w:color="auto"/>
                                                                    <w:bottom w:val="none" w:sz="0" w:space="0" w:color="auto"/>
                                                                    <w:right w:val="none" w:sz="0" w:space="0" w:color="auto"/>
                                                                  </w:divBdr>
                                                                  <w:divsChild>
                                                                    <w:div w:id="1775782321">
                                                                      <w:marLeft w:val="0"/>
                                                                      <w:marRight w:val="0"/>
                                                                      <w:marTop w:val="0"/>
                                                                      <w:marBottom w:val="0"/>
                                                                      <w:divBdr>
                                                                        <w:top w:val="none" w:sz="0" w:space="0" w:color="auto"/>
                                                                        <w:left w:val="none" w:sz="0" w:space="0" w:color="auto"/>
                                                                        <w:bottom w:val="none" w:sz="0" w:space="0" w:color="auto"/>
                                                                        <w:right w:val="none" w:sz="0" w:space="0" w:color="auto"/>
                                                                      </w:divBdr>
                                                                      <w:divsChild>
                                                                        <w:div w:id="111440447">
                                                                          <w:marLeft w:val="0"/>
                                                                          <w:marRight w:val="0"/>
                                                                          <w:marTop w:val="0"/>
                                                                          <w:marBottom w:val="0"/>
                                                                          <w:divBdr>
                                                                            <w:top w:val="none" w:sz="0" w:space="0" w:color="auto"/>
                                                                            <w:left w:val="none" w:sz="0" w:space="0" w:color="auto"/>
                                                                            <w:bottom w:val="none" w:sz="0" w:space="0" w:color="auto"/>
                                                                            <w:right w:val="none" w:sz="0" w:space="0" w:color="auto"/>
                                                                          </w:divBdr>
                                                                          <w:divsChild>
                                                                            <w:div w:id="2049136096">
                                                                              <w:marLeft w:val="0"/>
                                                                              <w:marRight w:val="0"/>
                                                                              <w:marTop w:val="0"/>
                                                                              <w:marBottom w:val="0"/>
                                                                              <w:divBdr>
                                                                                <w:top w:val="none" w:sz="0" w:space="0" w:color="auto"/>
                                                                                <w:left w:val="none" w:sz="0" w:space="0" w:color="auto"/>
                                                                                <w:bottom w:val="none" w:sz="0" w:space="0" w:color="auto"/>
                                                                                <w:right w:val="none" w:sz="0" w:space="0" w:color="auto"/>
                                                                              </w:divBdr>
                                                                            </w:div>
                                                                          </w:divsChild>
                                                                        </w:div>
                                                                        <w:div w:id="812256596">
                                                                          <w:marLeft w:val="0"/>
                                                                          <w:marRight w:val="0"/>
                                                                          <w:marTop w:val="0"/>
                                                                          <w:marBottom w:val="0"/>
                                                                          <w:divBdr>
                                                                            <w:top w:val="none" w:sz="0" w:space="0" w:color="auto"/>
                                                                            <w:left w:val="none" w:sz="0" w:space="0" w:color="auto"/>
                                                                            <w:bottom w:val="none" w:sz="0" w:space="0" w:color="auto"/>
                                                                            <w:right w:val="none" w:sz="0" w:space="0" w:color="auto"/>
                                                                          </w:divBdr>
                                                                          <w:divsChild>
                                                                            <w:div w:id="2778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9188440">
      <w:bodyDiv w:val="1"/>
      <w:marLeft w:val="0"/>
      <w:marRight w:val="0"/>
      <w:marTop w:val="0"/>
      <w:marBottom w:val="0"/>
      <w:divBdr>
        <w:top w:val="none" w:sz="0" w:space="0" w:color="auto"/>
        <w:left w:val="none" w:sz="0" w:space="0" w:color="auto"/>
        <w:bottom w:val="none" w:sz="0" w:space="0" w:color="auto"/>
        <w:right w:val="none" w:sz="0" w:space="0" w:color="auto"/>
      </w:divBdr>
      <w:divsChild>
        <w:div w:id="1526945688">
          <w:marLeft w:val="0"/>
          <w:marRight w:val="0"/>
          <w:marTop w:val="0"/>
          <w:marBottom w:val="0"/>
          <w:divBdr>
            <w:top w:val="none" w:sz="0" w:space="0" w:color="auto"/>
            <w:left w:val="none" w:sz="0" w:space="0" w:color="auto"/>
            <w:bottom w:val="none" w:sz="0" w:space="0" w:color="auto"/>
            <w:right w:val="none" w:sz="0" w:space="0" w:color="auto"/>
          </w:divBdr>
          <w:divsChild>
            <w:div w:id="793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295">
      <w:bodyDiv w:val="1"/>
      <w:marLeft w:val="0"/>
      <w:marRight w:val="0"/>
      <w:marTop w:val="0"/>
      <w:marBottom w:val="0"/>
      <w:divBdr>
        <w:top w:val="none" w:sz="0" w:space="0" w:color="auto"/>
        <w:left w:val="none" w:sz="0" w:space="0" w:color="auto"/>
        <w:bottom w:val="none" w:sz="0" w:space="0" w:color="auto"/>
        <w:right w:val="none" w:sz="0" w:space="0" w:color="auto"/>
      </w:divBdr>
      <w:divsChild>
        <w:div w:id="2082822342">
          <w:marLeft w:val="0"/>
          <w:marRight w:val="0"/>
          <w:marTop w:val="0"/>
          <w:marBottom w:val="0"/>
          <w:divBdr>
            <w:top w:val="none" w:sz="0" w:space="0" w:color="auto"/>
            <w:left w:val="none" w:sz="0" w:space="0" w:color="auto"/>
            <w:bottom w:val="none" w:sz="0" w:space="0" w:color="auto"/>
            <w:right w:val="none" w:sz="0" w:space="0" w:color="auto"/>
          </w:divBdr>
          <w:divsChild>
            <w:div w:id="925653073">
              <w:marLeft w:val="0"/>
              <w:marRight w:val="0"/>
              <w:marTop w:val="0"/>
              <w:marBottom w:val="0"/>
              <w:divBdr>
                <w:top w:val="none" w:sz="0" w:space="0" w:color="auto"/>
                <w:left w:val="none" w:sz="0" w:space="0" w:color="auto"/>
                <w:bottom w:val="none" w:sz="0" w:space="0" w:color="auto"/>
                <w:right w:val="none" w:sz="0" w:space="0" w:color="auto"/>
              </w:divBdr>
              <w:divsChild>
                <w:div w:id="759831457">
                  <w:marLeft w:val="0"/>
                  <w:marRight w:val="0"/>
                  <w:marTop w:val="0"/>
                  <w:marBottom w:val="0"/>
                  <w:divBdr>
                    <w:top w:val="none" w:sz="0" w:space="0" w:color="auto"/>
                    <w:left w:val="none" w:sz="0" w:space="0" w:color="auto"/>
                    <w:bottom w:val="none" w:sz="0" w:space="0" w:color="auto"/>
                    <w:right w:val="none" w:sz="0" w:space="0" w:color="auto"/>
                  </w:divBdr>
                </w:div>
                <w:div w:id="283929636">
                  <w:marLeft w:val="0"/>
                  <w:marRight w:val="0"/>
                  <w:marTop w:val="0"/>
                  <w:marBottom w:val="0"/>
                  <w:divBdr>
                    <w:top w:val="none" w:sz="0" w:space="0" w:color="auto"/>
                    <w:left w:val="none" w:sz="0" w:space="0" w:color="auto"/>
                    <w:bottom w:val="none" w:sz="0" w:space="0" w:color="auto"/>
                    <w:right w:val="none" w:sz="0" w:space="0" w:color="auto"/>
                  </w:divBdr>
                </w:div>
              </w:divsChild>
            </w:div>
            <w:div w:id="1173883938">
              <w:marLeft w:val="0"/>
              <w:marRight w:val="0"/>
              <w:marTop w:val="0"/>
              <w:marBottom w:val="0"/>
              <w:divBdr>
                <w:top w:val="none" w:sz="0" w:space="0" w:color="auto"/>
                <w:left w:val="none" w:sz="0" w:space="0" w:color="auto"/>
                <w:bottom w:val="none" w:sz="0" w:space="0" w:color="auto"/>
                <w:right w:val="none" w:sz="0" w:space="0" w:color="auto"/>
              </w:divBdr>
              <w:divsChild>
                <w:div w:id="832643524">
                  <w:marLeft w:val="0"/>
                  <w:marRight w:val="0"/>
                  <w:marTop w:val="0"/>
                  <w:marBottom w:val="0"/>
                  <w:divBdr>
                    <w:top w:val="none" w:sz="0" w:space="0" w:color="auto"/>
                    <w:left w:val="none" w:sz="0" w:space="0" w:color="auto"/>
                    <w:bottom w:val="none" w:sz="0" w:space="0" w:color="auto"/>
                    <w:right w:val="none" w:sz="0" w:space="0" w:color="auto"/>
                  </w:divBdr>
                </w:div>
                <w:div w:id="20412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4086">
          <w:marLeft w:val="0"/>
          <w:marRight w:val="0"/>
          <w:marTop w:val="0"/>
          <w:marBottom w:val="0"/>
          <w:divBdr>
            <w:top w:val="none" w:sz="0" w:space="0" w:color="auto"/>
            <w:left w:val="none" w:sz="0" w:space="0" w:color="auto"/>
            <w:bottom w:val="none" w:sz="0" w:space="0" w:color="auto"/>
            <w:right w:val="none" w:sz="0" w:space="0" w:color="auto"/>
          </w:divBdr>
        </w:div>
        <w:div w:id="1752123877">
          <w:marLeft w:val="0"/>
          <w:marRight w:val="0"/>
          <w:marTop w:val="0"/>
          <w:marBottom w:val="0"/>
          <w:divBdr>
            <w:top w:val="none" w:sz="0" w:space="0" w:color="auto"/>
            <w:left w:val="none" w:sz="0" w:space="0" w:color="auto"/>
            <w:bottom w:val="none" w:sz="0" w:space="0" w:color="auto"/>
            <w:right w:val="none" w:sz="0" w:space="0" w:color="auto"/>
          </w:divBdr>
        </w:div>
        <w:div w:id="2012640924">
          <w:marLeft w:val="0"/>
          <w:marRight w:val="0"/>
          <w:marTop w:val="0"/>
          <w:marBottom w:val="0"/>
          <w:divBdr>
            <w:top w:val="none" w:sz="0" w:space="0" w:color="auto"/>
            <w:left w:val="none" w:sz="0" w:space="0" w:color="auto"/>
            <w:bottom w:val="none" w:sz="0" w:space="0" w:color="auto"/>
            <w:right w:val="none" w:sz="0" w:space="0" w:color="auto"/>
          </w:divBdr>
        </w:div>
        <w:div w:id="1587573175">
          <w:marLeft w:val="0"/>
          <w:marRight w:val="0"/>
          <w:marTop w:val="0"/>
          <w:marBottom w:val="0"/>
          <w:divBdr>
            <w:top w:val="none" w:sz="0" w:space="0" w:color="auto"/>
            <w:left w:val="none" w:sz="0" w:space="0" w:color="auto"/>
            <w:bottom w:val="none" w:sz="0" w:space="0" w:color="auto"/>
            <w:right w:val="none" w:sz="0" w:space="0" w:color="auto"/>
          </w:divBdr>
        </w:div>
        <w:div w:id="367146294">
          <w:marLeft w:val="0"/>
          <w:marRight w:val="0"/>
          <w:marTop w:val="0"/>
          <w:marBottom w:val="0"/>
          <w:divBdr>
            <w:top w:val="none" w:sz="0" w:space="0" w:color="auto"/>
            <w:left w:val="none" w:sz="0" w:space="0" w:color="auto"/>
            <w:bottom w:val="none" w:sz="0" w:space="0" w:color="auto"/>
            <w:right w:val="none" w:sz="0" w:space="0" w:color="auto"/>
          </w:divBdr>
        </w:div>
        <w:div w:id="3359393">
          <w:marLeft w:val="0"/>
          <w:marRight w:val="0"/>
          <w:marTop w:val="0"/>
          <w:marBottom w:val="0"/>
          <w:divBdr>
            <w:top w:val="none" w:sz="0" w:space="0" w:color="auto"/>
            <w:left w:val="none" w:sz="0" w:space="0" w:color="auto"/>
            <w:bottom w:val="none" w:sz="0" w:space="0" w:color="auto"/>
            <w:right w:val="none" w:sz="0" w:space="0" w:color="auto"/>
          </w:divBdr>
        </w:div>
        <w:div w:id="967472864">
          <w:marLeft w:val="0"/>
          <w:marRight w:val="0"/>
          <w:marTop w:val="0"/>
          <w:marBottom w:val="0"/>
          <w:divBdr>
            <w:top w:val="none" w:sz="0" w:space="0" w:color="auto"/>
            <w:left w:val="none" w:sz="0" w:space="0" w:color="auto"/>
            <w:bottom w:val="none" w:sz="0" w:space="0" w:color="auto"/>
            <w:right w:val="none" w:sz="0" w:space="0" w:color="auto"/>
          </w:divBdr>
        </w:div>
      </w:divsChild>
    </w:div>
    <w:div w:id="430516994">
      <w:bodyDiv w:val="1"/>
      <w:marLeft w:val="0"/>
      <w:marRight w:val="0"/>
      <w:marTop w:val="0"/>
      <w:marBottom w:val="0"/>
      <w:divBdr>
        <w:top w:val="none" w:sz="0" w:space="0" w:color="auto"/>
        <w:left w:val="none" w:sz="0" w:space="0" w:color="auto"/>
        <w:bottom w:val="none" w:sz="0" w:space="0" w:color="auto"/>
        <w:right w:val="none" w:sz="0" w:space="0" w:color="auto"/>
      </w:divBdr>
    </w:div>
    <w:div w:id="438843664">
      <w:bodyDiv w:val="1"/>
      <w:marLeft w:val="0"/>
      <w:marRight w:val="0"/>
      <w:marTop w:val="0"/>
      <w:marBottom w:val="0"/>
      <w:divBdr>
        <w:top w:val="none" w:sz="0" w:space="0" w:color="auto"/>
        <w:left w:val="none" w:sz="0" w:space="0" w:color="auto"/>
        <w:bottom w:val="none" w:sz="0" w:space="0" w:color="auto"/>
        <w:right w:val="none" w:sz="0" w:space="0" w:color="auto"/>
      </w:divBdr>
    </w:div>
    <w:div w:id="700282732">
      <w:bodyDiv w:val="1"/>
      <w:marLeft w:val="0"/>
      <w:marRight w:val="0"/>
      <w:marTop w:val="0"/>
      <w:marBottom w:val="0"/>
      <w:divBdr>
        <w:top w:val="none" w:sz="0" w:space="0" w:color="auto"/>
        <w:left w:val="none" w:sz="0" w:space="0" w:color="auto"/>
        <w:bottom w:val="none" w:sz="0" w:space="0" w:color="auto"/>
        <w:right w:val="none" w:sz="0" w:space="0" w:color="auto"/>
      </w:divBdr>
      <w:divsChild>
        <w:div w:id="1356733236">
          <w:marLeft w:val="0"/>
          <w:marRight w:val="0"/>
          <w:marTop w:val="288"/>
          <w:marBottom w:val="100"/>
          <w:divBdr>
            <w:top w:val="none" w:sz="0" w:space="0" w:color="auto"/>
            <w:left w:val="none" w:sz="0" w:space="0" w:color="auto"/>
            <w:bottom w:val="none" w:sz="0" w:space="0" w:color="auto"/>
            <w:right w:val="none" w:sz="0" w:space="0" w:color="auto"/>
          </w:divBdr>
          <w:divsChild>
            <w:div w:id="9691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7409">
      <w:bodyDiv w:val="1"/>
      <w:marLeft w:val="0"/>
      <w:marRight w:val="0"/>
      <w:marTop w:val="0"/>
      <w:marBottom w:val="0"/>
      <w:divBdr>
        <w:top w:val="none" w:sz="0" w:space="0" w:color="auto"/>
        <w:left w:val="none" w:sz="0" w:space="0" w:color="auto"/>
        <w:bottom w:val="none" w:sz="0" w:space="0" w:color="auto"/>
        <w:right w:val="none" w:sz="0" w:space="0" w:color="auto"/>
      </w:divBdr>
    </w:div>
    <w:div w:id="878009864">
      <w:bodyDiv w:val="1"/>
      <w:marLeft w:val="0"/>
      <w:marRight w:val="0"/>
      <w:marTop w:val="0"/>
      <w:marBottom w:val="0"/>
      <w:divBdr>
        <w:top w:val="none" w:sz="0" w:space="0" w:color="auto"/>
        <w:left w:val="none" w:sz="0" w:space="0" w:color="auto"/>
        <w:bottom w:val="none" w:sz="0" w:space="0" w:color="auto"/>
        <w:right w:val="none" w:sz="0" w:space="0" w:color="auto"/>
      </w:divBdr>
    </w:div>
    <w:div w:id="994071547">
      <w:bodyDiv w:val="1"/>
      <w:marLeft w:val="0"/>
      <w:marRight w:val="0"/>
      <w:marTop w:val="0"/>
      <w:marBottom w:val="0"/>
      <w:divBdr>
        <w:top w:val="none" w:sz="0" w:space="0" w:color="auto"/>
        <w:left w:val="none" w:sz="0" w:space="0" w:color="auto"/>
        <w:bottom w:val="none" w:sz="0" w:space="0" w:color="auto"/>
        <w:right w:val="none" w:sz="0" w:space="0" w:color="auto"/>
      </w:divBdr>
    </w:div>
    <w:div w:id="1036269141">
      <w:bodyDiv w:val="1"/>
      <w:marLeft w:val="0"/>
      <w:marRight w:val="0"/>
      <w:marTop w:val="0"/>
      <w:marBottom w:val="0"/>
      <w:divBdr>
        <w:top w:val="none" w:sz="0" w:space="0" w:color="auto"/>
        <w:left w:val="none" w:sz="0" w:space="0" w:color="auto"/>
        <w:bottom w:val="none" w:sz="0" w:space="0" w:color="auto"/>
        <w:right w:val="none" w:sz="0" w:space="0" w:color="auto"/>
      </w:divBdr>
    </w:div>
    <w:div w:id="1052969465">
      <w:bodyDiv w:val="1"/>
      <w:marLeft w:val="0"/>
      <w:marRight w:val="0"/>
      <w:marTop w:val="0"/>
      <w:marBottom w:val="0"/>
      <w:divBdr>
        <w:top w:val="none" w:sz="0" w:space="0" w:color="auto"/>
        <w:left w:val="none" w:sz="0" w:space="0" w:color="auto"/>
        <w:bottom w:val="none" w:sz="0" w:space="0" w:color="auto"/>
        <w:right w:val="none" w:sz="0" w:space="0" w:color="auto"/>
      </w:divBdr>
    </w:div>
    <w:div w:id="1126973258">
      <w:bodyDiv w:val="1"/>
      <w:marLeft w:val="0"/>
      <w:marRight w:val="0"/>
      <w:marTop w:val="0"/>
      <w:marBottom w:val="0"/>
      <w:divBdr>
        <w:top w:val="none" w:sz="0" w:space="0" w:color="auto"/>
        <w:left w:val="none" w:sz="0" w:space="0" w:color="auto"/>
        <w:bottom w:val="none" w:sz="0" w:space="0" w:color="auto"/>
        <w:right w:val="none" w:sz="0" w:space="0" w:color="auto"/>
      </w:divBdr>
    </w:div>
    <w:div w:id="1479611565">
      <w:bodyDiv w:val="1"/>
      <w:marLeft w:val="0"/>
      <w:marRight w:val="0"/>
      <w:marTop w:val="0"/>
      <w:marBottom w:val="0"/>
      <w:divBdr>
        <w:top w:val="none" w:sz="0" w:space="0" w:color="auto"/>
        <w:left w:val="none" w:sz="0" w:space="0" w:color="auto"/>
        <w:bottom w:val="none" w:sz="0" w:space="0" w:color="auto"/>
        <w:right w:val="none" w:sz="0" w:space="0" w:color="auto"/>
      </w:divBdr>
      <w:divsChild>
        <w:div w:id="182283831">
          <w:marLeft w:val="0"/>
          <w:marRight w:val="0"/>
          <w:marTop w:val="0"/>
          <w:marBottom w:val="0"/>
          <w:divBdr>
            <w:top w:val="none" w:sz="0" w:space="0" w:color="auto"/>
            <w:left w:val="none" w:sz="0" w:space="0" w:color="auto"/>
            <w:bottom w:val="none" w:sz="0" w:space="0" w:color="auto"/>
            <w:right w:val="none" w:sz="0" w:space="0" w:color="auto"/>
          </w:divBdr>
          <w:divsChild>
            <w:div w:id="2028094853">
              <w:marLeft w:val="0"/>
              <w:marRight w:val="0"/>
              <w:marTop w:val="0"/>
              <w:marBottom w:val="0"/>
              <w:divBdr>
                <w:top w:val="none" w:sz="0" w:space="0" w:color="auto"/>
                <w:left w:val="none" w:sz="0" w:space="0" w:color="auto"/>
                <w:bottom w:val="none" w:sz="0" w:space="0" w:color="auto"/>
                <w:right w:val="none" w:sz="0" w:space="0" w:color="auto"/>
              </w:divBdr>
              <w:divsChild>
                <w:div w:id="1591888050">
                  <w:marLeft w:val="0"/>
                  <w:marRight w:val="0"/>
                  <w:marTop w:val="0"/>
                  <w:marBottom w:val="0"/>
                  <w:divBdr>
                    <w:top w:val="none" w:sz="0" w:space="0" w:color="auto"/>
                    <w:left w:val="none" w:sz="0" w:space="0" w:color="auto"/>
                    <w:bottom w:val="none" w:sz="0" w:space="0" w:color="auto"/>
                    <w:right w:val="none" w:sz="0" w:space="0" w:color="auto"/>
                  </w:divBdr>
                  <w:divsChild>
                    <w:div w:id="1120951298">
                      <w:marLeft w:val="0"/>
                      <w:marRight w:val="0"/>
                      <w:marTop w:val="0"/>
                      <w:marBottom w:val="0"/>
                      <w:divBdr>
                        <w:top w:val="none" w:sz="0" w:space="0" w:color="auto"/>
                        <w:left w:val="none" w:sz="0" w:space="0" w:color="auto"/>
                        <w:bottom w:val="none" w:sz="0" w:space="0" w:color="auto"/>
                        <w:right w:val="none" w:sz="0" w:space="0" w:color="auto"/>
                      </w:divBdr>
                      <w:divsChild>
                        <w:div w:id="13680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058505">
      <w:bodyDiv w:val="1"/>
      <w:marLeft w:val="0"/>
      <w:marRight w:val="0"/>
      <w:marTop w:val="0"/>
      <w:marBottom w:val="0"/>
      <w:divBdr>
        <w:top w:val="none" w:sz="0" w:space="0" w:color="auto"/>
        <w:left w:val="none" w:sz="0" w:space="0" w:color="auto"/>
        <w:bottom w:val="none" w:sz="0" w:space="0" w:color="auto"/>
        <w:right w:val="none" w:sz="0" w:space="0" w:color="auto"/>
      </w:divBdr>
    </w:div>
    <w:div w:id="1759206933">
      <w:bodyDiv w:val="1"/>
      <w:marLeft w:val="0"/>
      <w:marRight w:val="0"/>
      <w:marTop w:val="0"/>
      <w:marBottom w:val="0"/>
      <w:divBdr>
        <w:top w:val="none" w:sz="0" w:space="0" w:color="auto"/>
        <w:left w:val="none" w:sz="0" w:space="0" w:color="auto"/>
        <w:bottom w:val="none" w:sz="0" w:space="0" w:color="auto"/>
        <w:right w:val="none" w:sz="0" w:space="0" w:color="auto"/>
      </w:divBdr>
    </w:div>
    <w:div w:id="1782531012">
      <w:bodyDiv w:val="1"/>
      <w:marLeft w:val="0"/>
      <w:marRight w:val="0"/>
      <w:marTop w:val="0"/>
      <w:marBottom w:val="0"/>
      <w:divBdr>
        <w:top w:val="none" w:sz="0" w:space="0" w:color="auto"/>
        <w:left w:val="none" w:sz="0" w:space="0" w:color="auto"/>
        <w:bottom w:val="none" w:sz="0" w:space="0" w:color="auto"/>
        <w:right w:val="none" w:sz="0" w:space="0" w:color="auto"/>
      </w:divBdr>
    </w:div>
    <w:div w:id="1866940282">
      <w:bodyDiv w:val="1"/>
      <w:marLeft w:val="0"/>
      <w:marRight w:val="0"/>
      <w:marTop w:val="0"/>
      <w:marBottom w:val="0"/>
      <w:divBdr>
        <w:top w:val="none" w:sz="0" w:space="0" w:color="auto"/>
        <w:left w:val="none" w:sz="0" w:space="0" w:color="auto"/>
        <w:bottom w:val="none" w:sz="0" w:space="0" w:color="auto"/>
        <w:right w:val="none" w:sz="0" w:space="0" w:color="auto"/>
      </w:divBdr>
      <w:divsChild>
        <w:div w:id="56637820">
          <w:marLeft w:val="0"/>
          <w:marRight w:val="0"/>
          <w:marTop w:val="150"/>
          <w:marBottom w:val="150"/>
          <w:divBdr>
            <w:top w:val="single" w:sz="6" w:space="4" w:color="BCBCBC"/>
            <w:left w:val="single" w:sz="6" w:space="4" w:color="BCBCBC"/>
            <w:bottom w:val="single" w:sz="6" w:space="4" w:color="BCBCBC"/>
            <w:right w:val="single" w:sz="6" w:space="4" w:color="BCBCBC"/>
          </w:divBdr>
        </w:div>
      </w:divsChild>
    </w:div>
    <w:div w:id="1869640632">
      <w:bodyDiv w:val="1"/>
      <w:marLeft w:val="0"/>
      <w:marRight w:val="0"/>
      <w:marTop w:val="0"/>
      <w:marBottom w:val="0"/>
      <w:divBdr>
        <w:top w:val="none" w:sz="0" w:space="0" w:color="auto"/>
        <w:left w:val="none" w:sz="0" w:space="0" w:color="auto"/>
        <w:bottom w:val="none" w:sz="0" w:space="0" w:color="auto"/>
        <w:right w:val="none" w:sz="0" w:space="0" w:color="auto"/>
      </w:divBdr>
    </w:div>
    <w:div w:id="1880315648">
      <w:bodyDiv w:val="1"/>
      <w:marLeft w:val="0"/>
      <w:marRight w:val="0"/>
      <w:marTop w:val="0"/>
      <w:marBottom w:val="0"/>
      <w:divBdr>
        <w:top w:val="none" w:sz="0" w:space="0" w:color="auto"/>
        <w:left w:val="none" w:sz="0" w:space="0" w:color="auto"/>
        <w:bottom w:val="none" w:sz="0" w:space="0" w:color="auto"/>
        <w:right w:val="none" w:sz="0" w:space="0" w:color="auto"/>
      </w:divBdr>
      <w:divsChild>
        <w:div w:id="1691181255">
          <w:marLeft w:val="0"/>
          <w:marRight w:val="0"/>
          <w:marTop w:val="0"/>
          <w:marBottom w:val="0"/>
          <w:divBdr>
            <w:top w:val="none" w:sz="0" w:space="0" w:color="auto"/>
            <w:left w:val="none" w:sz="0" w:space="0" w:color="auto"/>
            <w:bottom w:val="none" w:sz="0" w:space="0" w:color="auto"/>
            <w:right w:val="none" w:sz="0" w:space="0" w:color="auto"/>
          </w:divBdr>
          <w:divsChild>
            <w:div w:id="1075081013">
              <w:marLeft w:val="0"/>
              <w:marRight w:val="0"/>
              <w:marTop w:val="675"/>
              <w:marBottom w:val="675"/>
              <w:divBdr>
                <w:top w:val="none" w:sz="0" w:space="0" w:color="auto"/>
                <w:left w:val="none" w:sz="0" w:space="0" w:color="auto"/>
                <w:bottom w:val="none" w:sz="0" w:space="0" w:color="auto"/>
                <w:right w:val="none" w:sz="0" w:space="0" w:color="auto"/>
              </w:divBdr>
            </w:div>
          </w:divsChild>
        </w:div>
        <w:div w:id="1256747916">
          <w:marLeft w:val="0"/>
          <w:marRight w:val="0"/>
          <w:marTop w:val="0"/>
          <w:marBottom w:val="0"/>
          <w:divBdr>
            <w:top w:val="none" w:sz="0" w:space="0" w:color="auto"/>
            <w:left w:val="none" w:sz="0" w:space="0" w:color="auto"/>
            <w:bottom w:val="none" w:sz="0" w:space="0" w:color="auto"/>
            <w:right w:val="none" w:sz="0" w:space="0" w:color="auto"/>
          </w:divBdr>
        </w:div>
      </w:divsChild>
    </w:div>
    <w:div w:id="1903952988">
      <w:bodyDiv w:val="1"/>
      <w:marLeft w:val="0"/>
      <w:marRight w:val="0"/>
      <w:marTop w:val="0"/>
      <w:marBottom w:val="0"/>
      <w:divBdr>
        <w:top w:val="none" w:sz="0" w:space="0" w:color="auto"/>
        <w:left w:val="none" w:sz="0" w:space="0" w:color="auto"/>
        <w:bottom w:val="none" w:sz="0" w:space="0" w:color="auto"/>
        <w:right w:val="none" w:sz="0" w:space="0" w:color="auto"/>
      </w:divBdr>
    </w:div>
    <w:div w:id="1971862867">
      <w:bodyDiv w:val="1"/>
      <w:marLeft w:val="0"/>
      <w:marRight w:val="0"/>
      <w:marTop w:val="0"/>
      <w:marBottom w:val="0"/>
      <w:divBdr>
        <w:top w:val="none" w:sz="0" w:space="0" w:color="auto"/>
        <w:left w:val="none" w:sz="0" w:space="0" w:color="auto"/>
        <w:bottom w:val="none" w:sz="0" w:space="0" w:color="auto"/>
        <w:right w:val="none" w:sz="0" w:space="0" w:color="auto"/>
      </w:divBdr>
    </w:div>
    <w:div w:id="2019038348">
      <w:bodyDiv w:val="1"/>
      <w:marLeft w:val="0"/>
      <w:marRight w:val="0"/>
      <w:marTop w:val="0"/>
      <w:marBottom w:val="0"/>
      <w:divBdr>
        <w:top w:val="none" w:sz="0" w:space="0" w:color="auto"/>
        <w:left w:val="none" w:sz="0" w:space="0" w:color="auto"/>
        <w:bottom w:val="none" w:sz="0" w:space="0" w:color="auto"/>
        <w:right w:val="none" w:sz="0" w:space="0" w:color="auto"/>
      </w:divBdr>
    </w:div>
    <w:div w:id="20378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i6484e.pdf" TargetMode="External"/><Relationship Id="rId7" Type="http://schemas.openxmlformats.org/officeDocument/2006/relationships/hyperlink" Target="https://ijbnpa.biomedcentral.com/articles/10.1186/s12966-017-0628-2" TargetMode="External"/><Relationship Id="rId2" Type="http://schemas.openxmlformats.org/officeDocument/2006/relationships/hyperlink" Target="https://www.mpi.govt.nz/dmsdocument/31632-health-star-rating-monitoring-implementation-for-the-five-year-review" TargetMode="External"/><Relationship Id="rId1" Type="http://schemas.openxmlformats.org/officeDocument/2006/relationships/hyperlink" Target="http://healthstarrating.gov.au/internet/healthstarrating/publishing.nsf/Content/monitoring" TargetMode="External"/><Relationship Id="rId6" Type="http://schemas.openxmlformats.org/officeDocument/2006/relationships/hyperlink" Target="https://doi.org/10.1002/hpja.197" TargetMode="External"/><Relationship Id="rId5" Type="http://schemas.openxmlformats.org/officeDocument/2006/relationships/hyperlink" Target="https://www1.health.gov.au/internet/fr/publishing.nsf/Content/E6C6919B62C492BCCA257F720076F4C8/$File/FoPL%20Stage%202%20Research.pdf" TargetMode="External"/><Relationship Id="rId4" Type="http://schemas.openxmlformats.org/officeDocument/2006/relationships/hyperlink" Target="https://doi.org/10.1016/j.appet.2017.11.105" TargetMode="External"/></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bd06d2da0152468b9236b575a71e0e7c xmlns="ec50576e-4a27-4780-a1e1-e59563bc70b8">
      <Terms xmlns="http://schemas.microsoft.com/office/infopath/2007/PartnerControls"/>
    </bd06d2da0152468b9236b575a71e0e7c>
    <_dlc_DocId xmlns="5759555f-5bed-45a4-a4c2-4e28e2623455">MMF7YEMDTSDN-1731714034-622</_dlc_DocId>
    <_dlc_DocIdUrl xmlns="5759555f-5bed-45a4-a4c2-4e28e2623455">
      <Url>http://fsintranet/IWG/W1108/_layouts/15/DocIdRedir.aspx?ID=MMF7YEMDTSDN-1731714034-622</Url>
      <Description>MMF7YEMDTSDN-1731714034-622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959f586-1386-49a0-8f25-29490ba8c513" ContentTypeId="0x01010004C4C934AD08B647A78FCADD498BE319" PreviousValue="false"/>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97B105B24A131847B41A4AE843908E10" ma:contentTypeVersion="38" ma:contentTypeDescription="Documents not created or owned by FSANZ. Such as: Personal resume, Journals or Restaurant menu. DO NOT use this for: drafts, free ideas or documents created or owned by FSANZ." ma:contentTypeScope="" ma:versionID="e9ce53e9bc1b7c08bbfe1b6165156fe5">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cc629383df04083375a34f62e3d6e2a7"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7c13fe2d-c7c1-4f6c-bb3a-8f72249e7201" value=""/>
</sisl>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469CA7D-1E1A-438C-AEC4-32CF09C922B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c50576e-4a27-4780-a1e1-e59563bc70b8"/>
    <ds:schemaRef ds:uri="5759555f-5bed-45a4-a4c2-4e28e262345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A3EA3A1-5D51-4F9F-BFC5-F59B09AB4B37}">
  <ds:schemaRefs>
    <ds:schemaRef ds:uri="http://schemas.microsoft.com/sharepoint/events"/>
  </ds:schemaRefs>
</ds:datastoreItem>
</file>

<file path=customXml/itemProps3.xml><?xml version="1.0" encoding="utf-8"?>
<ds:datastoreItem xmlns:ds="http://schemas.openxmlformats.org/officeDocument/2006/customXml" ds:itemID="{2E9DCF15-A921-4E42-BF9D-B13BB04008D6}">
  <ds:schemaRefs>
    <ds:schemaRef ds:uri="Microsoft.SharePoint.Taxonomy.ContentTypeSync"/>
  </ds:schemaRefs>
</ds:datastoreItem>
</file>

<file path=customXml/itemProps4.xml><?xml version="1.0" encoding="utf-8"?>
<ds:datastoreItem xmlns:ds="http://schemas.openxmlformats.org/officeDocument/2006/customXml" ds:itemID="{1B3D88C2-5427-4EEE-8E58-AF90BD6E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977AB3-AF53-43CF-A01D-BC7EA991DD9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0652B6E6-BED9-4CD9-A16A-31BEE3F0CD4C}">
  <ds:schemaRefs>
    <ds:schemaRef ds:uri="http://schemas.openxmlformats.org/officeDocument/2006/bibliography"/>
  </ds:schemaRefs>
</ds:datastoreItem>
</file>

<file path=customXml/itemProps7.xml><?xml version="1.0" encoding="utf-8"?>
<ds:datastoreItem xmlns:ds="http://schemas.openxmlformats.org/officeDocument/2006/customXml" ds:itemID="{E6688CCA-2FBD-4884-BC0E-69C6B3ED0144}">
  <ds:schemaRefs>
    <ds:schemaRef ds:uri="http://schemas.microsoft.com/sharepoint/v3/contenttype/forms"/>
  </ds:schemaRefs>
</ds:datastoreItem>
</file>

<file path=customXml/itemProps8.xml><?xml version="1.0" encoding="utf-8"?>
<ds:datastoreItem xmlns:ds="http://schemas.openxmlformats.org/officeDocument/2006/customXml" ds:itemID="{97CEE67B-4E8A-4348-A601-3C8DDC18DB5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4801</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Policy Paper: Labelling of sugars on packaged foods and drinks</vt:lpstr>
    </vt:vector>
  </TitlesOfParts>
  <Manager>Preventive Health Policy Branch</Manager>
  <Company>Australian Government Department Health</Company>
  <LinksUpToDate>false</LinksUpToDate>
  <CharactersWithSpaces>32039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Paper: Labelling of sugars on packaged foods and drinks</dc:title>
  <dc:subject>Food Regulation</dc:subject>
  <dc:creator>Food Regulation Standing Committee</dc:creator>
  <cp:keywords>Food Regulation; Sugars; Packaging; Policy</cp:keywords>
  <cp:lastModifiedBy>COCHRANE, Kaylie</cp:lastModifiedBy>
  <cp:revision>2</cp:revision>
  <cp:lastPrinted>2019-12-16T04:12:00Z</cp:lastPrinted>
  <dcterms:created xsi:type="dcterms:W3CDTF">2024-12-02T01:24:00Z</dcterms:created>
  <dcterms:modified xsi:type="dcterms:W3CDTF">2024-12-02T01:24:00Z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84215845-4a0d-4c1c-a849-ab5aa9a1aaa8</vt:lpwstr>
  </property>
  <property fmtid="{D5CDD505-2E9C-101B-9397-08002B2CF9AE}" pid="3" name="bjSaver">
    <vt:lpwstr>2c9VvyGkbCM9FBxTcVF/H/j7I7isRlGP</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uid="7c13fe2d-c7c1-4f6c-bb3a-8f72249e7201" value="" /&gt;&lt;/sisl&gt;</vt:lpwstr>
  </property>
  <property fmtid="{D5CDD505-2E9C-101B-9397-08002B2CF9AE}" pid="6" name="bjDocumentSecurityLabel">
    <vt:lpwstr>UNCLASSIFIED</vt:lpwstr>
  </property>
  <property fmtid="{D5CDD505-2E9C-101B-9397-08002B2CF9AE}" pid="7" name="bjHeaderBothDocProperty">
    <vt:lpwstr>UNCLASSIFIED_x000d_
 </vt:lpwstr>
  </property>
  <property fmtid="{D5CDD505-2E9C-101B-9397-08002B2CF9AE}" pid="8" name="bjHeaderFirstPageDocProperty">
    <vt:lpwstr>UNCLASSIFIED_x000d_
 </vt:lpwstr>
  </property>
  <property fmtid="{D5CDD505-2E9C-101B-9397-08002B2CF9AE}" pid="9" name="bjHeaderEvenPageDocProperty">
    <vt:lpwstr>UNCLASSIFIED_x000d_
 </vt:lpwstr>
  </property>
  <property fmtid="{D5CDD505-2E9C-101B-9397-08002B2CF9AE}" pid="10" name="bjFooterBothDocProperty">
    <vt:lpwstr>_x000d_
UNCLASSIFIED </vt:lpwstr>
  </property>
  <property fmtid="{D5CDD505-2E9C-101B-9397-08002B2CF9AE}" pid="11" name="bjFooterFirstPageDocProperty">
    <vt:lpwstr>_x000d_
UNCLASSIFIED </vt:lpwstr>
  </property>
  <property fmtid="{D5CDD505-2E9C-101B-9397-08002B2CF9AE}" pid="12" name="bjFooterEvenPageDocProperty">
    <vt:lpwstr>_x000d_
UNCLASSIFIED </vt:lpwstr>
  </property>
  <property fmtid="{D5CDD505-2E9C-101B-9397-08002B2CF9AE}" pid="13" name="ContentTypeId">
    <vt:lpwstr>0x01010004C4C934AD08B647A78FCADD498BE3190097B105B24A131847B41A4AE843908E10</vt:lpwstr>
  </property>
  <property fmtid="{D5CDD505-2E9C-101B-9397-08002B2CF9AE}" pid="14" name="BCS_">
    <vt:lpwstr/>
  </property>
  <property fmtid="{D5CDD505-2E9C-101B-9397-08002B2CF9AE}" pid="15" name="_dlc_DocIdItemGuid">
    <vt:lpwstr>c2ddb0f6-44c1-438c-8c8d-8e744be800e9</vt:lpwstr>
  </property>
</Properties>
</file>