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0C37" w14:textId="5013E2FD" w:rsidR="0016701A" w:rsidRDefault="0016701A" w:rsidP="0016701A">
      <w:pPr>
        <w:pStyle w:val="Title"/>
        <w:pBdr>
          <w:bottom w:val="single" w:sz="8" w:space="31" w:color="DDDDDD" w:themeColor="accent1"/>
        </w:pBdr>
        <w:spacing w:before="0" w:after="0"/>
        <w:contextualSpacing w:val="0"/>
      </w:pPr>
    </w:p>
    <w:p w14:paraId="25F7E518" w14:textId="77777777" w:rsidR="00B359D3" w:rsidRPr="00B359D3" w:rsidRDefault="00B359D3" w:rsidP="00B359D3"/>
    <w:p w14:paraId="25F7BA5B" w14:textId="2BDD1F2C" w:rsidR="009C3E39" w:rsidRPr="00606C54" w:rsidRDefault="009C3E39" w:rsidP="00812BE8">
      <w:pPr>
        <w:spacing w:before="0"/>
        <w:rPr>
          <w:rFonts w:eastAsiaTheme="majorEastAsia"/>
          <w:i/>
          <w:color w:val="0070C0"/>
        </w:rPr>
      </w:pPr>
    </w:p>
    <w:p w14:paraId="0A2F0F0B" w14:textId="7A7C3974" w:rsidR="009C3E39" w:rsidRPr="00606C54" w:rsidRDefault="0016701A" w:rsidP="00812BE8">
      <w:pPr>
        <w:spacing w:before="0"/>
        <w:jc w:val="center"/>
        <w:rPr>
          <w:rFonts w:eastAsiaTheme="majorEastAsia"/>
          <w:i/>
          <w:color w:val="0070C0"/>
          <w:sz w:val="72"/>
        </w:rPr>
      </w:pPr>
      <w:r>
        <w:rPr>
          <w:rFonts w:eastAsiaTheme="majorEastAsia"/>
          <w:i/>
          <w:color w:val="0070C0"/>
          <w:sz w:val="72"/>
        </w:rPr>
        <w:t>H</w:t>
      </w:r>
      <w:r w:rsidR="00BE417C" w:rsidRPr="00606C54">
        <w:rPr>
          <w:rFonts w:eastAsiaTheme="majorEastAsia"/>
          <w:i/>
          <w:color w:val="0070C0"/>
          <w:sz w:val="72"/>
        </w:rPr>
        <w:t>ealth Star Rating system</w:t>
      </w:r>
      <w:r w:rsidR="00BE417C" w:rsidRPr="00606C54">
        <w:rPr>
          <w:rFonts w:eastAsiaTheme="majorEastAsia"/>
          <w:i/>
          <w:color w:val="0070C0"/>
          <w:sz w:val="72"/>
        </w:rPr>
        <w:br/>
      </w:r>
      <w:r w:rsidR="00BE417C" w:rsidRPr="00606C54">
        <w:rPr>
          <w:rFonts w:eastAsiaTheme="majorEastAsia"/>
          <w:i/>
          <w:color w:val="0070C0"/>
          <w:sz w:val="36"/>
          <w:szCs w:val="10"/>
        </w:rPr>
        <w:t xml:space="preserve">Post </w:t>
      </w:r>
      <w:r w:rsidR="003A08FA">
        <w:rPr>
          <w:rFonts w:eastAsiaTheme="majorEastAsia"/>
          <w:i/>
          <w:color w:val="0070C0"/>
          <w:sz w:val="36"/>
          <w:szCs w:val="10"/>
        </w:rPr>
        <w:t>F</w:t>
      </w:r>
      <w:r w:rsidR="00BE417C" w:rsidRPr="00606C54">
        <w:rPr>
          <w:rFonts w:eastAsiaTheme="majorEastAsia"/>
          <w:i/>
          <w:color w:val="0070C0"/>
          <w:sz w:val="36"/>
          <w:szCs w:val="10"/>
        </w:rPr>
        <w:t>ive-</w:t>
      </w:r>
      <w:r w:rsidR="003A08FA">
        <w:rPr>
          <w:rFonts w:eastAsiaTheme="majorEastAsia"/>
          <w:i/>
          <w:color w:val="0070C0"/>
          <w:sz w:val="36"/>
          <w:szCs w:val="10"/>
        </w:rPr>
        <w:t>Y</w:t>
      </w:r>
      <w:r w:rsidR="00BE417C" w:rsidRPr="00606C54">
        <w:rPr>
          <w:rFonts w:eastAsiaTheme="majorEastAsia"/>
          <w:i/>
          <w:color w:val="0070C0"/>
          <w:sz w:val="36"/>
          <w:szCs w:val="10"/>
        </w:rPr>
        <w:t xml:space="preserve">ear Review </w:t>
      </w:r>
    </w:p>
    <w:p w14:paraId="4A60E25A" w14:textId="77777777" w:rsidR="009C3E39" w:rsidRPr="00606C54" w:rsidRDefault="009C3E39" w:rsidP="00812BE8">
      <w:pPr>
        <w:spacing w:before="0"/>
        <w:jc w:val="center"/>
        <w:rPr>
          <w:rFonts w:eastAsiaTheme="majorEastAsia"/>
          <w:i/>
          <w:color w:val="0070C0"/>
        </w:rPr>
      </w:pPr>
    </w:p>
    <w:p w14:paraId="031C794D" w14:textId="5184B8B6" w:rsidR="0016701A" w:rsidRDefault="0016701A" w:rsidP="0016701A">
      <w:pPr>
        <w:pStyle w:val="Title"/>
        <w:spacing w:before="0" w:after="120"/>
        <w:contextualSpacing w:val="0"/>
        <w:jc w:val="center"/>
      </w:pPr>
      <w:r w:rsidRPr="00606C54">
        <w:t>Monitoring Framework</w:t>
      </w:r>
      <w:r>
        <w:t xml:space="preserve"> </w:t>
      </w:r>
    </w:p>
    <w:p w14:paraId="76662110" w14:textId="590218C7" w:rsidR="0016701A" w:rsidRDefault="00F513EF" w:rsidP="0016701A">
      <w:pPr>
        <w:pStyle w:val="Title"/>
        <w:spacing w:before="0" w:after="120"/>
        <w:contextualSpacing w:val="0"/>
        <w:jc w:val="center"/>
      </w:pPr>
      <w:r>
        <w:rPr>
          <w:sz w:val="24"/>
          <w:szCs w:val="24"/>
        </w:rPr>
        <w:t>July</w:t>
      </w:r>
      <w:r w:rsidR="0016701A" w:rsidRPr="00C90EAF">
        <w:rPr>
          <w:sz w:val="24"/>
          <w:szCs w:val="24"/>
        </w:rPr>
        <w:t xml:space="preserve"> 2023</w:t>
      </w:r>
    </w:p>
    <w:p w14:paraId="01D869DF" w14:textId="77777777" w:rsidR="009C3E39" w:rsidRPr="00606C54" w:rsidRDefault="009C3E39" w:rsidP="00812BE8">
      <w:pPr>
        <w:spacing w:before="0"/>
        <w:rPr>
          <w:rFonts w:eastAsiaTheme="majorEastAsia"/>
          <w:i/>
          <w:color w:val="0070C0"/>
        </w:rPr>
      </w:pPr>
    </w:p>
    <w:p w14:paraId="666234F3" w14:textId="77777777" w:rsidR="009C3E39" w:rsidRPr="00606C54" w:rsidRDefault="009C3E39" w:rsidP="00812BE8">
      <w:pPr>
        <w:spacing w:before="0"/>
        <w:rPr>
          <w:rFonts w:eastAsiaTheme="majorEastAsia"/>
          <w:i/>
          <w:color w:val="0070C0"/>
        </w:rPr>
      </w:pPr>
    </w:p>
    <w:p w14:paraId="60963D2C" w14:textId="77777777" w:rsidR="009C3E39" w:rsidRPr="00606C54" w:rsidRDefault="009C3E39" w:rsidP="00812BE8">
      <w:pPr>
        <w:spacing w:before="0"/>
        <w:rPr>
          <w:rFonts w:eastAsiaTheme="majorEastAsia"/>
          <w:i/>
          <w:color w:val="0070C0"/>
        </w:rPr>
      </w:pPr>
    </w:p>
    <w:p w14:paraId="3A9E1403" w14:textId="77777777" w:rsidR="0016701A" w:rsidRDefault="0016701A" w:rsidP="0016701A">
      <w:pPr>
        <w:spacing w:before="0"/>
        <w:ind w:left="851"/>
        <w:rPr>
          <w:rFonts w:eastAsiaTheme="majorEastAsia"/>
          <w:i/>
          <w:color w:val="0070C0"/>
        </w:rPr>
        <w:sectPr w:rsidR="0016701A" w:rsidSect="009500E0">
          <w:headerReference w:type="default" r:id="rId12"/>
          <w:pgSz w:w="11900" w:h="16840"/>
          <w:pgMar w:top="1531" w:right="1440" w:bottom="1440" w:left="1418" w:header="709" w:footer="709" w:gutter="0"/>
          <w:cols w:space="708"/>
          <w:docGrid w:linePitch="360"/>
        </w:sectPr>
      </w:pPr>
    </w:p>
    <w:p w14:paraId="67B464EF" w14:textId="3259E829" w:rsidR="0016701A" w:rsidRPr="0074470E" w:rsidRDefault="0016701A" w:rsidP="0016701A">
      <w:pPr>
        <w:rPr>
          <w:b/>
          <w:bCs/>
          <w:sz w:val="28"/>
          <w:szCs w:val="28"/>
        </w:rPr>
      </w:pPr>
      <w:r w:rsidRPr="0074470E">
        <w:rPr>
          <w:b/>
          <w:bCs/>
          <w:sz w:val="28"/>
          <w:szCs w:val="28"/>
        </w:rPr>
        <w:lastRenderedPageBreak/>
        <w:t>Health Star Rating system</w:t>
      </w:r>
      <w:r w:rsidRPr="0074470E">
        <w:rPr>
          <w:b/>
          <w:bCs/>
          <w:sz w:val="28"/>
          <w:szCs w:val="28"/>
        </w:rPr>
        <w:softHyphen/>
        <w:t xml:space="preserve"> program logic model – updated 2023</w:t>
      </w:r>
    </w:p>
    <w:p w14:paraId="0E911AEA" w14:textId="1CB6E1E8" w:rsidR="0016701A" w:rsidRDefault="0016701A" w:rsidP="0016701A">
      <w:pPr>
        <w:ind w:left="-720"/>
        <w:rPr>
          <w:rFonts w:ascii="Arial" w:hAnsi="Arial" w:cs="Arial"/>
        </w:rPr>
      </w:pPr>
      <w:r>
        <w:rPr>
          <w:rFonts w:ascii="Times New Roman" w:hAnsi="Times New Roman" w:cs="Times New Roman"/>
          <w:noProof/>
          <w:sz w:val="24"/>
          <w:szCs w:val="20"/>
        </w:rPr>
        <mc:AlternateContent>
          <mc:Choice Requires="wps">
            <w:drawing>
              <wp:anchor distT="0" distB="0" distL="114300" distR="114300" simplePos="0" relativeHeight="251663360" behindDoc="0" locked="0" layoutInCell="1" allowOverlap="1" wp14:anchorId="5485DA6A" wp14:editId="2E18EE0C">
                <wp:simplePos x="0" y="0"/>
                <wp:positionH relativeFrom="column">
                  <wp:posOffset>-504825</wp:posOffset>
                </wp:positionH>
                <wp:positionV relativeFrom="paragraph">
                  <wp:posOffset>591820</wp:posOffset>
                </wp:positionV>
                <wp:extent cx="1190625" cy="369570"/>
                <wp:effectExtent l="9525" t="10795" r="9525" b="1016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69570"/>
                        </a:xfrm>
                        <a:prstGeom prst="rect">
                          <a:avLst/>
                        </a:prstGeom>
                        <a:solidFill>
                          <a:srgbClr val="FFE161"/>
                        </a:solidFill>
                        <a:ln w="9525">
                          <a:solidFill>
                            <a:srgbClr val="000000"/>
                          </a:solidFill>
                          <a:miter lim="800000"/>
                          <a:headEnd/>
                          <a:tailEnd/>
                        </a:ln>
                      </wps:spPr>
                      <wps:txbx>
                        <w:txbxContent>
                          <w:p w14:paraId="58AFDC51" w14:textId="77777777" w:rsidR="0016701A" w:rsidRDefault="0016701A" w:rsidP="0016701A">
                            <w:pPr>
                              <w:jc w:val="center"/>
                              <w:rPr>
                                <w:rFonts w:ascii="Arial" w:hAnsi="Arial" w:cs="Arial"/>
                                <w:b/>
                                <w:sz w:val="20"/>
                              </w:rPr>
                            </w:pPr>
                            <w:r>
                              <w:rPr>
                                <w:rFonts w:ascii="Arial" w:hAnsi="Arial" w:cs="Arial"/>
                                <w:b/>
                                <w:sz w:val="20"/>
                              </w:rPr>
                              <w:t>Inputs</w:t>
                            </w:r>
                          </w:p>
                          <w:p w14:paraId="6DA406A2" w14:textId="77777777" w:rsidR="0016701A" w:rsidRDefault="0016701A" w:rsidP="0016701A">
                            <w:pPr>
                              <w:rPr>
                                <w:rFonts w:ascii="Arial" w:hAnsi="Arial" w:cs="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5DA6A" id="_x0000_t202" coordsize="21600,21600" o:spt="202" path="m,l,21600r21600,l21600,xe">
                <v:stroke joinstyle="miter"/>
                <v:path gradientshapeok="t" o:connecttype="rect"/>
              </v:shapetype>
              <v:shape id="Text Box 30" o:spid="_x0000_s1026" type="#_x0000_t202" style="position:absolute;left:0;text-align:left;margin-left:-39.75pt;margin-top:46.6pt;width:93.75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" fillcolor="#ffe161">
                <v:textbox>
                  <w:txbxContent>
                    <w:p w14:paraId="58AFDC51" w14:textId="77777777" w:rsidR="0016701A" w:rsidRDefault="0016701A" w:rsidP="0016701A">
                      <w:pPr>
                        <w:jc w:val="center"/>
                        <w:rPr>
                          <w:rFonts w:ascii="Arial" w:hAnsi="Arial" w:cs="Arial"/>
                          <w:b/>
                          <w:sz w:val="20"/>
                        </w:rPr>
                      </w:pPr>
                      <w:r>
                        <w:rPr>
                          <w:rFonts w:ascii="Arial" w:hAnsi="Arial" w:cs="Arial"/>
                          <w:b/>
                          <w:sz w:val="20"/>
                        </w:rPr>
                        <w:t>Inputs</w:t>
                      </w:r>
                    </w:p>
                    <w:p w14:paraId="6DA406A2" w14:textId="77777777" w:rsidR="0016701A" w:rsidRDefault="0016701A" w:rsidP="0016701A">
                      <w:pPr>
                        <w:rPr>
                          <w:rFonts w:ascii="Arial" w:hAnsi="Arial" w:cs="Arial"/>
                          <w:b/>
                          <w:sz w:val="20"/>
                        </w:rPr>
                      </w:pPr>
                    </w:p>
                  </w:txbxContent>
                </v:textbox>
              </v:shape>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73600" behindDoc="0" locked="0" layoutInCell="1" allowOverlap="1" wp14:anchorId="0D711E86" wp14:editId="47ACBE31">
                <wp:simplePos x="0" y="0"/>
                <wp:positionH relativeFrom="column">
                  <wp:posOffset>685800</wp:posOffset>
                </wp:positionH>
                <wp:positionV relativeFrom="paragraph">
                  <wp:posOffset>762000</wp:posOffset>
                </wp:positionV>
                <wp:extent cx="276225" cy="635"/>
                <wp:effectExtent l="9525" t="57150" r="19050" b="5651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B2B646" id="_x0000_t32" coordsize="21600,21600" o:spt="32" o:oned="t" path="m,l21600,21600e" filled="f">
                <v:path arrowok="t" fillok="f" o:connecttype="none"/>
                <o:lock v:ext="edit" shapetype="t"/>
              </v:shapetype>
              <v:shape id="Straight Arrow Connector 27" o:spid="_x0000_s1026" type="#_x0000_t32" style="position:absolute;margin-left:54pt;margin-top:60pt;width:21.7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">
                <v:stroke endarrow="block"/>
              </v:shape>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77696" behindDoc="0" locked="0" layoutInCell="1" allowOverlap="1" wp14:anchorId="49092A87" wp14:editId="6CD23B34">
                <wp:simplePos x="0" y="0"/>
                <wp:positionH relativeFrom="column">
                  <wp:posOffset>3819525</wp:posOffset>
                </wp:positionH>
                <wp:positionV relativeFrom="paragraph">
                  <wp:posOffset>761365</wp:posOffset>
                </wp:positionV>
                <wp:extent cx="188595" cy="635"/>
                <wp:effectExtent l="9525" t="56515" r="20955" b="571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7FD0A" id="_x0000_t32" coordsize="21600,21600" o:spt="32" o:oned="t" path="m,l21600,21600e" filled="f">
                <v:path arrowok="t" fillok="f" o:connecttype="none"/>
                <o:lock v:ext="edit" shapetype="t"/>
              </v:shapetype>
              <v:shape id="Straight Arrow Connector 26" o:spid="_x0000_s1026" type="#_x0000_t32" style="position:absolute;margin-left:300.75pt;margin-top:59.95pt;width:14.8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">
                <v:stroke endarrow="block"/>
              </v:shape>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80768" behindDoc="0" locked="0" layoutInCell="1" allowOverlap="1" wp14:anchorId="515EEDC6" wp14:editId="00589A57">
                <wp:simplePos x="0" y="0"/>
                <wp:positionH relativeFrom="column">
                  <wp:posOffset>-504825</wp:posOffset>
                </wp:positionH>
                <wp:positionV relativeFrom="paragraph">
                  <wp:posOffset>26670</wp:posOffset>
                </wp:positionV>
                <wp:extent cx="9391650" cy="457200"/>
                <wp:effectExtent l="9525" t="7620" r="9525" b="114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0" cy="457200"/>
                        </a:xfrm>
                        <a:prstGeom prst="rect">
                          <a:avLst/>
                        </a:prstGeom>
                        <a:solidFill>
                          <a:srgbClr val="FFFFFF"/>
                        </a:solidFill>
                        <a:ln w="9525">
                          <a:solidFill>
                            <a:srgbClr val="000000"/>
                          </a:solidFill>
                          <a:miter lim="800000"/>
                          <a:headEnd/>
                          <a:tailEnd/>
                        </a:ln>
                      </wps:spPr>
                      <wps:txbx>
                        <w:txbxContent>
                          <w:p w14:paraId="489F74AE" w14:textId="77777777" w:rsidR="0016701A" w:rsidRDefault="0016701A" w:rsidP="0016701A">
                            <w:pPr>
                              <w:spacing w:before="0"/>
                              <w:jc w:val="both"/>
                            </w:pPr>
                            <w:r>
                              <w:rPr>
                                <w:rFonts w:ascii="Arial" w:hAnsi="Arial" w:cs="Arial"/>
                                <w:b/>
                                <w:sz w:val="20"/>
                              </w:rPr>
                              <w:t>HSR Objective</w:t>
                            </w:r>
                            <w:r>
                              <w:rPr>
                                <w:rFonts w:ascii="Arial" w:hAnsi="Arial" w:cs="Arial"/>
                                <w:sz w:val="20"/>
                              </w:rPr>
                              <w:t>: Assist consumers to make informed food purchases and healthier eating choices by providing convenient, relevant and readily understood nutrition information and/or guidance on food packs</w:t>
                            </w:r>
                          </w:p>
                          <w:p w14:paraId="284C0C8E" w14:textId="77777777" w:rsidR="0016701A" w:rsidRDefault="0016701A" w:rsidP="00167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EEDC6" id="Text Box 25" o:spid="_x0000_s1027" type="#_x0000_t202" style="position:absolute;left:0;text-align:left;margin-left:-39.75pt;margin-top:2.1pt;width:739.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">
                <v:textbox>
                  <w:txbxContent>
                    <w:p w14:paraId="489F74AE" w14:textId="77777777" w:rsidR="0016701A" w:rsidRDefault="0016701A" w:rsidP="0016701A">
                      <w:pPr>
                        <w:spacing w:before="0"/>
                        <w:jc w:val="both"/>
                      </w:pPr>
                      <w:r>
                        <w:rPr>
                          <w:rFonts w:ascii="Arial" w:hAnsi="Arial" w:cs="Arial"/>
                          <w:b/>
                          <w:sz w:val="20"/>
                        </w:rPr>
                        <w:t>HSR Objective</w:t>
                      </w:r>
                      <w:r>
                        <w:rPr>
                          <w:rFonts w:ascii="Arial" w:hAnsi="Arial" w:cs="Arial"/>
                          <w:sz w:val="20"/>
                        </w:rPr>
                        <w:t xml:space="preserve">: Assist consumers to make informed food purchases and healthier eating choices by providing convenient, relevant and readily understood nutrition information and/or guidance on food </w:t>
                      </w:r>
                      <w:proofErr w:type="gramStart"/>
                      <w:r>
                        <w:rPr>
                          <w:rFonts w:ascii="Arial" w:hAnsi="Arial" w:cs="Arial"/>
                          <w:sz w:val="20"/>
                        </w:rPr>
                        <w:t>packs</w:t>
                      </w:r>
                      <w:proofErr w:type="gramEnd"/>
                    </w:p>
                    <w:p w14:paraId="284C0C8E" w14:textId="77777777" w:rsidR="0016701A" w:rsidRDefault="0016701A" w:rsidP="0016701A"/>
                  </w:txbxContent>
                </v:textbox>
              </v:shape>
            </w:pict>
          </mc:Fallback>
        </mc:AlternateContent>
      </w:r>
    </w:p>
    <w:p w14:paraId="6FC240AC" w14:textId="77777777" w:rsidR="0016701A" w:rsidRDefault="0016701A" w:rsidP="0016701A">
      <w:pPr>
        <w:rPr>
          <w:rFonts w:ascii="Times New Roman" w:hAnsi="Times New Roman" w:cs="Times New Roman"/>
          <w:sz w:val="24"/>
          <w:szCs w:val="20"/>
        </w:rPr>
      </w:pPr>
    </w:p>
    <w:p w14:paraId="0A37F322" w14:textId="0BB79409" w:rsidR="0016701A" w:rsidRDefault="0016701A" w:rsidP="0016701A">
      <w:pPr>
        <w:ind w:left="-540"/>
      </w:pPr>
      <w:r>
        <w:rPr>
          <w:rFonts w:ascii="Times New Roman" w:hAnsi="Times New Roman" w:cs="Times New Roman"/>
          <w:noProof/>
          <w:sz w:val="24"/>
          <w:szCs w:val="20"/>
        </w:rPr>
        <mc:AlternateContent>
          <mc:Choice Requires="wps">
            <w:drawing>
              <wp:anchor distT="0" distB="0" distL="114300" distR="114300" simplePos="0" relativeHeight="251665408" behindDoc="0" locked="0" layoutInCell="1" allowOverlap="1" wp14:anchorId="14D03DC2" wp14:editId="24119F51">
                <wp:simplePos x="0" y="0"/>
                <wp:positionH relativeFrom="column">
                  <wp:posOffset>4000500</wp:posOffset>
                </wp:positionH>
                <wp:positionV relativeFrom="paragraph">
                  <wp:posOffset>105410</wp:posOffset>
                </wp:positionV>
                <wp:extent cx="5676900" cy="582295"/>
                <wp:effectExtent l="0" t="0" r="19050" b="273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82295"/>
                        </a:xfrm>
                        <a:prstGeom prst="rect">
                          <a:avLst/>
                        </a:prstGeom>
                        <a:solidFill>
                          <a:srgbClr val="FF6565"/>
                        </a:solidFill>
                        <a:ln w="9525">
                          <a:solidFill>
                            <a:srgbClr val="000000"/>
                          </a:solidFill>
                          <a:miter lim="800000"/>
                          <a:headEnd/>
                          <a:tailEnd/>
                        </a:ln>
                      </wps:spPr>
                      <wps:txbx>
                        <w:txbxContent>
                          <w:p w14:paraId="088A7928" w14:textId="77777777" w:rsidR="0016701A" w:rsidRPr="00E1108E" w:rsidRDefault="0016701A" w:rsidP="0016701A">
                            <w:pPr>
                              <w:spacing w:before="0"/>
                              <w:jc w:val="center"/>
                              <w:rPr>
                                <w:rFonts w:ascii="Arial" w:hAnsi="Arial" w:cs="Arial"/>
                                <w:b/>
                                <w:sz w:val="20"/>
                              </w:rPr>
                            </w:pPr>
                            <w:r w:rsidRPr="00E1108E">
                              <w:rPr>
                                <w:rFonts w:ascii="Arial" w:hAnsi="Arial" w:cs="Arial"/>
                                <w:b/>
                                <w:sz w:val="20"/>
                              </w:rPr>
                              <w:t>Outcomes</w:t>
                            </w:r>
                          </w:p>
                          <w:p w14:paraId="4356B7A4" w14:textId="77777777" w:rsidR="0016701A" w:rsidRDefault="0016701A" w:rsidP="0016701A">
                            <w:pPr>
                              <w:rPr>
                                <w:rFonts w:ascii="Arial" w:hAnsi="Arial" w:cs="Arial"/>
                                <w:i/>
                                <w:sz w:val="20"/>
                              </w:rPr>
                            </w:pPr>
                            <w:r w:rsidRPr="00E1108E">
                              <w:rPr>
                                <w:rFonts w:ascii="Arial" w:hAnsi="Arial" w:cs="Arial"/>
                                <w:i/>
                                <w:sz w:val="20"/>
                              </w:rPr>
                              <w:t xml:space="preserve">Short (Jun 22 – Jun 23)  Medium (Jul 2023 – June 2026)       </w:t>
                            </w:r>
                            <w:r w:rsidRPr="00E1108E">
                              <w:rPr>
                                <w:rFonts w:ascii="Arial" w:hAnsi="Arial" w:cs="Arial"/>
                                <w:i/>
                                <w:sz w:val="20"/>
                              </w:rPr>
                              <w:tab/>
                              <w:t xml:space="preserve"> </w:t>
                            </w:r>
                            <w:r w:rsidRPr="00E1108E">
                              <w:rPr>
                                <w:rFonts w:ascii="Arial" w:hAnsi="Arial" w:cs="Arial"/>
                                <w:i/>
                                <w:sz w:val="20"/>
                              </w:rPr>
                              <w:tab/>
                              <w:t>Long (post July 2026)</w:t>
                            </w:r>
                          </w:p>
                          <w:p w14:paraId="70CFECAF" w14:textId="77777777" w:rsidR="0016701A" w:rsidRDefault="0016701A" w:rsidP="0016701A">
                            <w:pPr>
                              <w:jc w:val="center"/>
                              <w:rPr>
                                <w:rFonts w:ascii="Arial" w:hAnsi="Arial" w:cs="Arial"/>
                                <w:b/>
                                <w:sz w:val="20"/>
                              </w:rPr>
                            </w:pPr>
                          </w:p>
                          <w:p w14:paraId="73B7FB2B" w14:textId="77777777" w:rsidR="0016701A" w:rsidRDefault="0016701A" w:rsidP="0016701A">
                            <w:pPr>
                              <w:jc w:val="center"/>
                              <w:rPr>
                                <w:rFonts w:ascii="Arial" w:hAnsi="Arial" w:cs="Arial"/>
                                <w:b/>
                                <w:sz w:val="20"/>
                              </w:rPr>
                            </w:pPr>
                          </w:p>
                          <w:p w14:paraId="742B9BBA" w14:textId="77777777" w:rsidR="0016701A" w:rsidRDefault="0016701A" w:rsidP="0016701A">
                            <w:pPr>
                              <w:rPr>
                                <w:rFonts w:ascii="Arial" w:hAnsi="Arial" w:cs="Arial"/>
                                <w:i/>
                                <w:sz w:val="20"/>
                              </w:rPr>
                            </w:pPr>
                            <w:r>
                              <w:rPr>
                                <w:rFonts w:ascii="Arial" w:hAnsi="Arial" w:cs="Arial"/>
                                <w:i/>
                                <w:sz w:val="20"/>
                              </w:rPr>
                              <w:t>Short (Jul 14-Jun 2016)       Medium (Jul 2016 – June 2019)  Long (post Jul 2019)</w:t>
                            </w:r>
                          </w:p>
                          <w:p w14:paraId="48021931" w14:textId="77777777" w:rsidR="0016701A" w:rsidRDefault="0016701A" w:rsidP="0016701A">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03DC2" id="_x0000_t202" coordsize="21600,21600" o:spt="202" path="m,l,21600r21600,l21600,xe">
                <v:stroke joinstyle="miter"/>
                <v:path gradientshapeok="t" o:connecttype="rect"/>
              </v:shapetype>
              <v:shape id="Text Box 28" o:spid="_x0000_s1028" type="#_x0000_t202" style="position:absolute;left:0;text-align:left;margin-left:315pt;margin-top:8.3pt;width:447pt;height:4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" fillcolor="#ff6565">
                <v:textbox>
                  <w:txbxContent>
                    <w:p w14:paraId="088A7928" w14:textId="77777777" w:rsidR="0016701A" w:rsidRPr="00E1108E" w:rsidRDefault="0016701A" w:rsidP="0016701A">
                      <w:pPr>
                        <w:spacing w:before="0"/>
                        <w:jc w:val="center"/>
                        <w:rPr>
                          <w:rFonts w:ascii="Arial" w:hAnsi="Arial" w:cs="Arial"/>
                          <w:b/>
                          <w:sz w:val="20"/>
                        </w:rPr>
                      </w:pPr>
                      <w:r w:rsidRPr="00E1108E">
                        <w:rPr>
                          <w:rFonts w:ascii="Arial" w:hAnsi="Arial" w:cs="Arial"/>
                          <w:b/>
                          <w:sz w:val="20"/>
                        </w:rPr>
                        <w:t>Outcomes</w:t>
                      </w:r>
                    </w:p>
                    <w:p w14:paraId="4356B7A4" w14:textId="77777777" w:rsidR="0016701A" w:rsidRDefault="0016701A" w:rsidP="0016701A">
                      <w:pPr>
                        <w:rPr>
                          <w:rFonts w:ascii="Arial" w:hAnsi="Arial" w:cs="Arial"/>
                          <w:i/>
                          <w:sz w:val="20"/>
                        </w:rPr>
                      </w:pPr>
                      <w:r w:rsidRPr="00E1108E">
                        <w:rPr>
                          <w:rFonts w:ascii="Arial" w:hAnsi="Arial" w:cs="Arial"/>
                          <w:i/>
                          <w:sz w:val="20"/>
                        </w:rPr>
                        <w:t xml:space="preserve">Short (Jun 22 – Jun 23)  Medium (Jul 2023 – June 2026)       </w:t>
                      </w:r>
                      <w:r w:rsidRPr="00E1108E">
                        <w:rPr>
                          <w:rFonts w:ascii="Arial" w:hAnsi="Arial" w:cs="Arial"/>
                          <w:i/>
                          <w:sz w:val="20"/>
                        </w:rPr>
                        <w:tab/>
                        <w:t xml:space="preserve"> </w:t>
                      </w:r>
                      <w:r w:rsidRPr="00E1108E">
                        <w:rPr>
                          <w:rFonts w:ascii="Arial" w:hAnsi="Arial" w:cs="Arial"/>
                          <w:i/>
                          <w:sz w:val="20"/>
                        </w:rPr>
                        <w:tab/>
                        <w:t>Long (post July 2026)</w:t>
                      </w:r>
                    </w:p>
                    <w:p w14:paraId="70CFECAF" w14:textId="77777777" w:rsidR="0016701A" w:rsidRDefault="0016701A" w:rsidP="0016701A">
                      <w:pPr>
                        <w:jc w:val="center"/>
                        <w:rPr>
                          <w:rFonts w:ascii="Arial" w:hAnsi="Arial" w:cs="Arial"/>
                          <w:b/>
                          <w:sz w:val="20"/>
                        </w:rPr>
                      </w:pPr>
                    </w:p>
                    <w:p w14:paraId="73B7FB2B" w14:textId="77777777" w:rsidR="0016701A" w:rsidRDefault="0016701A" w:rsidP="0016701A">
                      <w:pPr>
                        <w:jc w:val="center"/>
                        <w:rPr>
                          <w:rFonts w:ascii="Arial" w:hAnsi="Arial" w:cs="Arial"/>
                          <w:b/>
                          <w:sz w:val="20"/>
                        </w:rPr>
                      </w:pPr>
                    </w:p>
                    <w:p w14:paraId="742B9BBA" w14:textId="77777777" w:rsidR="0016701A" w:rsidRDefault="0016701A" w:rsidP="0016701A">
                      <w:pPr>
                        <w:rPr>
                          <w:rFonts w:ascii="Arial" w:hAnsi="Arial" w:cs="Arial"/>
                          <w:i/>
                          <w:sz w:val="20"/>
                        </w:rPr>
                      </w:pPr>
                      <w:r>
                        <w:rPr>
                          <w:rFonts w:ascii="Arial" w:hAnsi="Arial" w:cs="Arial"/>
                          <w:i/>
                          <w:sz w:val="20"/>
                        </w:rPr>
                        <w:t>Short (Jul 14-Jun 2016)       Medium (Jul 2016 – June 2019)  Long (post Jul 2019)</w:t>
                      </w:r>
                    </w:p>
                    <w:p w14:paraId="48021931" w14:textId="77777777" w:rsidR="0016701A" w:rsidRDefault="0016701A" w:rsidP="0016701A">
                      <w:pPr>
                        <w:rPr>
                          <w:rFonts w:ascii="Arial" w:hAnsi="Arial" w:cs="Arial"/>
                          <w:i/>
                          <w:sz w:val="20"/>
                        </w:rPr>
                      </w:pPr>
                    </w:p>
                  </w:txbxContent>
                </v:textbox>
              </v:shape>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64384" behindDoc="0" locked="0" layoutInCell="1" allowOverlap="1" wp14:anchorId="468BFCA3" wp14:editId="0367D30F">
                <wp:simplePos x="0" y="0"/>
                <wp:positionH relativeFrom="column">
                  <wp:posOffset>1019175</wp:posOffset>
                </wp:positionH>
                <wp:positionV relativeFrom="paragraph">
                  <wp:posOffset>124460</wp:posOffset>
                </wp:positionV>
                <wp:extent cx="2628900" cy="369570"/>
                <wp:effectExtent l="0" t="0" r="19050" b="1143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9570"/>
                        </a:xfrm>
                        <a:prstGeom prst="rect">
                          <a:avLst/>
                        </a:prstGeom>
                        <a:solidFill>
                          <a:srgbClr val="D6E3BC"/>
                        </a:solidFill>
                        <a:ln w="9525">
                          <a:solidFill>
                            <a:srgbClr val="000000"/>
                          </a:solidFill>
                          <a:miter lim="800000"/>
                          <a:headEnd/>
                          <a:tailEnd/>
                        </a:ln>
                      </wps:spPr>
                      <wps:txbx>
                        <w:txbxContent>
                          <w:p w14:paraId="138D58ED" w14:textId="77777777" w:rsidR="0016701A" w:rsidRDefault="0016701A" w:rsidP="0016701A">
                            <w:pPr>
                              <w:jc w:val="center"/>
                              <w:rPr>
                                <w:rFonts w:ascii="Arial" w:hAnsi="Arial" w:cs="Arial"/>
                                <w:b/>
                                <w:sz w:val="20"/>
                              </w:rPr>
                            </w:pPr>
                            <w:r>
                              <w:rPr>
                                <w:rFonts w:ascii="Arial" w:hAnsi="Arial" w:cs="Arial"/>
                                <w:b/>
                                <w:iCs/>
                                <w:sz w:val="20"/>
                              </w:rPr>
                              <w:t>A</w:t>
                            </w:r>
                            <w:r w:rsidRPr="00754362">
                              <w:rPr>
                                <w:rFonts w:ascii="Arial" w:hAnsi="Arial" w:cs="Arial"/>
                                <w:b/>
                                <w:iCs/>
                                <w:sz w:val="20"/>
                              </w:rPr>
                              <w:t>ctivity Streams</w:t>
                            </w:r>
                            <w:r>
                              <w:rPr>
                                <w:rFonts w:ascii="Arial" w:hAnsi="Arial" w:cs="Arial"/>
                                <w:b/>
                                <w:i/>
                                <w:sz w:val="20"/>
                              </w:rPr>
                              <w:tab/>
                              <w:t xml:space="preserve">           </w:t>
                            </w:r>
                            <w:r>
                              <w:rPr>
                                <w:rFonts w:ascii="Arial" w:hAnsi="Arial" w:cs="Arial"/>
                                <w:i/>
                                <w:sz w:val="20"/>
                              </w:rPr>
                              <w:t xml:space="preserve"> </w:t>
                            </w:r>
                            <w:r>
                              <w:rPr>
                                <w:rFonts w:ascii="Arial" w:hAnsi="Arial" w:cs="Arial"/>
                                <w:b/>
                                <w:sz w:val="20"/>
                              </w:rPr>
                              <w:t>Outputs</w:t>
                            </w:r>
                          </w:p>
                          <w:p w14:paraId="309933B2" w14:textId="77777777" w:rsidR="0016701A" w:rsidRDefault="0016701A" w:rsidP="0016701A">
                            <w:pPr>
                              <w:rPr>
                                <w:rFonts w:ascii="Arial" w:hAnsi="Arial" w:cs="Arial"/>
                                <w:i/>
                                <w:sz w:val="20"/>
                              </w:rPr>
                            </w:pPr>
                          </w:p>
                          <w:p w14:paraId="006104F7" w14:textId="77777777" w:rsidR="0016701A" w:rsidRDefault="0016701A" w:rsidP="0016701A">
                            <w:pPr>
                              <w:rPr>
                                <w:rFonts w:ascii="Arial" w:hAnsi="Arial" w:cs="Arial"/>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BFCA3" id="Text Box 29" o:spid="_x0000_s1029" type="#_x0000_t202" style="position:absolute;left:0;text-align:left;margin-left:80.25pt;margin-top:9.8pt;width:207pt;height:2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" fillcolor="#d6e3bc">
                <v:textbox>
                  <w:txbxContent>
                    <w:p w14:paraId="138D58ED" w14:textId="77777777" w:rsidR="0016701A" w:rsidRDefault="0016701A" w:rsidP="0016701A">
                      <w:pPr>
                        <w:jc w:val="center"/>
                        <w:rPr>
                          <w:rFonts w:ascii="Arial" w:hAnsi="Arial" w:cs="Arial"/>
                          <w:b/>
                          <w:sz w:val="20"/>
                        </w:rPr>
                      </w:pPr>
                      <w:r>
                        <w:rPr>
                          <w:rFonts w:ascii="Arial" w:hAnsi="Arial" w:cs="Arial"/>
                          <w:b/>
                          <w:iCs/>
                          <w:sz w:val="20"/>
                        </w:rPr>
                        <w:t>A</w:t>
                      </w:r>
                      <w:r w:rsidRPr="00754362">
                        <w:rPr>
                          <w:rFonts w:ascii="Arial" w:hAnsi="Arial" w:cs="Arial"/>
                          <w:b/>
                          <w:iCs/>
                          <w:sz w:val="20"/>
                        </w:rPr>
                        <w:t>ctivity Streams</w:t>
                      </w:r>
                      <w:r>
                        <w:rPr>
                          <w:rFonts w:ascii="Arial" w:hAnsi="Arial" w:cs="Arial"/>
                          <w:b/>
                          <w:i/>
                          <w:sz w:val="20"/>
                        </w:rPr>
                        <w:tab/>
                        <w:t xml:space="preserve">           </w:t>
                      </w:r>
                      <w:r>
                        <w:rPr>
                          <w:rFonts w:ascii="Arial" w:hAnsi="Arial" w:cs="Arial"/>
                          <w:i/>
                          <w:sz w:val="20"/>
                        </w:rPr>
                        <w:t xml:space="preserve"> </w:t>
                      </w:r>
                      <w:r>
                        <w:rPr>
                          <w:rFonts w:ascii="Arial" w:hAnsi="Arial" w:cs="Arial"/>
                          <w:b/>
                          <w:sz w:val="20"/>
                        </w:rPr>
                        <w:t>Outputs</w:t>
                      </w:r>
                    </w:p>
                    <w:p w14:paraId="309933B2" w14:textId="77777777" w:rsidR="0016701A" w:rsidRDefault="0016701A" w:rsidP="0016701A">
                      <w:pPr>
                        <w:rPr>
                          <w:rFonts w:ascii="Arial" w:hAnsi="Arial" w:cs="Arial"/>
                          <w:i/>
                          <w:sz w:val="20"/>
                        </w:rPr>
                      </w:pPr>
                    </w:p>
                    <w:p w14:paraId="006104F7" w14:textId="77777777" w:rsidR="0016701A" w:rsidRDefault="0016701A" w:rsidP="0016701A">
                      <w:pPr>
                        <w:rPr>
                          <w:rFonts w:ascii="Arial" w:hAnsi="Arial" w:cs="Arial"/>
                          <w:i/>
                          <w:sz w:val="20"/>
                        </w:rPr>
                      </w:pPr>
                    </w:p>
                  </w:txbxContent>
                </v:textbox>
              </v:shape>
            </w:pict>
          </mc:Fallback>
        </mc:AlternateContent>
      </w:r>
    </w:p>
    <w:p w14:paraId="1F772184" w14:textId="7FB11B66" w:rsidR="0016701A" w:rsidRDefault="0016701A" w:rsidP="0016701A">
      <w:pPr>
        <w:ind w:left="-540"/>
        <w:rPr>
          <w:rFonts w:ascii="Arial" w:hAnsi="Arial" w:cs="Arial"/>
          <w:sz w:val="20"/>
        </w:rPr>
      </w:pPr>
    </w:p>
    <w:p w14:paraId="384D8757" w14:textId="77777777" w:rsidR="0016701A" w:rsidRDefault="0016701A" w:rsidP="0016701A">
      <w:pPr>
        <w:ind w:left="-540"/>
        <w:rPr>
          <w:rFonts w:ascii="Times New Roman" w:hAnsi="Times New Roman" w:cs="Times New Roman"/>
          <w:sz w:val="24"/>
        </w:rPr>
      </w:pPr>
      <w:r>
        <w:rPr>
          <w:rFonts w:ascii="Times New Roman" w:hAnsi="Times New Roman" w:cs="Times New Roman"/>
          <w:noProof/>
          <w:sz w:val="24"/>
          <w:szCs w:val="20"/>
        </w:rPr>
        <mc:AlternateContent>
          <mc:Choice Requires="wps">
            <w:drawing>
              <wp:anchor distT="0" distB="0" distL="114300" distR="114300" simplePos="0" relativeHeight="251678720" behindDoc="0" locked="0" layoutInCell="1" allowOverlap="1" wp14:anchorId="411891C2" wp14:editId="669C98DD">
                <wp:simplePos x="0" y="0"/>
                <wp:positionH relativeFrom="column">
                  <wp:posOffset>2486025</wp:posOffset>
                </wp:positionH>
                <wp:positionV relativeFrom="paragraph">
                  <wp:posOffset>170180</wp:posOffset>
                </wp:positionV>
                <wp:extent cx="1314450" cy="11906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190625"/>
                        </a:xfrm>
                        <a:prstGeom prst="rect">
                          <a:avLst/>
                        </a:prstGeom>
                        <a:solidFill>
                          <a:srgbClr val="FFFFFF"/>
                        </a:solidFill>
                        <a:ln w="9525">
                          <a:solidFill>
                            <a:srgbClr val="000000"/>
                          </a:solidFill>
                          <a:miter lim="800000"/>
                          <a:headEnd/>
                          <a:tailEnd/>
                        </a:ln>
                      </wps:spPr>
                      <wps:txbx>
                        <w:txbxContent>
                          <w:p w14:paraId="25082E48" w14:textId="77777777" w:rsidR="0016701A" w:rsidRDefault="0016701A" w:rsidP="0016701A">
                            <w:pPr>
                              <w:spacing w:before="0"/>
                              <w:rPr>
                                <w:rFonts w:ascii="Arial" w:hAnsi="Arial" w:cs="Arial"/>
                                <w:sz w:val="18"/>
                                <w:szCs w:val="18"/>
                              </w:rPr>
                            </w:pPr>
                            <w:r>
                              <w:rPr>
                                <w:rFonts w:ascii="Arial" w:hAnsi="Arial" w:cs="Arial"/>
                                <w:sz w:val="18"/>
                                <w:szCs w:val="18"/>
                              </w:rPr>
                              <w:t>HSRS endorsed by the FMM. Commonwealth, State &amp; Territory agencies. Governments support and promote the HSR system.</w:t>
                            </w:r>
                          </w:p>
                          <w:p w14:paraId="45E43CA0" w14:textId="77777777" w:rsidR="0016701A" w:rsidRDefault="0016701A" w:rsidP="0016701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91C2" id="Text Box 7" o:spid="_x0000_s1030" type="#_x0000_t202" style="position:absolute;left:0;text-align:left;margin-left:195.75pt;margin-top:13.4pt;width:103.5pt;height:9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">
                <v:textbox>
                  <w:txbxContent>
                    <w:p w14:paraId="25082E48" w14:textId="77777777" w:rsidR="0016701A" w:rsidRDefault="0016701A" w:rsidP="0016701A">
                      <w:pPr>
                        <w:spacing w:before="0"/>
                        <w:rPr>
                          <w:rFonts w:ascii="Arial" w:hAnsi="Arial" w:cs="Arial"/>
                          <w:sz w:val="18"/>
                          <w:szCs w:val="18"/>
                        </w:rPr>
                      </w:pPr>
                      <w:r>
                        <w:rPr>
                          <w:rFonts w:ascii="Arial" w:hAnsi="Arial" w:cs="Arial"/>
                          <w:sz w:val="18"/>
                          <w:szCs w:val="18"/>
                        </w:rPr>
                        <w:t>HSRS endorsed by the FMM. Commonwealth, State &amp; Territory agencies. Governments support and promote the HSR system.</w:t>
                      </w:r>
                    </w:p>
                    <w:p w14:paraId="45E43CA0" w14:textId="77777777" w:rsidR="0016701A" w:rsidRDefault="0016701A" w:rsidP="0016701A">
                      <w:pPr>
                        <w:rPr>
                          <w:rFonts w:ascii="Arial" w:hAnsi="Arial" w:cs="Arial"/>
                          <w:sz w:val="18"/>
                          <w:szCs w:val="18"/>
                        </w:rPr>
                      </w:pPr>
                    </w:p>
                  </w:txbxContent>
                </v:textbox>
              </v:shape>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59264" behindDoc="0" locked="0" layoutInCell="1" allowOverlap="1" wp14:anchorId="20A14AE0" wp14:editId="66C23F20">
                <wp:simplePos x="0" y="0"/>
                <wp:positionH relativeFrom="column">
                  <wp:posOffset>-561975</wp:posOffset>
                </wp:positionH>
                <wp:positionV relativeFrom="paragraph">
                  <wp:posOffset>141606</wp:posOffset>
                </wp:positionV>
                <wp:extent cx="1238250" cy="466725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667250"/>
                        </a:xfrm>
                        <a:prstGeom prst="rect">
                          <a:avLst/>
                        </a:prstGeom>
                        <a:solidFill>
                          <a:srgbClr val="FFFFFF"/>
                        </a:solidFill>
                        <a:ln w="9525">
                          <a:solidFill>
                            <a:srgbClr val="000000"/>
                          </a:solidFill>
                          <a:miter lim="800000"/>
                          <a:headEnd/>
                          <a:tailEnd/>
                        </a:ln>
                      </wps:spPr>
                      <wps:txbx>
                        <w:txbxContent>
                          <w:p w14:paraId="5FF69E64" w14:textId="77777777" w:rsidR="0016701A" w:rsidRDefault="0016701A" w:rsidP="0016701A">
                            <w:pPr>
                              <w:spacing w:after="0"/>
                              <w:rPr>
                                <w:rFonts w:ascii="Arial" w:hAnsi="Arial" w:cs="Arial"/>
                                <w:b/>
                                <w:sz w:val="18"/>
                                <w:szCs w:val="18"/>
                              </w:rPr>
                            </w:pPr>
                            <w:r>
                              <w:rPr>
                                <w:rFonts w:ascii="Arial" w:hAnsi="Arial" w:cs="Arial"/>
                                <w:b/>
                                <w:sz w:val="18"/>
                                <w:szCs w:val="18"/>
                              </w:rPr>
                              <w:t xml:space="preserve">Funding </w:t>
                            </w:r>
                          </w:p>
                          <w:p w14:paraId="13273B1F" w14:textId="77777777" w:rsidR="0016701A" w:rsidRDefault="0016701A" w:rsidP="0016701A">
                            <w:pPr>
                              <w:numPr>
                                <w:ilvl w:val="0"/>
                                <w:numId w:val="9"/>
                              </w:numPr>
                              <w:spacing w:before="0" w:after="0"/>
                              <w:ind w:left="142" w:hanging="142"/>
                              <w:rPr>
                                <w:rFonts w:ascii="Arial" w:hAnsi="Arial" w:cs="Arial"/>
                                <w:sz w:val="18"/>
                                <w:szCs w:val="18"/>
                              </w:rPr>
                            </w:pPr>
                            <w:r>
                              <w:rPr>
                                <w:rFonts w:ascii="Arial" w:hAnsi="Arial" w:cs="Arial"/>
                                <w:sz w:val="18"/>
                                <w:szCs w:val="18"/>
                              </w:rPr>
                              <w:t xml:space="preserve">Commonwealth </w:t>
                            </w:r>
                          </w:p>
                          <w:p w14:paraId="6313D11A" w14:textId="77777777" w:rsidR="0016701A" w:rsidRDefault="0016701A" w:rsidP="0016701A">
                            <w:pPr>
                              <w:numPr>
                                <w:ilvl w:val="0"/>
                                <w:numId w:val="9"/>
                              </w:numPr>
                              <w:spacing w:before="0" w:after="0"/>
                              <w:ind w:left="142" w:hanging="142"/>
                              <w:rPr>
                                <w:rFonts w:ascii="Arial" w:hAnsi="Arial" w:cs="Arial"/>
                                <w:sz w:val="18"/>
                                <w:szCs w:val="18"/>
                              </w:rPr>
                            </w:pPr>
                            <w:r>
                              <w:rPr>
                                <w:rFonts w:ascii="Arial" w:hAnsi="Arial" w:cs="Arial"/>
                                <w:sz w:val="18"/>
                                <w:szCs w:val="18"/>
                              </w:rPr>
                              <w:t>State and Territory Governments</w:t>
                            </w:r>
                          </w:p>
                          <w:p w14:paraId="0A49BF2B" w14:textId="77777777" w:rsidR="0016701A" w:rsidRDefault="0016701A" w:rsidP="0016701A">
                            <w:pPr>
                              <w:spacing w:after="0"/>
                              <w:rPr>
                                <w:rFonts w:ascii="Arial" w:hAnsi="Arial" w:cs="Arial"/>
                                <w:b/>
                                <w:sz w:val="18"/>
                                <w:szCs w:val="18"/>
                              </w:rPr>
                            </w:pPr>
                            <w:r>
                              <w:rPr>
                                <w:rFonts w:ascii="Arial" w:hAnsi="Arial" w:cs="Arial"/>
                                <w:b/>
                                <w:sz w:val="18"/>
                                <w:szCs w:val="18"/>
                              </w:rPr>
                              <w:t>Governance</w:t>
                            </w:r>
                          </w:p>
                          <w:p w14:paraId="4A379D9A" w14:textId="77777777" w:rsidR="0016701A" w:rsidRDefault="0016701A" w:rsidP="0016701A">
                            <w:pPr>
                              <w:numPr>
                                <w:ilvl w:val="0"/>
                                <w:numId w:val="10"/>
                              </w:numPr>
                              <w:spacing w:before="0" w:after="0"/>
                              <w:rPr>
                                <w:rFonts w:ascii="Arial" w:hAnsi="Arial" w:cs="Arial"/>
                                <w:sz w:val="18"/>
                                <w:szCs w:val="18"/>
                              </w:rPr>
                            </w:pPr>
                            <w:r>
                              <w:rPr>
                                <w:rFonts w:ascii="Arial" w:hAnsi="Arial" w:cs="Arial"/>
                                <w:sz w:val="18"/>
                                <w:szCs w:val="18"/>
                              </w:rPr>
                              <w:t>HSRAC*</w:t>
                            </w:r>
                          </w:p>
                          <w:p w14:paraId="52A5F3A3" w14:textId="77777777" w:rsidR="0016701A" w:rsidRDefault="0016701A" w:rsidP="0016701A">
                            <w:pPr>
                              <w:numPr>
                                <w:ilvl w:val="0"/>
                                <w:numId w:val="10"/>
                              </w:numPr>
                              <w:spacing w:before="0" w:after="0"/>
                              <w:rPr>
                                <w:rFonts w:ascii="Arial" w:hAnsi="Arial" w:cs="Arial"/>
                                <w:sz w:val="18"/>
                                <w:szCs w:val="18"/>
                              </w:rPr>
                            </w:pPr>
                            <w:r>
                              <w:rPr>
                                <w:rFonts w:ascii="Arial" w:hAnsi="Arial" w:cs="Arial"/>
                                <w:sz w:val="18"/>
                                <w:szCs w:val="18"/>
                              </w:rPr>
                              <w:t>FRSC**</w:t>
                            </w:r>
                          </w:p>
                          <w:p w14:paraId="43809420" w14:textId="77777777" w:rsidR="0016701A" w:rsidRDefault="0016701A" w:rsidP="0016701A">
                            <w:pPr>
                              <w:numPr>
                                <w:ilvl w:val="0"/>
                                <w:numId w:val="10"/>
                              </w:numPr>
                              <w:spacing w:before="0" w:after="0"/>
                              <w:rPr>
                                <w:rFonts w:ascii="Arial" w:hAnsi="Arial" w:cs="Arial"/>
                                <w:sz w:val="18"/>
                                <w:szCs w:val="18"/>
                              </w:rPr>
                            </w:pPr>
                            <w:r>
                              <w:rPr>
                                <w:rFonts w:ascii="Arial" w:hAnsi="Arial" w:cs="Arial"/>
                                <w:sz w:val="18"/>
                                <w:szCs w:val="18"/>
                              </w:rPr>
                              <w:t>IWG</w:t>
                            </w:r>
                          </w:p>
                          <w:p w14:paraId="36BF5649" w14:textId="77777777" w:rsidR="0016701A" w:rsidRDefault="0016701A" w:rsidP="0016701A">
                            <w:pPr>
                              <w:numPr>
                                <w:ilvl w:val="0"/>
                                <w:numId w:val="10"/>
                              </w:numPr>
                              <w:spacing w:before="0" w:after="0"/>
                              <w:rPr>
                                <w:rFonts w:ascii="Arial" w:hAnsi="Arial" w:cs="Arial"/>
                                <w:sz w:val="18"/>
                                <w:szCs w:val="18"/>
                              </w:rPr>
                            </w:pPr>
                            <w:r>
                              <w:rPr>
                                <w:rFonts w:ascii="Arial" w:hAnsi="Arial" w:cs="Arial"/>
                                <w:sz w:val="18"/>
                                <w:szCs w:val="18"/>
                              </w:rPr>
                              <w:t>The FMM</w:t>
                            </w:r>
                          </w:p>
                          <w:p w14:paraId="655DED02" w14:textId="77777777" w:rsidR="0016701A" w:rsidRDefault="0016701A" w:rsidP="0016701A">
                            <w:pPr>
                              <w:rPr>
                                <w:rFonts w:ascii="Arial" w:hAnsi="Arial" w:cs="Arial"/>
                                <w:sz w:val="18"/>
                                <w:szCs w:val="18"/>
                              </w:rPr>
                            </w:pPr>
                            <w:r>
                              <w:rPr>
                                <w:rFonts w:ascii="Arial" w:hAnsi="Arial" w:cs="Arial"/>
                                <w:sz w:val="18"/>
                                <w:szCs w:val="18"/>
                              </w:rPr>
                              <w:t>*Replaced previous WGs: FOPL Technical Design Working Group &amp; Implementation Working Group</w:t>
                            </w:r>
                          </w:p>
                          <w:p w14:paraId="5F5A524C" w14:textId="77777777" w:rsidR="0016701A" w:rsidRDefault="0016701A" w:rsidP="0016701A">
                            <w:pPr>
                              <w:rPr>
                                <w:rFonts w:ascii="Arial" w:hAnsi="Arial" w:cs="Arial"/>
                                <w:sz w:val="18"/>
                                <w:szCs w:val="18"/>
                              </w:rPr>
                            </w:pPr>
                            <w:r>
                              <w:rPr>
                                <w:rFonts w:ascii="Arial" w:hAnsi="Arial" w:cs="Arial"/>
                                <w:sz w:val="18"/>
                                <w:szCs w:val="18"/>
                              </w:rPr>
                              <w:t>** replaced FoPL Steering Committee</w:t>
                            </w:r>
                          </w:p>
                          <w:p w14:paraId="27140F05" w14:textId="77777777" w:rsidR="0016701A" w:rsidRDefault="0016701A" w:rsidP="0016701A">
                            <w:pPr>
                              <w:spacing w:after="0"/>
                              <w:rPr>
                                <w:rFonts w:ascii="Arial" w:hAnsi="Arial" w:cs="Arial"/>
                                <w:b/>
                                <w:sz w:val="18"/>
                                <w:szCs w:val="18"/>
                              </w:rPr>
                            </w:pPr>
                            <w:r>
                              <w:rPr>
                                <w:rFonts w:ascii="Arial" w:hAnsi="Arial" w:cs="Arial"/>
                                <w:b/>
                                <w:sz w:val="18"/>
                                <w:szCs w:val="18"/>
                              </w:rPr>
                              <w:t>Expertise</w:t>
                            </w:r>
                          </w:p>
                          <w:p w14:paraId="4790EB63" w14:textId="77777777" w:rsidR="0016701A" w:rsidRDefault="0016701A" w:rsidP="0016701A">
                            <w:pPr>
                              <w:numPr>
                                <w:ilvl w:val="0"/>
                                <w:numId w:val="11"/>
                              </w:numPr>
                              <w:spacing w:before="0" w:after="0"/>
                              <w:ind w:left="142" w:hanging="142"/>
                              <w:rPr>
                                <w:rFonts w:ascii="Arial" w:hAnsi="Arial" w:cs="Arial"/>
                                <w:sz w:val="18"/>
                                <w:szCs w:val="18"/>
                              </w:rPr>
                            </w:pPr>
                            <w:r>
                              <w:rPr>
                                <w:rFonts w:ascii="Arial" w:hAnsi="Arial" w:cs="Arial"/>
                                <w:sz w:val="18"/>
                                <w:szCs w:val="18"/>
                              </w:rPr>
                              <w:t>Government (public health policy, nutrition, FSANZ)</w:t>
                            </w:r>
                          </w:p>
                          <w:p w14:paraId="1DA31420" w14:textId="77777777" w:rsidR="0016701A" w:rsidRDefault="0016701A" w:rsidP="0016701A">
                            <w:pPr>
                              <w:numPr>
                                <w:ilvl w:val="0"/>
                                <w:numId w:val="11"/>
                              </w:numPr>
                              <w:spacing w:before="0" w:after="0"/>
                              <w:ind w:left="142" w:hanging="142"/>
                              <w:rPr>
                                <w:rFonts w:ascii="Arial" w:hAnsi="Arial" w:cs="Arial"/>
                                <w:sz w:val="18"/>
                                <w:szCs w:val="18"/>
                              </w:rPr>
                            </w:pPr>
                            <w:r>
                              <w:rPr>
                                <w:rFonts w:ascii="Arial" w:hAnsi="Arial" w:cs="Arial"/>
                                <w:sz w:val="18"/>
                                <w:szCs w:val="18"/>
                              </w:rPr>
                              <w:t>Food industry</w:t>
                            </w:r>
                          </w:p>
                          <w:p w14:paraId="1447DD54" w14:textId="77777777" w:rsidR="0016701A" w:rsidRDefault="0016701A" w:rsidP="0016701A">
                            <w:pPr>
                              <w:numPr>
                                <w:ilvl w:val="0"/>
                                <w:numId w:val="11"/>
                              </w:numPr>
                              <w:spacing w:before="0" w:after="0"/>
                              <w:ind w:left="142" w:hanging="142"/>
                              <w:rPr>
                                <w:rFonts w:ascii="Arial" w:hAnsi="Arial" w:cs="Arial"/>
                                <w:sz w:val="18"/>
                                <w:szCs w:val="18"/>
                              </w:rPr>
                            </w:pPr>
                            <w:r>
                              <w:rPr>
                                <w:rFonts w:ascii="Arial" w:hAnsi="Arial" w:cs="Arial"/>
                                <w:sz w:val="18"/>
                                <w:szCs w:val="18"/>
                              </w:rPr>
                              <w:t>Public health &amp; consumer organisations</w:t>
                            </w:r>
                          </w:p>
                          <w:p w14:paraId="2402A0DB" w14:textId="77777777" w:rsidR="0016701A" w:rsidRDefault="0016701A" w:rsidP="0016701A">
                            <w:pPr>
                              <w:numPr>
                                <w:ilvl w:val="0"/>
                                <w:numId w:val="11"/>
                              </w:numPr>
                              <w:spacing w:before="0" w:after="0"/>
                              <w:ind w:left="142" w:hanging="142"/>
                              <w:rPr>
                                <w:rFonts w:ascii="Arial" w:hAnsi="Arial" w:cs="Arial"/>
                                <w:sz w:val="18"/>
                                <w:szCs w:val="18"/>
                              </w:rPr>
                            </w:pPr>
                            <w:r>
                              <w:rPr>
                                <w:rFonts w:ascii="Arial" w:hAnsi="Arial" w:cs="Arial"/>
                                <w:sz w:val="18"/>
                                <w:szCs w:val="18"/>
                              </w:rPr>
                              <w:t>Consumer research</w:t>
                            </w:r>
                          </w:p>
                          <w:p w14:paraId="13E1B406" w14:textId="77777777" w:rsidR="0016701A" w:rsidRDefault="0016701A" w:rsidP="0016701A">
                            <w:pPr>
                              <w:numPr>
                                <w:ilvl w:val="0"/>
                                <w:numId w:val="11"/>
                              </w:numPr>
                              <w:spacing w:before="0" w:after="0"/>
                              <w:ind w:left="142" w:hanging="142"/>
                              <w:rPr>
                                <w:rFonts w:ascii="Arial" w:hAnsi="Arial" w:cs="Arial"/>
                                <w:sz w:val="18"/>
                                <w:szCs w:val="18"/>
                              </w:rPr>
                            </w:pPr>
                            <w:r>
                              <w:rPr>
                                <w:rFonts w:ascii="Arial" w:hAnsi="Arial" w:cs="Arial"/>
                                <w:sz w:val="18"/>
                                <w:szCs w:val="18"/>
                              </w:rPr>
                              <w:t>Social marketing</w:t>
                            </w:r>
                          </w:p>
                          <w:p w14:paraId="54C40213" w14:textId="77777777" w:rsidR="0016701A" w:rsidRDefault="0016701A" w:rsidP="0016701A">
                            <w:pPr>
                              <w:numPr>
                                <w:ilvl w:val="0"/>
                                <w:numId w:val="11"/>
                              </w:numPr>
                              <w:spacing w:before="0" w:after="0"/>
                              <w:ind w:left="142" w:hanging="142"/>
                              <w:rPr>
                                <w:rFonts w:ascii="Arial" w:hAnsi="Arial" w:cs="Arial"/>
                                <w:sz w:val="18"/>
                                <w:szCs w:val="18"/>
                              </w:rPr>
                            </w:pPr>
                            <w:r>
                              <w:rPr>
                                <w:rFonts w:ascii="Arial" w:hAnsi="Arial" w:cs="Arial"/>
                                <w:sz w:val="18"/>
                                <w:szCs w:val="18"/>
                              </w:rPr>
                              <w:t>Monitoring &amp; Evaluation</w:t>
                            </w:r>
                          </w:p>
                          <w:p w14:paraId="7E908012" w14:textId="77777777" w:rsidR="0016701A" w:rsidRDefault="0016701A" w:rsidP="0016701A">
                            <w:pPr>
                              <w:rPr>
                                <w:rFonts w:ascii="Arial" w:hAnsi="Arial" w:cs="Arial"/>
                                <w:sz w:val="18"/>
                                <w:szCs w:val="18"/>
                              </w:rPr>
                            </w:pPr>
                          </w:p>
                          <w:p w14:paraId="088E2555" w14:textId="77777777" w:rsidR="0016701A" w:rsidRDefault="0016701A" w:rsidP="0016701A">
                            <w:pPr>
                              <w:rPr>
                                <w:rFonts w:ascii="Arial" w:hAnsi="Arial" w:cs="Arial"/>
                                <w:sz w:val="18"/>
                                <w:szCs w:val="18"/>
                              </w:rPr>
                            </w:pPr>
                          </w:p>
                          <w:p w14:paraId="503AEBD8" w14:textId="77777777" w:rsidR="0016701A" w:rsidRDefault="0016701A" w:rsidP="0016701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14AE0" id="Text Box 24" o:spid="_x0000_s1031" type="#_x0000_t202" style="position:absolute;left:0;text-align:left;margin-left:-44.25pt;margin-top:11.15pt;width:9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">
                <v:textbox>
                  <w:txbxContent>
                    <w:p w14:paraId="5FF69E64" w14:textId="77777777" w:rsidR="0016701A" w:rsidRDefault="0016701A" w:rsidP="0016701A">
                      <w:pPr>
                        <w:spacing w:after="0"/>
                        <w:rPr>
                          <w:rFonts w:ascii="Arial" w:hAnsi="Arial" w:cs="Arial"/>
                          <w:b/>
                          <w:sz w:val="18"/>
                          <w:szCs w:val="18"/>
                        </w:rPr>
                      </w:pPr>
                      <w:r>
                        <w:rPr>
                          <w:rFonts w:ascii="Arial" w:hAnsi="Arial" w:cs="Arial"/>
                          <w:b/>
                          <w:sz w:val="18"/>
                          <w:szCs w:val="18"/>
                        </w:rPr>
                        <w:t xml:space="preserve">Funding </w:t>
                      </w:r>
                    </w:p>
                    <w:p w14:paraId="13273B1F" w14:textId="77777777" w:rsidR="0016701A" w:rsidRDefault="0016701A" w:rsidP="0016701A">
                      <w:pPr>
                        <w:numPr>
                          <w:ilvl w:val="0"/>
                          <w:numId w:val="9"/>
                        </w:numPr>
                        <w:spacing w:before="0" w:after="0"/>
                        <w:ind w:left="142" w:hanging="142"/>
                        <w:rPr>
                          <w:rFonts w:ascii="Arial" w:hAnsi="Arial" w:cs="Arial"/>
                          <w:sz w:val="18"/>
                          <w:szCs w:val="18"/>
                        </w:rPr>
                      </w:pPr>
                      <w:r>
                        <w:rPr>
                          <w:rFonts w:ascii="Arial" w:hAnsi="Arial" w:cs="Arial"/>
                          <w:sz w:val="18"/>
                          <w:szCs w:val="18"/>
                        </w:rPr>
                        <w:t xml:space="preserve">Commonwealth </w:t>
                      </w:r>
                    </w:p>
                    <w:p w14:paraId="6313D11A" w14:textId="77777777" w:rsidR="0016701A" w:rsidRDefault="0016701A" w:rsidP="0016701A">
                      <w:pPr>
                        <w:numPr>
                          <w:ilvl w:val="0"/>
                          <w:numId w:val="9"/>
                        </w:numPr>
                        <w:spacing w:before="0" w:after="0"/>
                        <w:ind w:left="142" w:hanging="142"/>
                        <w:rPr>
                          <w:rFonts w:ascii="Arial" w:hAnsi="Arial" w:cs="Arial"/>
                          <w:sz w:val="18"/>
                          <w:szCs w:val="18"/>
                        </w:rPr>
                      </w:pPr>
                      <w:r>
                        <w:rPr>
                          <w:rFonts w:ascii="Arial" w:hAnsi="Arial" w:cs="Arial"/>
                          <w:sz w:val="18"/>
                          <w:szCs w:val="18"/>
                        </w:rPr>
                        <w:t>State and Territory Governments</w:t>
                      </w:r>
                    </w:p>
                    <w:p w14:paraId="0A49BF2B" w14:textId="77777777" w:rsidR="0016701A" w:rsidRDefault="0016701A" w:rsidP="0016701A">
                      <w:pPr>
                        <w:spacing w:after="0"/>
                        <w:rPr>
                          <w:rFonts w:ascii="Arial" w:hAnsi="Arial" w:cs="Arial"/>
                          <w:b/>
                          <w:sz w:val="18"/>
                          <w:szCs w:val="18"/>
                        </w:rPr>
                      </w:pPr>
                      <w:r>
                        <w:rPr>
                          <w:rFonts w:ascii="Arial" w:hAnsi="Arial" w:cs="Arial"/>
                          <w:b/>
                          <w:sz w:val="18"/>
                          <w:szCs w:val="18"/>
                        </w:rPr>
                        <w:t>Governance</w:t>
                      </w:r>
                    </w:p>
                    <w:p w14:paraId="4A379D9A" w14:textId="77777777" w:rsidR="0016701A" w:rsidRDefault="0016701A" w:rsidP="0016701A">
                      <w:pPr>
                        <w:numPr>
                          <w:ilvl w:val="0"/>
                          <w:numId w:val="10"/>
                        </w:numPr>
                        <w:spacing w:before="0" w:after="0"/>
                        <w:rPr>
                          <w:rFonts w:ascii="Arial" w:hAnsi="Arial" w:cs="Arial"/>
                          <w:sz w:val="18"/>
                          <w:szCs w:val="18"/>
                        </w:rPr>
                      </w:pPr>
                      <w:r>
                        <w:rPr>
                          <w:rFonts w:ascii="Arial" w:hAnsi="Arial" w:cs="Arial"/>
                          <w:sz w:val="18"/>
                          <w:szCs w:val="18"/>
                        </w:rPr>
                        <w:t>HSRAC*</w:t>
                      </w:r>
                    </w:p>
                    <w:p w14:paraId="52A5F3A3" w14:textId="77777777" w:rsidR="0016701A" w:rsidRDefault="0016701A" w:rsidP="0016701A">
                      <w:pPr>
                        <w:numPr>
                          <w:ilvl w:val="0"/>
                          <w:numId w:val="10"/>
                        </w:numPr>
                        <w:spacing w:before="0" w:after="0"/>
                        <w:rPr>
                          <w:rFonts w:ascii="Arial" w:hAnsi="Arial" w:cs="Arial"/>
                          <w:sz w:val="18"/>
                          <w:szCs w:val="18"/>
                        </w:rPr>
                      </w:pPr>
                      <w:r>
                        <w:rPr>
                          <w:rFonts w:ascii="Arial" w:hAnsi="Arial" w:cs="Arial"/>
                          <w:sz w:val="18"/>
                          <w:szCs w:val="18"/>
                        </w:rPr>
                        <w:t>FRSC**</w:t>
                      </w:r>
                    </w:p>
                    <w:p w14:paraId="43809420" w14:textId="77777777" w:rsidR="0016701A" w:rsidRDefault="0016701A" w:rsidP="0016701A">
                      <w:pPr>
                        <w:numPr>
                          <w:ilvl w:val="0"/>
                          <w:numId w:val="10"/>
                        </w:numPr>
                        <w:spacing w:before="0" w:after="0"/>
                        <w:rPr>
                          <w:rFonts w:ascii="Arial" w:hAnsi="Arial" w:cs="Arial"/>
                          <w:sz w:val="18"/>
                          <w:szCs w:val="18"/>
                        </w:rPr>
                      </w:pPr>
                      <w:r>
                        <w:rPr>
                          <w:rFonts w:ascii="Arial" w:hAnsi="Arial" w:cs="Arial"/>
                          <w:sz w:val="18"/>
                          <w:szCs w:val="18"/>
                        </w:rPr>
                        <w:t>IWG</w:t>
                      </w:r>
                    </w:p>
                    <w:p w14:paraId="36BF5649" w14:textId="77777777" w:rsidR="0016701A" w:rsidRDefault="0016701A" w:rsidP="0016701A">
                      <w:pPr>
                        <w:numPr>
                          <w:ilvl w:val="0"/>
                          <w:numId w:val="10"/>
                        </w:numPr>
                        <w:spacing w:before="0" w:after="0"/>
                        <w:rPr>
                          <w:rFonts w:ascii="Arial" w:hAnsi="Arial" w:cs="Arial"/>
                          <w:sz w:val="18"/>
                          <w:szCs w:val="18"/>
                        </w:rPr>
                      </w:pPr>
                      <w:r>
                        <w:rPr>
                          <w:rFonts w:ascii="Arial" w:hAnsi="Arial" w:cs="Arial"/>
                          <w:sz w:val="18"/>
                          <w:szCs w:val="18"/>
                        </w:rPr>
                        <w:t>The FMM</w:t>
                      </w:r>
                    </w:p>
                    <w:p w14:paraId="655DED02" w14:textId="77777777" w:rsidR="0016701A" w:rsidRDefault="0016701A" w:rsidP="0016701A">
                      <w:pPr>
                        <w:rPr>
                          <w:rFonts w:ascii="Arial" w:hAnsi="Arial" w:cs="Arial"/>
                          <w:sz w:val="18"/>
                          <w:szCs w:val="18"/>
                        </w:rPr>
                      </w:pPr>
                      <w:r>
                        <w:rPr>
                          <w:rFonts w:ascii="Arial" w:hAnsi="Arial" w:cs="Arial"/>
                          <w:sz w:val="18"/>
                          <w:szCs w:val="18"/>
                        </w:rPr>
                        <w:t>*Replaced previous WGs: FOPL Technical Design Working Group &amp; Implementation Working Group</w:t>
                      </w:r>
                    </w:p>
                    <w:p w14:paraId="5F5A524C" w14:textId="77777777" w:rsidR="0016701A" w:rsidRDefault="0016701A" w:rsidP="0016701A">
                      <w:pPr>
                        <w:rPr>
                          <w:rFonts w:ascii="Arial" w:hAnsi="Arial" w:cs="Arial"/>
                          <w:sz w:val="18"/>
                          <w:szCs w:val="18"/>
                        </w:rPr>
                      </w:pPr>
                      <w:r>
                        <w:rPr>
                          <w:rFonts w:ascii="Arial" w:hAnsi="Arial" w:cs="Arial"/>
                          <w:sz w:val="18"/>
                          <w:szCs w:val="18"/>
                        </w:rPr>
                        <w:t xml:space="preserve">** replaced </w:t>
                      </w:r>
                      <w:proofErr w:type="spellStart"/>
                      <w:r>
                        <w:rPr>
                          <w:rFonts w:ascii="Arial" w:hAnsi="Arial" w:cs="Arial"/>
                          <w:sz w:val="18"/>
                          <w:szCs w:val="18"/>
                        </w:rPr>
                        <w:t>FoPL</w:t>
                      </w:r>
                      <w:proofErr w:type="spellEnd"/>
                      <w:r>
                        <w:rPr>
                          <w:rFonts w:ascii="Arial" w:hAnsi="Arial" w:cs="Arial"/>
                          <w:sz w:val="18"/>
                          <w:szCs w:val="18"/>
                        </w:rPr>
                        <w:t xml:space="preserve"> Steering Committee</w:t>
                      </w:r>
                    </w:p>
                    <w:p w14:paraId="27140F05" w14:textId="77777777" w:rsidR="0016701A" w:rsidRDefault="0016701A" w:rsidP="0016701A">
                      <w:pPr>
                        <w:spacing w:after="0"/>
                        <w:rPr>
                          <w:rFonts w:ascii="Arial" w:hAnsi="Arial" w:cs="Arial"/>
                          <w:b/>
                          <w:sz w:val="18"/>
                          <w:szCs w:val="18"/>
                        </w:rPr>
                      </w:pPr>
                      <w:r>
                        <w:rPr>
                          <w:rFonts w:ascii="Arial" w:hAnsi="Arial" w:cs="Arial"/>
                          <w:b/>
                          <w:sz w:val="18"/>
                          <w:szCs w:val="18"/>
                        </w:rPr>
                        <w:t>Expertise</w:t>
                      </w:r>
                    </w:p>
                    <w:p w14:paraId="4790EB63" w14:textId="77777777" w:rsidR="0016701A" w:rsidRDefault="0016701A" w:rsidP="0016701A">
                      <w:pPr>
                        <w:numPr>
                          <w:ilvl w:val="0"/>
                          <w:numId w:val="11"/>
                        </w:numPr>
                        <w:spacing w:before="0" w:after="0"/>
                        <w:ind w:left="142" w:hanging="142"/>
                        <w:rPr>
                          <w:rFonts w:ascii="Arial" w:hAnsi="Arial" w:cs="Arial"/>
                          <w:sz w:val="18"/>
                          <w:szCs w:val="18"/>
                        </w:rPr>
                      </w:pPr>
                      <w:r>
                        <w:rPr>
                          <w:rFonts w:ascii="Arial" w:hAnsi="Arial" w:cs="Arial"/>
                          <w:sz w:val="18"/>
                          <w:szCs w:val="18"/>
                        </w:rPr>
                        <w:t>Government (public health policy, nutrition, FSANZ)</w:t>
                      </w:r>
                    </w:p>
                    <w:p w14:paraId="1DA31420" w14:textId="77777777" w:rsidR="0016701A" w:rsidRDefault="0016701A" w:rsidP="0016701A">
                      <w:pPr>
                        <w:numPr>
                          <w:ilvl w:val="0"/>
                          <w:numId w:val="11"/>
                        </w:numPr>
                        <w:spacing w:before="0" w:after="0"/>
                        <w:ind w:left="142" w:hanging="142"/>
                        <w:rPr>
                          <w:rFonts w:ascii="Arial" w:hAnsi="Arial" w:cs="Arial"/>
                          <w:sz w:val="18"/>
                          <w:szCs w:val="18"/>
                        </w:rPr>
                      </w:pPr>
                      <w:r>
                        <w:rPr>
                          <w:rFonts w:ascii="Arial" w:hAnsi="Arial" w:cs="Arial"/>
                          <w:sz w:val="18"/>
                          <w:szCs w:val="18"/>
                        </w:rPr>
                        <w:t>Food industry</w:t>
                      </w:r>
                    </w:p>
                    <w:p w14:paraId="1447DD54" w14:textId="77777777" w:rsidR="0016701A" w:rsidRDefault="0016701A" w:rsidP="0016701A">
                      <w:pPr>
                        <w:numPr>
                          <w:ilvl w:val="0"/>
                          <w:numId w:val="11"/>
                        </w:numPr>
                        <w:spacing w:before="0" w:after="0"/>
                        <w:ind w:left="142" w:hanging="142"/>
                        <w:rPr>
                          <w:rFonts w:ascii="Arial" w:hAnsi="Arial" w:cs="Arial"/>
                          <w:sz w:val="18"/>
                          <w:szCs w:val="18"/>
                        </w:rPr>
                      </w:pPr>
                      <w:r>
                        <w:rPr>
                          <w:rFonts w:ascii="Arial" w:hAnsi="Arial" w:cs="Arial"/>
                          <w:sz w:val="18"/>
                          <w:szCs w:val="18"/>
                        </w:rPr>
                        <w:t>Public health &amp; consumer organisations</w:t>
                      </w:r>
                    </w:p>
                    <w:p w14:paraId="2402A0DB" w14:textId="77777777" w:rsidR="0016701A" w:rsidRDefault="0016701A" w:rsidP="0016701A">
                      <w:pPr>
                        <w:numPr>
                          <w:ilvl w:val="0"/>
                          <w:numId w:val="11"/>
                        </w:numPr>
                        <w:spacing w:before="0" w:after="0"/>
                        <w:ind w:left="142" w:hanging="142"/>
                        <w:rPr>
                          <w:rFonts w:ascii="Arial" w:hAnsi="Arial" w:cs="Arial"/>
                          <w:sz w:val="18"/>
                          <w:szCs w:val="18"/>
                        </w:rPr>
                      </w:pPr>
                      <w:r>
                        <w:rPr>
                          <w:rFonts w:ascii="Arial" w:hAnsi="Arial" w:cs="Arial"/>
                          <w:sz w:val="18"/>
                          <w:szCs w:val="18"/>
                        </w:rPr>
                        <w:t>Consumer research</w:t>
                      </w:r>
                    </w:p>
                    <w:p w14:paraId="13E1B406" w14:textId="77777777" w:rsidR="0016701A" w:rsidRDefault="0016701A" w:rsidP="0016701A">
                      <w:pPr>
                        <w:numPr>
                          <w:ilvl w:val="0"/>
                          <w:numId w:val="11"/>
                        </w:numPr>
                        <w:spacing w:before="0" w:after="0"/>
                        <w:ind w:left="142" w:hanging="142"/>
                        <w:rPr>
                          <w:rFonts w:ascii="Arial" w:hAnsi="Arial" w:cs="Arial"/>
                          <w:sz w:val="18"/>
                          <w:szCs w:val="18"/>
                        </w:rPr>
                      </w:pPr>
                      <w:r>
                        <w:rPr>
                          <w:rFonts w:ascii="Arial" w:hAnsi="Arial" w:cs="Arial"/>
                          <w:sz w:val="18"/>
                          <w:szCs w:val="18"/>
                        </w:rPr>
                        <w:t>Social marketing</w:t>
                      </w:r>
                    </w:p>
                    <w:p w14:paraId="54C40213" w14:textId="77777777" w:rsidR="0016701A" w:rsidRDefault="0016701A" w:rsidP="0016701A">
                      <w:pPr>
                        <w:numPr>
                          <w:ilvl w:val="0"/>
                          <w:numId w:val="11"/>
                        </w:numPr>
                        <w:spacing w:before="0" w:after="0"/>
                        <w:ind w:left="142" w:hanging="142"/>
                        <w:rPr>
                          <w:rFonts w:ascii="Arial" w:hAnsi="Arial" w:cs="Arial"/>
                          <w:sz w:val="18"/>
                          <w:szCs w:val="18"/>
                        </w:rPr>
                      </w:pPr>
                      <w:r>
                        <w:rPr>
                          <w:rFonts w:ascii="Arial" w:hAnsi="Arial" w:cs="Arial"/>
                          <w:sz w:val="18"/>
                          <w:szCs w:val="18"/>
                        </w:rPr>
                        <w:t>Monitoring &amp; Evaluation</w:t>
                      </w:r>
                    </w:p>
                    <w:p w14:paraId="7E908012" w14:textId="77777777" w:rsidR="0016701A" w:rsidRDefault="0016701A" w:rsidP="0016701A">
                      <w:pPr>
                        <w:rPr>
                          <w:rFonts w:ascii="Arial" w:hAnsi="Arial" w:cs="Arial"/>
                          <w:sz w:val="18"/>
                          <w:szCs w:val="18"/>
                        </w:rPr>
                      </w:pPr>
                    </w:p>
                    <w:p w14:paraId="088E2555" w14:textId="77777777" w:rsidR="0016701A" w:rsidRDefault="0016701A" w:rsidP="0016701A">
                      <w:pPr>
                        <w:rPr>
                          <w:rFonts w:ascii="Arial" w:hAnsi="Arial" w:cs="Arial"/>
                          <w:sz w:val="18"/>
                          <w:szCs w:val="18"/>
                        </w:rPr>
                      </w:pPr>
                    </w:p>
                    <w:p w14:paraId="503AEBD8" w14:textId="77777777" w:rsidR="0016701A" w:rsidRDefault="0016701A" w:rsidP="0016701A">
                      <w:pPr>
                        <w:rPr>
                          <w:rFonts w:ascii="Arial" w:hAnsi="Arial" w:cs="Arial"/>
                          <w:sz w:val="18"/>
                          <w:szCs w:val="18"/>
                        </w:rPr>
                      </w:pPr>
                    </w:p>
                  </w:txbxContent>
                </v:textbox>
              </v:shape>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60288" behindDoc="0" locked="0" layoutInCell="1" allowOverlap="1" wp14:anchorId="44FCA0F7" wp14:editId="2AB8049D">
                <wp:simplePos x="0" y="0"/>
                <wp:positionH relativeFrom="column">
                  <wp:posOffset>885825</wp:posOffset>
                </wp:positionH>
                <wp:positionV relativeFrom="paragraph">
                  <wp:posOffset>151130</wp:posOffset>
                </wp:positionV>
                <wp:extent cx="1476375" cy="1466850"/>
                <wp:effectExtent l="0" t="0" r="2857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66850"/>
                        </a:xfrm>
                        <a:prstGeom prst="rect">
                          <a:avLst/>
                        </a:prstGeom>
                        <a:solidFill>
                          <a:srgbClr val="FFFFFF"/>
                        </a:solidFill>
                        <a:ln w="9525">
                          <a:solidFill>
                            <a:srgbClr val="000000"/>
                          </a:solidFill>
                          <a:miter lim="800000"/>
                          <a:headEnd/>
                          <a:tailEnd/>
                        </a:ln>
                      </wps:spPr>
                      <wps:txbx>
                        <w:txbxContent>
                          <w:p w14:paraId="7F769F9F" w14:textId="77777777" w:rsidR="0016701A" w:rsidRDefault="0016701A" w:rsidP="0016701A">
                            <w:pPr>
                              <w:numPr>
                                <w:ilvl w:val="0"/>
                                <w:numId w:val="12"/>
                              </w:numPr>
                              <w:spacing w:before="0" w:after="0"/>
                              <w:rPr>
                                <w:rFonts w:ascii="Arial" w:hAnsi="Arial" w:cs="Arial"/>
                                <w:sz w:val="18"/>
                                <w:szCs w:val="18"/>
                              </w:rPr>
                            </w:pPr>
                            <w:r>
                              <w:rPr>
                                <w:rFonts w:ascii="Arial" w:hAnsi="Arial" w:cs="Arial"/>
                                <w:b/>
                                <w:sz w:val="18"/>
                                <w:szCs w:val="18"/>
                              </w:rPr>
                              <w:t>Implementation of the updated HSR System</w:t>
                            </w:r>
                          </w:p>
                          <w:p w14:paraId="04D69505" w14:textId="77777777" w:rsidR="0016701A" w:rsidRDefault="0016701A" w:rsidP="0016701A">
                            <w:pPr>
                              <w:numPr>
                                <w:ilvl w:val="0"/>
                                <w:numId w:val="13"/>
                              </w:numPr>
                              <w:spacing w:before="0" w:after="0"/>
                              <w:ind w:left="142" w:hanging="142"/>
                              <w:rPr>
                                <w:rFonts w:ascii="Arial" w:hAnsi="Arial" w:cs="Arial"/>
                                <w:sz w:val="18"/>
                                <w:szCs w:val="18"/>
                              </w:rPr>
                            </w:pPr>
                            <w:r>
                              <w:rPr>
                                <w:rFonts w:ascii="Arial" w:hAnsi="Arial" w:cs="Arial"/>
                                <w:sz w:val="18"/>
                                <w:szCs w:val="18"/>
                              </w:rPr>
                              <w:t>HSR algorithm &amp; calculator</w:t>
                            </w:r>
                          </w:p>
                          <w:p w14:paraId="371F96D7" w14:textId="77777777" w:rsidR="0016701A" w:rsidRDefault="0016701A" w:rsidP="0016701A">
                            <w:pPr>
                              <w:numPr>
                                <w:ilvl w:val="0"/>
                                <w:numId w:val="13"/>
                              </w:numPr>
                              <w:spacing w:before="0" w:after="0"/>
                              <w:ind w:left="142" w:hanging="142"/>
                              <w:rPr>
                                <w:rFonts w:ascii="Arial" w:hAnsi="Arial" w:cs="Arial"/>
                                <w:sz w:val="18"/>
                                <w:szCs w:val="18"/>
                              </w:rPr>
                            </w:pPr>
                            <w:r>
                              <w:rPr>
                                <w:rFonts w:ascii="Arial" w:hAnsi="Arial" w:cs="Arial"/>
                                <w:sz w:val="18"/>
                                <w:szCs w:val="18"/>
                              </w:rPr>
                              <w:t>Guide for Industry</w:t>
                            </w:r>
                          </w:p>
                          <w:p w14:paraId="51EA8E85" w14:textId="77777777" w:rsidR="0016701A" w:rsidRDefault="0016701A" w:rsidP="0016701A">
                            <w:pPr>
                              <w:numPr>
                                <w:ilvl w:val="0"/>
                                <w:numId w:val="13"/>
                              </w:numPr>
                              <w:spacing w:before="0" w:after="0"/>
                              <w:ind w:left="142" w:hanging="142"/>
                              <w:rPr>
                                <w:rFonts w:ascii="Arial" w:hAnsi="Arial" w:cs="Arial"/>
                                <w:sz w:val="18"/>
                                <w:szCs w:val="18"/>
                              </w:rPr>
                            </w:pPr>
                            <w:r>
                              <w:rPr>
                                <w:rFonts w:ascii="Arial" w:hAnsi="Arial" w:cs="Arial"/>
                                <w:sz w:val="18"/>
                                <w:szCs w:val="18"/>
                              </w:rPr>
                              <w:t>Anomaly considerations</w:t>
                            </w:r>
                          </w:p>
                          <w:p w14:paraId="2E6A6B0B" w14:textId="77777777" w:rsidR="0016701A" w:rsidRDefault="0016701A" w:rsidP="0016701A">
                            <w:pPr>
                              <w:numPr>
                                <w:ilvl w:val="0"/>
                                <w:numId w:val="13"/>
                              </w:numPr>
                              <w:spacing w:before="0" w:after="0"/>
                              <w:ind w:left="142" w:hanging="142"/>
                              <w:rPr>
                                <w:rFonts w:ascii="Arial" w:hAnsi="Arial" w:cs="Arial"/>
                                <w:sz w:val="18"/>
                                <w:szCs w:val="18"/>
                              </w:rPr>
                            </w:pPr>
                            <w:r>
                              <w:rPr>
                                <w:rFonts w:ascii="Arial" w:hAnsi="Arial" w:cs="Arial"/>
                                <w:sz w:val="18"/>
                                <w:szCs w:val="18"/>
                              </w:rPr>
                              <w:t>Complaint handling</w:t>
                            </w:r>
                          </w:p>
                          <w:p w14:paraId="43995FF6" w14:textId="77777777" w:rsidR="0016701A" w:rsidRDefault="0016701A" w:rsidP="0016701A">
                            <w:pPr>
                              <w:numPr>
                                <w:ilvl w:val="0"/>
                                <w:numId w:val="13"/>
                              </w:numPr>
                              <w:spacing w:before="0" w:after="0"/>
                              <w:ind w:left="142" w:hanging="142"/>
                              <w:rPr>
                                <w:rFonts w:ascii="Arial" w:hAnsi="Arial" w:cs="Arial"/>
                                <w:sz w:val="18"/>
                                <w:szCs w:val="18"/>
                              </w:rPr>
                            </w:pPr>
                            <w:r>
                              <w:rPr>
                                <w:rFonts w:ascii="Arial" w:hAnsi="Arial" w:cs="Arial"/>
                                <w:sz w:val="18"/>
                                <w:szCs w:val="18"/>
                              </w:rPr>
                              <w:t>Implementation Plan</w:t>
                            </w:r>
                          </w:p>
                          <w:p w14:paraId="6E032779" w14:textId="77777777" w:rsidR="0016701A" w:rsidRDefault="0016701A" w:rsidP="0016701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CA0F7" id="Text Box 23" o:spid="_x0000_s1032" type="#_x0000_t202" style="position:absolute;left:0;text-align:left;margin-left:69.75pt;margin-top:11.9pt;width:116.2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">
                <v:textbox>
                  <w:txbxContent>
                    <w:p w14:paraId="7F769F9F" w14:textId="77777777" w:rsidR="0016701A" w:rsidRDefault="0016701A" w:rsidP="0016701A">
                      <w:pPr>
                        <w:numPr>
                          <w:ilvl w:val="0"/>
                          <w:numId w:val="12"/>
                        </w:numPr>
                        <w:spacing w:before="0" w:after="0"/>
                        <w:rPr>
                          <w:rFonts w:ascii="Arial" w:hAnsi="Arial" w:cs="Arial"/>
                          <w:sz w:val="18"/>
                          <w:szCs w:val="18"/>
                        </w:rPr>
                      </w:pPr>
                      <w:r>
                        <w:rPr>
                          <w:rFonts w:ascii="Arial" w:hAnsi="Arial" w:cs="Arial"/>
                          <w:b/>
                          <w:sz w:val="18"/>
                          <w:szCs w:val="18"/>
                        </w:rPr>
                        <w:t>Implementation of the updated HSR System</w:t>
                      </w:r>
                    </w:p>
                    <w:p w14:paraId="04D69505" w14:textId="77777777" w:rsidR="0016701A" w:rsidRDefault="0016701A" w:rsidP="0016701A">
                      <w:pPr>
                        <w:numPr>
                          <w:ilvl w:val="0"/>
                          <w:numId w:val="13"/>
                        </w:numPr>
                        <w:spacing w:before="0" w:after="0"/>
                        <w:ind w:left="142" w:hanging="142"/>
                        <w:rPr>
                          <w:rFonts w:ascii="Arial" w:hAnsi="Arial" w:cs="Arial"/>
                          <w:sz w:val="18"/>
                          <w:szCs w:val="18"/>
                        </w:rPr>
                      </w:pPr>
                      <w:r>
                        <w:rPr>
                          <w:rFonts w:ascii="Arial" w:hAnsi="Arial" w:cs="Arial"/>
                          <w:sz w:val="18"/>
                          <w:szCs w:val="18"/>
                        </w:rPr>
                        <w:t>HSR algorithm &amp; calculator</w:t>
                      </w:r>
                    </w:p>
                    <w:p w14:paraId="371F96D7" w14:textId="77777777" w:rsidR="0016701A" w:rsidRDefault="0016701A" w:rsidP="0016701A">
                      <w:pPr>
                        <w:numPr>
                          <w:ilvl w:val="0"/>
                          <w:numId w:val="13"/>
                        </w:numPr>
                        <w:spacing w:before="0" w:after="0"/>
                        <w:ind w:left="142" w:hanging="142"/>
                        <w:rPr>
                          <w:rFonts w:ascii="Arial" w:hAnsi="Arial" w:cs="Arial"/>
                          <w:sz w:val="18"/>
                          <w:szCs w:val="18"/>
                        </w:rPr>
                      </w:pPr>
                      <w:r>
                        <w:rPr>
                          <w:rFonts w:ascii="Arial" w:hAnsi="Arial" w:cs="Arial"/>
                          <w:sz w:val="18"/>
                          <w:szCs w:val="18"/>
                        </w:rPr>
                        <w:t>Guide for Industry</w:t>
                      </w:r>
                    </w:p>
                    <w:p w14:paraId="51EA8E85" w14:textId="77777777" w:rsidR="0016701A" w:rsidRDefault="0016701A" w:rsidP="0016701A">
                      <w:pPr>
                        <w:numPr>
                          <w:ilvl w:val="0"/>
                          <w:numId w:val="13"/>
                        </w:numPr>
                        <w:spacing w:before="0" w:after="0"/>
                        <w:ind w:left="142" w:hanging="142"/>
                        <w:rPr>
                          <w:rFonts w:ascii="Arial" w:hAnsi="Arial" w:cs="Arial"/>
                          <w:sz w:val="18"/>
                          <w:szCs w:val="18"/>
                        </w:rPr>
                      </w:pPr>
                      <w:r>
                        <w:rPr>
                          <w:rFonts w:ascii="Arial" w:hAnsi="Arial" w:cs="Arial"/>
                          <w:sz w:val="18"/>
                          <w:szCs w:val="18"/>
                        </w:rPr>
                        <w:t>Anomaly considerations</w:t>
                      </w:r>
                    </w:p>
                    <w:p w14:paraId="2E6A6B0B" w14:textId="77777777" w:rsidR="0016701A" w:rsidRDefault="0016701A" w:rsidP="0016701A">
                      <w:pPr>
                        <w:numPr>
                          <w:ilvl w:val="0"/>
                          <w:numId w:val="13"/>
                        </w:numPr>
                        <w:spacing w:before="0" w:after="0"/>
                        <w:ind w:left="142" w:hanging="142"/>
                        <w:rPr>
                          <w:rFonts w:ascii="Arial" w:hAnsi="Arial" w:cs="Arial"/>
                          <w:sz w:val="18"/>
                          <w:szCs w:val="18"/>
                        </w:rPr>
                      </w:pPr>
                      <w:r>
                        <w:rPr>
                          <w:rFonts w:ascii="Arial" w:hAnsi="Arial" w:cs="Arial"/>
                          <w:sz w:val="18"/>
                          <w:szCs w:val="18"/>
                        </w:rPr>
                        <w:t>Complaint handling</w:t>
                      </w:r>
                    </w:p>
                    <w:p w14:paraId="43995FF6" w14:textId="77777777" w:rsidR="0016701A" w:rsidRDefault="0016701A" w:rsidP="0016701A">
                      <w:pPr>
                        <w:numPr>
                          <w:ilvl w:val="0"/>
                          <w:numId w:val="13"/>
                        </w:numPr>
                        <w:spacing w:before="0" w:after="0"/>
                        <w:ind w:left="142" w:hanging="142"/>
                        <w:rPr>
                          <w:rFonts w:ascii="Arial" w:hAnsi="Arial" w:cs="Arial"/>
                          <w:sz w:val="18"/>
                          <w:szCs w:val="18"/>
                        </w:rPr>
                      </w:pPr>
                      <w:r>
                        <w:rPr>
                          <w:rFonts w:ascii="Arial" w:hAnsi="Arial" w:cs="Arial"/>
                          <w:sz w:val="18"/>
                          <w:szCs w:val="18"/>
                        </w:rPr>
                        <w:t>Implementation Plan</w:t>
                      </w:r>
                    </w:p>
                    <w:p w14:paraId="6E032779" w14:textId="77777777" w:rsidR="0016701A" w:rsidRDefault="0016701A" w:rsidP="0016701A">
                      <w:pPr>
                        <w:rPr>
                          <w:rFonts w:ascii="Arial" w:hAnsi="Arial" w:cs="Arial"/>
                          <w:sz w:val="18"/>
                          <w:szCs w:val="18"/>
                        </w:rPr>
                      </w:pPr>
                    </w:p>
                  </w:txbxContent>
                </v:textbox>
              </v:shape>
            </w:pict>
          </mc:Fallback>
        </mc:AlternateContent>
      </w:r>
    </w:p>
    <w:p w14:paraId="114DEBE6" w14:textId="77777777" w:rsidR="0016701A" w:rsidRDefault="0016701A" w:rsidP="0016701A">
      <w:r>
        <w:rPr>
          <w:rFonts w:ascii="Times New Roman" w:hAnsi="Times New Roman" w:cs="Times New Roman"/>
          <w:noProof/>
          <w:sz w:val="24"/>
          <w:szCs w:val="20"/>
        </w:rPr>
        <mc:AlternateContent>
          <mc:Choice Requires="wps">
            <w:drawing>
              <wp:anchor distT="0" distB="0" distL="114300" distR="114300" simplePos="0" relativeHeight="251671552" behindDoc="0" locked="0" layoutInCell="1" allowOverlap="1" wp14:anchorId="7095CF8D" wp14:editId="3E48503B">
                <wp:simplePos x="0" y="0"/>
                <wp:positionH relativeFrom="column">
                  <wp:posOffset>7905750</wp:posOffset>
                </wp:positionH>
                <wp:positionV relativeFrom="paragraph">
                  <wp:posOffset>13970</wp:posOffset>
                </wp:positionV>
                <wp:extent cx="1762125" cy="146685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66850"/>
                        </a:xfrm>
                        <a:prstGeom prst="rect">
                          <a:avLst/>
                        </a:prstGeom>
                        <a:solidFill>
                          <a:srgbClr val="FFFFFF"/>
                        </a:solidFill>
                        <a:ln w="9525">
                          <a:solidFill>
                            <a:srgbClr val="000000"/>
                          </a:solidFill>
                          <a:miter lim="800000"/>
                          <a:headEnd/>
                          <a:tailEnd/>
                        </a:ln>
                      </wps:spPr>
                      <wps:txbx>
                        <w:txbxContent>
                          <w:p w14:paraId="0A0E3543" w14:textId="77777777" w:rsidR="0016701A" w:rsidRDefault="0016701A" w:rsidP="0016701A">
                            <w:pPr>
                              <w:spacing w:before="0"/>
                            </w:pPr>
                            <w:r>
                              <w:rPr>
                                <w:rFonts w:ascii="Arial" w:hAnsi="Arial" w:cs="Arial"/>
                                <w:sz w:val="18"/>
                                <w:szCs w:val="18"/>
                              </w:rPr>
                              <w:t>HSR is well supported by food manufacturers and retailers, appearing accurately on the vast majority of products on shelf, in particular</w:t>
                            </w:r>
                            <w:r>
                              <w:rPr>
                                <w:rFonts w:ascii="Arial" w:hAnsi="Arial" w:cs="Arial"/>
                                <w:color w:val="FF0000"/>
                                <w:sz w:val="18"/>
                                <w:szCs w:val="18"/>
                              </w:rPr>
                              <w:t xml:space="preserve"> </w:t>
                            </w:r>
                            <w:r>
                              <w:rPr>
                                <w:rFonts w:ascii="Arial" w:hAnsi="Arial" w:cs="Arial"/>
                                <w:sz w:val="18"/>
                                <w:szCs w:val="18"/>
                              </w:rPr>
                              <w:t>on food products of food categories that make greatest contribution to intake of energy and key nutrients and have greatest market share.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5CF8D" id="Text Box 12" o:spid="_x0000_s1033" type="#_x0000_t202" style="position:absolute;margin-left:622.5pt;margin-top:1.1pt;width:138.7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">
                <v:textbox>
                  <w:txbxContent>
                    <w:p w14:paraId="0A0E3543" w14:textId="77777777" w:rsidR="0016701A" w:rsidRDefault="0016701A" w:rsidP="0016701A">
                      <w:pPr>
                        <w:spacing w:before="0"/>
                      </w:pPr>
                      <w:r>
                        <w:rPr>
                          <w:rFonts w:ascii="Arial" w:hAnsi="Arial" w:cs="Arial"/>
                          <w:sz w:val="18"/>
                          <w:szCs w:val="18"/>
                        </w:rPr>
                        <w:t xml:space="preserve">HSR is well supported by food manufacturers and retailers, appearing accurately on </w:t>
                      </w:r>
                      <w:proofErr w:type="gramStart"/>
                      <w:r>
                        <w:rPr>
                          <w:rFonts w:ascii="Arial" w:hAnsi="Arial" w:cs="Arial"/>
                          <w:sz w:val="18"/>
                          <w:szCs w:val="18"/>
                        </w:rPr>
                        <w:t>the vast majority of</w:t>
                      </w:r>
                      <w:proofErr w:type="gramEnd"/>
                      <w:r>
                        <w:rPr>
                          <w:rFonts w:ascii="Arial" w:hAnsi="Arial" w:cs="Arial"/>
                          <w:sz w:val="18"/>
                          <w:szCs w:val="18"/>
                        </w:rPr>
                        <w:t xml:space="preserve"> products on shelf, in particular</w:t>
                      </w:r>
                      <w:r>
                        <w:rPr>
                          <w:rFonts w:ascii="Arial" w:hAnsi="Arial" w:cs="Arial"/>
                          <w:color w:val="FF0000"/>
                          <w:sz w:val="18"/>
                          <w:szCs w:val="18"/>
                        </w:rPr>
                        <w:t xml:space="preserve"> </w:t>
                      </w:r>
                      <w:r>
                        <w:rPr>
                          <w:rFonts w:ascii="Arial" w:hAnsi="Arial" w:cs="Arial"/>
                          <w:sz w:val="18"/>
                          <w:szCs w:val="18"/>
                        </w:rPr>
                        <w:t>on food products of food categories that make greatest contribution to intake of energy and key nutrients and have greatest market share.</w:t>
                      </w:r>
                    </w:p>
                  </w:txbxContent>
                </v:textbox>
              </v:shape>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75648" behindDoc="0" locked="0" layoutInCell="1" allowOverlap="1" wp14:anchorId="773AB295" wp14:editId="21E20574">
                <wp:simplePos x="0" y="0"/>
                <wp:positionH relativeFrom="column">
                  <wp:posOffset>3971925</wp:posOffset>
                </wp:positionH>
                <wp:positionV relativeFrom="paragraph">
                  <wp:posOffset>13970</wp:posOffset>
                </wp:positionV>
                <wp:extent cx="3771900" cy="6191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619125"/>
                        </a:xfrm>
                        <a:prstGeom prst="rect">
                          <a:avLst/>
                        </a:prstGeom>
                        <a:solidFill>
                          <a:srgbClr val="FFFFFF"/>
                        </a:solidFill>
                        <a:ln w="9525">
                          <a:solidFill>
                            <a:srgbClr val="000000"/>
                          </a:solidFill>
                          <a:miter lim="800000"/>
                          <a:headEnd/>
                          <a:tailEnd/>
                        </a:ln>
                      </wps:spPr>
                      <wps:txbx>
                        <w:txbxContent>
                          <w:p w14:paraId="5E1DF8D2" w14:textId="77777777" w:rsidR="0016701A" w:rsidRDefault="0016701A" w:rsidP="0016701A">
                            <w:pPr>
                              <w:spacing w:before="0" w:after="0"/>
                              <w:rPr>
                                <w:rFonts w:ascii="Arial" w:hAnsi="Arial" w:cs="Arial"/>
                                <w:sz w:val="18"/>
                                <w:szCs w:val="18"/>
                              </w:rPr>
                            </w:pPr>
                            <w:r>
                              <w:rPr>
                                <w:rFonts w:ascii="Arial" w:hAnsi="Arial" w:cs="Arial"/>
                                <w:sz w:val="18"/>
                                <w:szCs w:val="18"/>
                              </w:rPr>
                              <w:t>Food manufacturers, retailers, other key stakeholders and opinion leaders* continue to support and promote the HSR to their target audiences via relevant communication modes (e.g. resources, education, media).</w:t>
                            </w:r>
                          </w:p>
                          <w:p w14:paraId="3EDF73F2" w14:textId="77777777" w:rsidR="0016701A" w:rsidRDefault="0016701A" w:rsidP="0016701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AB295" id="Text Box 9" o:spid="_x0000_s1034" type="#_x0000_t202" style="position:absolute;margin-left:312.75pt;margin-top:1.1pt;width:297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">
                <v:textbox>
                  <w:txbxContent>
                    <w:p w14:paraId="5E1DF8D2" w14:textId="77777777" w:rsidR="0016701A" w:rsidRDefault="0016701A" w:rsidP="0016701A">
                      <w:pPr>
                        <w:spacing w:before="0" w:after="0"/>
                        <w:rPr>
                          <w:rFonts w:ascii="Arial" w:hAnsi="Arial" w:cs="Arial"/>
                          <w:sz w:val="18"/>
                          <w:szCs w:val="18"/>
                        </w:rPr>
                      </w:pPr>
                      <w:r>
                        <w:rPr>
                          <w:rFonts w:ascii="Arial" w:hAnsi="Arial" w:cs="Arial"/>
                          <w:sz w:val="18"/>
                          <w:szCs w:val="18"/>
                        </w:rPr>
                        <w:t>Food manufacturers, retailers, other key stakeholders and opinion leaders* continue to support and promote the HSR to their target audiences via relevant communication modes (</w:t>
                      </w:r>
                      <w:proofErr w:type="gramStart"/>
                      <w:r>
                        <w:rPr>
                          <w:rFonts w:ascii="Arial" w:hAnsi="Arial" w:cs="Arial"/>
                          <w:sz w:val="18"/>
                          <w:szCs w:val="18"/>
                        </w:rPr>
                        <w:t>e.g.</w:t>
                      </w:r>
                      <w:proofErr w:type="gramEnd"/>
                      <w:r>
                        <w:rPr>
                          <w:rFonts w:ascii="Arial" w:hAnsi="Arial" w:cs="Arial"/>
                          <w:sz w:val="18"/>
                          <w:szCs w:val="18"/>
                        </w:rPr>
                        <w:t xml:space="preserve"> resources, education, media).</w:t>
                      </w:r>
                    </w:p>
                    <w:p w14:paraId="3EDF73F2" w14:textId="77777777" w:rsidR="0016701A" w:rsidRDefault="0016701A" w:rsidP="0016701A">
                      <w:pPr>
                        <w:rPr>
                          <w:rFonts w:ascii="Arial" w:hAnsi="Arial" w:cs="Arial"/>
                          <w:sz w:val="18"/>
                          <w:szCs w:val="18"/>
                        </w:rPr>
                      </w:pPr>
                    </w:p>
                  </w:txbxContent>
                </v:textbox>
              </v:shape>
            </w:pict>
          </mc:Fallback>
        </mc:AlternateContent>
      </w:r>
    </w:p>
    <w:p w14:paraId="755FA17B" w14:textId="77777777" w:rsidR="0016701A" w:rsidRDefault="0016701A" w:rsidP="0016701A"/>
    <w:p w14:paraId="70C2DE19" w14:textId="77777777" w:rsidR="0016701A" w:rsidRDefault="0016701A" w:rsidP="0016701A">
      <w:r>
        <w:rPr>
          <w:rFonts w:ascii="Times New Roman" w:hAnsi="Times New Roman" w:cs="Times New Roman"/>
          <w:noProof/>
          <w:sz w:val="24"/>
          <w:szCs w:val="20"/>
        </w:rPr>
        <mc:AlternateContent>
          <mc:Choice Requires="wps">
            <w:drawing>
              <wp:anchor distT="0" distB="0" distL="114300" distR="114300" simplePos="0" relativeHeight="251662336" behindDoc="0" locked="0" layoutInCell="1" allowOverlap="1" wp14:anchorId="76F7E869" wp14:editId="1F9C09F8">
                <wp:simplePos x="0" y="0"/>
                <wp:positionH relativeFrom="column">
                  <wp:posOffset>3924300</wp:posOffset>
                </wp:positionH>
                <wp:positionV relativeFrom="paragraph">
                  <wp:posOffset>226060</wp:posOffset>
                </wp:positionV>
                <wp:extent cx="3781425" cy="1466850"/>
                <wp:effectExtent l="19050" t="19050" r="47625" b="571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1466850"/>
                        </a:xfrm>
                        <a:prstGeom prst="rect">
                          <a:avLst/>
                        </a:prstGeom>
                        <a:solidFill>
                          <a:srgbClr val="84C6D8"/>
                        </a:solidFill>
                        <a:ln w="38100">
                          <a:solidFill>
                            <a:srgbClr val="F2F2F2"/>
                          </a:solidFill>
                          <a:miter lim="800000"/>
                          <a:headEnd/>
                          <a:tailEnd/>
                        </a:ln>
                        <a:effectLst>
                          <a:outerShdw dist="28398" dir="3806097" algn="ctr" rotWithShape="0">
                            <a:srgbClr val="205867">
                              <a:alpha val="50000"/>
                            </a:srgbClr>
                          </a:outerShdw>
                        </a:effectLst>
                      </wps:spPr>
                      <wps:txbx>
                        <w:txbxContent>
                          <w:p w14:paraId="1D6FD4B9" w14:textId="77777777" w:rsidR="0016701A" w:rsidRPr="00D111B6" w:rsidRDefault="0016701A" w:rsidP="0016701A">
                            <w:pPr>
                              <w:spacing w:before="0" w:after="0"/>
                              <w:rPr>
                                <w:rFonts w:ascii="Arial" w:hAnsi="Arial" w:cs="Arial"/>
                                <w:b/>
                                <w:sz w:val="18"/>
                                <w:szCs w:val="18"/>
                                <w:u w:val="single"/>
                              </w:rPr>
                            </w:pPr>
                            <w:r w:rsidRPr="00D111B6">
                              <w:rPr>
                                <w:rFonts w:ascii="Arial" w:hAnsi="Arial" w:cs="Arial"/>
                                <w:b/>
                                <w:sz w:val="18"/>
                                <w:szCs w:val="18"/>
                                <w:u w:val="single"/>
                              </w:rPr>
                              <w:t>A</w:t>
                            </w:r>
                            <w:r>
                              <w:rPr>
                                <w:rFonts w:ascii="Arial" w:hAnsi="Arial" w:cs="Arial"/>
                                <w:b/>
                                <w:sz w:val="18"/>
                                <w:szCs w:val="18"/>
                                <w:u w:val="single"/>
                              </w:rPr>
                              <w:t>o</w:t>
                            </w:r>
                            <w:r w:rsidRPr="00D111B6">
                              <w:rPr>
                                <w:rFonts w:ascii="Arial" w:hAnsi="Arial" w:cs="Arial"/>
                                <w:b/>
                                <w:sz w:val="18"/>
                                <w:szCs w:val="18"/>
                                <w:u w:val="single"/>
                              </w:rPr>
                              <w:t>E1: Uptake</w:t>
                            </w:r>
                          </w:p>
                          <w:p w14:paraId="66406D75" w14:textId="77777777" w:rsidR="0016701A" w:rsidRPr="00D111B6" w:rsidRDefault="0016701A" w:rsidP="0016701A">
                            <w:pPr>
                              <w:spacing w:before="0" w:after="0"/>
                              <w:rPr>
                                <w:rFonts w:ascii="Arial" w:hAnsi="Arial" w:cs="Arial"/>
                                <w:bCs/>
                                <w:sz w:val="18"/>
                                <w:szCs w:val="18"/>
                              </w:rPr>
                            </w:pPr>
                            <w:r w:rsidRPr="00D111B6">
                              <w:rPr>
                                <w:rFonts w:ascii="Arial" w:hAnsi="Arial" w:cs="Arial"/>
                                <w:bCs/>
                                <w:sz w:val="18"/>
                                <w:szCs w:val="18"/>
                              </w:rPr>
                              <w:t>Essential: HSR system is voluntarily adopted by food industry to meet agreed uptake targets:</w:t>
                            </w:r>
                          </w:p>
                          <w:p w14:paraId="50B420CE" w14:textId="77777777" w:rsidR="0016701A" w:rsidRPr="00F34B03" w:rsidRDefault="0016701A" w:rsidP="0016701A">
                            <w:pPr>
                              <w:pStyle w:val="ListParagraph"/>
                              <w:numPr>
                                <w:ilvl w:val="0"/>
                                <w:numId w:val="20"/>
                              </w:numPr>
                              <w:spacing w:before="0" w:after="0"/>
                              <w:rPr>
                                <w:rFonts w:ascii="Arial" w:hAnsi="Arial" w:cs="Arial"/>
                                <w:sz w:val="18"/>
                                <w:szCs w:val="18"/>
                              </w:rPr>
                            </w:pPr>
                            <w:r w:rsidRPr="00F34B03">
                              <w:rPr>
                                <w:rFonts w:ascii="Arial" w:hAnsi="Arial" w:cs="Arial"/>
                                <w:sz w:val="18"/>
                                <w:szCs w:val="18"/>
                              </w:rPr>
                              <w:t>50% of intended products by 14 November 2023</w:t>
                            </w:r>
                          </w:p>
                          <w:p w14:paraId="295B6FFB" w14:textId="77777777" w:rsidR="0016701A" w:rsidRPr="00F34B03" w:rsidRDefault="0016701A" w:rsidP="0016701A">
                            <w:pPr>
                              <w:pStyle w:val="ListParagraph"/>
                              <w:numPr>
                                <w:ilvl w:val="0"/>
                                <w:numId w:val="20"/>
                              </w:numPr>
                              <w:spacing w:before="0" w:after="0"/>
                              <w:rPr>
                                <w:rFonts w:ascii="Arial" w:hAnsi="Arial" w:cs="Arial"/>
                                <w:sz w:val="18"/>
                                <w:szCs w:val="18"/>
                              </w:rPr>
                            </w:pPr>
                            <w:r w:rsidRPr="00F34B03">
                              <w:rPr>
                                <w:rFonts w:ascii="Arial" w:hAnsi="Arial" w:cs="Arial"/>
                                <w:sz w:val="18"/>
                                <w:szCs w:val="18"/>
                              </w:rPr>
                              <w:t>60% of intended products by 14 November 2024, and</w:t>
                            </w:r>
                          </w:p>
                          <w:p w14:paraId="33E3AE4D" w14:textId="77777777" w:rsidR="0016701A" w:rsidRDefault="0016701A" w:rsidP="0016701A">
                            <w:pPr>
                              <w:pStyle w:val="ListParagraph"/>
                              <w:numPr>
                                <w:ilvl w:val="0"/>
                                <w:numId w:val="20"/>
                              </w:numPr>
                              <w:spacing w:before="0" w:after="0"/>
                              <w:rPr>
                                <w:rFonts w:ascii="Arial" w:hAnsi="Arial" w:cs="Arial"/>
                                <w:sz w:val="18"/>
                                <w:szCs w:val="18"/>
                              </w:rPr>
                            </w:pPr>
                            <w:r w:rsidRPr="00F34B03">
                              <w:rPr>
                                <w:rFonts w:ascii="Arial" w:hAnsi="Arial" w:cs="Arial"/>
                                <w:sz w:val="18"/>
                                <w:szCs w:val="18"/>
                              </w:rPr>
                              <w:t>70% of intended products by 14 November 2025.</w:t>
                            </w:r>
                          </w:p>
                          <w:p w14:paraId="40A289B4" w14:textId="77777777" w:rsidR="0016701A" w:rsidRPr="00FE16E5" w:rsidRDefault="0016701A" w:rsidP="0016701A">
                            <w:pPr>
                              <w:spacing w:before="0" w:after="0"/>
                              <w:rPr>
                                <w:rFonts w:ascii="Arial" w:hAnsi="Arial" w:cs="Arial"/>
                                <w:sz w:val="18"/>
                                <w:szCs w:val="18"/>
                              </w:rPr>
                            </w:pPr>
                          </w:p>
                          <w:p w14:paraId="36898E0A" w14:textId="77777777" w:rsidR="0016701A" w:rsidRPr="00D111B6" w:rsidRDefault="0016701A" w:rsidP="0016701A">
                            <w:pPr>
                              <w:spacing w:before="0" w:after="0"/>
                              <w:rPr>
                                <w:rFonts w:ascii="Arial" w:hAnsi="Arial" w:cs="Arial"/>
                                <w:sz w:val="18"/>
                                <w:szCs w:val="18"/>
                              </w:rPr>
                            </w:pPr>
                            <w:r>
                              <w:rPr>
                                <w:rFonts w:ascii="Arial" w:hAnsi="Arial" w:cs="Arial"/>
                                <w:i/>
                                <w:iCs/>
                                <w:sz w:val="18"/>
                                <w:szCs w:val="18"/>
                              </w:rPr>
                              <w:t>I</w:t>
                            </w:r>
                            <w:r w:rsidRPr="00D111B6">
                              <w:rPr>
                                <w:rFonts w:ascii="Arial" w:hAnsi="Arial" w:cs="Arial"/>
                                <w:i/>
                                <w:iCs/>
                                <w:sz w:val="18"/>
                                <w:szCs w:val="18"/>
                              </w:rPr>
                              <w:t>ndicators within this A</w:t>
                            </w:r>
                            <w:r>
                              <w:rPr>
                                <w:rFonts w:ascii="Arial" w:hAnsi="Arial" w:cs="Arial"/>
                                <w:i/>
                                <w:iCs/>
                                <w:sz w:val="18"/>
                                <w:szCs w:val="18"/>
                              </w:rPr>
                              <w:t>o</w:t>
                            </w:r>
                            <w:r w:rsidRPr="00D111B6">
                              <w:rPr>
                                <w:rFonts w:ascii="Arial" w:hAnsi="Arial" w:cs="Arial"/>
                                <w:i/>
                                <w:iCs/>
                                <w:sz w:val="18"/>
                                <w:szCs w:val="18"/>
                              </w:rPr>
                              <w:t xml:space="preserve">E that </w:t>
                            </w:r>
                            <w:r w:rsidRPr="00D111B6">
                              <w:rPr>
                                <w:rFonts w:ascii="Arial" w:hAnsi="Arial" w:cs="Arial"/>
                                <w:i/>
                                <w:iCs/>
                                <w:sz w:val="18"/>
                                <w:szCs w:val="18"/>
                                <w:u w:val="single"/>
                              </w:rPr>
                              <w:t>may</w:t>
                            </w:r>
                            <w:r w:rsidRPr="00D111B6">
                              <w:rPr>
                                <w:rFonts w:ascii="Arial" w:hAnsi="Arial" w:cs="Arial"/>
                                <w:i/>
                                <w:iCs/>
                                <w:sz w:val="18"/>
                                <w:szCs w:val="18"/>
                              </w:rPr>
                              <w:t xml:space="preserve"> be monitored:</w:t>
                            </w:r>
                          </w:p>
                          <w:p w14:paraId="561AF2B1" w14:textId="77777777" w:rsidR="0016701A" w:rsidRPr="00FE16E5" w:rsidRDefault="0016701A" w:rsidP="0016701A">
                            <w:pPr>
                              <w:pStyle w:val="ListParagraph"/>
                              <w:numPr>
                                <w:ilvl w:val="0"/>
                                <w:numId w:val="23"/>
                              </w:numPr>
                              <w:spacing w:before="0" w:after="0"/>
                              <w:rPr>
                                <w:rFonts w:ascii="Arial" w:hAnsi="Arial" w:cs="Arial"/>
                                <w:i/>
                                <w:iCs/>
                                <w:sz w:val="18"/>
                                <w:szCs w:val="18"/>
                              </w:rPr>
                            </w:pPr>
                            <w:r w:rsidRPr="00FE16E5">
                              <w:rPr>
                                <w:rFonts w:ascii="Arial" w:hAnsi="Arial" w:cs="Arial"/>
                                <w:i/>
                                <w:iCs/>
                                <w:sz w:val="18"/>
                                <w:szCs w:val="18"/>
                              </w:rPr>
                              <w:t>Uptake by food ca</w:t>
                            </w:r>
                            <w:r>
                              <w:rPr>
                                <w:rFonts w:ascii="Arial" w:hAnsi="Arial" w:cs="Arial"/>
                                <w:i/>
                                <w:iCs/>
                                <w:sz w:val="18"/>
                                <w:szCs w:val="18"/>
                              </w:rPr>
                              <w:t>t</w:t>
                            </w:r>
                            <w:r w:rsidRPr="00FE16E5">
                              <w:rPr>
                                <w:rFonts w:ascii="Arial" w:hAnsi="Arial" w:cs="Arial"/>
                                <w:i/>
                                <w:iCs/>
                                <w:sz w:val="18"/>
                                <w:szCs w:val="18"/>
                              </w:rPr>
                              <w:t xml:space="preserve">egory </w:t>
                            </w:r>
                          </w:p>
                          <w:p w14:paraId="62DD6111" w14:textId="77777777" w:rsidR="0016701A" w:rsidRPr="00FE16E5" w:rsidRDefault="0016701A" w:rsidP="0016701A">
                            <w:pPr>
                              <w:pStyle w:val="ListParagraph"/>
                              <w:numPr>
                                <w:ilvl w:val="0"/>
                                <w:numId w:val="23"/>
                              </w:numPr>
                              <w:spacing w:before="0" w:after="0"/>
                              <w:rPr>
                                <w:rFonts w:ascii="Arial" w:hAnsi="Arial" w:cs="Arial"/>
                                <w:i/>
                                <w:iCs/>
                                <w:sz w:val="18"/>
                                <w:szCs w:val="18"/>
                              </w:rPr>
                            </w:pPr>
                            <w:r w:rsidRPr="00FE16E5">
                              <w:rPr>
                                <w:rFonts w:ascii="Arial" w:hAnsi="Arial" w:cs="Arial"/>
                                <w:i/>
                                <w:iCs/>
                                <w:sz w:val="18"/>
                                <w:szCs w:val="18"/>
                              </w:rPr>
                              <w:t>Uptake by HSR/ rating distribution</w:t>
                            </w:r>
                            <w:r w:rsidRPr="00FE16E5">
                              <w:rPr>
                                <w:rFonts w:ascii="Arial" w:hAnsi="Arial" w:cs="Arial"/>
                                <w:i/>
                                <w:iCs/>
                                <w:sz w:val="18"/>
                                <w:szCs w:val="18"/>
                              </w:rPr>
                              <w:br/>
                            </w:r>
                          </w:p>
                          <w:p w14:paraId="61E1B12D" w14:textId="77777777" w:rsidR="0016701A" w:rsidRPr="00F34B03" w:rsidRDefault="0016701A" w:rsidP="0016701A">
                            <w:pPr>
                              <w:spacing w:before="0" w:after="0"/>
                              <w:rPr>
                                <w:rFonts w:ascii="Arial" w:hAnsi="Arial" w:cs="Arial"/>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7E869" id="Rectangle 21" o:spid="_x0000_s1035" style="position:absolute;margin-left:309pt;margin-top:17.8pt;width:297.75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" fillcolor="#84c6d8" strokecolor="#f2f2f2" strokeweight="3pt">
                <v:shadow on="t" color="#205867" opacity=".5" offset="1pt"/>
                <v:textbox>
                  <w:txbxContent>
                    <w:p w14:paraId="1D6FD4B9" w14:textId="77777777" w:rsidR="0016701A" w:rsidRPr="00D111B6" w:rsidRDefault="0016701A" w:rsidP="0016701A">
                      <w:pPr>
                        <w:spacing w:before="0" w:after="0"/>
                        <w:rPr>
                          <w:rFonts w:ascii="Arial" w:hAnsi="Arial" w:cs="Arial"/>
                          <w:b/>
                          <w:sz w:val="18"/>
                          <w:szCs w:val="18"/>
                          <w:u w:val="single"/>
                        </w:rPr>
                      </w:pPr>
                      <w:r w:rsidRPr="00D111B6">
                        <w:rPr>
                          <w:rFonts w:ascii="Arial" w:hAnsi="Arial" w:cs="Arial"/>
                          <w:b/>
                          <w:sz w:val="18"/>
                          <w:szCs w:val="18"/>
                          <w:u w:val="single"/>
                        </w:rPr>
                        <w:t>A</w:t>
                      </w:r>
                      <w:r>
                        <w:rPr>
                          <w:rFonts w:ascii="Arial" w:hAnsi="Arial" w:cs="Arial"/>
                          <w:b/>
                          <w:sz w:val="18"/>
                          <w:szCs w:val="18"/>
                          <w:u w:val="single"/>
                        </w:rPr>
                        <w:t>o</w:t>
                      </w:r>
                      <w:r w:rsidRPr="00D111B6">
                        <w:rPr>
                          <w:rFonts w:ascii="Arial" w:hAnsi="Arial" w:cs="Arial"/>
                          <w:b/>
                          <w:sz w:val="18"/>
                          <w:szCs w:val="18"/>
                          <w:u w:val="single"/>
                        </w:rPr>
                        <w:t>E1: Uptake</w:t>
                      </w:r>
                    </w:p>
                    <w:p w14:paraId="66406D75" w14:textId="77777777" w:rsidR="0016701A" w:rsidRPr="00D111B6" w:rsidRDefault="0016701A" w:rsidP="0016701A">
                      <w:pPr>
                        <w:spacing w:before="0" w:after="0"/>
                        <w:rPr>
                          <w:rFonts w:ascii="Arial" w:hAnsi="Arial" w:cs="Arial"/>
                          <w:bCs/>
                          <w:sz w:val="18"/>
                          <w:szCs w:val="18"/>
                        </w:rPr>
                      </w:pPr>
                      <w:r w:rsidRPr="00D111B6">
                        <w:rPr>
                          <w:rFonts w:ascii="Arial" w:hAnsi="Arial" w:cs="Arial"/>
                          <w:bCs/>
                          <w:sz w:val="18"/>
                          <w:szCs w:val="18"/>
                        </w:rPr>
                        <w:t>Essential: HSR system is voluntarily adopted by food industry to meet agreed uptake targets:</w:t>
                      </w:r>
                    </w:p>
                    <w:p w14:paraId="50B420CE" w14:textId="77777777" w:rsidR="0016701A" w:rsidRPr="00F34B03" w:rsidRDefault="0016701A" w:rsidP="0016701A">
                      <w:pPr>
                        <w:pStyle w:val="ListParagraph"/>
                        <w:numPr>
                          <w:ilvl w:val="0"/>
                          <w:numId w:val="20"/>
                        </w:numPr>
                        <w:spacing w:before="0" w:after="0"/>
                        <w:rPr>
                          <w:rFonts w:ascii="Arial" w:hAnsi="Arial" w:cs="Arial"/>
                          <w:sz w:val="18"/>
                          <w:szCs w:val="18"/>
                        </w:rPr>
                      </w:pPr>
                      <w:r w:rsidRPr="00F34B03">
                        <w:rPr>
                          <w:rFonts w:ascii="Arial" w:hAnsi="Arial" w:cs="Arial"/>
                          <w:sz w:val="18"/>
                          <w:szCs w:val="18"/>
                        </w:rPr>
                        <w:t>50% of intended products by 14 November 2023</w:t>
                      </w:r>
                    </w:p>
                    <w:p w14:paraId="295B6FFB" w14:textId="77777777" w:rsidR="0016701A" w:rsidRPr="00F34B03" w:rsidRDefault="0016701A" w:rsidP="0016701A">
                      <w:pPr>
                        <w:pStyle w:val="ListParagraph"/>
                        <w:numPr>
                          <w:ilvl w:val="0"/>
                          <w:numId w:val="20"/>
                        </w:numPr>
                        <w:spacing w:before="0" w:after="0"/>
                        <w:rPr>
                          <w:rFonts w:ascii="Arial" w:hAnsi="Arial" w:cs="Arial"/>
                          <w:sz w:val="18"/>
                          <w:szCs w:val="18"/>
                        </w:rPr>
                      </w:pPr>
                      <w:r w:rsidRPr="00F34B03">
                        <w:rPr>
                          <w:rFonts w:ascii="Arial" w:hAnsi="Arial" w:cs="Arial"/>
                          <w:sz w:val="18"/>
                          <w:szCs w:val="18"/>
                        </w:rPr>
                        <w:t>60% of intended products by 14 November 2024, and</w:t>
                      </w:r>
                    </w:p>
                    <w:p w14:paraId="33E3AE4D" w14:textId="77777777" w:rsidR="0016701A" w:rsidRDefault="0016701A" w:rsidP="0016701A">
                      <w:pPr>
                        <w:pStyle w:val="ListParagraph"/>
                        <w:numPr>
                          <w:ilvl w:val="0"/>
                          <w:numId w:val="20"/>
                        </w:numPr>
                        <w:spacing w:before="0" w:after="0"/>
                        <w:rPr>
                          <w:rFonts w:ascii="Arial" w:hAnsi="Arial" w:cs="Arial"/>
                          <w:sz w:val="18"/>
                          <w:szCs w:val="18"/>
                        </w:rPr>
                      </w:pPr>
                      <w:r w:rsidRPr="00F34B03">
                        <w:rPr>
                          <w:rFonts w:ascii="Arial" w:hAnsi="Arial" w:cs="Arial"/>
                          <w:sz w:val="18"/>
                          <w:szCs w:val="18"/>
                        </w:rPr>
                        <w:t>70% of intended products by 14 November 2025.</w:t>
                      </w:r>
                    </w:p>
                    <w:p w14:paraId="40A289B4" w14:textId="77777777" w:rsidR="0016701A" w:rsidRPr="00FE16E5" w:rsidRDefault="0016701A" w:rsidP="0016701A">
                      <w:pPr>
                        <w:spacing w:before="0" w:after="0"/>
                        <w:rPr>
                          <w:rFonts w:ascii="Arial" w:hAnsi="Arial" w:cs="Arial"/>
                          <w:sz w:val="18"/>
                          <w:szCs w:val="18"/>
                        </w:rPr>
                      </w:pPr>
                    </w:p>
                    <w:p w14:paraId="36898E0A" w14:textId="77777777" w:rsidR="0016701A" w:rsidRPr="00D111B6" w:rsidRDefault="0016701A" w:rsidP="0016701A">
                      <w:pPr>
                        <w:spacing w:before="0" w:after="0"/>
                        <w:rPr>
                          <w:rFonts w:ascii="Arial" w:hAnsi="Arial" w:cs="Arial"/>
                          <w:sz w:val="18"/>
                          <w:szCs w:val="18"/>
                        </w:rPr>
                      </w:pPr>
                      <w:r>
                        <w:rPr>
                          <w:rFonts w:ascii="Arial" w:hAnsi="Arial" w:cs="Arial"/>
                          <w:i/>
                          <w:iCs/>
                          <w:sz w:val="18"/>
                          <w:szCs w:val="18"/>
                        </w:rPr>
                        <w:t>I</w:t>
                      </w:r>
                      <w:r w:rsidRPr="00D111B6">
                        <w:rPr>
                          <w:rFonts w:ascii="Arial" w:hAnsi="Arial" w:cs="Arial"/>
                          <w:i/>
                          <w:iCs/>
                          <w:sz w:val="18"/>
                          <w:szCs w:val="18"/>
                        </w:rPr>
                        <w:t xml:space="preserve">ndicators within this </w:t>
                      </w:r>
                      <w:proofErr w:type="spellStart"/>
                      <w:r w:rsidRPr="00D111B6">
                        <w:rPr>
                          <w:rFonts w:ascii="Arial" w:hAnsi="Arial" w:cs="Arial"/>
                          <w:i/>
                          <w:iCs/>
                          <w:sz w:val="18"/>
                          <w:szCs w:val="18"/>
                        </w:rPr>
                        <w:t>A</w:t>
                      </w:r>
                      <w:r>
                        <w:rPr>
                          <w:rFonts w:ascii="Arial" w:hAnsi="Arial" w:cs="Arial"/>
                          <w:i/>
                          <w:iCs/>
                          <w:sz w:val="18"/>
                          <w:szCs w:val="18"/>
                        </w:rPr>
                        <w:t>o</w:t>
                      </w:r>
                      <w:r w:rsidRPr="00D111B6">
                        <w:rPr>
                          <w:rFonts w:ascii="Arial" w:hAnsi="Arial" w:cs="Arial"/>
                          <w:i/>
                          <w:iCs/>
                          <w:sz w:val="18"/>
                          <w:szCs w:val="18"/>
                        </w:rPr>
                        <w:t>E</w:t>
                      </w:r>
                      <w:proofErr w:type="spellEnd"/>
                      <w:r w:rsidRPr="00D111B6">
                        <w:rPr>
                          <w:rFonts w:ascii="Arial" w:hAnsi="Arial" w:cs="Arial"/>
                          <w:i/>
                          <w:iCs/>
                          <w:sz w:val="18"/>
                          <w:szCs w:val="18"/>
                        </w:rPr>
                        <w:t xml:space="preserve"> that </w:t>
                      </w:r>
                      <w:r w:rsidRPr="00D111B6">
                        <w:rPr>
                          <w:rFonts w:ascii="Arial" w:hAnsi="Arial" w:cs="Arial"/>
                          <w:i/>
                          <w:iCs/>
                          <w:sz w:val="18"/>
                          <w:szCs w:val="18"/>
                          <w:u w:val="single"/>
                        </w:rPr>
                        <w:t>may</w:t>
                      </w:r>
                      <w:r w:rsidRPr="00D111B6">
                        <w:rPr>
                          <w:rFonts w:ascii="Arial" w:hAnsi="Arial" w:cs="Arial"/>
                          <w:i/>
                          <w:iCs/>
                          <w:sz w:val="18"/>
                          <w:szCs w:val="18"/>
                        </w:rPr>
                        <w:t xml:space="preserve"> be monitored:</w:t>
                      </w:r>
                    </w:p>
                    <w:p w14:paraId="561AF2B1" w14:textId="77777777" w:rsidR="0016701A" w:rsidRPr="00FE16E5" w:rsidRDefault="0016701A" w:rsidP="0016701A">
                      <w:pPr>
                        <w:pStyle w:val="ListParagraph"/>
                        <w:numPr>
                          <w:ilvl w:val="0"/>
                          <w:numId w:val="23"/>
                        </w:numPr>
                        <w:spacing w:before="0" w:after="0"/>
                        <w:rPr>
                          <w:rFonts w:ascii="Arial" w:hAnsi="Arial" w:cs="Arial"/>
                          <w:i/>
                          <w:iCs/>
                          <w:sz w:val="18"/>
                          <w:szCs w:val="18"/>
                        </w:rPr>
                      </w:pPr>
                      <w:r w:rsidRPr="00FE16E5">
                        <w:rPr>
                          <w:rFonts w:ascii="Arial" w:hAnsi="Arial" w:cs="Arial"/>
                          <w:i/>
                          <w:iCs/>
                          <w:sz w:val="18"/>
                          <w:szCs w:val="18"/>
                        </w:rPr>
                        <w:t>Uptake by food ca</w:t>
                      </w:r>
                      <w:r>
                        <w:rPr>
                          <w:rFonts w:ascii="Arial" w:hAnsi="Arial" w:cs="Arial"/>
                          <w:i/>
                          <w:iCs/>
                          <w:sz w:val="18"/>
                          <w:szCs w:val="18"/>
                        </w:rPr>
                        <w:t>t</w:t>
                      </w:r>
                      <w:r w:rsidRPr="00FE16E5">
                        <w:rPr>
                          <w:rFonts w:ascii="Arial" w:hAnsi="Arial" w:cs="Arial"/>
                          <w:i/>
                          <w:iCs/>
                          <w:sz w:val="18"/>
                          <w:szCs w:val="18"/>
                        </w:rPr>
                        <w:t xml:space="preserve">egory </w:t>
                      </w:r>
                    </w:p>
                    <w:p w14:paraId="62DD6111" w14:textId="77777777" w:rsidR="0016701A" w:rsidRPr="00FE16E5" w:rsidRDefault="0016701A" w:rsidP="0016701A">
                      <w:pPr>
                        <w:pStyle w:val="ListParagraph"/>
                        <w:numPr>
                          <w:ilvl w:val="0"/>
                          <w:numId w:val="23"/>
                        </w:numPr>
                        <w:spacing w:before="0" w:after="0"/>
                        <w:rPr>
                          <w:rFonts w:ascii="Arial" w:hAnsi="Arial" w:cs="Arial"/>
                          <w:i/>
                          <w:iCs/>
                          <w:sz w:val="18"/>
                          <w:szCs w:val="18"/>
                        </w:rPr>
                      </w:pPr>
                      <w:r w:rsidRPr="00FE16E5">
                        <w:rPr>
                          <w:rFonts w:ascii="Arial" w:hAnsi="Arial" w:cs="Arial"/>
                          <w:i/>
                          <w:iCs/>
                          <w:sz w:val="18"/>
                          <w:szCs w:val="18"/>
                        </w:rPr>
                        <w:t>Uptake by HSR/ rating distribution</w:t>
                      </w:r>
                      <w:r w:rsidRPr="00FE16E5">
                        <w:rPr>
                          <w:rFonts w:ascii="Arial" w:hAnsi="Arial" w:cs="Arial"/>
                          <w:i/>
                          <w:iCs/>
                          <w:sz w:val="18"/>
                          <w:szCs w:val="18"/>
                        </w:rPr>
                        <w:br/>
                      </w:r>
                    </w:p>
                    <w:p w14:paraId="61E1B12D" w14:textId="77777777" w:rsidR="0016701A" w:rsidRPr="00F34B03" w:rsidRDefault="0016701A" w:rsidP="0016701A">
                      <w:pPr>
                        <w:spacing w:before="0" w:after="0"/>
                        <w:rPr>
                          <w:rFonts w:ascii="Arial" w:hAnsi="Arial" w:cs="Arial"/>
                          <w:sz w:val="18"/>
                          <w:szCs w:val="18"/>
                          <w:u w:val="single"/>
                        </w:rPr>
                      </w:pPr>
                    </w:p>
                  </w:txbxContent>
                </v:textbox>
              </v:rect>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69504" behindDoc="0" locked="0" layoutInCell="1" allowOverlap="1" wp14:anchorId="40373274" wp14:editId="2097714C">
                <wp:simplePos x="0" y="0"/>
                <wp:positionH relativeFrom="column">
                  <wp:posOffset>-552450</wp:posOffset>
                </wp:positionH>
                <wp:positionV relativeFrom="paragraph">
                  <wp:posOffset>4302037</wp:posOffset>
                </wp:positionV>
                <wp:extent cx="4495800" cy="51435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514350"/>
                        </a:xfrm>
                        <a:prstGeom prst="rect">
                          <a:avLst/>
                        </a:prstGeom>
                        <a:solidFill>
                          <a:srgbClr val="FFFFFF"/>
                        </a:solidFill>
                        <a:ln w="9525">
                          <a:solidFill>
                            <a:srgbClr val="000000"/>
                          </a:solidFill>
                          <a:miter lim="800000"/>
                          <a:headEnd/>
                          <a:tailEnd/>
                        </a:ln>
                      </wps:spPr>
                      <wps:txbx>
                        <w:txbxContent>
                          <w:p w14:paraId="2A56E9AF" w14:textId="77777777" w:rsidR="0016701A" w:rsidRPr="004447AF" w:rsidRDefault="0016701A" w:rsidP="0016701A">
                            <w:pPr>
                              <w:rPr>
                                <w:rFonts w:ascii="Arial" w:hAnsi="Arial" w:cs="Arial"/>
                                <w:b/>
                                <w:bCs/>
                                <w:sz w:val="20"/>
                              </w:rPr>
                            </w:pPr>
                            <w:r w:rsidRPr="00FE16E5">
                              <w:rPr>
                                <w:rFonts w:ascii="Arial" w:hAnsi="Arial" w:cs="Arial"/>
                                <w:b/>
                                <w:bCs/>
                                <w:sz w:val="20"/>
                              </w:rPr>
                              <w:t>Monitoring areas of enquiry (A</w:t>
                            </w:r>
                            <w:r>
                              <w:rPr>
                                <w:rFonts w:ascii="Arial" w:hAnsi="Arial" w:cs="Arial"/>
                                <w:b/>
                                <w:bCs/>
                                <w:sz w:val="20"/>
                              </w:rPr>
                              <w:t>o</w:t>
                            </w:r>
                            <w:r w:rsidRPr="00FE16E5">
                              <w:rPr>
                                <w:rFonts w:ascii="Arial" w:hAnsi="Arial" w:cs="Arial"/>
                                <w:b/>
                                <w:bCs/>
                                <w:sz w:val="20"/>
                              </w:rPr>
                              <w:t>E 1-2) will describe the impact of the HSR for activities, outputs and outcomes in the blue boxes above.</w:t>
                            </w:r>
                          </w:p>
                          <w:p w14:paraId="634FAC59" w14:textId="77777777" w:rsidR="0016701A" w:rsidRDefault="0016701A" w:rsidP="0016701A">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73274" id="Text Box 14" o:spid="_x0000_s1036" type="#_x0000_t202" style="position:absolute;margin-left:-43.5pt;margin-top:338.75pt;width:354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">
                <v:textbox>
                  <w:txbxContent>
                    <w:p w14:paraId="2A56E9AF" w14:textId="77777777" w:rsidR="0016701A" w:rsidRPr="004447AF" w:rsidRDefault="0016701A" w:rsidP="0016701A">
                      <w:pPr>
                        <w:rPr>
                          <w:rFonts w:ascii="Arial" w:hAnsi="Arial" w:cs="Arial"/>
                          <w:b/>
                          <w:bCs/>
                          <w:sz w:val="20"/>
                        </w:rPr>
                      </w:pPr>
                      <w:r w:rsidRPr="00FE16E5">
                        <w:rPr>
                          <w:rFonts w:ascii="Arial" w:hAnsi="Arial" w:cs="Arial"/>
                          <w:b/>
                          <w:bCs/>
                          <w:sz w:val="20"/>
                        </w:rPr>
                        <w:t>Monitoring areas of enquiry (</w:t>
                      </w:r>
                      <w:proofErr w:type="spellStart"/>
                      <w:r w:rsidRPr="00FE16E5">
                        <w:rPr>
                          <w:rFonts w:ascii="Arial" w:hAnsi="Arial" w:cs="Arial"/>
                          <w:b/>
                          <w:bCs/>
                          <w:sz w:val="20"/>
                        </w:rPr>
                        <w:t>A</w:t>
                      </w:r>
                      <w:r>
                        <w:rPr>
                          <w:rFonts w:ascii="Arial" w:hAnsi="Arial" w:cs="Arial"/>
                          <w:b/>
                          <w:bCs/>
                          <w:sz w:val="20"/>
                        </w:rPr>
                        <w:t>o</w:t>
                      </w:r>
                      <w:r w:rsidRPr="00FE16E5">
                        <w:rPr>
                          <w:rFonts w:ascii="Arial" w:hAnsi="Arial" w:cs="Arial"/>
                          <w:b/>
                          <w:bCs/>
                          <w:sz w:val="20"/>
                        </w:rPr>
                        <w:t>E</w:t>
                      </w:r>
                      <w:proofErr w:type="spellEnd"/>
                      <w:r w:rsidRPr="00FE16E5">
                        <w:rPr>
                          <w:rFonts w:ascii="Arial" w:hAnsi="Arial" w:cs="Arial"/>
                          <w:b/>
                          <w:bCs/>
                          <w:sz w:val="20"/>
                        </w:rPr>
                        <w:t xml:space="preserve"> 1-2) will describe the impact of the HSR for activities, </w:t>
                      </w:r>
                      <w:proofErr w:type="gramStart"/>
                      <w:r w:rsidRPr="00FE16E5">
                        <w:rPr>
                          <w:rFonts w:ascii="Arial" w:hAnsi="Arial" w:cs="Arial"/>
                          <w:b/>
                          <w:bCs/>
                          <w:sz w:val="20"/>
                        </w:rPr>
                        <w:t>outputs</w:t>
                      </w:r>
                      <w:proofErr w:type="gramEnd"/>
                      <w:r w:rsidRPr="00FE16E5">
                        <w:rPr>
                          <w:rFonts w:ascii="Arial" w:hAnsi="Arial" w:cs="Arial"/>
                          <w:b/>
                          <w:bCs/>
                          <w:sz w:val="20"/>
                        </w:rPr>
                        <w:t xml:space="preserve"> and outcomes in the blue boxes above.</w:t>
                      </w:r>
                    </w:p>
                    <w:p w14:paraId="634FAC59" w14:textId="77777777" w:rsidR="0016701A" w:rsidRDefault="0016701A" w:rsidP="0016701A">
                      <w:pPr>
                        <w:rPr>
                          <w:rFonts w:ascii="Arial" w:hAnsi="Arial" w:cs="Arial"/>
                          <w:sz w:val="20"/>
                        </w:rPr>
                      </w:pPr>
                    </w:p>
                  </w:txbxContent>
                </v:textbox>
              </v:shape>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70528" behindDoc="0" locked="0" layoutInCell="1" allowOverlap="1" wp14:anchorId="6CE22C53" wp14:editId="3BCB6370">
                <wp:simplePos x="0" y="0"/>
                <wp:positionH relativeFrom="page">
                  <wp:posOffset>5095875</wp:posOffset>
                </wp:positionH>
                <wp:positionV relativeFrom="paragraph">
                  <wp:posOffset>4188460</wp:posOffset>
                </wp:positionV>
                <wp:extent cx="5438775" cy="68580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685800"/>
                        </a:xfrm>
                        <a:prstGeom prst="rect">
                          <a:avLst/>
                        </a:prstGeom>
                        <a:solidFill>
                          <a:srgbClr val="FFFFFF"/>
                        </a:solidFill>
                        <a:ln w="9525">
                          <a:solidFill>
                            <a:srgbClr val="000000"/>
                          </a:solidFill>
                          <a:miter lim="800000"/>
                          <a:headEnd/>
                          <a:tailEnd/>
                        </a:ln>
                      </wps:spPr>
                      <wps:txbx>
                        <w:txbxContent>
                          <w:p w14:paraId="0293C101" w14:textId="77777777" w:rsidR="0016701A" w:rsidRDefault="0016701A" w:rsidP="0016701A">
                            <w:pPr>
                              <w:spacing w:before="0" w:after="0"/>
                              <w:rPr>
                                <w:rFonts w:ascii="Arial" w:hAnsi="Arial" w:cs="Arial"/>
                                <w:b/>
                                <w:sz w:val="20"/>
                              </w:rPr>
                            </w:pPr>
                            <w:r>
                              <w:rPr>
                                <w:rFonts w:ascii="Arial" w:hAnsi="Arial" w:cs="Arial"/>
                                <w:b/>
                                <w:sz w:val="20"/>
                              </w:rPr>
                              <w:t>External Factors</w:t>
                            </w:r>
                          </w:p>
                          <w:p w14:paraId="796001B3" w14:textId="77777777" w:rsidR="0016701A" w:rsidRDefault="0016701A" w:rsidP="0016701A">
                            <w:pPr>
                              <w:spacing w:before="0" w:after="0"/>
                              <w:rPr>
                                <w:rFonts w:ascii="Arial" w:hAnsi="Arial" w:cs="Arial"/>
                                <w:sz w:val="20"/>
                              </w:rPr>
                            </w:pPr>
                            <w:r>
                              <w:rPr>
                                <w:rFonts w:ascii="Arial" w:hAnsi="Arial" w:cs="Arial"/>
                                <w:sz w:val="20"/>
                              </w:rPr>
                              <w:t>*Food industry, retailers, key stakeholders and opinion leaders (such as academics, health professionals, public health groups and consumer advocates) may positively or negatively influence support for HSR, and the general public’s perception of, and trust in HSR.</w:t>
                            </w:r>
                          </w:p>
                          <w:p w14:paraId="732E3506" w14:textId="77777777" w:rsidR="0016701A" w:rsidRDefault="0016701A" w:rsidP="0016701A">
                            <w:pPr>
                              <w:rPr>
                                <w:rFonts w:ascii="Arial" w:hAnsi="Arial" w:cs="Arial"/>
                                <w:b/>
                                <w:sz w:val="18"/>
                                <w:szCs w:val="18"/>
                              </w:rPr>
                            </w:pPr>
                          </w:p>
                          <w:p w14:paraId="4EB527D5" w14:textId="77777777" w:rsidR="0016701A" w:rsidRDefault="0016701A" w:rsidP="0016701A">
                            <w:pPr>
                              <w:rPr>
                                <w:rFonts w:ascii="Arial" w:hAnsi="Arial" w:cs="Arial"/>
                                <w:b/>
                                <w:sz w:val="18"/>
                                <w:szCs w:val="18"/>
                              </w:rPr>
                            </w:pPr>
                          </w:p>
                          <w:p w14:paraId="16C5EB93" w14:textId="77777777" w:rsidR="0016701A" w:rsidRDefault="0016701A" w:rsidP="0016701A">
                            <w:pPr>
                              <w:rPr>
                                <w:rFonts w:ascii="Arial" w:hAnsi="Arial" w:cs="Arial"/>
                                <w:sz w:val="18"/>
                                <w:szCs w:val="18"/>
                              </w:rPr>
                            </w:pPr>
                          </w:p>
                          <w:p w14:paraId="41EB2E09" w14:textId="77777777" w:rsidR="0016701A" w:rsidRDefault="0016701A" w:rsidP="0016701A">
                            <w:pPr>
                              <w:rPr>
                                <w:rFonts w:ascii="Arial" w:hAnsi="Arial" w:cs="Arial"/>
                                <w:sz w:val="18"/>
                                <w:szCs w:val="18"/>
                              </w:rPr>
                            </w:pPr>
                          </w:p>
                          <w:p w14:paraId="7651DB9E" w14:textId="77777777" w:rsidR="0016701A" w:rsidRDefault="0016701A" w:rsidP="0016701A">
                            <w:pPr>
                              <w:rPr>
                                <w:rFonts w:ascii="Arial" w:hAnsi="Arial" w:cs="Arial"/>
                                <w:sz w:val="18"/>
                                <w:szCs w:val="18"/>
                              </w:rPr>
                            </w:pPr>
                          </w:p>
                          <w:p w14:paraId="3D63401F" w14:textId="77777777" w:rsidR="0016701A" w:rsidRDefault="0016701A" w:rsidP="0016701A">
                            <w:pPr>
                              <w:rPr>
                                <w:rFonts w:ascii="Arial" w:hAnsi="Arial" w:cs="Arial"/>
                                <w:sz w:val="18"/>
                                <w:szCs w:val="18"/>
                              </w:rPr>
                            </w:pPr>
                          </w:p>
                          <w:p w14:paraId="239FCBB1" w14:textId="77777777" w:rsidR="0016701A" w:rsidRDefault="0016701A" w:rsidP="0016701A">
                            <w:pPr>
                              <w:rPr>
                                <w:rFonts w:ascii="Arial" w:hAnsi="Arial" w:cs="Arial"/>
                                <w:sz w:val="18"/>
                                <w:szCs w:val="18"/>
                              </w:rPr>
                            </w:pPr>
                          </w:p>
                          <w:p w14:paraId="44560464" w14:textId="77777777" w:rsidR="0016701A" w:rsidRDefault="0016701A" w:rsidP="0016701A">
                            <w:pPr>
                              <w:rPr>
                                <w:rFonts w:ascii="Arial" w:hAnsi="Arial" w:cs="Arial"/>
                                <w:sz w:val="18"/>
                                <w:szCs w:val="18"/>
                              </w:rPr>
                            </w:pPr>
                          </w:p>
                          <w:p w14:paraId="32F347EC" w14:textId="77777777" w:rsidR="0016701A" w:rsidRDefault="0016701A" w:rsidP="0016701A">
                            <w:pPr>
                              <w:rPr>
                                <w:rFonts w:ascii="Arial" w:hAnsi="Arial" w:cs="Arial"/>
                                <w:sz w:val="18"/>
                                <w:szCs w:val="18"/>
                              </w:rPr>
                            </w:pPr>
                          </w:p>
                          <w:p w14:paraId="3A1AE92C" w14:textId="77777777" w:rsidR="0016701A" w:rsidRDefault="0016701A" w:rsidP="0016701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22C53" id="Text Box 13" o:spid="_x0000_s1037" type="#_x0000_t202" style="position:absolute;margin-left:401.25pt;margin-top:329.8pt;width:428.25pt;height:5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ASHQIAADMEAAAOAAAAZHJzL2Uyb0RvYy54bWysU9tu2zAMfR+wfxD0vtjJkiY14hRdugwD&#10;ugvQ7QMUWY6FyaJGKbGzry8lp2nQbS/D9CCIonRIHh4ub/rWsINCr8GWfDzKOVNWQqXtruTfv23e&#10;LDj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">
                <v:textbox>
                  <w:txbxContent>
                    <w:p w14:paraId="0293C101" w14:textId="77777777" w:rsidR="0016701A" w:rsidRDefault="0016701A" w:rsidP="0016701A">
                      <w:pPr>
                        <w:spacing w:before="0" w:after="0"/>
                        <w:rPr>
                          <w:rFonts w:ascii="Arial" w:hAnsi="Arial" w:cs="Arial"/>
                          <w:b/>
                          <w:sz w:val="20"/>
                        </w:rPr>
                      </w:pPr>
                      <w:r>
                        <w:rPr>
                          <w:rFonts w:ascii="Arial" w:hAnsi="Arial" w:cs="Arial"/>
                          <w:b/>
                          <w:sz w:val="20"/>
                        </w:rPr>
                        <w:t>External Factors</w:t>
                      </w:r>
                    </w:p>
                    <w:p w14:paraId="796001B3" w14:textId="77777777" w:rsidR="0016701A" w:rsidRDefault="0016701A" w:rsidP="0016701A">
                      <w:pPr>
                        <w:spacing w:before="0" w:after="0"/>
                        <w:rPr>
                          <w:rFonts w:ascii="Arial" w:hAnsi="Arial" w:cs="Arial"/>
                          <w:sz w:val="20"/>
                        </w:rPr>
                      </w:pPr>
                      <w:r>
                        <w:rPr>
                          <w:rFonts w:ascii="Arial" w:hAnsi="Arial" w:cs="Arial"/>
                          <w:sz w:val="20"/>
                        </w:rPr>
                        <w:t xml:space="preserve">*Food industry, retailers, key </w:t>
                      </w:r>
                      <w:proofErr w:type="gramStart"/>
                      <w:r>
                        <w:rPr>
                          <w:rFonts w:ascii="Arial" w:hAnsi="Arial" w:cs="Arial"/>
                          <w:sz w:val="20"/>
                        </w:rPr>
                        <w:t>stakeholders</w:t>
                      </w:r>
                      <w:proofErr w:type="gramEnd"/>
                      <w:r>
                        <w:rPr>
                          <w:rFonts w:ascii="Arial" w:hAnsi="Arial" w:cs="Arial"/>
                          <w:sz w:val="20"/>
                        </w:rPr>
                        <w:t xml:space="preserve"> and opinion leaders (such as academics, health professionals, public health groups and consumer advocates) may positively or negatively influence support for HSR, and the general public’s perception of, and trust in HSR.</w:t>
                      </w:r>
                    </w:p>
                    <w:p w14:paraId="732E3506" w14:textId="77777777" w:rsidR="0016701A" w:rsidRDefault="0016701A" w:rsidP="0016701A">
                      <w:pPr>
                        <w:rPr>
                          <w:rFonts w:ascii="Arial" w:hAnsi="Arial" w:cs="Arial"/>
                          <w:b/>
                          <w:sz w:val="18"/>
                          <w:szCs w:val="18"/>
                        </w:rPr>
                      </w:pPr>
                    </w:p>
                    <w:p w14:paraId="4EB527D5" w14:textId="77777777" w:rsidR="0016701A" w:rsidRDefault="0016701A" w:rsidP="0016701A">
                      <w:pPr>
                        <w:rPr>
                          <w:rFonts w:ascii="Arial" w:hAnsi="Arial" w:cs="Arial"/>
                          <w:b/>
                          <w:sz w:val="18"/>
                          <w:szCs w:val="18"/>
                        </w:rPr>
                      </w:pPr>
                    </w:p>
                    <w:p w14:paraId="16C5EB93" w14:textId="77777777" w:rsidR="0016701A" w:rsidRDefault="0016701A" w:rsidP="0016701A">
                      <w:pPr>
                        <w:rPr>
                          <w:rFonts w:ascii="Arial" w:hAnsi="Arial" w:cs="Arial"/>
                          <w:sz w:val="18"/>
                          <w:szCs w:val="18"/>
                        </w:rPr>
                      </w:pPr>
                    </w:p>
                    <w:p w14:paraId="41EB2E09" w14:textId="77777777" w:rsidR="0016701A" w:rsidRDefault="0016701A" w:rsidP="0016701A">
                      <w:pPr>
                        <w:rPr>
                          <w:rFonts w:ascii="Arial" w:hAnsi="Arial" w:cs="Arial"/>
                          <w:sz w:val="18"/>
                          <w:szCs w:val="18"/>
                        </w:rPr>
                      </w:pPr>
                    </w:p>
                    <w:p w14:paraId="7651DB9E" w14:textId="77777777" w:rsidR="0016701A" w:rsidRDefault="0016701A" w:rsidP="0016701A">
                      <w:pPr>
                        <w:rPr>
                          <w:rFonts w:ascii="Arial" w:hAnsi="Arial" w:cs="Arial"/>
                          <w:sz w:val="18"/>
                          <w:szCs w:val="18"/>
                        </w:rPr>
                      </w:pPr>
                    </w:p>
                    <w:p w14:paraId="3D63401F" w14:textId="77777777" w:rsidR="0016701A" w:rsidRDefault="0016701A" w:rsidP="0016701A">
                      <w:pPr>
                        <w:rPr>
                          <w:rFonts w:ascii="Arial" w:hAnsi="Arial" w:cs="Arial"/>
                          <w:sz w:val="18"/>
                          <w:szCs w:val="18"/>
                        </w:rPr>
                      </w:pPr>
                    </w:p>
                    <w:p w14:paraId="239FCBB1" w14:textId="77777777" w:rsidR="0016701A" w:rsidRDefault="0016701A" w:rsidP="0016701A">
                      <w:pPr>
                        <w:rPr>
                          <w:rFonts w:ascii="Arial" w:hAnsi="Arial" w:cs="Arial"/>
                          <w:sz w:val="18"/>
                          <w:szCs w:val="18"/>
                        </w:rPr>
                      </w:pPr>
                    </w:p>
                    <w:p w14:paraId="44560464" w14:textId="77777777" w:rsidR="0016701A" w:rsidRDefault="0016701A" w:rsidP="0016701A">
                      <w:pPr>
                        <w:rPr>
                          <w:rFonts w:ascii="Arial" w:hAnsi="Arial" w:cs="Arial"/>
                          <w:sz w:val="18"/>
                          <w:szCs w:val="18"/>
                        </w:rPr>
                      </w:pPr>
                    </w:p>
                    <w:p w14:paraId="32F347EC" w14:textId="77777777" w:rsidR="0016701A" w:rsidRDefault="0016701A" w:rsidP="0016701A">
                      <w:pPr>
                        <w:rPr>
                          <w:rFonts w:ascii="Arial" w:hAnsi="Arial" w:cs="Arial"/>
                          <w:sz w:val="18"/>
                          <w:szCs w:val="18"/>
                        </w:rPr>
                      </w:pPr>
                    </w:p>
                    <w:p w14:paraId="3A1AE92C" w14:textId="77777777" w:rsidR="0016701A" w:rsidRDefault="0016701A" w:rsidP="0016701A">
                      <w:pPr>
                        <w:rPr>
                          <w:rFonts w:ascii="Arial" w:hAnsi="Arial" w:cs="Arial"/>
                          <w:sz w:val="18"/>
                          <w:szCs w:val="18"/>
                        </w:rPr>
                      </w:pPr>
                    </w:p>
                  </w:txbxContent>
                </v:textbox>
                <w10:wrap anchorx="page"/>
              </v:shape>
            </w:pict>
          </mc:Fallback>
        </mc:AlternateContent>
      </w:r>
      <w:r>
        <w:rPr>
          <w:rFonts w:ascii="Times New Roman" w:hAnsi="Times New Roman" w:cs="Times New Roman"/>
          <w:noProof/>
          <w:sz w:val="24"/>
          <w:szCs w:val="20"/>
        </w:rPr>
        <mc:AlternateContent>
          <mc:Choice Requires="wps">
            <w:drawing>
              <wp:anchor distT="0" distB="0" distL="114300" distR="114300" simplePos="0" relativeHeight="251676672" behindDoc="0" locked="0" layoutInCell="1" allowOverlap="1" wp14:anchorId="04B2A020" wp14:editId="53B59655">
                <wp:simplePos x="0" y="0"/>
                <wp:positionH relativeFrom="column">
                  <wp:posOffset>2457450</wp:posOffset>
                </wp:positionH>
                <wp:positionV relativeFrom="paragraph">
                  <wp:posOffset>749935</wp:posOffset>
                </wp:positionV>
                <wp:extent cx="1323975" cy="12668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66825"/>
                        </a:xfrm>
                        <a:prstGeom prst="rect">
                          <a:avLst/>
                        </a:prstGeom>
                        <a:solidFill>
                          <a:srgbClr val="FFFFFF"/>
                        </a:solidFill>
                        <a:ln w="9525">
                          <a:solidFill>
                            <a:srgbClr val="000000"/>
                          </a:solidFill>
                          <a:miter lim="800000"/>
                          <a:headEnd/>
                          <a:tailEnd/>
                        </a:ln>
                      </wps:spPr>
                      <wps:txbx>
                        <w:txbxContent>
                          <w:p w14:paraId="35701EEB" w14:textId="77777777" w:rsidR="0016701A" w:rsidRDefault="0016701A" w:rsidP="0016701A">
                            <w:pPr>
                              <w:spacing w:before="0" w:after="0"/>
                            </w:pPr>
                            <w:r>
                              <w:rPr>
                                <w:rFonts w:ascii="Arial" w:hAnsi="Arial" w:cs="Arial"/>
                                <w:sz w:val="18"/>
                                <w:szCs w:val="18"/>
                              </w:rPr>
                              <w:t>Key issues raised by stakeholders from all sectors (food industry, public health groups, consumer advocates, academics and others) are considered by the HSRAC or the IWG.</w:t>
                            </w:r>
                          </w:p>
                          <w:p w14:paraId="295EE05C" w14:textId="77777777" w:rsidR="0016701A" w:rsidRDefault="0016701A" w:rsidP="00167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2A020" id="Text Box 8" o:spid="_x0000_s1038" type="#_x0000_t202" style="position:absolute;margin-left:193.5pt;margin-top:59.05pt;width:104.25pt;height:9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">
                <v:textbox>
                  <w:txbxContent>
                    <w:p w14:paraId="35701EEB" w14:textId="77777777" w:rsidR="0016701A" w:rsidRDefault="0016701A" w:rsidP="0016701A">
                      <w:pPr>
                        <w:spacing w:before="0" w:after="0"/>
                      </w:pPr>
                      <w:r>
                        <w:rPr>
                          <w:rFonts w:ascii="Arial" w:hAnsi="Arial" w:cs="Arial"/>
                          <w:sz w:val="18"/>
                          <w:szCs w:val="18"/>
                        </w:rPr>
                        <w:t xml:space="preserve">Key issues raised by stakeholders from all sectors (food industry, public health groups, consumer advocates, </w:t>
                      </w:r>
                      <w:proofErr w:type="gramStart"/>
                      <w:r>
                        <w:rPr>
                          <w:rFonts w:ascii="Arial" w:hAnsi="Arial" w:cs="Arial"/>
                          <w:sz w:val="18"/>
                          <w:szCs w:val="18"/>
                        </w:rPr>
                        <w:t>academics</w:t>
                      </w:r>
                      <w:proofErr w:type="gramEnd"/>
                      <w:r>
                        <w:rPr>
                          <w:rFonts w:ascii="Arial" w:hAnsi="Arial" w:cs="Arial"/>
                          <w:sz w:val="18"/>
                          <w:szCs w:val="18"/>
                        </w:rPr>
                        <w:t xml:space="preserve"> and others) are considered by the HSRAC or the IWG.</w:t>
                      </w:r>
                    </w:p>
                    <w:p w14:paraId="295EE05C" w14:textId="77777777" w:rsidR="0016701A" w:rsidRDefault="0016701A" w:rsidP="0016701A"/>
                  </w:txbxContent>
                </v:textbox>
              </v:shape>
            </w:pict>
          </mc:Fallback>
        </mc:AlternateContent>
      </w:r>
    </w:p>
    <w:bookmarkStart w:id="0" w:name="_Toc127262944"/>
    <w:p w14:paraId="7ECF4D01" w14:textId="77777777" w:rsidR="0016701A" w:rsidRDefault="0016701A" w:rsidP="0016701A">
      <w:pPr>
        <w:pStyle w:val="Heading1"/>
        <w:sectPr w:rsidR="0016701A" w:rsidSect="00754362">
          <w:headerReference w:type="first" r:id="rId13"/>
          <w:pgSz w:w="16840" w:h="11900" w:orient="landscape"/>
          <w:pgMar w:top="284" w:right="1531" w:bottom="1440" w:left="1440" w:header="709" w:footer="709" w:gutter="0"/>
          <w:cols w:space="708"/>
          <w:titlePg/>
          <w:docGrid w:linePitch="360"/>
        </w:sectPr>
      </w:pPr>
      <w:r>
        <w:rPr>
          <w:rFonts w:ascii="Times New Roman" w:hAnsi="Times New Roman" w:cs="Times New Roman"/>
          <w:noProof/>
          <w:szCs w:val="20"/>
        </w:rPr>
        <mc:AlternateContent>
          <mc:Choice Requires="wps">
            <w:drawing>
              <wp:anchor distT="0" distB="0" distL="114300" distR="114300" simplePos="0" relativeHeight="251674624" behindDoc="0" locked="0" layoutInCell="1" allowOverlap="1" wp14:anchorId="7855293F" wp14:editId="761C4514">
                <wp:simplePos x="0" y="0"/>
                <wp:positionH relativeFrom="column">
                  <wp:posOffset>7915276</wp:posOffset>
                </wp:positionH>
                <wp:positionV relativeFrom="paragraph">
                  <wp:posOffset>2589530</wp:posOffset>
                </wp:positionV>
                <wp:extent cx="1752600" cy="12573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257300"/>
                        </a:xfrm>
                        <a:prstGeom prst="rect">
                          <a:avLst/>
                        </a:prstGeom>
                        <a:solidFill>
                          <a:srgbClr val="FFFFFF"/>
                        </a:solidFill>
                        <a:ln w="9525">
                          <a:solidFill>
                            <a:srgbClr val="000000"/>
                          </a:solidFill>
                          <a:miter lim="800000"/>
                          <a:headEnd/>
                          <a:tailEnd/>
                        </a:ln>
                      </wps:spPr>
                      <wps:txbx>
                        <w:txbxContent>
                          <w:p w14:paraId="37D1EBBC" w14:textId="77777777" w:rsidR="0016701A" w:rsidRDefault="0016701A" w:rsidP="0016701A">
                            <w:pPr>
                              <w:spacing w:before="0" w:after="0"/>
                              <w:rPr>
                                <w:rFonts w:ascii="Arial" w:hAnsi="Arial" w:cs="Arial"/>
                                <w:sz w:val="18"/>
                                <w:szCs w:val="18"/>
                              </w:rPr>
                            </w:pPr>
                            <w:r>
                              <w:rPr>
                                <w:rFonts w:ascii="Arial" w:hAnsi="Arial" w:cs="Arial"/>
                                <w:sz w:val="18"/>
                                <w:szCs w:val="18"/>
                              </w:rPr>
                              <w:t>HSR drives a decrease in risk nutrients and/or an increase in positive nutrients (e.g. fibre) in particular on food products of categories that make greatest contribution to intake of energy and key nutrients and have the greatest market share.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5293F" id="Text Box 10" o:spid="_x0000_s1039" type="#_x0000_t202" style="position:absolute;left:0;text-align:left;margin-left:623.25pt;margin-top:203.9pt;width:138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">
                <v:textbox>
                  <w:txbxContent>
                    <w:p w14:paraId="37D1EBBC" w14:textId="77777777" w:rsidR="0016701A" w:rsidRDefault="0016701A" w:rsidP="0016701A">
                      <w:pPr>
                        <w:spacing w:before="0" w:after="0"/>
                        <w:rPr>
                          <w:rFonts w:ascii="Arial" w:hAnsi="Arial" w:cs="Arial"/>
                          <w:sz w:val="18"/>
                          <w:szCs w:val="18"/>
                        </w:rPr>
                      </w:pPr>
                      <w:r>
                        <w:rPr>
                          <w:rFonts w:ascii="Arial" w:hAnsi="Arial" w:cs="Arial"/>
                          <w:sz w:val="18"/>
                          <w:szCs w:val="18"/>
                        </w:rPr>
                        <w:t>HSR drives a decrease in risk nutrients and/or an increase in positive nutrients (</w:t>
                      </w:r>
                      <w:proofErr w:type="gramStart"/>
                      <w:r>
                        <w:rPr>
                          <w:rFonts w:ascii="Arial" w:hAnsi="Arial" w:cs="Arial"/>
                          <w:sz w:val="18"/>
                          <w:szCs w:val="18"/>
                        </w:rPr>
                        <w:t>e.g.</w:t>
                      </w:r>
                      <w:proofErr w:type="gramEnd"/>
                      <w:r>
                        <w:rPr>
                          <w:rFonts w:ascii="Arial" w:hAnsi="Arial" w:cs="Arial"/>
                          <w:sz w:val="18"/>
                          <w:szCs w:val="18"/>
                        </w:rPr>
                        <w:t xml:space="preserve"> fibre) in particular on food products of categories that make greatest contribution to intake of energy and key nutrients and have the greatest market share.</w:t>
                      </w:r>
                    </w:p>
                  </w:txbxContent>
                </v:textbox>
              </v:shape>
            </w:pict>
          </mc:Fallback>
        </mc:AlternateContent>
      </w:r>
      <w:r>
        <w:rPr>
          <w:rFonts w:ascii="Times New Roman" w:hAnsi="Times New Roman" w:cs="Times New Roman"/>
          <w:noProof/>
          <w:szCs w:val="20"/>
        </w:rPr>
        <mc:AlternateContent>
          <mc:Choice Requires="wps">
            <w:drawing>
              <wp:anchor distT="0" distB="0" distL="114300" distR="114300" simplePos="0" relativeHeight="251679744" behindDoc="0" locked="0" layoutInCell="1" allowOverlap="1" wp14:anchorId="3592FF63" wp14:editId="635C3AD3">
                <wp:simplePos x="0" y="0"/>
                <wp:positionH relativeFrom="column">
                  <wp:posOffset>7915275</wp:posOffset>
                </wp:positionH>
                <wp:positionV relativeFrom="paragraph">
                  <wp:posOffset>1675130</wp:posOffset>
                </wp:positionV>
                <wp:extent cx="1752600" cy="8763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76300"/>
                        </a:xfrm>
                        <a:prstGeom prst="rect">
                          <a:avLst/>
                        </a:prstGeom>
                        <a:solidFill>
                          <a:srgbClr val="FFFFFF"/>
                        </a:solidFill>
                        <a:ln w="9525">
                          <a:solidFill>
                            <a:srgbClr val="000000"/>
                          </a:solidFill>
                          <a:miter lim="800000"/>
                          <a:headEnd/>
                          <a:tailEnd/>
                        </a:ln>
                      </wps:spPr>
                      <wps:txbx>
                        <w:txbxContent>
                          <w:p w14:paraId="0B4D5BA0" w14:textId="77777777" w:rsidR="0016701A" w:rsidRDefault="0016701A" w:rsidP="0016701A">
                            <w:pPr>
                              <w:spacing w:before="0" w:after="0"/>
                            </w:pPr>
                            <w:r>
                              <w:rPr>
                                <w:rFonts w:ascii="Arial" w:hAnsi="Arial" w:cs="Arial"/>
                                <w:sz w:val="18"/>
                                <w:szCs w:val="18"/>
                              </w:rPr>
                              <w:t>Consumers make healthier purchases when choosing packaged foods (i.e. choosing higher star nutritious core foods and less discretionary foods).</w:t>
                            </w:r>
                          </w:p>
                          <w:p w14:paraId="31C0B1D0" w14:textId="77777777" w:rsidR="0016701A" w:rsidRDefault="0016701A" w:rsidP="00167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2FF63" id="Text Box 5" o:spid="_x0000_s1040" type="#_x0000_t202" style="position:absolute;left:0;text-align:left;margin-left:623.25pt;margin-top:131.9pt;width:138pt;height: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">
                <v:textbox>
                  <w:txbxContent>
                    <w:p w14:paraId="0B4D5BA0" w14:textId="77777777" w:rsidR="0016701A" w:rsidRDefault="0016701A" w:rsidP="0016701A">
                      <w:pPr>
                        <w:spacing w:before="0" w:after="0"/>
                      </w:pPr>
                      <w:r>
                        <w:rPr>
                          <w:rFonts w:ascii="Arial" w:hAnsi="Arial" w:cs="Arial"/>
                          <w:sz w:val="18"/>
                          <w:szCs w:val="18"/>
                        </w:rPr>
                        <w:t>Consumers make healthier purchases when choosing packaged foods (</w:t>
                      </w:r>
                      <w:proofErr w:type="gramStart"/>
                      <w:r>
                        <w:rPr>
                          <w:rFonts w:ascii="Arial" w:hAnsi="Arial" w:cs="Arial"/>
                          <w:sz w:val="18"/>
                          <w:szCs w:val="18"/>
                        </w:rPr>
                        <w:t>i.e.</w:t>
                      </w:r>
                      <w:proofErr w:type="gramEnd"/>
                      <w:r>
                        <w:rPr>
                          <w:rFonts w:ascii="Arial" w:hAnsi="Arial" w:cs="Arial"/>
                          <w:sz w:val="18"/>
                          <w:szCs w:val="18"/>
                        </w:rPr>
                        <w:t xml:space="preserve"> choosing higher star nutritious core foods and less discretionary foods).</w:t>
                      </w:r>
                    </w:p>
                    <w:p w14:paraId="31C0B1D0" w14:textId="77777777" w:rsidR="0016701A" w:rsidRDefault="0016701A" w:rsidP="0016701A"/>
                  </w:txbxContent>
                </v:textbox>
              </v:shape>
            </w:pict>
          </mc:Fallback>
        </mc:AlternateContent>
      </w:r>
      <w:r>
        <w:rPr>
          <w:rFonts w:ascii="Times New Roman" w:hAnsi="Times New Roman" w:cs="Times New Roman"/>
          <w:noProof/>
          <w:szCs w:val="20"/>
        </w:rPr>
        <mc:AlternateContent>
          <mc:Choice Requires="wps">
            <w:drawing>
              <wp:anchor distT="0" distB="0" distL="114300" distR="114300" simplePos="0" relativeHeight="251667456" behindDoc="0" locked="0" layoutInCell="1" allowOverlap="1" wp14:anchorId="6449A3E4" wp14:editId="7821499A">
                <wp:simplePos x="0" y="0"/>
                <wp:positionH relativeFrom="column">
                  <wp:posOffset>7905750</wp:posOffset>
                </wp:positionH>
                <wp:positionV relativeFrom="paragraph">
                  <wp:posOffset>827405</wp:posOffset>
                </wp:positionV>
                <wp:extent cx="1752600" cy="78105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781050"/>
                        </a:xfrm>
                        <a:prstGeom prst="rect">
                          <a:avLst/>
                        </a:prstGeom>
                        <a:solidFill>
                          <a:srgbClr val="FFFFFF"/>
                        </a:solidFill>
                        <a:ln w="9525">
                          <a:solidFill>
                            <a:srgbClr val="000000"/>
                          </a:solidFill>
                          <a:miter lim="800000"/>
                          <a:headEnd/>
                          <a:tailEnd/>
                        </a:ln>
                      </wps:spPr>
                      <wps:txbx>
                        <w:txbxContent>
                          <w:p w14:paraId="4872443D" w14:textId="77777777" w:rsidR="0016701A" w:rsidRDefault="0016701A" w:rsidP="0016701A">
                            <w:pPr>
                              <w:spacing w:before="0" w:after="0"/>
                              <w:rPr>
                                <w:rFonts w:ascii="Arial" w:hAnsi="Arial" w:cs="Arial"/>
                                <w:sz w:val="18"/>
                                <w:szCs w:val="18"/>
                              </w:rPr>
                            </w:pPr>
                            <w:r>
                              <w:rPr>
                                <w:rFonts w:ascii="Arial" w:hAnsi="Arial" w:cs="Arial"/>
                                <w:sz w:val="18"/>
                                <w:szCs w:val="18"/>
                              </w:rPr>
                              <w:t>HSR is understood, trusted and used correctly across socio-economic groups, CALD and low literacy/numeracy groups.</w:t>
                            </w:r>
                          </w:p>
                          <w:p w14:paraId="62B0C388" w14:textId="77777777" w:rsidR="0016701A" w:rsidRDefault="0016701A" w:rsidP="0016701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9A3E4" id="Rectangle 18" o:spid="_x0000_s1041" style="position:absolute;left:0;text-align:left;margin-left:622.5pt;margin-top:65.15pt;width:138pt;height: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">
                <v:textbox>
                  <w:txbxContent>
                    <w:p w14:paraId="4872443D" w14:textId="77777777" w:rsidR="0016701A" w:rsidRDefault="0016701A" w:rsidP="0016701A">
                      <w:pPr>
                        <w:spacing w:before="0" w:after="0"/>
                        <w:rPr>
                          <w:rFonts w:ascii="Arial" w:hAnsi="Arial" w:cs="Arial"/>
                          <w:sz w:val="18"/>
                          <w:szCs w:val="18"/>
                        </w:rPr>
                      </w:pPr>
                      <w:r>
                        <w:rPr>
                          <w:rFonts w:ascii="Arial" w:hAnsi="Arial" w:cs="Arial"/>
                          <w:sz w:val="18"/>
                          <w:szCs w:val="18"/>
                        </w:rPr>
                        <w:t xml:space="preserve">HSR is understood, </w:t>
                      </w:r>
                      <w:proofErr w:type="gramStart"/>
                      <w:r>
                        <w:rPr>
                          <w:rFonts w:ascii="Arial" w:hAnsi="Arial" w:cs="Arial"/>
                          <w:sz w:val="18"/>
                          <w:szCs w:val="18"/>
                        </w:rPr>
                        <w:t>trusted</w:t>
                      </w:r>
                      <w:proofErr w:type="gramEnd"/>
                      <w:r>
                        <w:rPr>
                          <w:rFonts w:ascii="Arial" w:hAnsi="Arial" w:cs="Arial"/>
                          <w:sz w:val="18"/>
                          <w:szCs w:val="18"/>
                        </w:rPr>
                        <w:t xml:space="preserve"> and used correctly across socio-economic groups, CALD and low literacy/numeracy groups.</w:t>
                      </w:r>
                    </w:p>
                    <w:p w14:paraId="62B0C388" w14:textId="77777777" w:rsidR="0016701A" w:rsidRDefault="0016701A" w:rsidP="0016701A">
                      <w:pPr>
                        <w:rPr>
                          <w:rFonts w:ascii="Arial" w:hAnsi="Arial" w:cs="Arial"/>
                          <w:sz w:val="18"/>
                          <w:szCs w:val="18"/>
                        </w:rPr>
                      </w:pPr>
                    </w:p>
                  </w:txbxContent>
                </v:textbox>
              </v:rect>
            </w:pict>
          </mc:Fallback>
        </mc:AlternateContent>
      </w:r>
      <w:r>
        <w:rPr>
          <w:rFonts w:ascii="Times New Roman" w:hAnsi="Times New Roman" w:cs="Times New Roman"/>
          <w:noProof/>
          <w:szCs w:val="20"/>
        </w:rPr>
        <mc:AlternateContent>
          <mc:Choice Requires="wps">
            <w:drawing>
              <wp:anchor distT="0" distB="0" distL="114300" distR="114300" simplePos="0" relativeHeight="251668480" behindDoc="0" locked="0" layoutInCell="1" allowOverlap="1" wp14:anchorId="301188BD" wp14:editId="2BB794CD">
                <wp:simplePos x="0" y="0"/>
                <wp:positionH relativeFrom="column">
                  <wp:posOffset>3924300</wp:posOffset>
                </wp:positionH>
                <wp:positionV relativeFrom="paragraph">
                  <wp:posOffset>1560830</wp:posOffset>
                </wp:positionV>
                <wp:extent cx="3800475" cy="1171575"/>
                <wp:effectExtent l="19050" t="19050" r="47625" b="666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1171575"/>
                        </a:xfrm>
                        <a:prstGeom prst="rect">
                          <a:avLst/>
                        </a:prstGeom>
                        <a:solidFill>
                          <a:srgbClr val="84C6D8"/>
                        </a:solidFill>
                        <a:ln w="38100">
                          <a:solidFill>
                            <a:srgbClr val="F2F2F2"/>
                          </a:solidFill>
                          <a:miter lim="800000"/>
                          <a:headEnd/>
                          <a:tailEnd/>
                        </a:ln>
                        <a:effectLst>
                          <a:outerShdw dist="28398" dir="3806097" algn="ctr" rotWithShape="0">
                            <a:srgbClr val="205867">
                              <a:alpha val="50000"/>
                            </a:srgbClr>
                          </a:outerShdw>
                        </a:effectLst>
                      </wps:spPr>
                      <wps:txbx>
                        <w:txbxContent>
                          <w:p w14:paraId="324A1D69" w14:textId="77777777" w:rsidR="0016701A" w:rsidRDefault="0016701A" w:rsidP="0016701A">
                            <w:pPr>
                              <w:spacing w:before="0" w:after="0"/>
                              <w:rPr>
                                <w:rFonts w:ascii="Arial" w:hAnsi="Arial" w:cs="Arial"/>
                                <w:b/>
                                <w:sz w:val="18"/>
                                <w:szCs w:val="18"/>
                              </w:rPr>
                            </w:pPr>
                            <w:r w:rsidRPr="00FB336D">
                              <w:rPr>
                                <w:rFonts w:ascii="Arial" w:hAnsi="Arial" w:cs="Arial"/>
                                <w:b/>
                                <w:bCs/>
                                <w:sz w:val="18"/>
                                <w:szCs w:val="18"/>
                                <w:u w:val="single"/>
                              </w:rPr>
                              <w:t>A</w:t>
                            </w:r>
                            <w:r>
                              <w:rPr>
                                <w:rFonts w:ascii="Arial" w:hAnsi="Arial" w:cs="Arial"/>
                                <w:b/>
                                <w:bCs/>
                                <w:sz w:val="18"/>
                                <w:szCs w:val="18"/>
                                <w:u w:val="single"/>
                              </w:rPr>
                              <w:t>o</w:t>
                            </w:r>
                            <w:r w:rsidRPr="00FB336D">
                              <w:rPr>
                                <w:rFonts w:ascii="Arial" w:hAnsi="Arial" w:cs="Arial"/>
                                <w:b/>
                                <w:bCs/>
                                <w:sz w:val="18"/>
                                <w:szCs w:val="18"/>
                                <w:u w:val="single"/>
                              </w:rPr>
                              <w:t>E 2: Consumer use and understanding</w:t>
                            </w:r>
                          </w:p>
                          <w:p w14:paraId="6057194A" w14:textId="77777777" w:rsidR="0016701A" w:rsidRPr="00D111B6" w:rsidRDefault="0016701A" w:rsidP="0016701A">
                            <w:pPr>
                              <w:spacing w:before="0" w:after="0"/>
                              <w:rPr>
                                <w:rFonts w:ascii="Arial" w:hAnsi="Arial" w:cs="Arial"/>
                                <w:bCs/>
                                <w:sz w:val="18"/>
                                <w:szCs w:val="18"/>
                                <w:u w:val="single"/>
                              </w:rPr>
                            </w:pPr>
                            <w:r w:rsidRPr="00D111B6">
                              <w:rPr>
                                <w:rFonts w:ascii="Arial" w:hAnsi="Arial" w:cs="Arial"/>
                                <w:bCs/>
                                <w:sz w:val="18"/>
                                <w:szCs w:val="18"/>
                              </w:rPr>
                              <w:t xml:space="preserve">Essential: Main grocery buyers </w:t>
                            </w:r>
                            <w:r>
                              <w:rPr>
                                <w:rFonts w:ascii="Arial" w:hAnsi="Arial" w:cs="Arial"/>
                                <w:bCs/>
                                <w:sz w:val="18"/>
                                <w:szCs w:val="18"/>
                              </w:rPr>
                              <w:t xml:space="preserve">in priority groups </w:t>
                            </w:r>
                            <w:r w:rsidRPr="00D111B6">
                              <w:rPr>
                                <w:rFonts w:ascii="Arial" w:hAnsi="Arial" w:cs="Arial"/>
                                <w:bCs/>
                                <w:sz w:val="18"/>
                                <w:szCs w:val="18"/>
                              </w:rPr>
                              <w:t xml:space="preserve">are aware of HSR, understand and can correctly use </w:t>
                            </w:r>
                            <w:r>
                              <w:rPr>
                                <w:rFonts w:ascii="Arial" w:hAnsi="Arial" w:cs="Arial"/>
                                <w:bCs/>
                                <w:sz w:val="18"/>
                                <w:szCs w:val="18"/>
                              </w:rPr>
                              <w:t>the HSR</w:t>
                            </w:r>
                            <w:r w:rsidRPr="00D111B6">
                              <w:rPr>
                                <w:rFonts w:ascii="Arial" w:hAnsi="Arial" w:cs="Arial"/>
                                <w:bCs/>
                                <w:sz w:val="18"/>
                                <w:szCs w:val="18"/>
                              </w:rPr>
                              <w:t>, have confidence in HSR and incorporate consideration of HSR when making purchase decisions, leading to healthier choices.</w:t>
                            </w:r>
                          </w:p>
                          <w:p w14:paraId="0872050D" w14:textId="77777777" w:rsidR="0016701A" w:rsidRPr="00FB336D" w:rsidRDefault="0016701A" w:rsidP="0016701A">
                            <w:pPr>
                              <w:spacing w:before="0" w:after="0"/>
                              <w:rPr>
                                <w:rFonts w:ascii="Arial" w:hAnsi="Arial" w:cs="Arial"/>
                                <w:sz w:val="18"/>
                                <w:szCs w:val="18"/>
                              </w:rPr>
                            </w:pPr>
                          </w:p>
                          <w:p w14:paraId="19387D0C" w14:textId="77777777" w:rsidR="0016701A" w:rsidRPr="000F4958" w:rsidRDefault="0016701A" w:rsidP="0016701A">
                            <w:pPr>
                              <w:spacing w:before="0" w:after="0"/>
                              <w:rPr>
                                <w:rFonts w:ascii="Arial" w:hAnsi="Arial" w:cs="Arial"/>
                                <w:sz w:val="18"/>
                                <w:szCs w:val="18"/>
                              </w:rPr>
                            </w:pPr>
                            <w:r w:rsidRPr="00FB336D">
                              <w:rPr>
                                <w:rFonts w:ascii="Arial" w:hAnsi="Arial" w:cs="Arial"/>
                                <w:i/>
                                <w:sz w:val="18"/>
                                <w:szCs w:val="18"/>
                              </w:rPr>
                              <w:t xml:space="preserve">Other indicators within this AoE </w:t>
                            </w:r>
                            <w:r>
                              <w:rPr>
                                <w:rFonts w:ascii="Arial" w:hAnsi="Arial" w:cs="Arial"/>
                                <w:i/>
                                <w:sz w:val="18"/>
                                <w:szCs w:val="18"/>
                              </w:rPr>
                              <w:t xml:space="preserve">that </w:t>
                            </w:r>
                            <w:r w:rsidRPr="000F4958">
                              <w:rPr>
                                <w:rFonts w:ascii="Arial" w:hAnsi="Arial" w:cs="Arial"/>
                                <w:i/>
                                <w:sz w:val="18"/>
                                <w:szCs w:val="18"/>
                                <w:u w:val="single"/>
                              </w:rPr>
                              <w:t>may</w:t>
                            </w:r>
                            <w:r w:rsidRPr="00FB336D">
                              <w:rPr>
                                <w:rFonts w:ascii="Arial" w:hAnsi="Arial" w:cs="Arial"/>
                                <w:i/>
                                <w:sz w:val="18"/>
                                <w:szCs w:val="18"/>
                              </w:rPr>
                              <w:t xml:space="preserve"> be monitored</w:t>
                            </w:r>
                            <w:r>
                              <w:rPr>
                                <w:rFonts w:ascii="Arial" w:hAnsi="Arial" w:cs="Arial"/>
                                <w:i/>
                                <w:sz w:val="18"/>
                                <w:szCs w:val="18"/>
                              </w:rPr>
                              <w:t>:</w:t>
                            </w:r>
                          </w:p>
                          <w:p w14:paraId="2721E71D" w14:textId="77777777" w:rsidR="0016701A" w:rsidRPr="00FB336D" w:rsidRDefault="0016701A" w:rsidP="0016701A">
                            <w:pPr>
                              <w:numPr>
                                <w:ilvl w:val="0"/>
                                <w:numId w:val="25"/>
                              </w:numPr>
                              <w:spacing w:before="0" w:after="0"/>
                              <w:rPr>
                                <w:rFonts w:ascii="Arial" w:hAnsi="Arial" w:cs="Arial"/>
                                <w:sz w:val="18"/>
                                <w:szCs w:val="18"/>
                              </w:rPr>
                            </w:pPr>
                            <w:r>
                              <w:rPr>
                                <w:rFonts w:ascii="Arial" w:hAnsi="Arial" w:cs="Arial"/>
                                <w:sz w:val="18"/>
                                <w:szCs w:val="18"/>
                              </w:rPr>
                              <w:t xml:space="preserve">Understanding and use in the general population </w:t>
                            </w:r>
                          </w:p>
                          <w:p w14:paraId="5AAC0E63" w14:textId="77777777" w:rsidR="0016701A" w:rsidRDefault="0016701A" w:rsidP="0016701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188BD" id="Rectangle 17" o:spid="_x0000_s1042" style="position:absolute;left:0;text-align:left;margin-left:309pt;margin-top:122.9pt;width:299.25pt;height:9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" fillcolor="#84c6d8" strokecolor="#f2f2f2" strokeweight="3pt">
                <v:shadow on="t" color="#205867" opacity=".5" offset="1pt"/>
                <v:textbox>
                  <w:txbxContent>
                    <w:p w14:paraId="324A1D69" w14:textId="77777777" w:rsidR="0016701A" w:rsidRDefault="0016701A" w:rsidP="0016701A">
                      <w:pPr>
                        <w:spacing w:before="0" w:after="0"/>
                        <w:rPr>
                          <w:rFonts w:ascii="Arial" w:hAnsi="Arial" w:cs="Arial"/>
                          <w:b/>
                          <w:sz w:val="18"/>
                          <w:szCs w:val="18"/>
                        </w:rPr>
                      </w:pPr>
                      <w:proofErr w:type="spellStart"/>
                      <w:r w:rsidRPr="00FB336D">
                        <w:rPr>
                          <w:rFonts w:ascii="Arial" w:hAnsi="Arial" w:cs="Arial"/>
                          <w:b/>
                          <w:bCs/>
                          <w:sz w:val="18"/>
                          <w:szCs w:val="18"/>
                          <w:u w:val="single"/>
                        </w:rPr>
                        <w:t>A</w:t>
                      </w:r>
                      <w:r>
                        <w:rPr>
                          <w:rFonts w:ascii="Arial" w:hAnsi="Arial" w:cs="Arial"/>
                          <w:b/>
                          <w:bCs/>
                          <w:sz w:val="18"/>
                          <w:szCs w:val="18"/>
                          <w:u w:val="single"/>
                        </w:rPr>
                        <w:t>o</w:t>
                      </w:r>
                      <w:r w:rsidRPr="00FB336D">
                        <w:rPr>
                          <w:rFonts w:ascii="Arial" w:hAnsi="Arial" w:cs="Arial"/>
                          <w:b/>
                          <w:bCs/>
                          <w:sz w:val="18"/>
                          <w:szCs w:val="18"/>
                          <w:u w:val="single"/>
                        </w:rPr>
                        <w:t>E</w:t>
                      </w:r>
                      <w:proofErr w:type="spellEnd"/>
                      <w:r w:rsidRPr="00FB336D">
                        <w:rPr>
                          <w:rFonts w:ascii="Arial" w:hAnsi="Arial" w:cs="Arial"/>
                          <w:b/>
                          <w:bCs/>
                          <w:sz w:val="18"/>
                          <w:szCs w:val="18"/>
                          <w:u w:val="single"/>
                        </w:rPr>
                        <w:t xml:space="preserve"> 2: Consumer use and </w:t>
                      </w:r>
                      <w:proofErr w:type="gramStart"/>
                      <w:r w:rsidRPr="00FB336D">
                        <w:rPr>
                          <w:rFonts w:ascii="Arial" w:hAnsi="Arial" w:cs="Arial"/>
                          <w:b/>
                          <w:bCs/>
                          <w:sz w:val="18"/>
                          <w:szCs w:val="18"/>
                          <w:u w:val="single"/>
                        </w:rPr>
                        <w:t>understanding</w:t>
                      </w:r>
                      <w:proofErr w:type="gramEnd"/>
                    </w:p>
                    <w:p w14:paraId="6057194A" w14:textId="77777777" w:rsidR="0016701A" w:rsidRPr="00D111B6" w:rsidRDefault="0016701A" w:rsidP="0016701A">
                      <w:pPr>
                        <w:spacing w:before="0" w:after="0"/>
                        <w:rPr>
                          <w:rFonts w:ascii="Arial" w:hAnsi="Arial" w:cs="Arial"/>
                          <w:bCs/>
                          <w:sz w:val="18"/>
                          <w:szCs w:val="18"/>
                          <w:u w:val="single"/>
                        </w:rPr>
                      </w:pPr>
                      <w:r w:rsidRPr="00D111B6">
                        <w:rPr>
                          <w:rFonts w:ascii="Arial" w:hAnsi="Arial" w:cs="Arial"/>
                          <w:bCs/>
                          <w:sz w:val="18"/>
                          <w:szCs w:val="18"/>
                        </w:rPr>
                        <w:t xml:space="preserve">Essential: Main grocery buyers </w:t>
                      </w:r>
                      <w:r>
                        <w:rPr>
                          <w:rFonts w:ascii="Arial" w:hAnsi="Arial" w:cs="Arial"/>
                          <w:bCs/>
                          <w:sz w:val="18"/>
                          <w:szCs w:val="18"/>
                        </w:rPr>
                        <w:t xml:space="preserve">in priority groups </w:t>
                      </w:r>
                      <w:r w:rsidRPr="00D111B6">
                        <w:rPr>
                          <w:rFonts w:ascii="Arial" w:hAnsi="Arial" w:cs="Arial"/>
                          <w:bCs/>
                          <w:sz w:val="18"/>
                          <w:szCs w:val="18"/>
                        </w:rPr>
                        <w:t xml:space="preserve">are aware of HSR, understand and can correctly use </w:t>
                      </w:r>
                      <w:r>
                        <w:rPr>
                          <w:rFonts w:ascii="Arial" w:hAnsi="Arial" w:cs="Arial"/>
                          <w:bCs/>
                          <w:sz w:val="18"/>
                          <w:szCs w:val="18"/>
                        </w:rPr>
                        <w:t>the HSR</w:t>
                      </w:r>
                      <w:r w:rsidRPr="00D111B6">
                        <w:rPr>
                          <w:rFonts w:ascii="Arial" w:hAnsi="Arial" w:cs="Arial"/>
                          <w:bCs/>
                          <w:sz w:val="18"/>
                          <w:szCs w:val="18"/>
                        </w:rPr>
                        <w:t>, have confidence in HSR and incorporate consideration of HSR when making purchase decisions, leading to healthier choices.</w:t>
                      </w:r>
                    </w:p>
                    <w:p w14:paraId="0872050D" w14:textId="77777777" w:rsidR="0016701A" w:rsidRPr="00FB336D" w:rsidRDefault="0016701A" w:rsidP="0016701A">
                      <w:pPr>
                        <w:spacing w:before="0" w:after="0"/>
                        <w:rPr>
                          <w:rFonts w:ascii="Arial" w:hAnsi="Arial" w:cs="Arial"/>
                          <w:sz w:val="18"/>
                          <w:szCs w:val="18"/>
                        </w:rPr>
                      </w:pPr>
                    </w:p>
                    <w:p w14:paraId="19387D0C" w14:textId="77777777" w:rsidR="0016701A" w:rsidRPr="000F4958" w:rsidRDefault="0016701A" w:rsidP="0016701A">
                      <w:pPr>
                        <w:spacing w:before="0" w:after="0"/>
                        <w:rPr>
                          <w:rFonts w:ascii="Arial" w:hAnsi="Arial" w:cs="Arial"/>
                          <w:sz w:val="18"/>
                          <w:szCs w:val="18"/>
                        </w:rPr>
                      </w:pPr>
                      <w:r w:rsidRPr="00FB336D">
                        <w:rPr>
                          <w:rFonts w:ascii="Arial" w:hAnsi="Arial" w:cs="Arial"/>
                          <w:i/>
                          <w:sz w:val="18"/>
                          <w:szCs w:val="18"/>
                        </w:rPr>
                        <w:t xml:space="preserve">Other indicators within this </w:t>
                      </w:r>
                      <w:proofErr w:type="spellStart"/>
                      <w:r w:rsidRPr="00FB336D">
                        <w:rPr>
                          <w:rFonts w:ascii="Arial" w:hAnsi="Arial" w:cs="Arial"/>
                          <w:i/>
                          <w:sz w:val="18"/>
                          <w:szCs w:val="18"/>
                        </w:rPr>
                        <w:t>AoE</w:t>
                      </w:r>
                      <w:proofErr w:type="spellEnd"/>
                      <w:r w:rsidRPr="00FB336D">
                        <w:rPr>
                          <w:rFonts w:ascii="Arial" w:hAnsi="Arial" w:cs="Arial"/>
                          <w:i/>
                          <w:sz w:val="18"/>
                          <w:szCs w:val="18"/>
                        </w:rPr>
                        <w:t xml:space="preserve"> </w:t>
                      </w:r>
                      <w:r>
                        <w:rPr>
                          <w:rFonts w:ascii="Arial" w:hAnsi="Arial" w:cs="Arial"/>
                          <w:i/>
                          <w:sz w:val="18"/>
                          <w:szCs w:val="18"/>
                        </w:rPr>
                        <w:t xml:space="preserve">that </w:t>
                      </w:r>
                      <w:r w:rsidRPr="000F4958">
                        <w:rPr>
                          <w:rFonts w:ascii="Arial" w:hAnsi="Arial" w:cs="Arial"/>
                          <w:i/>
                          <w:sz w:val="18"/>
                          <w:szCs w:val="18"/>
                          <w:u w:val="single"/>
                        </w:rPr>
                        <w:t>may</w:t>
                      </w:r>
                      <w:r w:rsidRPr="00FB336D">
                        <w:rPr>
                          <w:rFonts w:ascii="Arial" w:hAnsi="Arial" w:cs="Arial"/>
                          <w:i/>
                          <w:sz w:val="18"/>
                          <w:szCs w:val="18"/>
                        </w:rPr>
                        <w:t xml:space="preserve"> be monitored</w:t>
                      </w:r>
                      <w:r>
                        <w:rPr>
                          <w:rFonts w:ascii="Arial" w:hAnsi="Arial" w:cs="Arial"/>
                          <w:i/>
                          <w:sz w:val="18"/>
                          <w:szCs w:val="18"/>
                        </w:rPr>
                        <w:t>:</w:t>
                      </w:r>
                    </w:p>
                    <w:p w14:paraId="2721E71D" w14:textId="77777777" w:rsidR="0016701A" w:rsidRPr="00FB336D" w:rsidRDefault="0016701A" w:rsidP="0016701A">
                      <w:pPr>
                        <w:numPr>
                          <w:ilvl w:val="0"/>
                          <w:numId w:val="25"/>
                        </w:numPr>
                        <w:spacing w:before="0" w:after="0"/>
                        <w:rPr>
                          <w:rFonts w:ascii="Arial" w:hAnsi="Arial" w:cs="Arial"/>
                          <w:sz w:val="18"/>
                          <w:szCs w:val="18"/>
                        </w:rPr>
                      </w:pPr>
                      <w:r>
                        <w:rPr>
                          <w:rFonts w:ascii="Arial" w:hAnsi="Arial" w:cs="Arial"/>
                          <w:sz w:val="18"/>
                          <w:szCs w:val="18"/>
                        </w:rPr>
                        <w:t xml:space="preserve">Understanding and use in the general </w:t>
                      </w:r>
                      <w:proofErr w:type="gramStart"/>
                      <w:r>
                        <w:rPr>
                          <w:rFonts w:ascii="Arial" w:hAnsi="Arial" w:cs="Arial"/>
                          <w:sz w:val="18"/>
                          <w:szCs w:val="18"/>
                        </w:rPr>
                        <w:t>population</w:t>
                      </w:r>
                      <w:proofErr w:type="gramEnd"/>
                      <w:r>
                        <w:rPr>
                          <w:rFonts w:ascii="Arial" w:hAnsi="Arial" w:cs="Arial"/>
                          <w:sz w:val="18"/>
                          <w:szCs w:val="18"/>
                        </w:rPr>
                        <w:t xml:space="preserve"> </w:t>
                      </w:r>
                    </w:p>
                    <w:p w14:paraId="5AAC0E63" w14:textId="77777777" w:rsidR="0016701A" w:rsidRDefault="0016701A" w:rsidP="0016701A">
                      <w:pPr>
                        <w:rPr>
                          <w:rFonts w:ascii="Arial" w:hAnsi="Arial" w:cs="Arial"/>
                          <w:sz w:val="18"/>
                          <w:szCs w:val="18"/>
                        </w:rPr>
                      </w:pPr>
                    </w:p>
                  </w:txbxContent>
                </v:textbox>
              </v:rect>
            </w:pict>
          </mc:Fallback>
        </mc:AlternateContent>
      </w:r>
      <w:r>
        <w:rPr>
          <w:rFonts w:ascii="Times New Roman" w:hAnsi="Times New Roman" w:cs="Times New Roman"/>
          <w:noProof/>
          <w:szCs w:val="20"/>
        </w:rPr>
        <mc:AlternateContent>
          <mc:Choice Requires="wps">
            <w:drawing>
              <wp:anchor distT="0" distB="0" distL="114300" distR="114300" simplePos="0" relativeHeight="251672576" behindDoc="0" locked="0" layoutInCell="1" allowOverlap="1" wp14:anchorId="3CD443A8" wp14:editId="36344CF0">
                <wp:simplePos x="0" y="0"/>
                <wp:positionH relativeFrom="column">
                  <wp:posOffset>2533650</wp:posOffset>
                </wp:positionH>
                <wp:positionV relativeFrom="paragraph">
                  <wp:posOffset>2941955</wp:posOffset>
                </wp:positionV>
                <wp:extent cx="1257300" cy="942975"/>
                <wp:effectExtent l="19050" t="19050" r="38100" b="666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42975"/>
                        </a:xfrm>
                        <a:prstGeom prst="rect">
                          <a:avLst/>
                        </a:prstGeom>
                        <a:solidFill>
                          <a:srgbClr val="84C6D8"/>
                        </a:solidFill>
                        <a:ln w="38100">
                          <a:solidFill>
                            <a:srgbClr val="F2F2F2"/>
                          </a:solidFill>
                          <a:miter lim="800000"/>
                          <a:headEnd/>
                          <a:tailEnd/>
                        </a:ln>
                        <a:effectLst>
                          <a:outerShdw dist="28398" dir="3806097" algn="ctr" rotWithShape="0">
                            <a:srgbClr val="205867">
                              <a:alpha val="50000"/>
                            </a:srgbClr>
                          </a:outerShdw>
                        </a:effectLst>
                      </wps:spPr>
                      <wps:txbx>
                        <w:txbxContent>
                          <w:p w14:paraId="15B0D76A" w14:textId="77777777" w:rsidR="0016701A" w:rsidRDefault="0016701A" w:rsidP="0016701A">
                            <w:pPr>
                              <w:spacing w:before="0"/>
                              <w:rPr>
                                <w:rFonts w:ascii="Arial" w:hAnsi="Arial" w:cs="Arial"/>
                                <w:sz w:val="18"/>
                                <w:szCs w:val="18"/>
                              </w:rPr>
                            </w:pPr>
                            <w:r>
                              <w:rPr>
                                <w:rFonts w:ascii="Arial" w:hAnsi="Arial" w:cs="Arial"/>
                                <w:sz w:val="18"/>
                                <w:szCs w:val="18"/>
                              </w:rPr>
                              <w:t>HSR promotion continued; consumers notice communications and HSR on food products</w:t>
                            </w:r>
                          </w:p>
                          <w:p w14:paraId="3C44C31E" w14:textId="77777777" w:rsidR="0016701A" w:rsidRDefault="0016701A" w:rsidP="0016701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443A8" id="Text Box 11" o:spid="_x0000_s1043" type="#_x0000_t202" style="position:absolute;left:0;text-align:left;margin-left:199.5pt;margin-top:231.65pt;width:99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" fillcolor="#84c6d8" strokecolor="#f2f2f2" strokeweight="3pt">
                <v:shadow on="t" color="#205867" opacity=".5" offset="1pt"/>
                <v:textbox>
                  <w:txbxContent>
                    <w:p w14:paraId="15B0D76A" w14:textId="77777777" w:rsidR="0016701A" w:rsidRDefault="0016701A" w:rsidP="0016701A">
                      <w:pPr>
                        <w:spacing w:before="0"/>
                        <w:rPr>
                          <w:rFonts w:ascii="Arial" w:hAnsi="Arial" w:cs="Arial"/>
                          <w:sz w:val="18"/>
                          <w:szCs w:val="18"/>
                        </w:rPr>
                      </w:pPr>
                      <w:r>
                        <w:rPr>
                          <w:rFonts w:ascii="Arial" w:hAnsi="Arial" w:cs="Arial"/>
                          <w:sz w:val="18"/>
                          <w:szCs w:val="18"/>
                        </w:rPr>
                        <w:t xml:space="preserve">HSR promotion continued; consumers notice communications and HSR on food </w:t>
                      </w:r>
                      <w:proofErr w:type="gramStart"/>
                      <w:r>
                        <w:rPr>
                          <w:rFonts w:ascii="Arial" w:hAnsi="Arial" w:cs="Arial"/>
                          <w:sz w:val="18"/>
                          <w:szCs w:val="18"/>
                        </w:rPr>
                        <w:t>products</w:t>
                      </w:r>
                      <w:proofErr w:type="gramEnd"/>
                    </w:p>
                    <w:p w14:paraId="3C44C31E" w14:textId="77777777" w:rsidR="0016701A" w:rsidRDefault="0016701A" w:rsidP="0016701A">
                      <w:pPr>
                        <w:rPr>
                          <w:rFonts w:ascii="Arial" w:hAnsi="Arial" w:cs="Arial"/>
                          <w:sz w:val="18"/>
                          <w:szCs w:val="18"/>
                        </w:rPr>
                      </w:pPr>
                    </w:p>
                  </w:txbxContent>
                </v:textbox>
              </v:shape>
            </w:pict>
          </mc:Fallback>
        </mc:AlternateContent>
      </w:r>
      <w:r>
        <w:rPr>
          <w:rFonts w:ascii="Times New Roman" w:hAnsi="Times New Roman" w:cs="Times New Roman"/>
          <w:noProof/>
          <w:szCs w:val="20"/>
        </w:rPr>
        <mc:AlternateContent>
          <mc:Choice Requires="wps">
            <w:drawing>
              <wp:anchor distT="0" distB="0" distL="114300" distR="114300" simplePos="0" relativeHeight="251666432" behindDoc="0" locked="0" layoutInCell="1" allowOverlap="1" wp14:anchorId="0F7862EA" wp14:editId="187768AD">
                <wp:simplePos x="0" y="0"/>
                <wp:positionH relativeFrom="column">
                  <wp:posOffset>800100</wp:posOffset>
                </wp:positionH>
                <wp:positionV relativeFrom="paragraph">
                  <wp:posOffset>2227580</wp:posOffset>
                </wp:positionV>
                <wp:extent cx="1619250" cy="1552575"/>
                <wp:effectExtent l="19050" t="19050" r="38100" b="666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552575"/>
                        </a:xfrm>
                        <a:prstGeom prst="rect">
                          <a:avLst/>
                        </a:prstGeom>
                        <a:solidFill>
                          <a:srgbClr val="84C6D8"/>
                        </a:solidFill>
                        <a:ln w="38100">
                          <a:solidFill>
                            <a:srgbClr val="F2F2F2"/>
                          </a:solidFill>
                          <a:miter lim="800000"/>
                          <a:headEnd/>
                          <a:tailEnd/>
                        </a:ln>
                        <a:effectLst>
                          <a:outerShdw dist="28398" dir="3806097" algn="ctr" rotWithShape="0">
                            <a:srgbClr val="205867">
                              <a:alpha val="50000"/>
                            </a:srgbClr>
                          </a:outerShdw>
                        </a:effectLst>
                      </wps:spPr>
                      <wps:txbx>
                        <w:txbxContent>
                          <w:p w14:paraId="34FE25EC" w14:textId="77777777" w:rsidR="0016701A" w:rsidRDefault="0016701A" w:rsidP="0016701A">
                            <w:pPr>
                              <w:spacing w:before="0" w:after="60"/>
                              <w:rPr>
                                <w:rFonts w:ascii="Arial" w:hAnsi="Arial" w:cs="Arial"/>
                                <w:b/>
                                <w:sz w:val="18"/>
                                <w:szCs w:val="18"/>
                              </w:rPr>
                            </w:pPr>
                            <w:r>
                              <w:rPr>
                                <w:rFonts w:ascii="Arial" w:hAnsi="Arial" w:cs="Arial"/>
                                <w:b/>
                                <w:sz w:val="18"/>
                                <w:szCs w:val="18"/>
                              </w:rPr>
                              <w:t>3. HSR Social Marketing Campaign (includes website)</w:t>
                            </w:r>
                          </w:p>
                          <w:p w14:paraId="1501A847" w14:textId="77777777" w:rsidR="0016701A" w:rsidRPr="00340078" w:rsidRDefault="0016701A" w:rsidP="0016701A">
                            <w:pPr>
                              <w:spacing w:before="0" w:after="60"/>
                              <w:rPr>
                                <w:rFonts w:ascii="Arial" w:hAnsi="Arial" w:cs="Arial"/>
                                <w:i/>
                                <w:iCs/>
                                <w:sz w:val="18"/>
                                <w:szCs w:val="18"/>
                              </w:rPr>
                            </w:pPr>
                            <w:r w:rsidRPr="00340078">
                              <w:rPr>
                                <w:rFonts w:ascii="Arial" w:hAnsi="Arial" w:cs="Arial"/>
                                <w:i/>
                                <w:iCs/>
                                <w:sz w:val="18"/>
                                <w:szCs w:val="18"/>
                              </w:rPr>
                              <w:t>Targets</w:t>
                            </w:r>
                          </w:p>
                          <w:p w14:paraId="7BA16197" w14:textId="77777777" w:rsidR="0016701A" w:rsidRPr="00340078" w:rsidRDefault="0016701A" w:rsidP="0016701A">
                            <w:pPr>
                              <w:spacing w:before="0" w:after="60"/>
                              <w:rPr>
                                <w:rFonts w:ascii="Arial" w:hAnsi="Arial" w:cs="Arial"/>
                                <w:sz w:val="18"/>
                                <w:szCs w:val="18"/>
                              </w:rPr>
                            </w:pPr>
                            <w:r>
                              <w:rPr>
                                <w:rFonts w:ascii="Arial" w:hAnsi="Arial" w:cs="Arial"/>
                                <w:sz w:val="18"/>
                                <w:szCs w:val="18"/>
                              </w:rPr>
                              <w:t xml:space="preserve">1. </w:t>
                            </w:r>
                            <w:r w:rsidRPr="00340078">
                              <w:rPr>
                                <w:rFonts w:ascii="Arial" w:hAnsi="Arial" w:cs="Arial"/>
                                <w:sz w:val="18"/>
                                <w:szCs w:val="18"/>
                              </w:rPr>
                              <w:t>Consumers (including low SES, low literacy/ numeracy, Indigenous and CALD groups)</w:t>
                            </w:r>
                          </w:p>
                          <w:p w14:paraId="7929C7BA" w14:textId="77777777" w:rsidR="0016701A" w:rsidRPr="00340078" w:rsidRDefault="0016701A" w:rsidP="0016701A">
                            <w:pPr>
                              <w:spacing w:before="0" w:after="0"/>
                              <w:rPr>
                                <w:rFonts w:ascii="Arial" w:hAnsi="Arial" w:cs="Arial"/>
                                <w:sz w:val="18"/>
                                <w:szCs w:val="18"/>
                              </w:rPr>
                            </w:pPr>
                            <w:r w:rsidRPr="00340078">
                              <w:rPr>
                                <w:rFonts w:ascii="Arial" w:hAnsi="Arial" w:cs="Arial"/>
                                <w:sz w:val="18"/>
                                <w:szCs w:val="18"/>
                              </w:rPr>
                              <w:t>2. Food industry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862EA" id="Text Box 19" o:spid="_x0000_s1044" type="#_x0000_t202" style="position:absolute;left:0;text-align:left;margin-left:63pt;margin-top:175.4pt;width:127.5pt;height:1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" fillcolor="#84c6d8" strokecolor="#f2f2f2" strokeweight="3pt">
                <v:shadow on="t" color="#205867" opacity=".5" offset="1pt"/>
                <v:textbox>
                  <w:txbxContent>
                    <w:p w14:paraId="34FE25EC" w14:textId="77777777" w:rsidR="0016701A" w:rsidRDefault="0016701A" w:rsidP="0016701A">
                      <w:pPr>
                        <w:spacing w:before="0" w:after="60"/>
                        <w:rPr>
                          <w:rFonts w:ascii="Arial" w:hAnsi="Arial" w:cs="Arial"/>
                          <w:b/>
                          <w:sz w:val="18"/>
                          <w:szCs w:val="18"/>
                        </w:rPr>
                      </w:pPr>
                      <w:r>
                        <w:rPr>
                          <w:rFonts w:ascii="Arial" w:hAnsi="Arial" w:cs="Arial"/>
                          <w:b/>
                          <w:sz w:val="18"/>
                          <w:szCs w:val="18"/>
                        </w:rPr>
                        <w:t>3. HSR Social Marketing Campaign (includes website)</w:t>
                      </w:r>
                    </w:p>
                    <w:p w14:paraId="1501A847" w14:textId="77777777" w:rsidR="0016701A" w:rsidRPr="00340078" w:rsidRDefault="0016701A" w:rsidP="0016701A">
                      <w:pPr>
                        <w:spacing w:before="0" w:after="60"/>
                        <w:rPr>
                          <w:rFonts w:ascii="Arial" w:hAnsi="Arial" w:cs="Arial"/>
                          <w:i/>
                          <w:iCs/>
                          <w:sz w:val="18"/>
                          <w:szCs w:val="18"/>
                        </w:rPr>
                      </w:pPr>
                      <w:r w:rsidRPr="00340078">
                        <w:rPr>
                          <w:rFonts w:ascii="Arial" w:hAnsi="Arial" w:cs="Arial"/>
                          <w:i/>
                          <w:iCs/>
                          <w:sz w:val="18"/>
                          <w:szCs w:val="18"/>
                        </w:rPr>
                        <w:t>Targets</w:t>
                      </w:r>
                    </w:p>
                    <w:p w14:paraId="7BA16197" w14:textId="77777777" w:rsidR="0016701A" w:rsidRPr="00340078" w:rsidRDefault="0016701A" w:rsidP="0016701A">
                      <w:pPr>
                        <w:spacing w:before="0" w:after="60"/>
                        <w:rPr>
                          <w:rFonts w:ascii="Arial" w:hAnsi="Arial" w:cs="Arial"/>
                          <w:sz w:val="18"/>
                          <w:szCs w:val="18"/>
                        </w:rPr>
                      </w:pPr>
                      <w:r>
                        <w:rPr>
                          <w:rFonts w:ascii="Arial" w:hAnsi="Arial" w:cs="Arial"/>
                          <w:sz w:val="18"/>
                          <w:szCs w:val="18"/>
                        </w:rPr>
                        <w:t xml:space="preserve">1. </w:t>
                      </w:r>
                      <w:r w:rsidRPr="00340078">
                        <w:rPr>
                          <w:rFonts w:ascii="Arial" w:hAnsi="Arial" w:cs="Arial"/>
                          <w:sz w:val="18"/>
                          <w:szCs w:val="18"/>
                        </w:rPr>
                        <w:t>Consumers (including low SES, low literacy/ numeracy, Indigenous and CALD groups)</w:t>
                      </w:r>
                    </w:p>
                    <w:p w14:paraId="7929C7BA" w14:textId="77777777" w:rsidR="0016701A" w:rsidRPr="00340078" w:rsidRDefault="0016701A" w:rsidP="0016701A">
                      <w:pPr>
                        <w:spacing w:before="0" w:after="0"/>
                        <w:rPr>
                          <w:rFonts w:ascii="Arial" w:hAnsi="Arial" w:cs="Arial"/>
                          <w:sz w:val="18"/>
                          <w:szCs w:val="18"/>
                        </w:rPr>
                      </w:pPr>
                      <w:r w:rsidRPr="00340078">
                        <w:rPr>
                          <w:rFonts w:ascii="Arial" w:hAnsi="Arial" w:cs="Arial"/>
                          <w:sz w:val="18"/>
                          <w:szCs w:val="18"/>
                        </w:rPr>
                        <w:t>2. Food industry</w:t>
                      </w:r>
                    </w:p>
                  </w:txbxContent>
                </v:textbox>
              </v:shape>
            </w:pict>
          </mc:Fallback>
        </mc:AlternateContent>
      </w:r>
      <w:r>
        <w:rPr>
          <w:rFonts w:ascii="Times New Roman" w:hAnsi="Times New Roman" w:cs="Times New Roman"/>
          <w:noProof/>
          <w:szCs w:val="20"/>
        </w:rPr>
        <mc:AlternateContent>
          <mc:Choice Requires="wps">
            <w:drawing>
              <wp:anchor distT="0" distB="0" distL="114300" distR="114300" simplePos="0" relativeHeight="251683840" behindDoc="0" locked="0" layoutInCell="1" allowOverlap="1" wp14:anchorId="37F77B22" wp14:editId="2C3B895D">
                <wp:simplePos x="0" y="0"/>
                <wp:positionH relativeFrom="column">
                  <wp:posOffset>2543175</wp:posOffset>
                </wp:positionH>
                <wp:positionV relativeFrom="paragraph">
                  <wp:posOffset>1885950</wp:posOffset>
                </wp:positionV>
                <wp:extent cx="1257300" cy="942975"/>
                <wp:effectExtent l="19050" t="19050" r="38100" b="666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42975"/>
                        </a:xfrm>
                        <a:prstGeom prst="rect">
                          <a:avLst/>
                        </a:prstGeom>
                        <a:solidFill>
                          <a:srgbClr val="84C6D8"/>
                        </a:solidFill>
                        <a:ln w="38100">
                          <a:solidFill>
                            <a:srgbClr val="F2F2F2"/>
                          </a:solidFill>
                          <a:miter lim="800000"/>
                          <a:headEnd/>
                          <a:tailEnd/>
                        </a:ln>
                        <a:effectLst>
                          <a:outerShdw dist="28398" dir="3806097" algn="ctr" rotWithShape="0">
                            <a:srgbClr val="205867">
                              <a:alpha val="50000"/>
                            </a:srgbClr>
                          </a:outerShdw>
                        </a:effectLst>
                      </wps:spPr>
                      <wps:txbx>
                        <w:txbxContent>
                          <w:p w14:paraId="52E01DBC" w14:textId="77777777" w:rsidR="0016701A" w:rsidRDefault="0016701A" w:rsidP="0016701A">
                            <w:pPr>
                              <w:rPr>
                                <w:rFonts w:ascii="Arial" w:hAnsi="Arial" w:cs="Arial"/>
                                <w:sz w:val="18"/>
                                <w:szCs w:val="18"/>
                              </w:rPr>
                            </w:pPr>
                            <w:r>
                              <w:rPr>
                                <w:rFonts w:ascii="Arial" w:hAnsi="Arial" w:cs="Arial"/>
                                <w:sz w:val="18"/>
                                <w:szCs w:val="18"/>
                              </w:rPr>
                              <w:t>Voluntary uptake and promotion of HSR by food manufacturers and retailers</w:t>
                            </w:r>
                          </w:p>
                          <w:p w14:paraId="7AE1962D" w14:textId="77777777" w:rsidR="0016701A" w:rsidRDefault="0016701A" w:rsidP="0016701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F77B22" id="Text Box 15" o:spid="_x0000_s1045" type="#_x0000_t202" style="position:absolute;left:0;text-align:left;margin-left:200.25pt;margin-top:148.5pt;width:99pt;height:7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" fillcolor="#84c6d8" strokecolor="#f2f2f2" strokeweight="3pt">
                <v:shadow on="t" color="#205867" opacity=".5" offset="1pt"/>
                <v:textbox>
                  <w:txbxContent>
                    <w:p w14:paraId="52E01DBC" w14:textId="77777777" w:rsidR="0016701A" w:rsidRDefault="0016701A" w:rsidP="0016701A">
                      <w:pPr>
                        <w:rPr>
                          <w:rFonts w:ascii="Arial" w:hAnsi="Arial" w:cs="Arial"/>
                          <w:sz w:val="18"/>
                          <w:szCs w:val="18"/>
                        </w:rPr>
                      </w:pPr>
                      <w:r>
                        <w:rPr>
                          <w:rFonts w:ascii="Arial" w:hAnsi="Arial" w:cs="Arial"/>
                          <w:sz w:val="18"/>
                          <w:szCs w:val="18"/>
                        </w:rPr>
                        <w:t>Voluntary uptake and promotion of HSR by food manufacturers and retailers</w:t>
                      </w:r>
                    </w:p>
                    <w:p w14:paraId="7AE1962D" w14:textId="77777777" w:rsidR="0016701A" w:rsidRDefault="0016701A" w:rsidP="0016701A">
                      <w:pPr>
                        <w:rPr>
                          <w:rFonts w:ascii="Arial" w:hAnsi="Arial" w:cs="Arial"/>
                          <w:sz w:val="18"/>
                          <w:szCs w:val="18"/>
                        </w:rPr>
                      </w:pPr>
                    </w:p>
                  </w:txbxContent>
                </v:textbox>
              </v:shape>
            </w:pict>
          </mc:Fallback>
        </mc:AlternateContent>
      </w:r>
      <w:r>
        <w:rPr>
          <w:rFonts w:ascii="Times New Roman" w:hAnsi="Times New Roman" w:cs="Times New Roman"/>
          <w:noProof/>
          <w:szCs w:val="20"/>
        </w:rPr>
        <mc:AlternateContent>
          <mc:Choice Requires="wps">
            <w:drawing>
              <wp:anchor distT="0" distB="0" distL="114300" distR="114300" simplePos="0" relativeHeight="251661312" behindDoc="0" locked="0" layoutInCell="1" allowOverlap="1" wp14:anchorId="03118F9A" wp14:editId="53BEC01D">
                <wp:simplePos x="0" y="0"/>
                <wp:positionH relativeFrom="column">
                  <wp:posOffset>876300</wp:posOffset>
                </wp:positionH>
                <wp:positionV relativeFrom="paragraph">
                  <wp:posOffset>760730</wp:posOffset>
                </wp:positionV>
                <wp:extent cx="1495425" cy="1295400"/>
                <wp:effectExtent l="0" t="0" r="2857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295400"/>
                        </a:xfrm>
                        <a:prstGeom prst="rect">
                          <a:avLst/>
                        </a:prstGeom>
                        <a:solidFill>
                          <a:srgbClr val="FFFFFF"/>
                        </a:solidFill>
                        <a:ln w="9525">
                          <a:solidFill>
                            <a:srgbClr val="000000"/>
                          </a:solidFill>
                          <a:miter lim="800000"/>
                          <a:headEnd/>
                          <a:tailEnd/>
                        </a:ln>
                      </wps:spPr>
                      <wps:txbx>
                        <w:txbxContent>
                          <w:p w14:paraId="3B4B373B" w14:textId="77777777" w:rsidR="0016701A" w:rsidRDefault="0016701A" w:rsidP="0016701A">
                            <w:pPr>
                              <w:spacing w:before="0" w:after="0"/>
                              <w:rPr>
                                <w:rFonts w:ascii="Arial" w:hAnsi="Arial" w:cs="Arial"/>
                                <w:b/>
                                <w:sz w:val="18"/>
                                <w:szCs w:val="18"/>
                              </w:rPr>
                            </w:pPr>
                            <w:r>
                              <w:rPr>
                                <w:rFonts w:ascii="Arial" w:hAnsi="Arial" w:cs="Arial"/>
                                <w:b/>
                                <w:sz w:val="18"/>
                                <w:szCs w:val="18"/>
                              </w:rPr>
                              <w:t>2. HSR Public Relations Strategy</w:t>
                            </w:r>
                          </w:p>
                          <w:p w14:paraId="4F92A813" w14:textId="77777777" w:rsidR="0016701A" w:rsidRDefault="0016701A" w:rsidP="0016701A">
                            <w:pPr>
                              <w:numPr>
                                <w:ilvl w:val="0"/>
                                <w:numId w:val="14"/>
                              </w:numPr>
                              <w:spacing w:before="0" w:after="0"/>
                              <w:ind w:left="142" w:hanging="142"/>
                              <w:rPr>
                                <w:rFonts w:ascii="Arial" w:hAnsi="Arial" w:cs="Arial"/>
                                <w:sz w:val="18"/>
                                <w:szCs w:val="18"/>
                              </w:rPr>
                            </w:pPr>
                            <w:r>
                              <w:rPr>
                                <w:rFonts w:ascii="Arial" w:hAnsi="Arial" w:cs="Arial"/>
                                <w:sz w:val="18"/>
                                <w:szCs w:val="18"/>
                              </w:rPr>
                              <w:t>Consumers (adult grocery buyers and priority groups) (1°)</w:t>
                            </w:r>
                          </w:p>
                          <w:p w14:paraId="4846D258" w14:textId="77777777" w:rsidR="0016701A" w:rsidRDefault="0016701A" w:rsidP="0016701A">
                            <w:pPr>
                              <w:numPr>
                                <w:ilvl w:val="0"/>
                                <w:numId w:val="14"/>
                              </w:numPr>
                              <w:spacing w:before="0" w:after="0"/>
                              <w:ind w:left="142" w:hanging="142"/>
                              <w:rPr>
                                <w:rFonts w:ascii="Arial" w:hAnsi="Arial" w:cs="Arial"/>
                                <w:sz w:val="18"/>
                                <w:szCs w:val="18"/>
                              </w:rPr>
                            </w:pPr>
                            <w:r>
                              <w:rPr>
                                <w:rFonts w:ascii="Arial" w:hAnsi="Arial" w:cs="Arial"/>
                                <w:sz w:val="18"/>
                                <w:szCs w:val="18"/>
                              </w:rPr>
                              <w:t>Industry (2°)</w:t>
                            </w:r>
                          </w:p>
                          <w:p w14:paraId="600053F5" w14:textId="77777777" w:rsidR="0016701A" w:rsidRDefault="0016701A" w:rsidP="0016701A">
                            <w:pPr>
                              <w:numPr>
                                <w:ilvl w:val="0"/>
                                <w:numId w:val="14"/>
                              </w:numPr>
                              <w:spacing w:before="0" w:after="0"/>
                              <w:ind w:left="142" w:hanging="142"/>
                              <w:rPr>
                                <w:rFonts w:ascii="Arial" w:hAnsi="Arial" w:cs="Arial"/>
                                <w:sz w:val="18"/>
                                <w:szCs w:val="18"/>
                              </w:rPr>
                            </w:pPr>
                            <w:r>
                              <w:rPr>
                                <w:rFonts w:ascii="Arial" w:hAnsi="Arial" w:cs="Arial"/>
                                <w:sz w:val="18"/>
                                <w:szCs w:val="18"/>
                              </w:rPr>
                              <w:t>Stakeholders &amp; Professionals (3°)</w:t>
                            </w:r>
                          </w:p>
                          <w:p w14:paraId="07A1BD9E" w14:textId="77777777" w:rsidR="0016701A" w:rsidRDefault="0016701A" w:rsidP="0016701A">
                            <w:pPr>
                              <w:numPr>
                                <w:ilvl w:val="0"/>
                                <w:numId w:val="14"/>
                              </w:numPr>
                              <w:spacing w:before="0" w:after="0"/>
                              <w:ind w:left="142" w:hanging="142"/>
                              <w:rPr>
                                <w:rFonts w:ascii="Arial" w:hAnsi="Arial" w:cs="Arial"/>
                                <w:sz w:val="18"/>
                                <w:szCs w:val="18"/>
                              </w:rPr>
                            </w:pPr>
                            <w:r>
                              <w:rPr>
                                <w:rFonts w:ascii="Arial" w:hAnsi="Arial" w:cs="Arial"/>
                                <w:sz w:val="18"/>
                                <w:szCs w:val="18"/>
                              </w:rPr>
                              <w:t>Media (3°)</w:t>
                            </w:r>
                          </w:p>
                          <w:p w14:paraId="62F4012E" w14:textId="77777777" w:rsidR="0016701A" w:rsidRDefault="0016701A" w:rsidP="0016701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18F9A" id="Text Box 22" o:spid="_x0000_s1046" type="#_x0000_t202" style="position:absolute;left:0;text-align:left;margin-left:69pt;margin-top:59.9pt;width:117.7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">
                <v:textbox>
                  <w:txbxContent>
                    <w:p w14:paraId="3B4B373B" w14:textId="77777777" w:rsidR="0016701A" w:rsidRDefault="0016701A" w:rsidP="0016701A">
                      <w:pPr>
                        <w:spacing w:before="0" w:after="0"/>
                        <w:rPr>
                          <w:rFonts w:ascii="Arial" w:hAnsi="Arial" w:cs="Arial"/>
                          <w:b/>
                          <w:sz w:val="18"/>
                          <w:szCs w:val="18"/>
                        </w:rPr>
                      </w:pPr>
                      <w:r>
                        <w:rPr>
                          <w:rFonts w:ascii="Arial" w:hAnsi="Arial" w:cs="Arial"/>
                          <w:b/>
                          <w:sz w:val="18"/>
                          <w:szCs w:val="18"/>
                        </w:rPr>
                        <w:t>2. HSR Public Relations Strategy</w:t>
                      </w:r>
                    </w:p>
                    <w:p w14:paraId="4F92A813" w14:textId="77777777" w:rsidR="0016701A" w:rsidRDefault="0016701A" w:rsidP="0016701A">
                      <w:pPr>
                        <w:numPr>
                          <w:ilvl w:val="0"/>
                          <w:numId w:val="14"/>
                        </w:numPr>
                        <w:spacing w:before="0" w:after="0"/>
                        <w:ind w:left="142" w:hanging="142"/>
                        <w:rPr>
                          <w:rFonts w:ascii="Arial" w:hAnsi="Arial" w:cs="Arial"/>
                          <w:sz w:val="18"/>
                          <w:szCs w:val="18"/>
                        </w:rPr>
                      </w:pPr>
                      <w:r>
                        <w:rPr>
                          <w:rFonts w:ascii="Arial" w:hAnsi="Arial" w:cs="Arial"/>
                          <w:sz w:val="18"/>
                          <w:szCs w:val="18"/>
                        </w:rPr>
                        <w:t>Consumers (adult grocery buyers and priority groups) (1°)</w:t>
                      </w:r>
                    </w:p>
                    <w:p w14:paraId="4846D258" w14:textId="77777777" w:rsidR="0016701A" w:rsidRDefault="0016701A" w:rsidP="0016701A">
                      <w:pPr>
                        <w:numPr>
                          <w:ilvl w:val="0"/>
                          <w:numId w:val="14"/>
                        </w:numPr>
                        <w:spacing w:before="0" w:after="0"/>
                        <w:ind w:left="142" w:hanging="142"/>
                        <w:rPr>
                          <w:rFonts w:ascii="Arial" w:hAnsi="Arial" w:cs="Arial"/>
                          <w:sz w:val="18"/>
                          <w:szCs w:val="18"/>
                        </w:rPr>
                      </w:pPr>
                      <w:r>
                        <w:rPr>
                          <w:rFonts w:ascii="Arial" w:hAnsi="Arial" w:cs="Arial"/>
                          <w:sz w:val="18"/>
                          <w:szCs w:val="18"/>
                        </w:rPr>
                        <w:t>Industry (2°)</w:t>
                      </w:r>
                    </w:p>
                    <w:p w14:paraId="600053F5" w14:textId="77777777" w:rsidR="0016701A" w:rsidRDefault="0016701A" w:rsidP="0016701A">
                      <w:pPr>
                        <w:numPr>
                          <w:ilvl w:val="0"/>
                          <w:numId w:val="14"/>
                        </w:numPr>
                        <w:spacing w:before="0" w:after="0"/>
                        <w:ind w:left="142" w:hanging="142"/>
                        <w:rPr>
                          <w:rFonts w:ascii="Arial" w:hAnsi="Arial" w:cs="Arial"/>
                          <w:sz w:val="18"/>
                          <w:szCs w:val="18"/>
                        </w:rPr>
                      </w:pPr>
                      <w:r>
                        <w:rPr>
                          <w:rFonts w:ascii="Arial" w:hAnsi="Arial" w:cs="Arial"/>
                          <w:sz w:val="18"/>
                          <w:szCs w:val="18"/>
                        </w:rPr>
                        <w:t>Stakeholders &amp; Professionals (3°)</w:t>
                      </w:r>
                    </w:p>
                    <w:p w14:paraId="07A1BD9E" w14:textId="77777777" w:rsidR="0016701A" w:rsidRDefault="0016701A" w:rsidP="0016701A">
                      <w:pPr>
                        <w:numPr>
                          <w:ilvl w:val="0"/>
                          <w:numId w:val="14"/>
                        </w:numPr>
                        <w:spacing w:before="0" w:after="0"/>
                        <w:ind w:left="142" w:hanging="142"/>
                        <w:rPr>
                          <w:rFonts w:ascii="Arial" w:hAnsi="Arial" w:cs="Arial"/>
                          <w:sz w:val="18"/>
                          <w:szCs w:val="18"/>
                        </w:rPr>
                      </w:pPr>
                      <w:r>
                        <w:rPr>
                          <w:rFonts w:ascii="Arial" w:hAnsi="Arial" w:cs="Arial"/>
                          <w:sz w:val="18"/>
                          <w:szCs w:val="18"/>
                        </w:rPr>
                        <w:t>Media (3°)</w:t>
                      </w:r>
                    </w:p>
                    <w:p w14:paraId="62F4012E" w14:textId="77777777" w:rsidR="0016701A" w:rsidRDefault="0016701A" w:rsidP="0016701A">
                      <w:pPr>
                        <w:rPr>
                          <w:rFonts w:ascii="Arial" w:hAnsi="Arial" w:cs="Arial"/>
                          <w:sz w:val="18"/>
                          <w:szCs w:val="18"/>
                        </w:rPr>
                      </w:pPr>
                    </w:p>
                  </w:txbxContent>
                </v:textbox>
              </v:shape>
            </w:pict>
          </mc:Fallback>
        </mc:AlternateContent>
      </w:r>
      <w:r>
        <w:rPr>
          <w:rFonts w:ascii="Times New Roman" w:hAnsi="Times New Roman" w:cs="Times New Roman"/>
          <w:noProof/>
          <w:szCs w:val="20"/>
        </w:rPr>
        <mc:AlternateContent>
          <mc:Choice Requires="wps">
            <w:drawing>
              <wp:anchor distT="0" distB="0" distL="114300" distR="114300" simplePos="0" relativeHeight="251682816" behindDoc="0" locked="0" layoutInCell="1" allowOverlap="1" wp14:anchorId="57DD0914" wp14:editId="55B22E5D">
                <wp:simplePos x="0" y="0"/>
                <wp:positionH relativeFrom="column">
                  <wp:posOffset>3905250</wp:posOffset>
                </wp:positionH>
                <wp:positionV relativeFrom="paragraph">
                  <wp:posOffset>2846705</wp:posOffset>
                </wp:positionV>
                <wp:extent cx="3800475" cy="1028700"/>
                <wp:effectExtent l="19050" t="19050" r="47625" b="571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1028700"/>
                        </a:xfrm>
                        <a:prstGeom prst="rect">
                          <a:avLst/>
                        </a:prstGeom>
                        <a:solidFill>
                          <a:srgbClr val="84C6D8"/>
                        </a:solidFill>
                        <a:ln w="38100">
                          <a:solidFill>
                            <a:srgbClr val="F2F2F2"/>
                          </a:solidFill>
                          <a:miter lim="800000"/>
                          <a:headEnd/>
                          <a:tailEnd/>
                        </a:ln>
                        <a:effectLst>
                          <a:outerShdw dist="28398" dir="3806097" algn="ctr" rotWithShape="0">
                            <a:srgbClr val="205867">
                              <a:alpha val="50000"/>
                            </a:srgbClr>
                          </a:outerShdw>
                        </a:effectLst>
                      </wps:spPr>
                      <wps:txbx>
                        <w:txbxContent>
                          <w:p w14:paraId="45DE370C" w14:textId="77777777" w:rsidR="0016701A" w:rsidRPr="00340078" w:rsidRDefault="0016701A" w:rsidP="0016701A">
                            <w:pPr>
                              <w:spacing w:before="0" w:after="0"/>
                              <w:rPr>
                                <w:rFonts w:ascii="Arial" w:hAnsi="Arial" w:cs="Arial"/>
                                <w:b/>
                                <w:sz w:val="18"/>
                                <w:szCs w:val="18"/>
                                <w:u w:val="single"/>
                              </w:rPr>
                            </w:pPr>
                            <w:r w:rsidRPr="00340078">
                              <w:rPr>
                                <w:rFonts w:ascii="Arial" w:hAnsi="Arial" w:cs="Arial"/>
                                <w:b/>
                                <w:sz w:val="18"/>
                                <w:szCs w:val="18"/>
                                <w:u w:val="single"/>
                              </w:rPr>
                              <w:t>A</w:t>
                            </w:r>
                            <w:r>
                              <w:rPr>
                                <w:rFonts w:ascii="Arial" w:hAnsi="Arial" w:cs="Arial"/>
                                <w:b/>
                                <w:sz w:val="18"/>
                                <w:szCs w:val="18"/>
                                <w:u w:val="single"/>
                              </w:rPr>
                              <w:t>o</w:t>
                            </w:r>
                            <w:r w:rsidRPr="00340078">
                              <w:rPr>
                                <w:rFonts w:ascii="Arial" w:hAnsi="Arial" w:cs="Arial"/>
                                <w:b/>
                                <w:sz w:val="18"/>
                                <w:szCs w:val="18"/>
                                <w:u w:val="single"/>
                              </w:rPr>
                              <w:t xml:space="preserve">E3: </w:t>
                            </w:r>
                            <w:r>
                              <w:rPr>
                                <w:rFonts w:ascii="Arial" w:hAnsi="Arial" w:cs="Arial"/>
                                <w:b/>
                                <w:sz w:val="18"/>
                                <w:szCs w:val="18"/>
                                <w:u w:val="single"/>
                              </w:rPr>
                              <w:t>Nutrient status and application of the system</w:t>
                            </w:r>
                          </w:p>
                          <w:p w14:paraId="78F2B26E" w14:textId="77777777" w:rsidR="0016701A" w:rsidRPr="00340078" w:rsidRDefault="0016701A" w:rsidP="0016701A">
                            <w:pPr>
                              <w:spacing w:before="0" w:after="0"/>
                              <w:rPr>
                                <w:rFonts w:ascii="Arial" w:hAnsi="Arial" w:cs="Arial"/>
                                <w:bCs/>
                                <w:sz w:val="18"/>
                                <w:szCs w:val="18"/>
                              </w:rPr>
                            </w:pPr>
                            <w:r w:rsidRPr="00340078">
                              <w:rPr>
                                <w:rFonts w:ascii="Arial" w:hAnsi="Arial" w:cs="Arial"/>
                                <w:bCs/>
                                <w:sz w:val="18"/>
                                <w:szCs w:val="18"/>
                              </w:rPr>
                              <w:t>Desirable: HSR system encourages a decrease in risk nutrients and/or an increase in positive nutrients by manufacturers</w:t>
                            </w:r>
                          </w:p>
                          <w:p w14:paraId="11B41575" w14:textId="77777777" w:rsidR="0016701A" w:rsidRDefault="0016701A" w:rsidP="0016701A">
                            <w:pPr>
                              <w:spacing w:after="0"/>
                              <w:rPr>
                                <w:rFonts w:ascii="Arial" w:hAnsi="Arial" w:cs="Arial"/>
                                <w:i/>
                                <w:sz w:val="18"/>
                                <w:szCs w:val="18"/>
                              </w:rPr>
                            </w:pPr>
                            <w:r w:rsidRPr="000F4958">
                              <w:rPr>
                                <w:rFonts w:ascii="Arial" w:hAnsi="Arial" w:cs="Arial"/>
                                <w:i/>
                                <w:sz w:val="18"/>
                                <w:szCs w:val="18"/>
                              </w:rPr>
                              <w:t xml:space="preserve">A range of indicators </w:t>
                            </w:r>
                            <w:r w:rsidRPr="000F4958">
                              <w:rPr>
                                <w:rFonts w:ascii="Arial" w:hAnsi="Arial" w:cs="Arial"/>
                                <w:i/>
                                <w:sz w:val="18"/>
                                <w:szCs w:val="18"/>
                                <w:u w:val="single"/>
                              </w:rPr>
                              <w:t>may</w:t>
                            </w:r>
                            <w:r w:rsidRPr="000F4958">
                              <w:rPr>
                                <w:rFonts w:ascii="Arial" w:hAnsi="Arial" w:cs="Arial"/>
                                <w:i/>
                                <w:sz w:val="18"/>
                                <w:szCs w:val="18"/>
                              </w:rPr>
                              <w:t xml:space="preserve"> be monitored</w:t>
                            </w:r>
                            <w:r>
                              <w:rPr>
                                <w:rFonts w:ascii="Arial" w:hAnsi="Arial" w:cs="Arial"/>
                                <w:i/>
                                <w:sz w:val="18"/>
                                <w:szCs w:val="18"/>
                              </w:rPr>
                              <w:t>:</w:t>
                            </w:r>
                          </w:p>
                          <w:p w14:paraId="44A7E7C5" w14:textId="77777777" w:rsidR="0016701A" w:rsidRDefault="0016701A" w:rsidP="0016701A">
                            <w:pPr>
                              <w:numPr>
                                <w:ilvl w:val="0"/>
                                <w:numId w:val="16"/>
                              </w:numPr>
                              <w:spacing w:before="0" w:after="0"/>
                              <w:rPr>
                                <w:rFonts w:ascii="Arial" w:hAnsi="Arial" w:cs="Arial"/>
                                <w:i/>
                                <w:sz w:val="18"/>
                                <w:szCs w:val="18"/>
                              </w:rPr>
                            </w:pPr>
                            <w:r w:rsidRPr="000F4958">
                              <w:rPr>
                                <w:rFonts w:ascii="Arial" w:hAnsi="Arial" w:cs="Arial"/>
                                <w:i/>
                                <w:sz w:val="18"/>
                                <w:szCs w:val="18"/>
                              </w:rPr>
                              <w:t xml:space="preserve">Reformulation </w:t>
                            </w:r>
                            <w:r>
                              <w:rPr>
                                <w:rFonts w:ascii="Arial" w:hAnsi="Arial" w:cs="Arial"/>
                                <w:i/>
                                <w:sz w:val="18"/>
                                <w:szCs w:val="18"/>
                              </w:rPr>
                              <w:t>and n</w:t>
                            </w:r>
                            <w:r w:rsidRPr="0040065A">
                              <w:rPr>
                                <w:rFonts w:ascii="Arial" w:hAnsi="Arial" w:cs="Arial"/>
                                <w:i/>
                                <w:sz w:val="18"/>
                                <w:szCs w:val="18"/>
                              </w:rPr>
                              <w:t>utrient status of HSR</w:t>
                            </w:r>
                            <w:r>
                              <w:rPr>
                                <w:rFonts w:ascii="Arial" w:hAnsi="Arial" w:cs="Arial"/>
                                <w:i/>
                                <w:sz w:val="18"/>
                                <w:szCs w:val="18"/>
                              </w:rPr>
                              <w:t xml:space="preserve"> products</w:t>
                            </w:r>
                          </w:p>
                          <w:p w14:paraId="7873483B" w14:textId="77777777" w:rsidR="0016701A" w:rsidRPr="0040065A" w:rsidRDefault="0016701A" w:rsidP="0016701A">
                            <w:pPr>
                              <w:numPr>
                                <w:ilvl w:val="0"/>
                                <w:numId w:val="16"/>
                              </w:numPr>
                              <w:spacing w:before="0" w:after="0"/>
                              <w:rPr>
                                <w:rFonts w:ascii="Arial" w:hAnsi="Arial" w:cs="Arial"/>
                                <w:i/>
                                <w:sz w:val="18"/>
                                <w:szCs w:val="18"/>
                              </w:rPr>
                            </w:pPr>
                            <w:r>
                              <w:rPr>
                                <w:rFonts w:ascii="Arial" w:hAnsi="Arial" w:cs="Arial"/>
                                <w:i/>
                                <w:sz w:val="18"/>
                                <w:szCs w:val="18"/>
                              </w:rPr>
                              <w:t>Compliance and accuracy of ratings</w:t>
                            </w:r>
                          </w:p>
                          <w:p w14:paraId="79A6ED33" w14:textId="77777777" w:rsidR="0016701A" w:rsidRDefault="0016701A" w:rsidP="0016701A">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D0914" id="Rectangle 3" o:spid="_x0000_s1047" style="position:absolute;left:0;text-align:left;margin-left:307.5pt;margin-top:224.15pt;width:299.25pt;height: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" fillcolor="#84c6d8" strokecolor="#f2f2f2" strokeweight="3pt">
                <v:shadow on="t" color="#205867" opacity=".5" offset="1pt"/>
                <v:textbox>
                  <w:txbxContent>
                    <w:p w14:paraId="45DE370C" w14:textId="77777777" w:rsidR="0016701A" w:rsidRPr="00340078" w:rsidRDefault="0016701A" w:rsidP="0016701A">
                      <w:pPr>
                        <w:spacing w:before="0" w:after="0"/>
                        <w:rPr>
                          <w:rFonts w:ascii="Arial" w:hAnsi="Arial" w:cs="Arial"/>
                          <w:b/>
                          <w:sz w:val="18"/>
                          <w:szCs w:val="18"/>
                          <w:u w:val="single"/>
                        </w:rPr>
                      </w:pPr>
                      <w:r w:rsidRPr="00340078">
                        <w:rPr>
                          <w:rFonts w:ascii="Arial" w:hAnsi="Arial" w:cs="Arial"/>
                          <w:b/>
                          <w:sz w:val="18"/>
                          <w:szCs w:val="18"/>
                          <w:u w:val="single"/>
                        </w:rPr>
                        <w:t>A</w:t>
                      </w:r>
                      <w:r>
                        <w:rPr>
                          <w:rFonts w:ascii="Arial" w:hAnsi="Arial" w:cs="Arial"/>
                          <w:b/>
                          <w:sz w:val="18"/>
                          <w:szCs w:val="18"/>
                          <w:u w:val="single"/>
                        </w:rPr>
                        <w:t>o</w:t>
                      </w:r>
                      <w:r w:rsidRPr="00340078">
                        <w:rPr>
                          <w:rFonts w:ascii="Arial" w:hAnsi="Arial" w:cs="Arial"/>
                          <w:b/>
                          <w:sz w:val="18"/>
                          <w:szCs w:val="18"/>
                          <w:u w:val="single"/>
                        </w:rPr>
                        <w:t xml:space="preserve">E3: </w:t>
                      </w:r>
                      <w:r>
                        <w:rPr>
                          <w:rFonts w:ascii="Arial" w:hAnsi="Arial" w:cs="Arial"/>
                          <w:b/>
                          <w:sz w:val="18"/>
                          <w:szCs w:val="18"/>
                          <w:u w:val="single"/>
                        </w:rPr>
                        <w:t>Nutrient status and application of the system</w:t>
                      </w:r>
                    </w:p>
                    <w:p w14:paraId="78F2B26E" w14:textId="77777777" w:rsidR="0016701A" w:rsidRPr="00340078" w:rsidRDefault="0016701A" w:rsidP="0016701A">
                      <w:pPr>
                        <w:spacing w:before="0" w:after="0"/>
                        <w:rPr>
                          <w:rFonts w:ascii="Arial" w:hAnsi="Arial" w:cs="Arial"/>
                          <w:bCs/>
                          <w:sz w:val="18"/>
                          <w:szCs w:val="18"/>
                        </w:rPr>
                      </w:pPr>
                      <w:r w:rsidRPr="00340078">
                        <w:rPr>
                          <w:rFonts w:ascii="Arial" w:hAnsi="Arial" w:cs="Arial"/>
                          <w:bCs/>
                          <w:sz w:val="18"/>
                          <w:szCs w:val="18"/>
                        </w:rPr>
                        <w:t>Desirable: HSR system encourages a decrease in risk nutrients and/or an increase in positive nutrients by manufacturers</w:t>
                      </w:r>
                    </w:p>
                    <w:p w14:paraId="11B41575" w14:textId="77777777" w:rsidR="0016701A" w:rsidRDefault="0016701A" w:rsidP="0016701A">
                      <w:pPr>
                        <w:spacing w:after="0"/>
                        <w:rPr>
                          <w:rFonts w:ascii="Arial" w:hAnsi="Arial" w:cs="Arial"/>
                          <w:i/>
                          <w:sz w:val="18"/>
                          <w:szCs w:val="18"/>
                        </w:rPr>
                      </w:pPr>
                      <w:r w:rsidRPr="000F4958">
                        <w:rPr>
                          <w:rFonts w:ascii="Arial" w:hAnsi="Arial" w:cs="Arial"/>
                          <w:i/>
                          <w:sz w:val="18"/>
                          <w:szCs w:val="18"/>
                        </w:rPr>
                        <w:t xml:space="preserve">A range of indicators </w:t>
                      </w:r>
                      <w:r w:rsidRPr="000F4958">
                        <w:rPr>
                          <w:rFonts w:ascii="Arial" w:hAnsi="Arial" w:cs="Arial"/>
                          <w:i/>
                          <w:sz w:val="18"/>
                          <w:szCs w:val="18"/>
                          <w:u w:val="single"/>
                        </w:rPr>
                        <w:t>may</w:t>
                      </w:r>
                      <w:r w:rsidRPr="000F4958">
                        <w:rPr>
                          <w:rFonts w:ascii="Arial" w:hAnsi="Arial" w:cs="Arial"/>
                          <w:i/>
                          <w:sz w:val="18"/>
                          <w:szCs w:val="18"/>
                        </w:rPr>
                        <w:t xml:space="preserve"> be monitored</w:t>
                      </w:r>
                      <w:r>
                        <w:rPr>
                          <w:rFonts w:ascii="Arial" w:hAnsi="Arial" w:cs="Arial"/>
                          <w:i/>
                          <w:sz w:val="18"/>
                          <w:szCs w:val="18"/>
                        </w:rPr>
                        <w:t>:</w:t>
                      </w:r>
                    </w:p>
                    <w:p w14:paraId="44A7E7C5" w14:textId="77777777" w:rsidR="0016701A" w:rsidRDefault="0016701A" w:rsidP="0016701A">
                      <w:pPr>
                        <w:numPr>
                          <w:ilvl w:val="0"/>
                          <w:numId w:val="16"/>
                        </w:numPr>
                        <w:spacing w:before="0" w:after="0"/>
                        <w:rPr>
                          <w:rFonts w:ascii="Arial" w:hAnsi="Arial" w:cs="Arial"/>
                          <w:i/>
                          <w:sz w:val="18"/>
                          <w:szCs w:val="18"/>
                        </w:rPr>
                      </w:pPr>
                      <w:r w:rsidRPr="000F4958">
                        <w:rPr>
                          <w:rFonts w:ascii="Arial" w:hAnsi="Arial" w:cs="Arial"/>
                          <w:i/>
                          <w:sz w:val="18"/>
                          <w:szCs w:val="18"/>
                        </w:rPr>
                        <w:t xml:space="preserve">Reformulation </w:t>
                      </w:r>
                      <w:r>
                        <w:rPr>
                          <w:rFonts w:ascii="Arial" w:hAnsi="Arial" w:cs="Arial"/>
                          <w:i/>
                          <w:sz w:val="18"/>
                          <w:szCs w:val="18"/>
                        </w:rPr>
                        <w:t>and n</w:t>
                      </w:r>
                      <w:r w:rsidRPr="0040065A">
                        <w:rPr>
                          <w:rFonts w:ascii="Arial" w:hAnsi="Arial" w:cs="Arial"/>
                          <w:i/>
                          <w:sz w:val="18"/>
                          <w:szCs w:val="18"/>
                        </w:rPr>
                        <w:t>utrient status of HSR</w:t>
                      </w:r>
                      <w:r>
                        <w:rPr>
                          <w:rFonts w:ascii="Arial" w:hAnsi="Arial" w:cs="Arial"/>
                          <w:i/>
                          <w:sz w:val="18"/>
                          <w:szCs w:val="18"/>
                        </w:rPr>
                        <w:t xml:space="preserve"> products</w:t>
                      </w:r>
                    </w:p>
                    <w:p w14:paraId="7873483B" w14:textId="77777777" w:rsidR="0016701A" w:rsidRPr="0040065A" w:rsidRDefault="0016701A" w:rsidP="0016701A">
                      <w:pPr>
                        <w:numPr>
                          <w:ilvl w:val="0"/>
                          <w:numId w:val="16"/>
                        </w:numPr>
                        <w:spacing w:before="0" w:after="0"/>
                        <w:rPr>
                          <w:rFonts w:ascii="Arial" w:hAnsi="Arial" w:cs="Arial"/>
                          <w:i/>
                          <w:sz w:val="18"/>
                          <w:szCs w:val="18"/>
                        </w:rPr>
                      </w:pPr>
                      <w:r>
                        <w:rPr>
                          <w:rFonts w:ascii="Arial" w:hAnsi="Arial" w:cs="Arial"/>
                          <w:i/>
                          <w:sz w:val="18"/>
                          <w:szCs w:val="18"/>
                        </w:rPr>
                        <w:t>Compliance and accuracy of ratings</w:t>
                      </w:r>
                    </w:p>
                    <w:p w14:paraId="79A6ED33" w14:textId="77777777" w:rsidR="0016701A" w:rsidRDefault="0016701A" w:rsidP="0016701A">
                      <w:pPr>
                        <w:rPr>
                          <w:rFonts w:ascii="Arial" w:hAnsi="Arial" w:cs="Arial"/>
                          <w:sz w:val="18"/>
                          <w:szCs w:val="18"/>
                        </w:rPr>
                      </w:pPr>
                    </w:p>
                  </w:txbxContent>
                </v:textbox>
              </v:rect>
            </w:pict>
          </mc:Fallback>
        </mc:AlternateContent>
      </w:r>
      <w:bookmarkEnd w:id="0"/>
    </w:p>
    <w:p w14:paraId="71CA1D2A" w14:textId="77777777" w:rsidR="0016701A" w:rsidRDefault="0016701A" w:rsidP="0016701A">
      <w:pPr>
        <w:pStyle w:val="Heading1"/>
        <w:numPr>
          <w:ilvl w:val="0"/>
          <w:numId w:val="33"/>
        </w:numPr>
        <w:tabs>
          <w:tab w:val="num" w:pos="360"/>
        </w:tabs>
      </w:pPr>
      <w:bookmarkStart w:id="1" w:name="_Toc127262945"/>
      <w:r>
        <w:lastRenderedPageBreak/>
        <w:t>Program logic</w:t>
      </w:r>
      <w:bookmarkEnd w:id="1"/>
      <w:r>
        <w:t xml:space="preserve"> </w:t>
      </w:r>
    </w:p>
    <w:p w14:paraId="71CDD38F" w14:textId="77777777" w:rsidR="0016701A" w:rsidRPr="005D2378" w:rsidRDefault="0016701A" w:rsidP="0016701A">
      <w:r>
        <w:t xml:space="preserve">The program logic first developed in 2016 and updated in 2023 outlines the intended objective and proposed outcomes for the system. This sets the context for the monitoring framework. </w:t>
      </w:r>
    </w:p>
    <w:p w14:paraId="003A062C" w14:textId="77777777" w:rsidR="0016701A" w:rsidRPr="00606C54" w:rsidRDefault="0016701A" w:rsidP="0016701A">
      <w:pPr>
        <w:pStyle w:val="Heading1"/>
        <w:numPr>
          <w:ilvl w:val="0"/>
          <w:numId w:val="8"/>
        </w:numPr>
      </w:pPr>
      <w:bookmarkStart w:id="2" w:name="_Toc127262946"/>
      <w:r w:rsidRPr="00606C54">
        <w:t xml:space="preserve">The </w:t>
      </w:r>
      <w:r>
        <w:t>F</w:t>
      </w:r>
      <w:r w:rsidRPr="00606C54">
        <w:t>ramework</w:t>
      </w:r>
      <w:bookmarkEnd w:id="2"/>
    </w:p>
    <w:p w14:paraId="4D0B64C8" w14:textId="77777777" w:rsidR="0016701A" w:rsidRPr="00E76F94" w:rsidRDefault="0016701A" w:rsidP="0016701A">
      <w:pPr>
        <w:pStyle w:val="Heading2"/>
        <w:spacing w:before="0"/>
        <w:rPr>
          <w:sz w:val="22"/>
          <w:szCs w:val="22"/>
        </w:rPr>
      </w:pPr>
      <w:bookmarkStart w:id="3" w:name="_Toc127262947"/>
      <w:r w:rsidRPr="00E76F94">
        <w:rPr>
          <w:sz w:val="22"/>
          <w:szCs w:val="22"/>
        </w:rPr>
        <w:t>Purpose and scope</w:t>
      </w:r>
      <w:bookmarkEnd w:id="3"/>
      <w:r w:rsidRPr="00E76F94">
        <w:rPr>
          <w:sz w:val="22"/>
          <w:szCs w:val="22"/>
        </w:rPr>
        <w:t xml:space="preserve"> </w:t>
      </w:r>
    </w:p>
    <w:p w14:paraId="4926193C" w14:textId="77777777" w:rsidR="0016701A" w:rsidRPr="00E77EA4" w:rsidRDefault="0016701A" w:rsidP="0016701A">
      <w:pPr>
        <w:spacing w:before="0"/>
      </w:pPr>
      <w:r w:rsidRPr="00606C54">
        <w:t xml:space="preserve">The purpose of this monitoring </w:t>
      </w:r>
      <w:r>
        <w:t>f</w:t>
      </w:r>
      <w:r w:rsidRPr="00E77EA4">
        <w:t xml:space="preserve">ramework </w:t>
      </w:r>
      <w:r>
        <w:t xml:space="preserve">is </w:t>
      </w:r>
      <w:r w:rsidRPr="00E77EA4">
        <w:t xml:space="preserve">to guide the initial monitoring of the </w:t>
      </w:r>
      <w:r>
        <w:t xml:space="preserve">updated </w:t>
      </w:r>
      <w:r w:rsidRPr="00606C54">
        <w:t>Health Star Rating (HSR) system</w:t>
      </w:r>
      <w:r w:rsidRPr="00E77EA4">
        <w:t xml:space="preserve"> with further discussion and initial monitoring outcomes required to inform an evaluation strategy for the HSR and the outcomes of other public health initiatives. </w:t>
      </w:r>
    </w:p>
    <w:p w14:paraId="55A2ED16" w14:textId="77777777" w:rsidR="0016701A" w:rsidRDefault="0016701A" w:rsidP="0016701A">
      <w:pPr>
        <w:spacing w:before="0"/>
      </w:pPr>
      <w:r w:rsidRPr="00E77EA4">
        <w:t>In 2020, Food Ministers agreed to the system continuing on a voluntary basis for a further five years (until 2025), with a view to consider mandating at the end of this period should uptake not meet set targets.</w:t>
      </w:r>
      <w:r>
        <w:t xml:space="preserve"> They also agreed to </w:t>
      </w:r>
      <w:r w:rsidRPr="00E77EA4">
        <w:t>improvements to the monitoring of the system.</w:t>
      </w:r>
    </w:p>
    <w:p w14:paraId="666E3A1C" w14:textId="77777777" w:rsidR="0016701A" w:rsidRDefault="0016701A" w:rsidP="0016701A">
      <w:pPr>
        <w:spacing w:before="0"/>
      </w:pPr>
      <w:r w:rsidRPr="00606C54">
        <w:t xml:space="preserve">Monitoring of the HSR system </w:t>
      </w:r>
      <w:r>
        <w:t>aims to:</w:t>
      </w:r>
    </w:p>
    <w:p w14:paraId="2DB82B33" w14:textId="77777777" w:rsidR="0016701A" w:rsidRDefault="0016701A" w:rsidP="0016701A">
      <w:pPr>
        <w:pStyle w:val="ListParagraph"/>
        <w:numPr>
          <w:ilvl w:val="0"/>
          <w:numId w:val="32"/>
        </w:numPr>
        <w:spacing w:before="0"/>
      </w:pPr>
      <w:r>
        <w:t>enable</w:t>
      </w:r>
      <w:r w:rsidRPr="00606C54">
        <w:t xml:space="preserve"> systematic and objective assessment of the implementation and outcomes of the system</w:t>
      </w:r>
    </w:p>
    <w:p w14:paraId="0D5E1401" w14:textId="77777777" w:rsidR="0016701A" w:rsidRDefault="0016701A" w:rsidP="0016701A">
      <w:pPr>
        <w:pStyle w:val="ListParagraph"/>
        <w:numPr>
          <w:ilvl w:val="0"/>
          <w:numId w:val="32"/>
        </w:numPr>
        <w:spacing w:before="0"/>
      </w:pPr>
      <w:r>
        <w:t>collect information</w:t>
      </w:r>
      <w:r w:rsidRPr="00D53E48">
        <w:t xml:space="preserve"> and evidence about what is working well and what is not, for the purposes of continuous improvement, accountability and decision making</w:t>
      </w:r>
      <w:r>
        <w:t xml:space="preserve">. </w:t>
      </w:r>
    </w:p>
    <w:p w14:paraId="6D3220FC" w14:textId="53A13918" w:rsidR="0016701A" w:rsidRDefault="0016701A" w:rsidP="0016701A">
      <w:pPr>
        <w:rPr>
          <w:rFonts w:eastAsiaTheme="minorHAnsi"/>
        </w:rPr>
      </w:pPr>
      <w:r w:rsidRPr="00884465">
        <w:t>An evaluation of the HSR system</w:t>
      </w:r>
      <w:r w:rsidR="009F1243">
        <w:t>’s</w:t>
      </w:r>
      <w:r w:rsidRPr="00884465">
        <w:t xml:space="preserve"> impact on public health </w:t>
      </w:r>
      <w:r w:rsidRPr="00884465">
        <w:rPr>
          <w:u w:val="single"/>
        </w:rPr>
        <w:t>has not</w:t>
      </w:r>
      <w:r w:rsidRPr="00884465">
        <w:t xml:space="preserve"> been included in this Framework. </w:t>
      </w:r>
      <w:r w:rsidRPr="00884465">
        <w:rPr>
          <w:rFonts w:eastAsiaTheme="minorHAnsi"/>
        </w:rPr>
        <w:t xml:space="preserve">The importance of a thorough evaluation of the changes made to the HSR system to assess whether it is achieving its long term outcomes following the Review is acknowledged. These long term outcomes include positive reformulation of products and alignment of ratings with dietary guidelines. </w:t>
      </w:r>
      <w:bookmarkStart w:id="4" w:name="_Hlk148003666"/>
      <w:r w:rsidRPr="00884465">
        <w:rPr>
          <w:rFonts w:eastAsiaTheme="minorHAnsi"/>
        </w:rPr>
        <w:t>The</w:t>
      </w:r>
      <w:r w:rsidR="00B47B94">
        <w:rPr>
          <w:rFonts w:eastAsiaTheme="minorHAnsi"/>
        </w:rPr>
        <w:t>se</w:t>
      </w:r>
      <w:r w:rsidRPr="00884465">
        <w:rPr>
          <w:rFonts w:eastAsiaTheme="minorHAnsi"/>
        </w:rPr>
        <w:t xml:space="preserve"> requirements </w:t>
      </w:r>
      <w:r w:rsidR="008B0EE8">
        <w:rPr>
          <w:rFonts w:eastAsiaTheme="minorHAnsi"/>
        </w:rPr>
        <w:t>will</w:t>
      </w:r>
      <w:r w:rsidRPr="00884465">
        <w:rPr>
          <w:rFonts w:eastAsiaTheme="minorHAnsi"/>
        </w:rPr>
        <w:t xml:space="preserve"> be considered </w:t>
      </w:r>
      <w:r w:rsidR="008B0EE8">
        <w:rPr>
          <w:rFonts w:eastAsiaTheme="minorHAnsi"/>
        </w:rPr>
        <w:t>in the future</w:t>
      </w:r>
      <w:r>
        <w:rPr>
          <w:rFonts w:eastAsiaTheme="minorHAnsi"/>
        </w:rPr>
        <w:t xml:space="preserve">. </w:t>
      </w:r>
      <w:bookmarkEnd w:id="4"/>
    </w:p>
    <w:p w14:paraId="37284D59" w14:textId="5C3B3B6B" w:rsidR="0016701A" w:rsidRDefault="0016701A" w:rsidP="0016701A">
      <w:pPr>
        <w:spacing w:before="0"/>
      </w:pPr>
      <w:r w:rsidRPr="00606C54">
        <w:t>Th</w:t>
      </w:r>
      <w:r>
        <w:t xml:space="preserve">e </w:t>
      </w:r>
      <w:r w:rsidRPr="00606C54">
        <w:t xml:space="preserve">period of monitoring will run from November 2023 to early 2026 inclusive. </w:t>
      </w:r>
      <w:r w:rsidRPr="004166BD">
        <w:t xml:space="preserve">In Australia the monitoring will be overseen by the Australian Government Department of Health and Aged Care and in New Zealand by the Ministry for Primary Industries. </w:t>
      </w:r>
      <w:r>
        <w:t xml:space="preserve">The framework aims to improve consistency between New Zealand and Australian monitoring. </w:t>
      </w:r>
    </w:p>
    <w:p w14:paraId="202C1518" w14:textId="77777777" w:rsidR="0016701A" w:rsidRPr="004166BD" w:rsidRDefault="0016701A" w:rsidP="0016701A">
      <w:pPr>
        <w:spacing w:before="0"/>
      </w:pPr>
      <w:r w:rsidRPr="004166BD">
        <w:t>Other aspects of monitoring may be undertaken through other avenues.</w:t>
      </w:r>
    </w:p>
    <w:p w14:paraId="5631F151" w14:textId="77777777" w:rsidR="0016701A" w:rsidRPr="003E21B1" w:rsidRDefault="0016701A" w:rsidP="0016701A">
      <w:pPr>
        <w:pStyle w:val="Heading2"/>
        <w:spacing w:before="0"/>
        <w:rPr>
          <w:sz w:val="22"/>
          <w:szCs w:val="22"/>
        </w:rPr>
      </w:pPr>
      <w:bookmarkStart w:id="5" w:name="_Toc127262948"/>
      <w:r w:rsidRPr="003E21B1">
        <w:rPr>
          <w:sz w:val="22"/>
          <w:szCs w:val="22"/>
        </w:rPr>
        <w:t>Monitoring principles</w:t>
      </w:r>
      <w:bookmarkEnd w:id="5"/>
      <w:r w:rsidRPr="003E21B1">
        <w:rPr>
          <w:sz w:val="22"/>
          <w:szCs w:val="22"/>
        </w:rPr>
        <w:t xml:space="preserve"> </w:t>
      </w:r>
    </w:p>
    <w:p w14:paraId="550381B9" w14:textId="77777777" w:rsidR="0016701A" w:rsidRPr="00606C54" w:rsidRDefault="0016701A" w:rsidP="0016701A">
      <w:r w:rsidRPr="00606C54">
        <w:t xml:space="preserve">The </w:t>
      </w:r>
      <w:r>
        <w:t>F</w:t>
      </w:r>
      <w:r w:rsidRPr="00606C54">
        <w:t>ramework aims to:</w:t>
      </w:r>
    </w:p>
    <w:p w14:paraId="0294731F" w14:textId="77777777" w:rsidR="0016701A" w:rsidRDefault="0016701A" w:rsidP="0016701A">
      <w:pPr>
        <w:numPr>
          <w:ilvl w:val="0"/>
          <w:numId w:val="7"/>
        </w:numPr>
        <w:spacing w:before="0" w:after="0"/>
        <w:rPr>
          <w:rFonts w:eastAsia="Times New Roman" w:cstheme="minorHAnsi"/>
          <w:lang w:eastAsia="en-AU"/>
        </w:rPr>
      </w:pPr>
      <w:r>
        <w:rPr>
          <w:rFonts w:eastAsia="Times New Roman" w:cstheme="minorHAnsi"/>
          <w:lang w:eastAsia="en-AU"/>
        </w:rPr>
        <w:t>act as an initial guide on the priority areas of enquiry for the HSR system over the coming monitoring period.</w:t>
      </w:r>
    </w:p>
    <w:p w14:paraId="141128BB" w14:textId="065841B4" w:rsidR="0016701A" w:rsidRPr="00606C54" w:rsidRDefault="0016701A" w:rsidP="0016701A">
      <w:pPr>
        <w:numPr>
          <w:ilvl w:val="0"/>
          <w:numId w:val="7"/>
        </w:numPr>
        <w:spacing w:before="0" w:after="0"/>
      </w:pPr>
      <w:r w:rsidRPr="00606C54">
        <w:t xml:space="preserve">provide </w:t>
      </w:r>
      <w:r w:rsidR="009F1243">
        <w:t xml:space="preserve">a </w:t>
      </w:r>
      <w:r w:rsidRPr="00606C54">
        <w:t>rationale for inclusion (or not) of indicators within the Framework, transparent and available to all stakeholders.</w:t>
      </w:r>
    </w:p>
    <w:p w14:paraId="715457D0" w14:textId="77777777" w:rsidR="0016701A" w:rsidRDefault="0016701A" w:rsidP="0016701A">
      <w:pPr>
        <w:numPr>
          <w:ilvl w:val="0"/>
          <w:numId w:val="7"/>
        </w:numPr>
        <w:spacing w:before="0" w:after="0"/>
        <w:rPr>
          <w:rFonts w:eastAsia="Times New Roman" w:cstheme="minorHAnsi"/>
          <w:lang w:eastAsia="en-AU"/>
        </w:rPr>
      </w:pPr>
      <w:r w:rsidRPr="00606C54">
        <w:t>be adaptable and not exhaustive</w:t>
      </w:r>
      <w:r>
        <w:t>, noting a commitment to monitor both essential monitoring requirements stated in the below table.</w:t>
      </w:r>
      <w:r w:rsidRPr="004166BD">
        <w:rPr>
          <w:rFonts w:eastAsia="Times New Roman" w:cstheme="minorHAnsi"/>
          <w:lang w:eastAsia="en-AU"/>
        </w:rPr>
        <w:t xml:space="preserve"> </w:t>
      </w:r>
    </w:p>
    <w:p w14:paraId="4BB9BB27" w14:textId="2E7E3DAC" w:rsidR="0016701A" w:rsidRPr="00606C54" w:rsidRDefault="0016701A" w:rsidP="0016701A">
      <w:pPr>
        <w:numPr>
          <w:ilvl w:val="0"/>
          <w:numId w:val="7"/>
        </w:numPr>
        <w:spacing w:before="0" w:after="0"/>
        <w:rPr>
          <w:rFonts w:eastAsia="Times New Roman" w:cstheme="minorHAnsi"/>
          <w:lang w:eastAsia="en-AU"/>
        </w:rPr>
      </w:pPr>
      <w:r w:rsidRPr="00606C54">
        <w:rPr>
          <w:rFonts w:eastAsia="Times New Roman" w:cstheme="minorHAnsi"/>
          <w:lang w:eastAsia="en-AU"/>
        </w:rPr>
        <w:t xml:space="preserve">provide sufficient time and guidance for </w:t>
      </w:r>
      <w:r w:rsidR="009F1243">
        <w:rPr>
          <w:rFonts w:eastAsia="Times New Roman" w:cstheme="minorHAnsi"/>
          <w:lang w:eastAsia="en-AU"/>
        </w:rPr>
        <w:t xml:space="preserve">the </w:t>
      </w:r>
      <w:r w:rsidRPr="00606C54">
        <w:rPr>
          <w:rFonts w:eastAsia="Times New Roman" w:cstheme="minorHAnsi"/>
          <w:lang w:eastAsia="en-AU"/>
        </w:rPr>
        <w:t>industry to be informed of what measures will be monitored.</w:t>
      </w:r>
    </w:p>
    <w:p w14:paraId="2F4D92EC" w14:textId="62B57135" w:rsidR="0016701A" w:rsidRPr="00606C54" w:rsidRDefault="0016701A" w:rsidP="0016701A">
      <w:pPr>
        <w:spacing w:before="0"/>
      </w:pPr>
      <w:r>
        <w:t xml:space="preserve">To develop the framework and the areas of enquiry for </w:t>
      </w:r>
      <w:r w:rsidR="009F1243">
        <w:t xml:space="preserve">the </w:t>
      </w:r>
      <w:r>
        <w:t xml:space="preserve">monitoring period the following </w:t>
      </w:r>
      <w:r w:rsidRPr="00606C54">
        <w:t>principles</w:t>
      </w:r>
      <w:r>
        <w:t xml:space="preserve"> were considered</w:t>
      </w:r>
      <w:r w:rsidRPr="00606C54">
        <w:t xml:space="preserve">: </w:t>
      </w:r>
    </w:p>
    <w:p w14:paraId="4E0A33B6" w14:textId="77777777" w:rsidR="0016701A" w:rsidRPr="00606C54" w:rsidRDefault="0016701A" w:rsidP="0016701A">
      <w:pPr>
        <w:pStyle w:val="CommentText"/>
        <w:numPr>
          <w:ilvl w:val="0"/>
          <w:numId w:val="7"/>
        </w:numPr>
        <w:spacing w:after="0"/>
        <w:rPr>
          <w:sz w:val="22"/>
          <w:szCs w:val="22"/>
        </w:rPr>
      </w:pPr>
      <w:r>
        <w:rPr>
          <w:sz w:val="22"/>
          <w:szCs w:val="22"/>
        </w:rPr>
        <w:t>a</w:t>
      </w:r>
      <w:r w:rsidRPr="00606C54">
        <w:rPr>
          <w:sz w:val="22"/>
          <w:szCs w:val="22"/>
        </w:rPr>
        <w:t xml:space="preserve">spects that Food Ministers requested in the Review </w:t>
      </w:r>
      <w:r>
        <w:rPr>
          <w:sz w:val="22"/>
          <w:szCs w:val="22"/>
        </w:rPr>
        <w:t>R</w:t>
      </w:r>
      <w:r w:rsidRPr="00606C54">
        <w:rPr>
          <w:sz w:val="22"/>
          <w:szCs w:val="22"/>
        </w:rPr>
        <w:t>esponse to be monitored</w:t>
      </w:r>
      <w:r>
        <w:rPr>
          <w:sz w:val="22"/>
          <w:szCs w:val="22"/>
        </w:rPr>
        <w:t>.</w:t>
      </w:r>
    </w:p>
    <w:p w14:paraId="786EADFF" w14:textId="65C4DB9D" w:rsidR="0016701A" w:rsidRPr="00606C54" w:rsidRDefault="0016701A" w:rsidP="009F1243">
      <w:pPr>
        <w:pStyle w:val="CommentText"/>
        <w:numPr>
          <w:ilvl w:val="0"/>
          <w:numId w:val="7"/>
        </w:numPr>
        <w:spacing w:before="0" w:after="0"/>
        <w:ind w:left="714" w:hanging="357"/>
        <w:rPr>
          <w:sz w:val="22"/>
          <w:szCs w:val="22"/>
        </w:rPr>
      </w:pPr>
      <w:bookmarkStart w:id="6" w:name="_Hlk122520597"/>
      <w:r>
        <w:rPr>
          <w:sz w:val="22"/>
          <w:szCs w:val="22"/>
        </w:rPr>
        <w:lastRenderedPageBreak/>
        <w:t>i</w:t>
      </w:r>
      <w:r w:rsidRPr="00606C54">
        <w:rPr>
          <w:sz w:val="22"/>
          <w:szCs w:val="22"/>
        </w:rPr>
        <w:t xml:space="preserve">ndicators </w:t>
      </w:r>
      <w:r>
        <w:rPr>
          <w:sz w:val="22"/>
          <w:szCs w:val="22"/>
        </w:rPr>
        <w:t>that the system is achieving it</w:t>
      </w:r>
      <w:r w:rsidR="009F1243">
        <w:rPr>
          <w:sz w:val="22"/>
          <w:szCs w:val="22"/>
        </w:rPr>
        <w:t>s</w:t>
      </w:r>
      <w:r>
        <w:rPr>
          <w:sz w:val="22"/>
          <w:szCs w:val="22"/>
        </w:rPr>
        <w:t xml:space="preserve"> aims, necessary to inform an evaluation </w:t>
      </w:r>
      <w:r w:rsidRPr="000520EE">
        <w:rPr>
          <w:sz w:val="22"/>
          <w:szCs w:val="22"/>
        </w:rPr>
        <w:t>on whether the HSR should continue as a voluntary system or be mandated</w:t>
      </w:r>
      <w:bookmarkEnd w:id="6"/>
      <w:r w:rsidRPr="000520EE">
        <w:rPr>
          <w:sz w:val="22"/>
          <w:szCs w:val="22"/>
        </w:rPr>
        <w:t>.</w:t>
      </w:r>
    </w:p>
    <w:p w14:paraId="49160A85" w14:textId="77777777" w:rsidR="0016701A" w:rsidRPr="00606C54" w:rsidRDefault="0016701A" w:rsidP="009F1243">
      <w:pPr>
        <w:pStyle w:val="CommentText"/>
        <w:numPr>
          <w:ilvl w:val="0"/>
          <w:numId w:val="7"/>
        </w:numPr>
        <w:spacing w:before="0" w:after="0"/>
        <w:rPr>
          <w:sz w:val="22"/>
          <w:szCs w:val="22"/>
        </w:rPr>
      </w:pPr>
      <w:r w:rsidRPr="00606C54">
        <w:rPr>
          <w:sz w:val="22"/>
          <w:szCs w:val="22"/>
        </w:rPr>
        <w:t xml:space="preserve">Alignment with </w:t>
      </w:r>
      <w:hyperlink r:id="rId14" w:history="1">
        <w:r w:rsidRPr="0097697C">
          <w:rPr>
            <w:rStyle w:val="Hyperlink"/>
            <w:sz w:val="22"/>
            <w:szCs w:val="22"/>
          </w:rPr>
          <w:t>the World Health Organization (WHO) Guiding Principles and Framework for Front-of-Pack Labelling for Promoting Healthy Diets</w:t>
        </w:r>
      </w:hyperlink>
      <w:r w:rsidRPr="0097697C">
        <w:rPr>
          <w:sz w:val="22"/>
          <w:szCs w:val="22"/>
        </w:rPr>
        <w:t xml:space="preserve"> </w:t>
      </w:r>
      <w:r w:rsidRPr="00D57D9C">
        <w:rPr>
          <w:sz w:val="22"/>
          <w:szCs w:val="22"/>
        </w:rPr>
        <w:t xml:space="preserve">(Appendix </w:t>
      </w:r>
      <w:r>
        <w:rPr>
          <w:sz w:val="22"/>
          <w:szCs w:val="22"/>
        </w:rPr>
        <w:t>2</w:t>
      </w:r>
      <w:r w:rsidRPr="00D57D9C">
        <w:rPr>
          <w:sz w:val="22"/>
          <w:szCs w:val="22"/>
        </w:rPr>
        <w:t>).</w:t>
      </w:r>
    </w:p>
    <w:p w14:paraId="6D9E65F5" w14:textId="77777777" w:rsidR="0016701A" w:rsidRDefault="0016701A" w:rsidP="0016701A">
      <w:pPr>
        <w:pStyle w:val="ListParagraph"/>
        <w:numPr>
          <w:ilvl w:val="0"/>
          <w:numId w:val="7"/>
        </w:numPr>
        <w:spacing w:before="0" w:after="0"/>
        <w:ind w:left="714" w:hanging="357"/>
        <w:contextualSpacing w:val="0"/>
      </w:pPr>
      <w:r w:rsidRPr="00606C54">
        <w:t>Consistency between Australian</w:t>
      </w:r>
      <w:r>
        <w:t xml:space="preserve"> and New Zealand</w:t>
      </w:r>
      <w:r w:rsidRPr="00606C54">
        <w:t xml:space="preserve"> monitoring</w:t>
      </w:r>
      <w:r>
        <w:t>.</w:t>
      </w:r>
    </w:p>
    <w:p w14:paraId="70BA5971" w14:textId="77777777" w:rsidR="0016701A" w:rsidRDefault="0016701A" w:rsidP="0016701A">
      <w:pPr>
        <w:pStyle w:val="ListParagraph"/>
        <w:numPr>
          <w:ilvl w:val="0"/>
          <w:numId w:val="7"/>
        </w:numPr>
        <w:spacing w:before="0"/>
        <w:ind w:left="714"/>
      </w:pPr>
      <w:r>
        <w:t xml:space="preserve">Consideration of the impact on priority populations. </w:t>
      </w:r>
    </w:p>
    <w:p w14:paraId="3806448E" w14:textId="77777777" w:rsidR="0016701A" w:rsidRPr="00336218" w:rsidRDefault="0016701A" w:rsidP="0016701A">
      <w:pPr>
        <w:pStyle w:val="ListParagraph"/>
        <w:numPr>
          <w:ilvl w:val="0"/>
          <w:numId w:val="7"/>
        </w:numPr>
        <w:spacing w:before="0"/>
      </w:pPr>
      <w:r>
        <w:t xml:space="preserve">The need </w:t>
      </w:r>
      <w:r w:rsidRPr="00336218">
        <w:t>for areas of enquiry and measures must be material and objective.</w:t>
      </w:r>
    </w:p>
    <w:p w14:paraId="6380C2D7" w14:textId="77777777" w:rsidR="0016701A" w:rsidRDefault="0016701A" w:rsidP="0016701A">
      <w:pPr>
        <w:pStyle w:val="ListParagraph"/>
        <w:spacing w:before="0"/>
        <w:ind w:left="714"/>
      </w:pPr>
    </w:p>
    <w:p w14:paraId="5DBFA857" w14:textId="77777777" w:rsidR="0016701A" w:rsidRDefault="0016701A" w:rsidP="0016701A">
      <w:pPr>
        <w:pStyle w:val="Heading2"/>
        <w:spacing w:before="0"/>
        <w:rPr>
          <w:sz w:val="22"/>
          <w:szCs w:val="22"/>
        </w:rPr>
      </w:pPr>
      <w:bookmarkStart w:id="7" w:name="_Toc127262949"/>
      <w:r w:rsidRPr="00E76F94">
        <w:rPr>
          <w:sz w:val="22"/>
          <w:szCs w:val="22"/>
        </w:rPr>
        <w:t>Focus areas for monitoring</w:t>
      </w:r>
      <w:bookmarkEnd w:id="7"/>
      <w:r w:rsidRPr="00E76F94">
        <w:rPr>
          <w:sz w:val="22"/>
          <w:szCs w:val="22"/>
        </w:rPr>
        <w:t xml:space="preserve"> </w:t>
      </w:r>
    </w:p>
    <w:p w14:paraId="1CAA0393" w14:textId="77777777" w:rsidR="0016701A" w:rsidRPr="00746FB1" w:rsidRDefault="0016701A" w:rsidP="0016701A">
      <w:pPr>
        <w:pStyle w:val="Heading4"/>
        <w:numPr>
          <w:ilvl w:val="0"/>
          <w:numId w:val="0"/>
        </w:numPr>
        <w:ind w:left="864" w:hanging="864"/>
      </w:pPr>
      <w:r w:rsidRPr="00746FB1">
        <w:t xml:space="preserve">Improved population health </w:t>
      </w:r>
    </w:p>
    <w:p w14:paraId="4157DC71" w14:textId="1BC2AC8C" w:rsidR="0016701A" w:rsidRDefault="0016701A" w:rsidP="0016701A">
      <w:pPr>
        <w:spacing w:before="0"/>
      </w:pPr>
      <w:r w:rsidRPr="00FA4D99">
        <w:t>Con</w:t>
      </w:r>
      <w:r>
        <w:t>tribution to i</w:t>
      </w:r>
      <w:r w:rsidRPr="00606C54">
        <w:t>mproved population health and public health outcomes in Australia and New</w:t>
      </w:r>
      <w:r w:rsidR="009F1243">
        <w:t> </w:t>
      </w:r>
      <w:r w:rsidRPr="00606C54">
        <w:t>Zealand is the overarching goal of the HSR system.</w:t>
      </w:r>
      <w:r>
        <w:t xml:space="preserve"> Food Ministers indicated that the</w:t>
      </w:r>
      <w:r w:rsidRPr="00FA4D99">
        <w:rPr>
          <w:color w:val="0070C0"/>
        </w:rPr>
        <w:t xml:space="preserve"> </w:t>
      </w:r>
      <w:r w:rsidRPr="00FA4D99">
        <w:t>performance and results of the HSR system on a population health level should be considered in future monitoring</w:t>
      </w:r>
      <w:r w:rsidRPr="00FA4D99">
        <w:rPr>
          <w:rStyle w:val="FootnoteReference"/>
        </w:rPr>
        <w:footnoteReference w:id="2"/>
      </w:r>
      <w:r w:rsidRPr="00FA4D99">
        <w:t xml:space="preserve">. </w:t>
      </w:r>
      <w:r>
        <w:t xml:space="preserve">Measurement of the public health impact of the HSR is challenging noting that the HSR is one tool to improve population health. Data on dietary intakes against the dietary guidelines </w:t>
      </w:r>
      <w:r w:rsidRPr="00606C54">
        <w:t xml:space="preserve">and </w:t>
      </w:r>
      <w:r>
        <w:t xml:space="preserve">rates of chronic </w:t>
      </w:r>
      <w:r w:rsidRPr="00606C54">
        <w:t>disease</w:t>
      </w:r>
      <w:r>
        <w:t xml:space="preserve"> need to be available to enable any analysis. Thus measurements on this scale are</w:t>
      </w:r>
      <w:r w:rsidRPr="00606C54">
        <w:t xml:space="preserve"> out of scope for </w:t>
      </w:r>
      <w:r>
        <w:t xml:space="preserve">the </w:t>
      </w:r>
      <w:r w:rsidRPr="00606C54">
        <w:t>HSR monitoring</w:t>
      </w:r>
      <w:r>
        <w:t xml:space="preserve"> framework</w:t>
      </w:r>
      <w:r w:rsidRPr="00606C54">
        <w:t>.</w:t>
      </w:r>
      <w:r>
        <w:t xml:space="preserve"> This aspect may be explored as data becomes available or as part of a broader population health outcome evaluation.</w:t>
      </w:r>
    </w:p>
    <w:p w14:paraId="62B0C42C" w14:textId="77777777" w:rsidR="0016701A" w:rsidRPr="00606C54" w:rsidRDefault="0016701A" w:rsidP="0016701A">
      <w:pPr>
        <w:spacing w:before="0" w:after="0"/>
      </w:pPr>
      <w:r>
        <w:t xml:space="preserve">The following focus areas are proposed to be included as they can provide important data to consider the public health impact of the HSR system. </w:t>
      </w:r>
    </w:p>
    <w:p w14:paraId="3262C61E" w14:textId="77777777" w:rsidR="0016701A" w:rsidRPr="00336218" w:rsidRDefault="0016701A" w:rsidP="0016701A">
      <w:pPr>
        <w:rPr>
          <w:rFonts w:asciiTheme="majorHAnsi" w:eastAsiaTheme="majorEastAsia" w:hAnsiTheme="majorHAnsi" w:cstheme="majorBidi"/>
          <w:b/>
          <w:i/>
          <w:iCs/>
          <w:color w:val="0D0D0D" w:themeColor="text1" w:themeTint="F2"/>
          <w:sz w:val="20"/>
          <w:szCs w:val="26"/>
        </w:rPr>
      </w:pPr>
      <w:r w:rsidRPr="00336218">
        <w:rPr>
          <w:rFonts w:asciiTheme="majorHAnsi" w:eastAsiaTheme="majorEastAsia" w:hAnsiTheme="majorHAnsi" w:cstheme="majorBidi"/>
          <w:b/>
          <w:i/>
          <w:iCs/>
          <w:color w:val="0D0D0D" w:themeColor="text1" w:themeTint="F2"/>
          <w:sz w:val="20"/>
          <w:szCs w:val="26"/>
        </w:rPr>
        <w:t xml:space="preserve">Voluntary uptake </w:t>
      </w:r>
    </w:p>
    <w:p w14:paraId="12574996" w14:textId="7F28247F" w:rsidR="0016701A" w:rsidRDefault="0016701A" w:rsidP="0016701A">
      <w:pPr>
        <w:spacing w:before="0"/>
      </w:pPr>
      <w:r w:rsidRPr="00606C54">
        <w:t xml:space="preserve">The HSR is voluntary and relies on the cooperation of food manufacturers and retailers to implement the system </w:t>
      </w:r>
      <w:r w:rsidR="009F1243">
        <w:t>in</w:t>
      </w:r>
      <w:r w:rsidRPr="00606C54">
        <w:t xml:space="preserve"> their labelling. As </w:t>
      </w:r>
      <w:r>
        <w:t xml:space="preserve">noted, </w:t>
      </w:r>
      <w:r w:rsidRPr="00606C54">
        <w:t>in the Review Report, low and inconsistent uptake on products reduc</w:t>
      </w:r>
      <w:r>
        <w:t xml:space="preserve">es </w:t>
      </w:r>
      <w:r w:rsidRPr="00606C54">
        <w:t>the actual effectiveness of the HSR system by allowing fewer opportunities for meaningful comparison</w:t>
      </w:r>
      <w:r>
        <w:t xml:space="preserve"> and </w:t>
      </w:r>
      <w:r w:rsidRPr="00606C54">
        <w:t>negatively affects consumer trust in the HSR system. To address this</w:t>
      </w:r>
      <w:r>
        <w:t>,</w:t>
      </w:r>
      <w:r w:rsidRPr="00606C54">
        <w:t xml:space="preserve"> the Review Report recommended uptake targets be set for the system going forward. </w:t>
      </w:r>
    </w:p>
    <w:p w14:paraId="39AECD6B" w14:textId="0AA93714" w:rsidR="0016701A" w:rsidRPr="00606C54" w:rsidRDefault="0016701A" w:rsidP="0016701A">
      <w:pPr>
        <w:spacing w:before="0"/>
      </w:pPr>
      <w:r>
        <w:t>The only monitoring Food Ministers have currently committed to is</w:t>
      </w:r>
      <w:r w:rsidR="009F1243">
        <w:t xml:space="preserve"> a</w:t>
      </w:r>
      <w:r>
        <w:t xml:space="preserve"> m</w:t>
      </w:r>
      <w:r w:rsidRPr="00606C54">
        <w:t>easurement of uptake against the</w:t>
      </w:r>
      <w:r>
        <w:t xml:space="preserve"> </w:t>
      </w:r>
      <w:r w:rsidRPr="00606C54">
        <w:t>targets</w:t>
      </w:r>
      <w:r>
        <w:t xml:space="preserve">, </w:t>
      </w:r>
      <w:r w:rsidRPr="00606C54">
        <w:t xml:space="preserve">therefore </w:t>
      </w:r>
      <w:r>
        <w:t xml:space="preserve">this is </w:t>
      </w:r>
      <w:r w:rsidRPr="00606C54">
        <w:t>a major focus of the monitoring</w:t>
      </w:r>
      <w:r>
        <w:t>.</w:t>
      </w:r>
      <w:r w:rsidRPr="00606C54">
        <w:t xml:space="preserve"> </w:t>
      </w:r>
    </w:p>
    <w:p w14:paraId="020B581E" w14:textId="77777777" w:rsidR="0016701A" w:rsidRPr="00746FB1" w:rsidRDefault="0016701A" w:rsidP="0016701A">
      <w:pPr>
        <w:pStyle w:val="Heading4"/>
        <w:numPr>
          <w:ilvl w:val="0"/>
          <w:numId w:val="0"/>
        </w:numPr>
        <w:ind w:left="864" w:hanging="864"/>
      </w:pPr>
      <w:r w:rsidRPr="00746FB1">
        <w:t>Consumer understanding and ability to use the system correctly</w:t>
      </w:r>
    </w:p>
    <w:p w14:paraId="08402D00" w14:textId="37522FDE" w:rsidR="0016701A" w:rsidRPr="00606C54" w:rsidRDefault="009F1243" w:rsidP="0016701A">
      <w:pPr>
        <w:spacing w:before="0"/>
      </w:pPr>
      <w:r>
        <w:t>T</w:t>
      </w:r>
      <w:r w:rsidR="0016701A" w:rsidRPr="00606C54">
        <w:t xml:space="preserve">o be effective, the HSR system must be understood and able to be used correctly by consumers, to guide them towards healthier food choices. Therefore, an important measurement of success is whether the system is understood and used correctly. </w:t>
      </w:r>
    </w:p>
    <w:p w14:paraId="210B1206" w14:textId="77777777" w:rsidR="0016701A" w:rsidRPr="00F66214" w:rsidRDefault="0016701A" w:rsidP="0016701A">
      <w:pPr>
        <w:spacing w:before="0"/>
      </w:pPr>
      <w:r w:rsidRPr="00606C54">
        <w:t xml:space="preserve">An aspect of this measurement is the need to investigate whether priority groups are aware of, understand and use the HSR correctly. </w:t>
      </w:r>
      <w:r w:rsidRPr="00F66214">
        <w:t xml:space="preserve">“Priority groups” refers to populations of low </w:t>
      </w:r>
      <w:r>
        <w:t>socio-economic status (</w:t>
      </w:r>
      <w:r w:rsidRPr="00F66214">
        <w:t>SES</w:t>
      </w:r>
      <w:r>
        <w:t>)</w:t>
      </w:r>
      <w:r w:rsidRPr="00F66214">
        <w:t xml:space="preserve">, Aboriginal, Torres Strait Islander people and </w:t>
      </w:r>
      <w:r>
        <w:t>culturally and linguistically diverse (</w:t>
      </w:r>
      <w:r w:rsidRPr="00F66214">
        <w:t>CALD</w:t>
      </w:r>
      <w:r>
        <w:t>)</w:t>
      </w:r>
      <w:r w:rsidRPr="00F66214">
        <w:t xml:space="preserve"> populations in Australia, Pasifika and Māori people in New Zealand. </w:t>
      </w:r>
    </w:p>
    <w:p w14:paraId="4D4F927B" w14:textId="77777777" w:rsidR="008327B8" w:rsidRDefault="008327B8">
      <w:pPr>
        <w:spacing w:before="0" w:after="200" w:line="276" w:lineRule="auto"/>
      </w:pPr>
      <w:r>
        <w:br w:type="page"/>
      </w:r>
    </w:p>
    <w:p w14:paraId="40BF436A" w14:textId="7DA8BB72" w:rsidR="0016701A" w:rsidRPr="00F66214" w:rsidRDefault="0016701A" w:rsidP="0016701A">
      <w:r>
        <w:lastRenderedPageBreak/>
        <w:t>In Australia, t</w:t>
      </w:r>
      <w:r w:rsidRPr="00F66214">
        <w:t>he burden of disease for Aboriginal and Torres Strait Islander people is 2.3 times that of non-Indigenous Australians, including rates of chronic disease</w:t>
      </w:r>
      <w:r>
        <w:rPr>
          <w:rStyle w:val="FootnoteReference"/>
        </w:rPr>
        <w:footnoteReference w:id="3"/>
      </w:r>
      <w:r>
        <w:t>, with growing overweight and obesity ratings in children, along with low intake of fruit and high intake of sugar</w:t>
      </w:r>
      <w:r w:rsidR="009F1243">
        <w:t>-</w:t>
      </w:r>
      <w:r>
        <w:t>sweetened beverages in people aged 15 years and over in rural and remote communities</w:t>
      </w:r>
      <w:r>
        <w:rPr>
          <w:rStyle w:val="FootnoteReference"/>
        </w:rPr>
        <w:footnoteReference w:id="4"/>
      </w:r>
      <w:r>
        <w:t>.</w:t>
      </w:r>
    </w:p>
    <w:p w14:paraId="048A22E6" w14:textId="6DD040D0" w:rsidR="0016701A" w:rsidRPr="00F66214" w:rsidRDefault="0016701A" w:rsidP="0016701A">
      <w:r w:rsidRPr="00F66214">
        <w:t xml:space="preserve">In New Zealand, people less likely to eat the recommended amounts of vegetables are men, Pacific and Asian adults and adults living in the most socioeconomically deprived areas. Māori were 1.8 times as likely to be obese than non-Māori, and Pacific adults were 2.5 times as likely to be obese as non-Pacific adults. Adults living in the most socioeconomically deprived neighbourhoods were 1.6 </w:t>
      </w:r>
      <w:r w:rsidR="009F1243">
        <w:t>times</w:t>
      </w:r>
      <w:r w:rsidRPr="00F66214">
        <w:t xml:space="preserve"> more likely to be obese than adults living in the least deprived areas</w:t>
      </w:r>
      <w:r>
        <w:rPr>
          <w:rStyle w:val="FootnoteReference"/>
        </w:rPr>
        <w:footnoteReference w:id="5"/>
      </w:r>
      <w:r w:rsidRPr="00F66214">
        <w:t>.</w:t>
      </w:r>
    </w:p>
    <w:p w14:paraId="42698435" w14:textId="7386FDA2" w:rsidR="0016701A" w:rsidRDefault="0016701A" w:rsidP="0016701A">
      <w:pPr>
        <w:spacing w:before="0"/>
      </w:pPr>
      <w:r w:rsidRPr="00F66214">
        <w:t>These groups are a high priority for monitoring activities to measure understanding, acceptance and use of any public health nutrition intervention, with an aim to improv</w:t>
      </w:r>
      <w:r w:rsidR="009F1243">
        <w:t>e</w:t>
      </w:r>
      <w:r w:rsidRPr="00F66214">
        <w:t xml:space="preserve"> the above statistics. </w:t>
      </w:r>
    </w:p>
    <w:p w14:paraId="6501B700" w14:textId="77777777" w:rsidR="0016701A" w:rsidRPr="00606C54" w:rsidRDefault="0016701A" w:rsidP="0016701A">
      <w:pPr>
        <w:pStyle w:val="Heading4"/>
        <w:numPr>
          <w:ilvl w:val="0"/>
          <w:numId w:val="0"/>
        </w:numPr>
        <w:ind w:left="864" w:hanging="864"/>
      </w:pPr>
      <w:r w:rsidRPr="00606C54">
        <w:t>Reformulation</w:t>
      </w:r>
    </w:p>
    <w:p w14:paraId="0DD65B5C" w14:textId="73E425A0" w:rsidR="0016701A" w:rsidRPr="00606C54" w:rsidRDefault="0016701A" w:rsidP="0016701A">
      <w:pPr>
        <w:spacing w:before="0"/>
      </w:pPr>
      <w:r w:rsidRPr="00606C54">
        <w:t xml:space="preserve">A secondary (desirable but not direct) goal of the system is for manufacturers to reformulate foods and recipes to reduce risk nutrients and/or increase positive components to achieve a higher </w:t>
      </w:r>
      <w:r>
        <w:t>HSR</w:t>
      </w:r>
      <w:r w:rsidRPr="00606C54">
        <w:t>, there</w:t>
      </w:r>
      <w:r w:rsidR="009F1243">
        <w:t>by</w:t>
      </w:r>
      <w:r w:rsidRPr="00606C54">
        <w:t xml:space="preserve"> improving the </w:t>
      </w:r>
      <w:r>
        <w:t xml:space="preserve">nutritional quality of the </w:t>
      </w:r>
      <w:r w:rsidRPr="00606C54">
        <w:t xml:space="preserve">food supply.  </w:t>
      </w:r>
    </w:p>
    <w:p w14:paraId="737BA286" w14:textId="77777777" w:rsidR="0016701A" w:rsidRDefault="0016701A" w:rsidP="0016701A">
      <w:pPr>
        <w:autoSpaceDE w:val="0"/>
        <w:autoSpaceDN w:val="0"/>
        <w:adjustRightInd w:val="0"/>
        <w:spacing w:before="0"/>
        <w:rPr>
          <w:rFonts w:cstheme="minorHAnsi"/>
        </w:rPr>
      </w:pPr>
      <w:r w:rsidRPr="00606C54">
        <w:rPr>
          <w:rFonts w:cstheme="minorHAnsi"/>
          <w:color w:val="000000"/>
        </w:rPr>
        <w:t xml:space="preserve">Analysis </w:t>
      </w:r>
      <w:r>
        <w:rPr>
          <w:rFonts w:cstheme="minorHAnsi"/>
          <w:color w:val="000000"/>
        </w:rPr>
        <w:t xml:space="preserve">in </w:t>
      </w:r>
      <w:r w:rsidRPr="00606C54">
        <w:rPr>
          <w:rFonts w:cstheme="minorHAnsi"/>
          <w:color w:val="000000"/>
        </w:rPr>
        <w:t>2018 showed that</w:t>
      </w:r>
      <w:r>
        <w:rPr>
          <w:rFonts w:cstheme="minorHAnsi"/>
          <w:color w:val="000000"/>
        </w:rPr>
        <w:t xml:space="preserve"> in Australia,</w:t>
      </w:r>
      <w:r w:rsidRPr="00606C54">
        <w:rPr>
          <w:rFonts w:cstheme="minorHAnsi"/>
          <w:color w:val="000000"/>
        </w:rPr>
        <w:t xml:space="preserve"> food products displaying the HSR had statistically significant reductions in energy and saturated fat content over the four years since the </w:t>
      </w:r>
      <w:r>
        <w:rPr>
          <w:rFonts w:cstheme="minorHAnsi"/>
          <w:color w:val="000000"/>
        </w:rPr>
        <w:t>HSR s</w:t>
      </w:r>
      <w:r w:rsidRPr="00606C54">
        <w:rPr>
          <w:rFonts w:cstheme="minorHAnsi"/>
          <w:color w:val="000000"/>
        </w:rPr>
        <w:t xml:space="preserve">ystem was introduced, </w:t>
      </w:r>
      <w:r w:rsidRPr="00606C54">
        <w:rPr>
          <w:rFonts w:cstheme="minorHAnsi"/>
        </w:rPr>
        <w:t>compared to those not displaying the HSR (which showed no significant reductions in these components).</w:t>
      </w:r>
    </w:p>
    <w:p w14:paraId="6916E12B" w14:textId="55DA6B42" w:rsidR="0016701A" w:rsidRDefault="0016701A" w:rsidP="0016701A">
      <w:pPr>
        <w:autoSpaceDE w:val="0"/>
        <w:autoSpaceDN w:val="0"/>
        <w:adjustRightInd w:val="0"/>
        <w:spacing w:before="0" w:after="0"/>
        <w:rPr>
          <w:rFonts w:cstheme="minorHAnsi"/>
        </w:rPr>
      </w:pPr>
      <w:r w:rsidRPr="00606C54">
        <w:rPr>
          <w:rFonts w:cstheme="minorHAnsi"/>
        </w:rPr>
        <w:t>Analysis of 929 products displaying the HSR in New Zealand found that 79% had been reformulated over the first four years of the HSR to change at least one key nutrient by a minimum of 5%</w:t>
      </w:r>
      <w:r w:rsidRPr="00645971">
        <w:rPr>
          <w:rFonts w:cstheme="minorHAnsi"/>
          <w:vertAlign w:val="superscript"/>
        </w:rPr>
        <w:footnoteReference w:id="6"/>
      </w:r>
      <w:r>
        <w:rPr>
          <w:rFonts w:cstheme="minorHAnsi"/>
        </w:rPr>
        <w:t xml:space="preserve">. A 2022 study found </w:t>
      </w:r>
      <w:r w:rsidRPr="00645971">
        <w:rPr>
          <w:rFonts w:cstheme="minorHAnsi"/>
        </w:rPr>
        <w:t xml:space="preserve">that the introduction of the </w:t>
      </w:r>
      <w:r>
        <w:rPr>
          <w:rFonts w:cstheme="minorHAnsi"/>
        </w:rPr>
        <w:t>HSR</w:t>
      </w:r>
      <w:r w:rsidRPr="00645971">
        <w:rPr>
          <w:rFonts w:cstheme="minorHAnsi"/>
        </w:rPr>
        <w:t xml:space="preserve"> was associated with lower sodium, lower protein and higher fibre purchases in New Zealand when purchased products carrying an HSR were compared with the same products </w:t>
      </w:r>
      <w:r w:rsidR="009F1243">
        <w:rPr>
          <w:rFonts w:cstheme="minorHAnsi"/>
        </w:rPr>
        <w:t xml:space="preserve">before the </w:t>
      </w:r>
      <w:r w:rsidRPr="00645971">
        <w:rPr>
          <w:rFonts w:cstheme="minorHAnsi"/>
        </w:rPr>
        <w:t>introduction of the program</w:t>
      </w:r>
      <w:r>
        <w:rPr>
          <w:rStyle w:val="FootnoteReference"/>
          <w:rFonts w:cstheme="minorHAnsi"/>
        </w:rPr>
        <w:footnoteReference w:id="7"/>
      </w:r>
      <w:r>
        <w:rPr>
          <w:rFonts w:cstheme="minorHAnsi"/>
        </w:rPr>
        <w:t>.</w:t>
      </w:r>
    </w:p>
    <w:p w14:paraId="2DC91D71" w14:textId="77777777" w:rsidR="0016701A" w:rsidRDefault="0016701A" w:rsidP="0016701A">
      <w:pPr>
        <w:autoSpaceDE w:val="0"/>
        <w:autoSpaceDN w:val="0"/>
        <w:adjustRightInd w:val="0"/>
        <w:spacing w:before="0" w:after="0"/>
        <w:rPr>
          <w:rFonts w:cstheme="minorHAnsi"/>
        </w:rPr>
      </w:pPr>
    </w:p>
    <w:p w14:paraId="177B4455" w14:textId="77777777" w:rsidR="0016701A" w:rsidRPr="00E76F94" w:rsidRDefault="0016701A" w:rsidP="0016701A">
      <w:pPr>
        <w:pStyle w:val="Heading2"/>
        <w:spacing w:before="0"/>
        <w:rPr>
          <w:sz w:val="22"/>
          <w:szCs w:val="22"/>
        </w:rPr>
      </w:pPr>
      <w:bookmarkStart w:id="8" w:name="_Toc127181660"/>
      <w:bookmarkStart w:id="9" w:name="_Toc127181661"/>
      <w:bookmarkStart w:id="10" w:name="_Toc127181662"/>
      <w:bookmarkStart w:id="11" w:name="_Toc127181663"/>
      <w:bookmarkStart w:id="12" w:name="_Toc127262950"/>
      <w:bookmarkEnd w:id="8"/>
      <w:bookmarkEnd w:id="9"/>
      <w:bookmarkEnd w:id="10"/>
      <w:bookmarkEnd w:id="11"/>
      <w:r w:rsidRPr="00E76F94">
        <w:rPr>
          <w:sz w:val="22"/>
          <w:szCs w:val="22"/>
        </w:rPr>
        <w:t>Areas of enquiry: essential, potential and not to be pursued</w:t>
      </w:r>
      <w:bookmarkEnd w:id="12"/>
      <w:r w:rsidRPr="00E76F94">
        <w:rPr>
          <w:sz w:val="22"/>
          <w:szCs w:val="22"/>
        </w:rPr>
        <w:t xml:space="preserve"> </w:t>
      </w:r>
    </w:p>
    <w:p w14:paraId="6EF920E8" w14:textId="77777777" w:rsidR="0016701A" w:rsidRPr="00A21FF3" w:rsidRDefault="0016701A" w:rsidP="0016701A">
      <w:pPr>
        <w:pStyle w:val="CommentText"/>
        <w:rPr>
          <w:sz w:val="22"/>
          <w:szCs w:val="22"/>
        </w:rPr>
      </w:pPr>
      <w:r>
        <w:rPr>
          <w:sz w:val="22"/>
          <w:szCs w:val="22"/>
        </w:rPr>
        <w:t xml:space="preserve">A number of potential </w:t>
      </w:r>
      <w:r w:rsidRPr="0090207E">
        <w:rPr>
          <w:sz w:val="22"/>
          <w:szCs w:val="22"/>
        </w:rPr>
        <w:t>areas of enquiry</w:t>
      </w:r>
      <w:r>
        <w:rPr>
          <w:sz w:val="22"/>
          <w:szCs w:val="22"/>
        </w:rPr>
        <w:t xml:space="preserve"> were identified a</w:t>
      </w:r>
      <w:r w:rsidRPr="0090207E">
        <w:rPr>
          <w:sz w:val="22"/>
          <w:szCs w:val="22"/>
        </w:rPr>
        <w:t xml:space="preserve">nd have been discussed as being of value by the HSR Advisory Committee and IWG. However, given resource constraints, </w:t>
      </w:r>
      <w:r w:rsidRPr="00A21FF3">
        <w:rPr>
          <w:sz w:val="22"/>
          <w:szCs w:val="22"/>
        </w:rPr>
        <w:t xml:space="preserve">these </w:t>
      </w:r>
      <w:r>
        <w:rPr>
          <w:sz w:val="22"/>
          <w:szCs w:val="22"/>
        </w:rPr>
        <w:t xml:space="preserve">have </w:t>
      </w:r>
      <w:r w:rsidRPr="00A21FF3">
        <w:rPr>
          <w:sz w:val="22"/>
          <w:szCs w:val="22"/>
        </w:rPr>
        <w:t>be</w:t>
      </w:r>
      <w:r>
        <w:rPr>
          <w:sz w:val="22"/>
          <w:szCs w:val="22"/>
        </w:rPr>
        <w:t>en</w:t>
      </w:r>
      <w:r w:rsidRPr="00A21FF3">
        <w:rPr>
          <w:sz w:val="22"/>
          <w:szCs w:val="22"/>
        </w:rPr>
        <w:t xml:space="preserve"> prioritised </w:t>
      </w:r>
      <w:r>
        <w:rPr>
          <w:sz w:val="22"/>
          <w:szCs w:val="22"/>
        </w:rPr>
        <w:t>as per the colour coding shown below:</w:t>
      </w:r>
    </w:p>
    <w:p w14:paraId="66704EAD" w14:textId="77777777" w:rsidR="0016701A" w:rsidRDefault="0016701A" w:rsidP="0016701A">
      <w:pPr>
        <w:pStyle w:val="TableHeadingText"/>
        <w:rPr>
          <w:rFonts w:eastAsia="Calibri"/>
        </w:rPr>
      </w:pPr>
      <w:bookmarkStart w:id="13" w:name="_Hlk122442428"/>
    </w:p>
    <w:tbl>
      <w:tblPr>
        <w:tblStyle w:val="TableGrid2"/>
        <w:tblW w:w="9209" w:type="dxa"/>
        <w:tblLook w:val="04A0" w:firstRow="1" w:lastRow="0" w:firstColumn="1" w:lastColumn="0" w:noHBand="0" w:noVBand="1"/>
      </w:tblPr>
      <w:tblGrid>
        <w:gridCol w:w="3397"/>
        <w:gridCol w:w="3119"/>
        <w:gridCol w:w="2693"/>
      </w:tblGrid>
      <w:tr w:rsidR="0016701A" w:rsidRPr="00C22026" w14:paraId="20DFCBD1" w14:textId="77777777" w:rsidTr="007E587A">
        <w:trPr>
          <w:trHeight w:val="457"/>
        </w:trPr>
        <w:tc>
          <w:tcPr>
            <w:tcW w:w="3397" w:type="dxa"/>
            <w:shd w:val="clear" w:color="auto" w:fill="C5E0B3"/>
          </w:tcPr>
          <w:p w14:paraId="7D874059" w14:textId="77777777" w:rsidR="0016701A" w:rsidRPr="0063694D" w:rsidRDefault="0016701A" w:rsidP="007E587A">
            <w:pPr>
              <w:pStyle w:val="CommentText"/>
              <w:rPr>
                <w:sz w:val="22"/>
                <w:szCs w:val="22"/>
              </w:rPr>
            </w:pPr>
            <w:r>
              <w:rPr>
                <w:b/>
                <w:bCs/>
                <w:sz w:val="22"/>
                <w:szCs w:val="22"/>
              </w:rPr>
              <w:t>E</w:t>
            </w:r>
            <w:r w:rsidRPr="0063694D">
              <w:rPr>
                <w:b/>
                <w:bCs/>
                <w:sz w:val="22"/>
                <w:szCs w:val="22"/>
              </w:rPr>
              <w:t>ssential monitoring requirements</w:t>
            </w:r>
            <w:r>
              <w:rPr>
                <w:b/>
                <w:bCs/>
                <w:sz w:val="22"/>
                <w:szCs w:val="22"/>
              </w:rPr>
              <w:t xml:space="preserve"> </w:t>
            </w:r>
            <w:r w:rsidRPr="00DA7799">
              <w:rPr>
                <w:sz w:val="22"/>
                <w:szCs w:val="22"/>
              </w:rPr>
              <w:t xml:space="preserve">- </w:t>
            </w:r>
            <w:r w:rsidRPr="00A21FF3">
              <w:rPr>
                <w:sz w:val="22"/>
                <w:szCs w:val="22"/>
              </w:rPr>
              <w:t>the minimum monitoring requirements for the system.</w:t>
            </w:r>
            <w:r>
              <w:rPr>
                <w:sz w:val="22"/>
                <w:szCs w:val="22"/>
              </w:rPr>
              <w:t xml:space="preserve"> These AoEs should be monitored as a first priority with available funding.</w:t>
            </w:r>
          </w:p>
        </w:tc>
        <w:tc>
          <w:tcPr>
            <w:tcW w:w="3119" w:type="dxa"/>
            <w:shd w:val="clear" w:color="auto" w:fill="FFE599"/>
          </w:tcPr>
          <w:p w14:paraId="48BCA00D" w14:textId="77777777" w:rsidR="0016701A" w:rsidRPr="00A21FF3" w:rsidRDefault="0016701A" w:rsidP="007E587A">
            <w:pPr>
              <w:pStyle w:val="CommentText"/>
              <w:rPr>
                <w:sz w:val="22"/>
                <w:szCs w:val="22"/>
              </w:rPr>
            </w:pPr>
            <w:r>
              <w:rPr>
                <w:b/>
                <w:bCs/>
                <w:sz w:val="22"/>
                <w:szCs w:val="22"/>
              </w:rPr>
              <w:t>P</w:t>
            </w:r>
            <w:r w:rsidRPr="0063694D">
              <w:rPr>
                <w:b/>
                <w:bCs/>
                <w:sz w:val="22"/>
                <w:szCs w:val="22"/>
              </w:rPr>
              <w:t>otential areas of enquiry</w:t>
            </w:r>
            <w:r>
              <w:rPr>
                <w:b/>
                <w:bCs/>
                <w:sz w:val="22"/>
                <w:szCs w:val="22"/>
              </w:rPr>
              <w:t xml:space="preserve"> </w:t>
            </w:r>
            <w:r w:rsidRPr="00DA7799">
              <w:rPr>
                <w:sz w:val="22"/>
                <w:szCs w:val="22"/>
              </w:rPr>
              <w:t xml:space="preserve">- </w:t>
            </w:r>
            <w:r w:rsidRPr="00A21FF3">
              <w:rPr>
                <w:sz w:val="22"/>
                <w:szCs w:val="22"/>
              </w:rPr>
              <w:t xml:space="preserve">additional monitoring areas </w:t>
            </w:r>
            <w:r>
              <w:rPr>
                <w:sz w:val="22"/>
                <w:szCs w:val="22"/>
              </w:rPr>
              <w:t>that</w:t>
            </w:r>
            <w:r w:rsidRPr="00A21FF3">
              <w:rPr>
                <w:sz w:val="22"/>
                <w:szCs w:val="22"/>
              </w:rPr>
              <w:t xml:space="preserve"> could be investigated if resource</w:t>
            </w:r>
            <w:r>
              <w:rPr>
                <w:sz w:val="22"/>
                <w:szCs w:val="22"/>
              </w:rPr>
              <w:t>s</w:t>
            </w:r>
            <w:r w:rsidRPr="00A21FF3">
              <w:rPr>
                <w:sz w:val="22"/>
                <w:szCs w:val="22"/>
              </w:rPr>
              <w:t xml:space="preserve"> permit</w:t>
            </w:r>
            <w:r>
              <w:rPr>
                <w:sz w:val="22"/>
                <w:szCs w:val="22"/>
              </w:rPr>
              <w:t>.</w:t>
            </w:r>
          </w:p>
          <w:p w14:paraId="0754E72C" w14:textId="77777777" w:rsidR="0016701A" w:rsidRPr="00C22026" w:rsidRDefault="0016701A" w:rsidP="007E587A">
            <w:pPr>
              <w:spacing w:before="0" w:after="0"/>
              <w:jc w:val="center"/>
              <w:rPr>
                <w:rFonts w:ascii="Arial Narrow" w:hAnsi="Arial Narrow" w:cstheme="minorHAnsi"/>
                <w:lang w:val="en-NZ"/>
              </w:rPr>
            </w:pPr>
          </w:p>
        </w:tc>
        <w:tc>
          <w:tcPr>
            <w:tcW w:w="2693" w:type="dxa"/>
            <w:shd w:val="clear" w:color="auto" w:fill="FF9999"/>
          </w:tcPr>
          <w:p w14:paraId="5F352B4B" w14:textId="77777777" w:rsidR="0016701A" w:rsidRPr="00A21FF3" w:rsidRDefault="0016701A" w:rsidP="007E587A">
            <w:pPr>
              <w:pStyle w:val="CommentText"/>
              <w:rPr>
                <w:sz w:val="22"/>
                <w:szCs w:val="22"/>
              </w:rPr>
            </w:pPr>
            <w:r>
              <w:rPr>
                <w:b/>
                <w:bCs/>
                <w:sz w:val="22"/>
                <w:szCs w:val="22"/>
              </w:rPr>
              <w:t>A</w:t>
            </w:r>
            <w:r w:rsidRPr="0063694D">
              <w:rPr>
                <w:b/>
                <w:bCs/>
                <w:sz w:val="22"/>
                <w:szCs w:val="22"/>
              </w:rPr>
              <w:t xml:space="preserve">reas of enquiry that </w:t>
            </w:r>
            <w:r>
              <w:rPr>
                <w:b/>
                <w:bCs/>
                <w:sz w:val="22"/>
                <w:szCs w:val="22"/>
              </w:rPr>
              <w:t>are not proposed to b</w:t>
            </w:r>
            <w:r w:rsidRPr="0063694D">
              <w:rPr>
                <w:b/>
                <w:bCs/>
                <w:sz w:val="22"/>
                <w:szCs w:val="22"/>
              </w:rPr>
              <w:t>e pursued</w:t>
            </w:r>
            <w:r w:rsidRPr="00A21FF3">
              <w:rPr>
                <w:sz w:val="22"/>
                <w:szCs w:val="22"/>
              </w:rPr>
              <w:t xml:space="preserve"> in this monitoring period.</w:t>
            </w:r>
          </w:p>
          <w:p w14:paraId="15CAD1D0" w14:textId="77777777" w:rsidR="0016701A" w:rsidRPr="00C22026" w:rsidRDefault="0016701A" w:rsidP="007E587A">
            <w:pPr>
              <w:spacing w:before="0" w:after="0"/>
              <w:jc w:val="center"/>
              <w:rPr>
                <w:rFonts w:ascii="Arial Narrow" w:hAnsi="Arial Narrow" w:cstheme="minorHAnsi"/>
                <w:lang w:val="en-NZ"/>
              </w:rPr>
            </w:pPr>
          </w:p>
        </w:tc>
      </w:tr>
    </w:tbl>
    <w:p w14:paraId="01D1E50F" w14:textId="77777777" w:rsidR="0016701A" w:rsidRDefault="0016701A" w:rsidP="0016701A">
      <w:pPr>
        <w:spacing w:before="0" w:after="0"/>
        <w:rPr>
          <w:lang w:val="en-US"/>
        </w:rPr>
      </w:pPr>
      <w:r w:rsidRPr="0001663F">
        <w:rPr>
          <w:lang w:val="en-US"/>
        </w:rPr>
        <w:lastRenderedPageBreak/>
        <w:t xml:space="preserve">For the purposes of the Program Logic the essential monitoring requirements have been sorted into area of enquiry </w:t>
      </w:r>
      <w:r>
        <w:rPr>
          <w:lang w:val="en-US"/>
        </w:rPr>
        <w:t xml:space="preserve">(AoE) </w:t>
      </w:r>
      <w:r w:rsidRPr="0001663F">
        <w:rPr>
          <w:lang w:val="en-US"/>
        </w:rPr>
        <w:t>headings</w:t>
      </w:r>
      <w:r>
        <w:rPr>
          <w:lang w:val="en-US"/>
        </w:rPr>
        <w:t>:</w:t>
      </w:r>
    </w:p>
    <w:p w14:paraId="6C4D172F" w14:textId="77777777" w:rsidR="0016701A" w:rsidRPr="0001663F" w:rsidRDefault="0016701A" w:rsidP="0016701A">
      <w:pPr>
        <w:spacing w:before="0" w:after="0"/>
        <w:rPr>
          <w:lang w:val="en-US"/>
        </w:rPr>
      </w:pPr>
    </w:p>
    <w:p w14:paraId="647F62C1" w14:textId="77777777" w:rsidR="0016701A" w:rsidRDefault="0016701A" w:rsidP="0016701A">
      <w:pPr>
        <w:spacing w:before="0" w:after="0"/>
        <w:rPr>
          <w:b/>
          <w:bCs/>
          <w:lang w:val="en-US"/>
        </w:rPr>
      </w:pPr>
      <w:bookmarkStart w:id="14" w:name="_Hlk126297254"/>
      <w:r w:rsidRPr="0001663F">
        <w:rPr>
          <w:b/>
          <w:bCs/>
          <w:lang w:val="en-US"/>
        </w:rPr>
        <w:t>A</w:t>
      </w:r>
      <w:r>
        <w:rPr>
          <w:b/>
          <w:bCs/>
          <w:lang w:val="en-US"/>
        </w:rPr>
        <w:t>o</w:t>
      </w:r>
      <w:r w:rsidRPr="0001663F">
        <w:rPr>
          <w:b/>
          <w:bCs/>
          <w:lang w:val="en-US"/>
        </w:rPr>
        <w:t>E 1: Uptake</w:t>
      </w:r>
    </w:p>
    <w:p w14:paraId="05FC80A0" w14:textId="77777777" w:rsidR="0016701A" w:rsidRPr="007F7C2B" w:rsidRDefault="0016701A" w:rsidP="0016701A">
      <w:pPr>
        <w:pStyle w:val="ListParagraph"/>
        <w:numPr>
          <w:ilvl w:val="0"/>
          <w:numId w:val="29"/>
        </w:numPr>
        <w:spacing w:before="0" w:after="0"/>
        <w:rPr>
          <w:lang w:val="en-US"/>
        </w:rPr>
      </w:pPr>
      <w:r w:rsidRPr="007F7C2B">
        <w:rPr>
          <w:lang w:val="en-US"/>
        </w:rPr>
        <w:t>Progress against uptake targets</w:t>
      </w:r>
    </w:p>
    <w:p w14:paraId="42DF2CED" w14:textId="77777777" w:rsidR="0016701A" w:rsidRPr="007F7C2B" w:rsidRDefault="0016701A" w:rsidP="0016701A">
      <w:pPr>
        <w:pStyle w:val="ListParagraph"/>
        <w:numPr>
          <w:ilvl w:val="0"/>
          <w:numId w:val="29"/>
        </w:numPr>
        <w:spacing w:before="0" w:after="0"/>
        <w:rPr>
          <w:lang w:val="en-US"/>
        </w:rPr>
      </w:pPr>
      <w:r w:rsidRPr="007F7C2B">
        <w:rPr>
          <w:lang w:val="en-US"/>
        </w:rPr>
        <w:t xml:space="preserve">Uptake by food category </w:t>
      </w:r>
    </w:p>
    <w:p w14:paraId="06CB5FC9" w14:textId="77777777" w:rsidR="0016701A" w:rsidRPr="007F7C2B" w:rsidRDefault="0016701A" w:rsidP="0016701A">
      <w:pPr>
        <w:pStyle w:val="ListParagraph"/>
        <w:numPr>
          <w:ilvl w:val="0"/>
          <w:numId w:val="29"/>
        </w:numPr>
        <w:spacing w:before="0" w:after="0"/>
        <w:rPr>
          <w:b/>
          <w:bCs/>
          <w:lang w:val="en-US"/>
        </w:rPr>
      </w:pPr>
      <w:r w:rsidRPr="007F7C2B">
        <w:rPr>
          <w:lang w:val="en-US"/>
        </w:rPr>
        <w:t>Uptake by HSR/ rating distribution</w:t>
      </w:r>
      <w:r w:rsidRPr="007F7C2B">
        <w:rPr>
          <w:b/>
          <w:bCs/>
          <w:lang w:val="en-US"/>
        </w:rPr>
        <w:br/>
      </w:r>
      <w:r w:rsidRPr="007F7C2B">
        <w:rPr>
          <w:b/>
          <w:bCs/>
          <w:lang w:val="en-US"/>
        </w:rPr>
        <w:tab/>
      </w:r>
    </w:p>
    <w:p w14:paraId="432653C6" w14:textId="77777777" w:rsidR="0016701A" w:rsidRDefault="0016701A" w:rsidP="0016701A">
      <w:pPr>
        <w:spacing w:before="0" w:after="0"/>
        <w:rPr>
          <w:b/>
          <w:bCs/>
          <w:lang w:val="en-US"/>
        </w:rPr>
      </w:pPr>
      <w:r w:rsidRPr="0001663F">
        <w:rPr>
          <w:b/>
          <w:bCs/>
          <w:lang w:val="en-US"/>
        </w:rPr>
        <w:t>A</w:t>
      </w:r>
      <w:r>
        <w:rPr>
          <w:b/>
          <w:bCs/>
          <w:lang w:val="en-US"/>
        </w:rPr>
        <w:t>o</w:t>
      </w:r>
      <w:r w:rsidRPr="0001663F">
        <w:rPr>
          <w:b/>
          <w:bCs/>
          <w:lang w:val="en-US"/>
        </w:rPr>
        <w:t xml:space="preserve">E 2: </w:t>
      </w:r>
      <w:r>
        <w:rPr>
          <w:b/>
          <w:bCs/>
          <w:lang w:val="en-US"/>
        </w:rPr>
        <w:t xml:space="preserve">Consumer use and </w:t>
      </w:r>
      <w:proofErr w:type="gramStart"/>
      <w:r>
        <w:rPr>
          <w:b/>
          <w:bCs/>
          <w:lang w:val="en-US"/>
        </w:rPr>
        <w:t>understanding</w:t>
      </w:r>
      <w:proofErr w:type="gramEnd"/>
      <w:r>
        <w:rPr>
          <w:b/>
          <w:bCs/>
          <w:lang w:val="en-US"/>
        </w:rPr>
        <w:t xml:space="preserve"> </w:t>
      </w:r>
    </w:p>
    <w:p w14:paraId="30689DC9" w14:textId="77777777" w:rsidR="0016701A" w:rsidRPr="007F7C2B" w:rsidRDefault="0016701A" w:rsidP="0016701A">
      <w:pPr>
        <w:pStyle w:val="ListParagraph"/>
        <w:numPr>
          <w:ilvl w:val="0"/>
          <w:numId w:val="30"/>
        </w:numPr>
        <w:spacing w:before="0" w:after="0"/>
        <w:rPr>
          <w:lang w:val="en-US"/>
        </w:rPr>
      </w:pPr>
      <w:r w:rsidRPr="007F7C2B">
        <w:rPr>
          <w:lang w:val="en-US"/>
        </w:rPr>
        <w:t>In priority groups</w:t>
      </w:r>
      <w:r>
        <w:rPr>
          <w:rStyle w:val="FootnoteReference"/>
          <w:lang w:val="en-US"/>
        </w:rPr>
        <w:footnoteReference w:id="8"/>
      </w:r>
    </w:p>
    <w:p w14:paraId="3879ED1B" w14:textId="77777777" w:rsidR="0016701A" w:rsidRDefault="0016701A" w:rsidP="0016701A">
      <w:pPr>
        <w:pStyle w:val="ListParagraph"/>
        <w:numPr>
          <w:ilvl w:val="0"/>
          <w:numId w:val="30"/>
        </w:numPr>
        <w:spacing w:before="0" w:after="0"/>
        <w:rPr>
          <w:lang w:val="en-US"/>
        </w:rPr>
      </w:pPr>
      <w:r w:rsidRPr="007F7C2B">
        <w:rPr>
          <w:lang w:val="en-US"/>
        </w:rPr>
        <w:t>In general population</w:t>
      </w:r>
    </w:p>
    <w:p w14:paraId="3889EA6B" w14:textId="77777777" w:rsidR="0016701A" w:rsidRPr="007F7C2B" w:rsidRDefault="0016701A" w:rsidP="0016701A">
      <w:pPr>
        <w:pStyle w:val="ListParagraph"/>
        <w:spacing w:before="0" w:after="0"/>
        <w:rPr>
          <w:lang w:val="en-US"/>
        </w:rPr>
      </w:pPr>
    </w:p>
    <w:p w14:paraId="1DF2DAE6" w14:textId="77777777" w:rsidR="0016701A" w:rsidRDefault="0016701A" w:rsidP="0016701A">
      <w:pPr>
        <w:spacing w:before="0" w:after="0"/>
        <w:rPr>
          <w:b/>
          <w:bCs/>
          <w:lang w:val="en-US"/>
        </w:rPr>
      </w:pPr>
      <w:r>
        <w:rPr>
          <w:b/>
          <w:bCs/>
          <w:lang w:val="en-US"/>
        </w:rPr>
        <w:t>AoE 3: Nutrient status and application of the system</w:t>
      </w:r>
    </w:p>
    <w:p w14:paraId="08C45CBC" w14:textId="77777777" w:rsidR="0016701A" w:rsidRPr="0040065A" w:rsidRDefault="0016701A" w:rsidP="0016701A">
      <w:pPr>
        <w:pStyle w:val="ListParagraph"/>
        <w:numPr>
          <w:ilvl w:val="0"/>
          <w:numId w:val="31"/>
        </w:numPr>
        <w:spacing w:before="0" w:after="0"/>
        <w:rPr>
          <w:b/>
          <w:bCs/>
          <w:lang w:val="en-US"/>
        </w:rPr>
      </w:pPr>
      <w:r>
        <w:rPr>
          <w:lang w:val="en-US"/>
        </w:rPr>
        <w:t>Reformulation and nutrient status of HSR products</w:t>
      </w:r>
    </w:p>
    <w:p w14:paraId="70264E18" w14:textId="77777777" w:rsidR="0016701A" w:rsidRPr="008A0C8A" w:rsidRDefault="0016701A" w:rsidP="0016701A">
      <w:pPr>
        <w:pStyle w:val="ListParagraph"/>
        <w:numPr>
          <w:ilvl w:val="0"/>
          <w:numId w:val="31"/>
        </w:numPr>
        <w:spacing w:before="0" w:after="0"/>
        <w:rPr>
          <w:b/>
          <w:bCs/>
          <w:lang w:val="en-US"/>
        </w:rPr>
      </w:pPr>
      <w:r w:rsidRPr="008A0C8A">
        <w:rPr>
          <w:lang w:val="en-US"/>
        </w:rPr>
        <w:t>Compliance and accuracy of ratings</w:t>
      </w:r>
      <w:r w:rsidRPr="008A0C8A">
        <w:rPr>
          <w:b/>
          <w:bCs/>
          <w:lang w:val="en-US"/>
        </w:rPr>
        <w:br/>
      </w:r>
    </w:p>
    <w:p w14:paraId="088ED899" w14:textId="77777777" w:rsidR="0016701A" w:rsidRDefault="0016701A" w:rsidP="0016701A">
      <w:pPr>
        <w:spacing w:before="0" w:after="0"/>
        <w:rPr>
          <w:rFonts w:eastAsia="Times New Roman" w:cstheme="minorHAnsi"/>
          <w:lang w:eastAsia="en-AU"/>
        </w:rPr>
      </w:pPr>
      <w:r>
        <w:rPr>
          <w:rFonts w:eastAsia="Times New Roman" w:cstheme="minorHAnsi"/>
          <w:lang w:eastAsia="en-AU"/>
        </w:rPr>
        <w:t xml:space="preserve">The table below outlines the proposed AoEs and their rationale, potential data sources and timing for the monitoring and reporting. Following agreement to this draft framework, further consideration will be given to how and when data will be collected, analysed and reported. The AoE will be measured based on priority and the funds available. </w:t>
      </w:r>
    </w:p>
    <w:p w14:paraId="6B180C05" w14:textId="77777777" w:rsidR="0016701A" w:rsidRPr="000073B3" w:rsidRDefault="0016701A" w:rsidP="0016701A">
      <w:pPr>
        <w:spacing w:line="276" w:lineRule="auto"/>
      </w:pPr>
    </w:p>
    <w:p w14:paraId="1491FCA0" w14:textId="77777777" w:rsidR="0016701A" w:rsidRPr="00204264" w:rsidRDefault="0016701A" w:rsidP="0016701A">
      <w:pPr>
        <w:spacing w:before="0" w:after="0"/>
        <w:rPr>
          <w:b/>
          <w:bCs/>
          <w:lang w:val="en-US"/>
        </w:rPr>
        <w:sectPr w:rsidR="0016701A" w:rsidRPr="00204264" w:rsidSect="00D249C8">
          <w:headerReference w:type="default" r:id="rId15"/>
          <w:headerReference w:type="first" r:id="rId16"/>
          <w:pgSz w:w="11900" w:h="16840"/>
          <w:pgMar w:top="1531" w:right="1440" w:bottom="1440" w:left="1440" w:header="709" w:footer="293" w:gutter="0"/>
          <w:cols w:space="708"/>
          <w:titlePg/>
          <w:docGrid w:linePitch="360"/>
        </w:sectPr>
      </w:pPr>
    </w:p>
    <w:bookmarkEnd w:id="14"/>
    <w:tbl>
      <w:tblPr>
        <w:tblStyle w:val="TableGrid3"/>
        <w:tblW w:w="16302" w:type="dxa"/>
        <w:tblInd w:w="-1139" w:type="dxa"/>
        <w:tblLook w:val="04A0" w:firstRow="1" w:lastRow="0" w:firstColumn="1" w:lastColumn="0" w:noHBand="0" w:noVBand="1"/>
      </w:tblPr>
      <w:tblGrid>
        <w:gridCol w:w="1560"/>
        <w:gridCol w:w="6804"/>
        <w:gridCol w:w="3402"/>
        <w:gridCol w:w="1275"/>
        <w:gridCol w:w="3261"/>
      </w:tblGrid>
      <w:tr w:rsidR="0016701A" w:rsidRPr="00484AB3" w14:paraId="7C7E5403" w14:textId="77777777" w:rsidTr="007E587A">
        <w:tc>
          <w:tcPr>
            <w:tcW w:w="1560" w:type="dxa"/>
            <w:shd w:val="clear" w:color="auto" w:fill="D9D9D9"/>
          </w:tcPr>
          <w:p w14:paraId="3F9553AD" w14:textId="77777777" w:rsidR="0016701A" w:rsidRPr="00484AB3" w:rsidRDefault="0016701A" w:rsidP="007E587A">
            <w:pPr>
              <w:spacing w:before="0" w:after="0"/>
              <w:rPr>
                <w:rFonts w:ascii="Arial Narrow" w:hAnsi="Arial Narrow" w:cs="Times New Roman"/>
                <w:b/>
                <w:bCs/>
                <w:sz w:val="20"/>
                <w:szCs w:val="20"/>
                <w:lang w:val="en-NZ"/>
              </w:rPr>
            </w:pPr>
            <w:r>
              <w:rPr>
                <w:lang w:val="en-US"/>
              </w:rPr>
              <w:lastRenderedPageBreak/>
              <w:br w:type="page"/>
            </w:r>
            <w:r w:rsidRPr="00484AB3">
              <w:rPr>
                <w:rFonts w:ascii="Arial Narrow" w:hAnsi="Arial Narrow" w:cs="Times New Roman"/>
                <w:b/>
                <w:bCs/>
                <w:sz w:val="20"/>
                <w:szCs w:val="20"/>
                <w:lang w:val="en-NZ"/>
              </w:rPr>
              <w:t xml:space="preserve">Area of enquiry </w:t>
            </w:r>
          </w:p>
        </w:tc>
        <w:tc>
          <w:tcPr>
            <w:tcW w:w="6804" w:type="dxa"/>
            <w:shd w:val="clear" w:color="auto" w:fill="D9D9D9"/>
          </w:tcPr>
          <w:p w14:paraId="5EB7ED9C" w14:textId="77777777" w:rsidR="0016701A" w:rsidRPr="00484AB3" w:rsidRDefault="0016701A" w:rsidP="007E587A">
            <w:pPr>
              <w:spacing w:before="0" w:after="0"/>
              <w:rPr>
                <w:rFonts w:ascii="Arial Narrow" w:hAnsi="Arial Narrow" w:cs="Times New Roman"/>
                <w:b/>
                <w:bCs/>
                <w:sz w:val="20"/>
                <w:szCs w:val="20"/>
                <w:lang w:val="en-NZ"/>
              </w:rPr>
            </w:pPr>
            <w:r w:rsidRPr="00484AB3">
              <w:rPr>
                <w:rFonts w:ascii="Arial Narrow" w:hAnsi="Arial Narrow" w:cs="Times New Roman"/>
                <w:b/>
                <w:bCs/>
                <w:sz w:val="20"/>
                <w:szCs w:val="20"/>
                <w:lang w:val="en-NZ"/>
              </w:rPr>
              <w:t xml:space="preserve">Rationale </w:t>
            </w:r>
          </w:p>
        </w:tc>
        <w:tc>
          <w:tcPr>
            <w:tcW w:w="3402" w:type="dxa"/>
            <w:shd w:val="clear" w:color="auto" w:fill="D9D9D9"/>
          </w:tcPr>
          <w:p w14:paraId="51236ABD" w14:textId="77777777" w:rsidR="0016701A" w:rsidRPr="00484AB3" w:rsidRDefault="0016701A" w:rsidP="007E587A">
            <w:pPr>
              <w:spacing w:before="0" w:after="0"/>
              <w:rPr>
                <w:rFonts w:ascii="Arial Narrow" w:hAnsi="Arial Narrow" w:cs="Times New Roman"/>
                <w:b/>
                <w:bCs/>
                <w:sz w:val="20"/>
                <w:szCs w:val="20"/>
                <w:lang w:val="en-NZ"/>
              </w:rPr>
            </w:pPr>
            <w:r w:rsidRPr="00484AB3">
              <w:rPr>
                <w:rFonts w:ascii="Arial Narrow" w:hAnsi="Arial Narrow" w:cs="Times New Roman"/>
                <w:b/>
                <w:bCs/>
                <w:sz w:val="20"/>
                <w:szCs w:val="20"/>
                <w:lang w:val="en-NZ"/>
              </w:rPr>
              <w:t xml:space="preserve">Timing </w:t>
            </w:r>
          </w:p>
        </w:tc>
        <w:tc>
          <w:tcPr>
            <w:tcW w:w="1275" w:type="dxa"/>
            <w:shd w:val="clear" w:color="auto" w:fill="D9D9D9"/>
          </w:tcPr>
          <w:p w14:paraId="56C2B22B" w14:textId="77777777" w:rsidR="0016701A" w:rsidRPr="00484AB3" w:rsidRDefault="0016701A" w:rsidP="007E587A">
            <w:pPr>
              <w:spacing w:before="0" w:after="0"/>
              <w:rPr>
                <w:rFonts w:ascii="Arial Narrow" w:hAnsi="Arial Narrow" w:cs="Times New Roman"/>
                <w:b/>
                <w:bCs/>
                <w:sz w:val="20"/>
                <w:szCs w:val="20"/>
                <w:lang w:val="en-NZ"/>
              </w:rPr>
            </w:pPr>
            <w:r w:rsidRPr="00484AB3">
              <w:rPr>
                <w:rFonts w:ascii="Arial Narrow" w:hAnsi="Arial Narrow" w:cs="Times New Roman"/>
                <w:b/>
                <w:bCs/>
                <w:sz w:val="20"/>
                <w:szCs w:val="20"/>
                <w:lang w:val="en-NZ"/>
              </w:rPr>
              <w:t xml:space="preserve">Data type </w:t>
            </w:r>
          </w:p>
        </w:tc>
        <w:tc>
          <w:tcPr>
            <w:tcW w:w="3261" w:type="dxa"/>
            <w:shd w:val="clear" w:color="auto" w:fill="D9D9D9"/>
          </w:tcPr>
          <w:p w14:paraId="063A0FD7" w14:textId="77777777" w:rsidR="0016701A" w:rsidRPr="00484AB3" w:rsidRDefault="0016701A" w:rsidP="007E587A">
            <w:pPr>
              <w:spacing w:before="0" w:after="0"/>
              <w:rPr>
                <w:rFonts w:ascii="Arial Narrow" w:hAnsi="Arial Narrow" w:cs="Times New Roman"/>
                <w:b/>
                <w:bCs/>
                <w:sz w:val="20"/>
                <w:szCs w:val="20"/>
                <w:lang w:val="en-NZ"/>
              </w:rPr>
            </w:pPr>
            <w:r w:rsidRPr="00484AB3">
              <w:rPr>
                <w:rFonts w:ascii="Arial Narrow" w:hAnsi="Arial Narrow" w:cs="Times New Roman"/>
                <w:b/>
                <w:bCs/>
                <w:sz w:val="20"/>
                <w:szCs w:val="20"/>
                <w:lang w:val="en-NZ"/>
              </w:rPr>
              <w:t xml:space="preserve">Potential data sources </w:t>
            </w:r>
          </w:p>
        </w:tc>
      </w:tr>
      <w:tr w:rsidR="0016701A" w:rsidRPr="00484AB3" w14:paraId="1E437E5B" w14:textId="77777777" w:rsidTr="007E587A">
        <w:tc>
          <w:tcPr>
            <w:tcW w:w="16302" w:type="dxa"/>
            <w:gridSpan w:val="5"/>
            <w:shd w:val="clear" w:color="auto" w:fill="D9D9D9"/>
          </w:tcPr>
          <w:p w14:paraId="1569FE0A" w14:textId="77777777" w:rsidR="0016701A" w:rsidRPr="00484AB3" w:rsidRDefault="0016701A" w:rsidP="007E587A">
            <w:pPr>
              <w:spacing w:before="0" w:after="0"/>
              <w:rPr>
                <w:rFonts w:ascii="Arial Narrow" w:hAnsi="Arial Narrow" w:cs="Times New Roman"/>
                <w:b/>
                <w:bCs/>
                <w:sz w:val="20"/>
                <w:szCs w:val="20"/>
                <w:lang w:val="en-NZ"/>
              </w:rPr>
            </w:pPr>
            <w:r w:rsidRPr="00484AB3">
              <w:rPr>
                <w:rFonts w:ascii="Arial Narrow" w:hAnsi="Arial Narrow" w:cs="Times New Roman"/>
                <w:b/>
                <w:bCs/>
                <w:sz w:val="20"/>
                <w:szCs w:val="20"/>
                <w:lang w:val="en-NZ"/>
              </w:rPr>
              <w:t xml:space="preserve">Uptake </w:t>
            </w:r>
          </w:p>
        </w:tc>
      </w:tr>
      <w:tr w:rsidR="0016701A" w:rsidRPr="00484AB3" w14:paraId="1A0E139F" w14:textId="77777777" w:rsidTr="007E587A">
        <w:tc>
          <w:tcPr>
            <w:tcW w:w="1560" w:type="dxa"/>
            <w:shd w:val="clear" w:color="auto" w:fill="C5E0B3"/>
          </w:tcPr>
          <w:p w14:paraId="1E532FCB" w14:textId="77777777" w:rsidR="0016701A" w:rsidRPr="00866718" w:rsidRDefault="0016701A" w:rsidP="007E587A">
            <w:pPr>
              <w:spacing w:before="0" w:after="0"/>
              <w:rPr>
                <w:rFonts w:ascii="Arial Narrow" w:hAnsi="Arial Narrow" w:cs="Times New Roman"/>
                <w:sz w:val="20"/>
                <w:szCs w:val="20"/>
                <w:lang w:val="en-NZ"/>
              </w:rPr>
            </w:pPr>
            <w:bookmarkStart w:id="15" w:name="_Hlk126296682"/>
            <w:r w:rsidRPr="00866718">
              <w:rPr>
                <w:rFonts w:ascii="Arial Narrow" w:hAnsi="Arial Narrow" w:cs="Times New Roman"/>
                <w:sz w:val="20"/>
                <w:szCs w:val="20"/>
                <w:lang w:val="en-NZ"/>
              </w:rPr>
              <w:t>Progress against uptake targets</w:t>
            </w:r>
          </w:p>
        </w:tc>
        <w:tc>
          <w:tcPr>
            <w:tcW w:w="6804" w:type="dxa"/>
            <w:shd w:val="clear" w:color="auto" w:fill="C5E0B3"/>
          </w:tcPr>
          <w:p w14:paraId="785D4434" w14:textId="77777777" w:rsidR="0016701A" w:rsidRPr="00484AB3" w:rsidRDefault="0016701A" w:rsidP="007E587A">
            <w:pPr>
              <w:spacing w:before="0" w:after="0"/>
              <w:rPr>
                <w:rFonts w:ascii="Arial Narrow" w:hAnsi="Arial Narrow" w:cs="Times New Roman"/>
                <w:sz w:val="20"/>
                <w:szCs w:val="20"/>
                <w:lang w:val="en-NZ"/>
              </w:rPr>
            </w:pPr>
            <w:r w:rsidRPr="00484AB3">
              <w:rPr>
                <w:rFonts w:ascii="Arial Narrow" w:hAnsi="Arial Narrow" w:cs="Times New Roman"/>
                <w:sz w:val="20"/>
                <w:szCs w:val="20"/>
                <w:lang w:val="en-NZ"/>
              </w:rPr>
              <w:t xml:space="preserve">Ministers agreed to establish uptake targets as part of the review. Measuring uptake against these targets is essential to assess if industry is meeting these established uptake expectations. </w:t>
            </w:r>
          </w:p>
        </w:tc>
        <w:tc>
          <w:tcPr>
            <w:tcW w:w="3402" w:type="dxa"/>
          </w:tcPr>
          <w:p w14:paraId="2D0E6758" w14:textId="77777777" w:rsidR="0016701A" w:rsidRPr="00484AB3" w:rsidRDefault="0016701A" w:rsidP="007E587A">
            <w:pPr>
              <w:spacing w:before="0" w:after="0"/>
              <w:rPr>
                <w:rFonts w:ascii="Arial Narrow" w:hAnsi="Arial Narrow" w:cs="Times New Roman"/>
                <w:sz w:val="20"/>
                <w:szCs w:val="20"/>
                <w:lang w:val="en-NZ"/>
              </w:rPr>
            </w:pPr>
            <w:r w:rsidRPr="00484AB3">
              <w:rPr>
                <w:rFonts w:ascii="Arial Narrow" w:hAnsi="Arial Narrow" w:cs="Times New Roman"/>
                <w:sz w:val="20"/>
                <w:szCs w:val="20"/>
                <w:lang w:val="en-NZ"/>
              </w:rPr>
              <w:t xml:space="preserve">Commence following each target. An uptake report to be delivered ASAP following each target date. </w:t>
            </w:r>
          </w:p>
        </w:tc>
        <w:tc>
          <w:tcPr>
            <w:tcW w:w="1275" w:type="dxa"/>
            <w:vMerge w:val="restart"/>
          </w:tcPr>
          <w:p w14:paraId="1C9F568A" w14:textId="77777777" w:rsidR="0016701A" w:rsidRPr="00484AB3" w:rsidRDefault="0016701A" w:rsidP="007E587A">
            <w:pPr>
              <w:spacing w:before="0" w:after="0"/>
              <w:rPr>
                <w:rFonts w:ascii="Arial Narrow" w:hAnsi="Arial Narrow" w:cs="Calibri"/>
                <w:sz w:val="20"/>
                <w:szCs w:val="20"/>
              </w:rPr>
            </w:pPr>
            <w:r w:rsidRPr="00484AB3">
              <w:rPr>
                <w:rFonts w:ascii="Arial Narrow" w:hAnsi="Arial Narrow" w:cs="Times New Roman"/>
                <w:sz w:val="20"/>
                <w:szCs w:val="20"/>
                <w:lang w:val="en-NZ"/>
              </w:rPr>
              <w:t>Quantitative</w:t>
            </w:r>
          </w:p>
        </w:tc>
        <w:tc>
          <w:tcPr>
            <w:tcW w:w="3261" w:type="dxa"/>
            <w:vMerge w:val="restart"/>
          </w:tcPr>
          <w:p w14:paraId="27C7AF1F" w14:textId="77777777" w:rsidR="0016701A" w:rsidRPr="00484AB3" w:rsidRDefault="0016701A" w:rsidP="007E587A">
            <w:pPr>
              <w:numPr>
                <w:ilvl w:val="0"/>
                <w:numId w:val="17"/>
              </w:numPr>
              <w:spacing w:before="0" w:after="0"/>
              <w:contextualSpacing/>
              <w:rPr>
                <w:rFonts w:ascii="Arial Narrow" w:hAnsi="Arial Narrow" w:cs="Calibri"/>
                <w:sz w:val="20"/>
                <w:szCs w:val="20"/>
              </w:rPr>
            </w:pPr>
            <w:r w:rsidRPr="00484AB3">
              <w:rPr>
                <w:rFonts w:ascii="Arial Narrow" w:hAnsi="Arial Narrow" w:cs="Calibri"/>
                <w:sz w:val="20"/>
                <w:szCs w:val="20"/>
              </w:rPr>
              <w:t xml:space="preserve">Branded food product databases (e.g. GS1, </w:t>
            </w:r>
            <w:r>
              <w:rPr>
                <w:rFonts w:ascii="Arial Narrow" w:hAnsi="Arial Narrow" w:cs="Calibri"/>
                <w:sz w:val="20"/>
                <w:szCs w:val="20"/>
              </w:rPr>
              <w:t>N</w:t>
            </w:r>
            <w:r w:rsidRPr="00484AB3">
              <w:rPr>
                <w:rFonts w:ascii="Arial Narrow" w:hAnsi="Arial Narrow" w:cs="Calibri"/>
                <w:sz w:val="20"/>
                <w:szCs w:val="20"/>
              </w:rPr>
              <w:t xml:space="preserve">utritrack, FSANZ BFD, George Institute, Heart Foundation Food Track) </w:t>
            </w:r>
          </w:p>
          <w:p w14:paraId="3295FA93" w14:textId="77777777" w:rsidR="0016701A" w:rsidRPr="00484AB3" w:rsidRDefault="0016701A" w:rsidP="007E587A">
            <w:pPr>
              <w:numPr>
                <w:ilvl w:val="0"/>
                <w:numId w:val="17"/>
              </w:numPr>
              <w:spacing w:before="0" w:after="0"/>
              <w:contextualSpacing/>
              <w:rPr>
                <w:rFonts w:ascii="Arial Narrow" w:hAnsi="Arial Narrow" w:cs="Calibri"/>
                <w:sz w:val="20"/>
                <w:szCs w:val="20"/>
              </w:rPr>
            </w:pPr>
            <w:r w:rsidRPr="00484AB3">
              <w:rPr>
                <w:rFonts w:ascii="Arial Narrow" w:hAnsi="Arial Narrow" w:cs="Calibri"/>
                <w:sz w:val="20"/>
                <w:szCs w:val="20"/>
              </w:rPr>
              <w:t>In-store data collection</w:t>
            </w:r>
          </w:p>
          <w:p w14:paraId="3EBAA9BA" w14:textId="77777777" w:rsidR="0016701A" w:rsidRPr="00484AB3" w:rsidRDefault="0016701A" w:rsidP="007E587A">
            <w:pPr>
              <w:numPr>
                <w:ilvl w:val="0"/>
                <w:numId w:val="17"/>
              </w:numPr>
              <w:spacing w:before="0" w:after="0"/>
              <w:contextualSpacing/>
              <w:rPr>
                <w:rFonts w:ascii="Arial Narrow" w:hAnsi="Arial Narrow" w:cs="Times New Roman"/>
                <w:sz w:val="20"/>
                <w:szCs w:val="20"/>
                <w:lang w:val="en-NZ"/>
              </w:rPr>
            </w:pPr>
            <w:r w:rsidRPr="00484AB3">
              <w:rPr>
                <w:rFonts w:ascii="Arial Narrow" w:hAnsi="Arial Narrow" w:cs="Calibri"/>
                <w:sz w:val="20"/>
                <w:szCs w:val="20"/>
              </w:rPr>
              <w:t>Online shopping data collection – via collaboration with retailers</w:t>
            </w:r>
          </w:p>
        </w:tc>
      </w:tr>
      <w:tr w:rsidR="0016701A" w:rsidRPr="00484AB3" w14:paraId="6CCA5142" w14:textId="77777777" w:rsidTr="007E587A">
        <w:tc>
          <w:tcPr>
            <w:tcW w:w="1560" w:type="dxa"/>
            <w:shd w:val="clear" w:color="auto" w:fill="FFE599"/>
          </w:tcPr>
          <w:p w14:paraId="29138671" w14:textId="77777777" w:rsidR="0016701A" w:rsidRPr="00866718" w:rsidRDefault="0016701A" w:rsidP="007E587A">
            <w:pPr>
              <w:spacing w:before="0" w:after="0"/>
              <w:rPr>
                <w:rFonts w:ascii="Arial Narrow" w:hAnsi="Arial Narrow" w:cs="Times New Roman"/>
                <w:sz w:val="20"/>
                <w:szCs w:val="20"/>
                <w:lang w:val="en-NZ"/>
              </w:rPr>
            </w:pPr>
            <w:r w:rsidRPr="00866718">
              <w:rPr>
                <w:rFonts w:ascii="Arial Narrow" w:hAnsi="Arial Narrow" w:cs="Times New Roman"/>
                <w:sz w:val="20"/>
                <w:szCs w:val="20"/>
                <w:lang w:val="en-NZ"/>
              </w:rPr>
              <w:t xml:space="preserve">Uptake by food category </w:t>
            </w:r>
          </w:p>
        </w:tc>
        <w:tc>
          <w:tcPr>
            <w:tcW w:w="6804" w:type="dxa"/>
            <w:shd w:val="clear" w:color="auto" w:fill="FFE599"/>
          </w:tcPr>
          <w:p w14:paraId="6D19620F" w14:textId="77777777" w:rsidR="0016701A" w:rsidRPr="00484AB3" w:rsidRDefault="0016701A" w:rsidP="007E587A">
            <w:pPr>
              <w:spacing w:before="0" w:after="0"/>
              <w:rPr>
                <w:rFonts w:ascii="Arial Narrow" w:hAnsi="Arial Narrow" w:cs="Times New Roman"/>
                <w:sz w:val="20"/>
                <w:szCs w:val="20"/>
                <w:lang w:val="en-NZ"/>
              </w:rPr>
            </w:pPr>
            <w:r w:rsidRPr="00484AB3">
              <w:rPr>
                <w:rFonts w:ascii="Arial Narrow" w:hAnsi="Arial Narrow" w:cs="Times New Roman"/>
                <w:sz w:val="20"/>
                <w:szCs w:val="20"/>
                <w:lang w:val="en-NZ"/>
              </w:rPr>
              <w:t xml:space="preserve">Help identify whether there is preferential application of the system and support targeted industry engagement to increase uptake. The food categories would be determined later.   </w:t>
            </w:r>
          </w:p>
        </w:tc>
        <w:tc>
          <w:tcPr>
            <w:tcW w:w="3402" w:type="dxa"/>
            <w:vMerge w:val="restart"/>
          </w:tcPr>
          <w:p w14:paraId="01D3BE75" w14:textId="77777777" w:rsidR="0016701A" w:rsidRPr="00484AB3" w:rsidRDefault="0016701A" w:rsidP="007E587A">
            <w:pPr>
              <w:spacing w:before="0" w:after="0"/>
              <w:rPr>
                <w:rFonts w:ascii="Arial Narrow" w:hAnsi="Arial Narrow" w:cs="Times New Roman"/>
                <w:sz w:val="20"/>
                <w:szCs w:val="20"/>
                <w:lang w:val="en-NZ"/>
              </w:rPr>
            </w:pPr>
            <w:r w:rsidRPr="00484AB3">
              <w:rPr>
                <w:rFonts w:ascii="Arial Narrow" w:hAnsi="Arial Narrow" w:cs="Times New Roman"/>
                <w:sz w:val="20"/>
                <w:szCs w:val="20"/>
                <w:lang w:val="en-NZ"/>
              </w:rPr>
              <w:t xml:space="preserve">At interim target 1, and again if interim target 2 is not met. </w:t>
            </w:r>
          </w:p>
        </w:tc>
        <w:tc>
          <w:tcPr>
            <w:tcW w:w="1275" w:type="dxa"/>
            <w:vMerge/>
          </w:tcPr>
          <w:p w14:paraId="333E3C49" w14:textId="77777777" w:rsidR="0016701A" w:rsidRPr="00484AB3" w:rsidRDefault="0016701A" w:rsidP="007E587A">
            <w:pPr>
              <w:spacing w:before="0" w:after="0"/>
              <w:rPr>
                <w:rFonts w:ascii="Arial Narrow" w:hAnsi="Arial Narrow" w:cs="Times New Roman"/>
                <w:sz w:val="20"/>
                <w:szCs w:val="20"/>
                <w:lang w:val="en-NZ"/>
              </w:rPr>
            </w:pPr>
          </w:p>
        </w:tc>
        <w:tc>
          <w:tcPr>
            <w:tcW w:w="3261" w:type="dxa"/>
            <w:vMerge/>
          </w:tcPr>
          <w:p w14:paraId="759B95AF" w14:textId="77777777" w:rsidR="0016701A" w:rsidRPr="00484AB3" w:rsidRDefault="0016701A" w:rsidP="007E587A">
            <w:pPr>
              <w:spacing w:before="0" w:after="0"/>
              <w:rPr>
                <w:rFonts w:ascii="Arial Narrow" w:hAnsi="Arial Narrow" w:cs="Times New Roman"/>
                <w:sz w:val="20"/>
                <w:szCs w:val="20"/>
                <w:lang w:val="en-NZ"/>
              </w:rPr>
            </w:pPr>
          </w:p>
        </w:tc>
      </w:tr>
      <w:tr w:rsidR="0016701A" w:rsidRPr="00484AB3" w14:paraId="6A10196E" w14:textId="77777777" w:rsidTr="007E587A">
        <w:tc>
          <w:tcPr>
            <w:tcW w:w="1560" w:type="dxa"/>
            <w:shd w:val="clear" w:color="auto" w:fill="FFE599"/>
          </w:tcPr>
          <w:p w14:paraId="289C4664" w14:textId="77777777" w:rsidR="0016701A" w:rsidRPr="00866718" w:rsidRDefault="0016701A" w:rsidP="007E587A">
            <w:pPr>
              <w:spacing w:before="0" w:after="0"/>
              <w:rPr>
                <w:rFonts w:ascii="Arial Narrow" w:hAnsi="Arial Narrow" w:cs="Times New Roman"/>
                <w:sz w:val="20"/>
                <w:szCs w:val="20"/>
                <w:lang w:val="en-NZ"/>
              </w:rPr>
            </w:pPr>
            <w:r w:rsidRPr="00866718">
              <w:rPr>
                <w:rFonts w:ascii="Arial Narrow" w:hAnsi="Arial Narrow" w:cs="Times New Roman"/>
                <w:sz w:val="20"/>
                <w:szCs w:val="20"/>
                <w:lang w:val="en-NZ"/>
              </w:rPr>
              <w:t>Uptake by HSR/</w:t>
            </w:r>
            <w:r w:rsidRPr="00866718">
              <w:rPr>
                <w:rFonts w:ascii="Arial Narrow" w:hAnsi="Arial Narrow" w:cs="Times New Roman"/>
                <w:lang w:val="en-NZ"/>
              </w:rPr>
              <w:t xml:space="preserve"> r</w:t>
            </w:r>
            <w:r w:rsidRPr="00866718">
              <w:rPr>
                <w:rFonts w:ascii="Arial Narrow" w:hAnsi="Arial Narrow" w:cs="Times New Roman"/>
                <w:sz w:val="20"/>
                <w:szCs w:val="20"/>
                <w:lang w:val="en-NZ"/>
              </w:rPr>
              <w:t>ating distribution</w:t>
            </w:r>
          </w:p>
        </w:tc>
        <w:tc>
          <w:tcPr>
            <w:tcW w:w="6804" w:type="dxa"/>
            <w:shd w:val="clear" w:color="auto" w:fill="FFE599"/>
          </w:tcPr>
          <w:p w14:paraId="0E453616" w14:textId="77777777" w:rsidR="0016701A" w:rsidRPr="00484AB3" w:rsidRDefault="0016701A" w:rsidP="007E587A">
            <w:pPr>
              <w:spacing w:before="0" w:after="0"/>
              <w:rPr>
                <w:rFonts w:ascii="Arial Narrow" w:hAnsi="Arial Narrow" w:cs="Times New Roman"/>
                <w:sz w:val="20"/>
                <w:szCs w:val="20"/>
                <w:lang w:val="en-NZ"/>
              </w:rPr>
            </w:pPr>
            <w:r w:rsidRPr="00484AB3">
              <w:rPr>
                <w:rFonts w:ascii="Arial Narrow" w:hAnsi="Arial Narrow" w:cs="Times New Roman"/>
                <w:sz w:val="20"/>
                <w:szCs w:val="20"/>
                <w:lang w:val="en-NZ"/>
              </w:rPr>
              <w:t xml:space="preserve">Can be used in conjunction with Nutrient status to indicate whether application is being favoured for higher rated products. These measures indicate similar information. This in turn would assist to inform the value of mandating. </w:t>
            </w:r>
          </w:p>
        </w:tc>
        <w:tc>
          <w:tcPr>
            <w:tcW w:w="3402" w:type="dxa"/>
            <w:vMerge/>
          </w:tcPr>
          <w:p w14:paraId="10388F9C" w14:textId="77777777" w:rsidR="0016701A" w:rsidRPr="00484AB3" w:rsidRDefault="0016701A" w:rsidP="007E587A">
            <w:pPr>
              <w:spacing w:before="0" w:after="0"/>
              <w:rPr>
                <w:rFonts w:ascii="Arial Narrow" w:hAnsi="Arial Narrow" w:cs="Times New Roman"/>
                <w:sz w:val="20"/>
                <w:szCs w:val="20"/>
                <w:lang w:val="en-NZ"/>
              </w:rPr>
            </w:pPr>
          </w:p>
        </w:tc>
        <w:tc>
          <w:tcPr>
            <w:tcW w:w="1275" w:type="dxa"/>
            <w:vMerge/>
          </w:tcPr>
          <w:p w14:paraId="64EA0E30" w14:textId="77777777" w:rsidR="0016701A" w:rsidRPr="00484AB3" w:rsidRDefault="0016701A" w:rsidP="007E587A">
            <w:pPr>
              <w:spacing w:before="0" w:after="0"/>
              <w:rPr>
                <w:rFonts w:ascii="Arial Narrow" w:hAnsi="Arial Narrow" w:cs="Times New Roman"/>
                <w:sz w:val="20"/>
                <w:szCs w:val="20"/>
                <w:lang w:val="en-NZ"/>
              </w:rPr>
            </w:pPr>
          </w:p>
        </w:tc>
        <w:tc>
          <w:tcPr>
            <w:tcW w:w="3261" w:type="dxa"/>
            <w:vMerge/>
          </w:tcPr>
          <w:p w14:paraId="022F4253" w14:textId="77777777" w:rsidR="0016701A" w:rsidRPr="00484AB3" w:rsidRDefault="0016701A" w:rsidP="007E587A">
            <w:pPr>
              <w:spacing w:before="0" w:after="0"/>
              <w:rPr>
                <w:rFonts w:ascii="Arial Narrow" w:hAnsi="Arial Narrow" w:cs="Times New Roman"/>
                <w:sz w:val="20"/>
                <w:szCs w:val="20"/>
                <w:lang w:val="en-NZ"/>
              </w:rPr>
            </w:pPr>
          </w:p>
        </w:tc>
      </w:tr>
      <w:bookmarkEnd w:id="15"/>
      <w:tr w:rsidR="0016701A" w:rsidRPr="00484AB3" w14:paraId="1B4A25E9" w14:textId="77777777" w:rsidTr="007E587A">
        <w:tc>
          <w:tcPr>
            <w:tcW w:w="1560" w:type="dxa"/>
            <w:shd w:val="clear" w:color="auto" w:fill="FF9999"/>
          </w:tcPr>
          <w:p w14:paraId="06AC8269" w14:textId="77777777" w:rsidR="0016701A" w:rsidRPr="00866718" w:rsidRDefault="0016701A" w:rsidP="007E587A">
            <w:pPr>
              <w:spacing w:before="0" w:after="0"/>
              <w:rPr>
                <w:rFonts w:ascii="Arial Narrow" w:hAnsi="Arial Narrow" w:cs="Times New Roman"/>
                <w:sz w:val="20"/>
                <w:szCs w:val="20"/>
                <w:lang w:val="en-NZ"/>
              </w:rPr>
            </w:pPr>
            <w:r w:rsidRPr="00866718">
              <w:rPr>
                <w:rFonts w:ascii="Arial Narrow" w:hAnsi="Arial Narrow" w:cs="Times New Roman"/>
                <w:sz w:val="20"/>
                <w:szCs w:val="20"/>
                <w:lang w:val="en-NZ"/>
              </w:rPr>
              <w:t xml:space="preserve">Sales weighted uptake </w:t>
            </w:r>
          </w:p>
        </w:tc>
        <w:tc>
          <w:tcPr>
            <w:tcW w:w="6804" w:type="dxa"/>
            <w:shd w:val="clear" w:color="auto" w:fill="FF9999"/>
          </w:tcPr>
          <w:p w14:paraId="23139A69" w14:textId="77777777" w:rsidR="0016701A" w:rsidRPr="00484AB3" w:rsidRDefault="0016701A" w:rsidP="007E587A">
            <w:pPr>
              <w:spacing w:before="0" w:after="0"/>
              <w:rPr>
                <w:rFonts w:ascii="Arial Narrow" w:hAnsi="Arial Narrow" w:cs="Times New Roman"/>
                <w:sz w:val="20"/>
                <w:szCs w:val="20"/>
                <w:lang w:val="en-NZ"/>
              </w:rPr>
            </w:pPr>
            <w:r w:rsidRPr="00484AB3">
              <w:rPr>
                <w:rFonts w:ascii="Arial Narrow" w:hAnsi="Arial Narrow" w:cs="Times New Roman"/>
                <w:sz w:val="20"/>
                <w:szCs w:val="20"/>
                <w:lang w:val="en-NZ"/>
              </w:rPr>
              <w:t xml:space="preserve">Obtaining sales data is costly. In their response to the </w:t>
            </w:r>
            <w:r>
              <w:rPr>
                <w:rFonts w:ascii="Arial Narrow" w:hAnsi="Arial Narrow" w:cs="Times New Roman"/>
                <w:sz w:val="20"/>
                <w:szCs w:val="20"/>
                <w:lang w:val="en-NZ"/>
              </w:rPr>
              <w:t>5-y</w:t>
            </w:r>
            <w:r w:rsidRPr="00484AB3">
              <w:rPr>
                <w:rFonts w:ascii="Arial Narrow" w:hAnsi="Arial Narrow" w:cs="Times New Roman"/>
                <w:sz w:val="20"/>
                <w:szCs w:val="20"/>
                <w:lang w:val="en-NZ"/>
              </w:rPr>
              <w:t xml:space="preserve">ear review Ministers agreed to not establish sales weighted uptake targets. </w:t>
            </w:r>
          </w:p>
        </w:tc>
        <w:tc>
          <w:tcPr>
            <w:tcW w:w="7938" w:type="dxa"/>
            <w:gridSpan w:val="3"/>
            <w:shd w:val="clear" w:color="auto" w:fill="D9D9D9"/>
          </w:tcPr>
          <w:p w14:paraId="421784B0" w14:textId="77777777" w:rsidR="0016701A" w:rsidRPr="00484AB3" w:rsidRDefault="0016701A" w:rsidP="007E587A">
            <w:pPr>
              <w:spacing w:before="0" w:after="0"/>
              <w:rPr>
                <w:rFonts w:ascii="Arial Narrow" w:hAnsi="Arial Narrow" w:cs="Times New Roman"/>
                <w:sz w:val="20"/>
                <w:szCs w:val="20"/>
                <w:lang w:val="en-NZ"/>
              </w:rPr>
            </w:pPr>
          </w:p>
        </w:tc>
      </w:tr>
      <w:tr w:rsidR="0016701A" w:rsidRPr="00484AB3" w14:paraId="5675FA99" w14:textId="77777777" w:rsidTr="007E587A">
        <w:tc>
          <w:tcPr>
            <w:tcW w:w="16302" w:type="dxa"/>
            <w:gridSpan w:val="5"/>
            <w:shd w:val="clear" w:color="auto" w:fill="D9D9D9"/>
          </w:tcPr>
          <w:p w14:paraId="069D2A8C" w14:textId="77777777" w:rsidR="0016701A" w:rsidRPr="00866718" w:rsidRDefault="0016701A" w:rsidP="007E587A">
            <w:pPr>
              <w:spacing w:before="0" w:after="0"/>
              <w:rPr>
                <w:rFonts w:ascii="Arial Narrow" w:hAnsi="Arial Narrow" w:cs="Times New Roman"/>
                <w:b/>
                <w:bCs/>
                <w:sz w:val="20"/>
                <w:szCs w:val="20"/>
                <w:lang w:val="en-NZ"/>
              </w:rPr>
            </w:pPr>
            <w:r w:rsidRPr="00866718">
              <w:rPr>
                <w:rFonts w:ascii="Arial Narrow" w:hAnsi="Arial Narrow" w:cs="Times New Roman"/>
                <w:b/>
                <w:bCs/>
                <w:sz w:val="20"/>
                <w:szCs w:val="20"/>
                <w:lang w:val="en-NZ"/>
              </w:rPr>
              <w:t xml:space="preserve">Consumer use and understanding </w:t>
            </w:r>
          </w:p>
        </w:tc>
      </w:tr>
      <w:tr w:rsidR="0016701A" w:rsidRPr="00484AB3" w14:paraId="222B2CA5" w14:textId="77777777" w:rsidTr="007E587A">
        <w:tc>
          <w:tcPr>
            <w:tcW w:w="1560" w:type="dxa"/>
            <w:shd w:val="clear" w:color="auto" w:fill="C5E0B3"/>
          </w:tcPr>
          <w:p w14:paraId="071BB333" w14:textId="77777777" w:rsidR="0016701A" w:rsidRPr="00866718" w:rsidRDefault="0016701A" w:rsidP="007E587A">
            <w:pPr>
              <w:spacing w:before="0" w:after="0"/>
              <w:rPr>
                <w:rFonts w:ascii="Arial Narrow" w:hAnsi="Arial Narrow" w:cs="Times New Roman"/>
                <w:sz w:val="20"/>
                <w:szCs w:val="20"/>
                <w:lang w:val="en-NZ"/>
              </w:rPr>
            </w:pPr>
            <w:r w:rsidRPr="00866718">
              <w:rPr>
                <w:rFonts w:ascii="Arial Narrow" w:hAnsi="Arial Narrow" w:cs="Times New Roman"/>
                <w:sz w:val="20"/>
                <w:szCs w:val="20"/>
                <w:lang w:val="en-NZ"/>
              </w:rPr>
              <w:t>In priority groups</w:t>
            </w:r>
          </w:p>
        </w:tc>
        <w:tc>
          <w:tcPr>
            <w:tcW w:w="6804" w:type="dxa"/>
            <w:shd w:val="clear" w:color="auto" w:fill="C5E0B3"/>
          </w:tcPr>
          <w:p w14:paraId="4CB6696B" w14:textId="77777777" w:rsidR="0016701A" w:rsidRPr="00484AB3" w:rsidRDefault="0016701A" w:rsidP="007E587A">
            <w:pPr>
              <w:spacing w:before="0" w:after="0"/>
              <w:rPr>
                <w:rFonts w:ascii="Arial Narrow" w:hAnsi="Arial Narrow" w:cs="Times New Roman"/>
                <w:sz w:val="20"/>
                <w:szCs w:val="20"/>
                <w:lang w:val="en-NZ"/>
              </w:rPr>
            </w:pPr>
            <w:r w:rsidRPr="00484AB3">
              <w:rPr>
                <w:rFonts w:ascii="Arial Narrow" w:hAnsi="Arial Narrow" w:cs="Times New Roman"/>
                <w:sz w:val="20"/>
                <w:szCs w:val="20"/>
                <w:lang w:val="en-NZ"/>
              </w:rPr>
              <w:t xml:space="preserve">Key to inform decision on whether to mandate the system. Helps assess whether the system is meetings its objective: </w:t>
            </w:r>
            <w:r w:rsidRPr="00484AB3">
              <w:rPr>
                <w:rFonts w:ascii="Arial Narrow" w:hAnsi="Arial Narrow" w:cs="Times New Roman"/>
                <w:i/>
                <w:iCs/>
                <w:sz w:val="20"/>
                <w:szCs w:val="20"/>
                <w:lang w:val="en-NZ"/>
              </w:rPr>
              <w:t>to provide convenient, relevant, and readily understood nutrition information and/or guidance on food packs to assist consumers to make informed food purchases and healthier eating choices</w:t>
            </w:r>
          </w:p>
        </w:tc>
        <w:tc>
          <w:tcPr>
            <w:tcW w:w="3402" w:type="dxa"/>
          </w:tcPr>
          <w:p w14:paraId="0CF70910" w14:textId="77777777" w:rsidR="0016701A" w:rsidRDefault="0016701A" w:rsidP="007E587A">
            <w:pPr>
              <w:spacing w:before="0" w:after="0"/>
              <w:rPr>
                <w:rFonts w:ascii="Arial Narrow" w:hAnsi="Arial Narrow" w:cs="Times New Roman"/>
                <w:sz w:val="20"/>
                <w:szCs w:val="20"/>
                <w:lang w:val="en-NZ"/>
              </w:rPr>
            </w:pPr>
            <w:r w:rsidRPr="00484AB3">
              <w:rPr>
                <w:rFonts w:ascii="Arial Narrow" w:hAnsi="Arial Narrow" w:cs="Times New Roman"/>
                <w:sz w:val="20"/>
                <w:szCs w:val="20"/>
                <w:lang w:val="en-NZ"/>
              </w:rPr>
              <w:t>Ideally align with uptake targets monitoring, but at a minimum at beginning and end of monitoring period</w:t>
            </w:r>
            <w:r>
              <w:rPr>
                <w:rFonts w:ascii="Arial Narrow" w:hAnsi="Arial Narrow" w:cs="Times New Roman"/>
                <w:sz w:val="20"/>
                <w:szCs w:val="20"/>
                <w:lang w:val="en-NZ"/>
              </w:rPr>
              <w:t xml:space="preserve">. </w:t>
            </w:r>
          </w:p>
          <w:p w14:paraId="7C236075" w14:textId="77777777" w:rsidR="0016701A" w:rsidRPr="00484AB3" w:rsidRDefault="0016701A" w:rsidP="007E587A">
            <w:pPr>
              <w:spacing w:before="0" w:after="0"/>
              <w:rPr>
                <w:rFonts w:ascii="Arial Narrow" w:hAnsi="Arial Narrow" w:cs="Times New Roman"/>
                <w:sz w:val="20"/>
                <w:szCs w:val="20"/>
                <w:lang w:val="en-NZ"/>
              </w:rPr>
            </w:pPr>
            <w:r>
              <w:rPr>
                <w:rFonts w:ascii="Arial Narrow" w:hAnsi="Arial Narrow" w:cs="Times New Roman"/>
                <w:sz w:val="20"/>
                <w:szCs w:val="20"/>
                <w:lang w:val="en-NZ"/>
              </w:rPr>
              <w:t xml:space="preserve">Following the Australian Campaign.  </w:t>
            </w:r>
          </w:p>
        </w:tc>
        <w:tc>
          <w:tcPr>
            <w:tcW w:w="1275" w:type="dxa"/>
            <w:vMerge w:val="restart"/>
          </w:tcPr>
          <w:p w14:paraId="74386ACD" w14:textId="77777777" w:rsidR="0016701A" w:rsidRPr="00484AB3" w:rsidRDefault="0016701A" w:rsidP="007E587A">
            <w:pPr>
              <w:spacing w:before="0" w:after="0"/>
              <w:rPr>
                <w:rFonts w:ascii="Arial Narrow" w:hAnsi="Arial Narrow" w:cs="Times New Roman"/>
                <w:sz w:val="20"/>
                <w:szCs w:val="20"/>
                <w:lang w:val="en-NZ"/>
              </w:rPr>
            </w:pPr>
            <w:r w:rsidRPr="00484AB3">
              <w:rPr>
                <w:rFonts w:ascii="Arial Narrow" w:hAnsi="Arial Narrow" w:cs="Times New Roman"/>
                <w:sz w:val="20"/>
                <w:szCs w:val="20"/>
                <w:lang w:val="en-NZ"/>
              </w:rPr>
              <w:t>Quantitative and qualitative</w:t>
            </w:r>
            <w:r w:rsidRPr="00484AB3">
              <w:rPr>
                <w:rFonts w:ascii="Arial Narrow" w:hAnsi="Arial Narrow" w:cs="Calibri"/>
                <w:color w:val="00B050"/>
                <w:sz w:val="20"/>
                <w:szCs w:val="20"/>
              </w:rPr>
              <w:t xml:space="preserve">  </w:t>
            </w:r>
          </w:p>
        </w:tc>
        <w:tc>
          <w:tcPr>
            <w:tcW w:w="3261" w:type="dxa"/>
            <w:vMerge w:val="restart"/>
          </w:tcPr>
          <w:p w14:paraId="336635E1" w14:textId="77777777" w:rsidR="0016701A" w:rsidRPr="00484AB3" w:rsidRDefault="0016701A" w:rsidP="007E587A">
            <w:pPr>
              <w:numPr>
                <w:ilvl w:val="0"/>
                <w:numId w:val="18"/>
              </w:numPr>
              <w:spacing w:before="0" w:after="0"/>
              <w:contextualSpacing/>
              <w:rPr>
                <w:rFonts w:ascii="Arial Narrow" w:hAnsi="Arial Narrow" w:cs="Calibri"/>
                <w:sz w:val="20"/>
                <w:szCs w:val="20"/>
              </w:rPr>
            </w:pPr>
            <w:r w:rsidRPr="00484AB3">
              <w:rPr>
                <w:rFonts w:ascii="Arial Narrow" w:hAnsi="Arial Narrow" w:cs="Calibri"/>
                <w:sz w:val="20"/>
                <w:szCs w:val="20"/>
              </w:rPr>
              <w:t>Surveys</w:t>
            </w:r>
          </w:p>
          <w:p w14:paraId="732DD8DE" w14:textId="77777777" w:rsidR="0016701A" w:rsidRPr="00484AB3" w:rsidRDefault="0016701A" w:rsidP="007E587A">
            <w:pPr>
              <w:numPr>
                <w:ilvl w:val="0"/>
                <w:numId w:val="18"/>
              </w:numPr>
              <w:spacing w:before="0" w:after="0"/>
              <w:contextualSpacing/>
              <w:rPr>
                <w:rFonts w:ascii="Arial Narrow" w:hAnsi="Arial Narrow" w:cs="Calibri"/>
                <w:sz w:val="20"/>
                <w:szCs w:val="20"/>
              </w:rPr>
            </w:pPr>
            <w:r w:rsidRPr="00484AB3">
              <w:rPr>
                <w:rFonts w:ascii="Arial Narrow" w:hAnsi="Arial Narrow" w:cs="Calibri"/>
                <w:sz w:val="20"/>
                <w:szCs w:val="20"/>
              </w:rPr>
              <w:t>Focus groups</w:t>
            </w:r>
          </w:p>
          <w:p w14:paraId="40E5BE93" w14:textId="77777777" w:rsidR="0016701A" w:rsidRPr="00484AB3" w:rsidRDefault="0016701A" w:rsidP="007E587A">
            <w:pPr>
              <w:numPr>
                <w:ilvl w:val="0"/>
                <w:numId w:val="18"/>
              </w:numPr>
              <w:spacing w:before="0" w:after="0"/>
              <w:contextualSpacing/>
              <w:rPr>
                <w:rFonts w:ascii="Arial Narrow" w:hAnsi="Arial Narrow" w:cs="Calibri"/>
                <w:sz w:val="20"/>
                <w:szCs w:val="20"/>
              </w:rPr>
            </w:pPr>
            <w:r w:rsidRPr="00484AB3">
              <w:rPr>
                <w:rFonts w:ascii="Arial Narrow" w:hAnsi="Arial Narrow" w:cs="Calibri"/>
                <w:sz w:val="20"/>
                <w:szCs w:val="20"/>
              </w:rPr>
              <w:t>Targeted stakeholder forums</w:t>
            </w:r>
          </w:p>
          <w:p w14:paraId="48CCE60B" w14:textId="77777777" w:rsidR="0016701A" w:rsidRPr="00484AB3" w:rsidRDefault="0016701A" w:rsidP="007E587A">
            <w:pPr>
              <w:numPr>
                <w:ilvl w:val="0"/>
                <w:numId w:val="18"/>
              </w:numPr>
              <w:spacing w:before="0" w:after="0"/>
              <w:contextualSpacing/>
              <w:rPr>
                <w:rFonts w:ascii="Arial Narrow" w:hAnsi="Arial Narrow" w:cs="Calibri"/>
                <w:sz w:val="20"/>
                <w:szCs w:val="20"/>
              </w:rPr>
            </w:pPr>
            <w:r w:rsidRPr="00484AB3">
              <w:rPr>
                <w:rFonts w:ascii="Arial Narrow" w:hAnsi="Arial Narrow" w:cs="Calibri"/>
                <w:sz w:val="20"/>
                <w:szCs w:val="20"/>
              </w:rPr>
              <w:t>Public forums</w:t>
            </w:r>
          </w:p>
          <w:p w14:paraId="77A20943" w14:textId="77777777" w:rsidR="0016701A" w:rsidRPr="00484AB3" w:rsidRDefault="0016701A" w:rsidP="007E587A">
            <w:pPr>
              <w:numPr>
                <w:ilvl w:val="0"/>
                <w:numId w:val="18"/>
              </w:numPr>
              <w:spacing w:before="0" w:after="0"/>
              <w:contextualSpacing/>
              <w:rPr>
                <w:rFonts w:ascii="Arial Narrow" w:hAnsi="Arial Narrow" w:cs="Calibri"/>
                <w:sz w:val="20"/>
                <w:szCs w:val="20"/>
              </w:rPr>
            </w:pPr>
            <w:r w:rsidRPr="00484AB3">
              <w:rPr>
                <w:rFonts w:ascii="Arial Narrow" w:hAnsi="Arial Narrow" w:cs="Calibri"/>
                <w:sz w:val="20"/>
                <w:szCs w:val="20"/>
              </w:rPr>
              <w:t xml:space="preserve">The HSR Australian Campaign evaluation </w:t>
            </w:r>
            <w:r>
              <w:rPr>
                <w:rFonts w:ascii="Arial Narrow" w:hAnsi="Arial Narrow" w:cs="Calibri"/>
                <w:sz w:val="20"/>
                <w:szCs w:val="20"/>
              </w:rPr>
              <w:t xml:space="preserve">will </w:t>
            </w:r>
            <w:r w:rsidRPr="00484AB3">
              <w:rPr>
                <w:rFonts w:ascii="Arial Narrow" w:hAnsi="Arial Narrow" w:cs="Calibri"/>
                <w:sz w:val="20"/>
                <w:szCs w:val="20"/>
              </w:rPr>
              <w:t>may provide some information</w:t>
            </w:r>
          </w:p>
          <w:p w14:paraId="1E4A444E" w14:textId="77777777" w:rsidR="0016701A" w:rsidRPr="00484AB3" w:rsidRDefault="0016701A" w:rsidP="007E587A">
            <w:pPr>
              <w:spacing w:before="0" w:after="0"/>
              <w:rPr>
                <w:rFonts w:ascii="Arial Narrow" w:hAnsi="Arial Narrow" w:cs="Times New Roman"/>
                <w:sz w:val="20"/>
                <w:szCs w:val="20"/>
                <w:lang w:val="en-NZ"/>
              </w:rPr>
            </w:pPr>
          </w:p>
        </w:tc>
      </w:tr>
      <w:tr w:rsidR="0016701A" w:rsidRPr="00484AB3" w14:paraId="504656C6" w14:textId="77777777" w:rsidTr="007E587A">
        <w:tc>
          <w:tcPr>
            <w:tcW w:w="1560" w:type="dxa"/>
            <w:shd w:val="clear" w:color="auto" w:fill="FFE599"/>
          </w:tcPr>
          <w:p w14:paraId="6D5C7448" w14:textId="77777777" w:rsidR="0016701A" w:rsidRPr="00866718" w:rsidRDefault="0016701A" w:rsidP="007E587A">
            <w:pPr>
              <w:spacing w:before="0" w:after="0"/>
              <w:rPr>
                <w:rFonts w:ascii="Arial Narrow" w:hAnsi="Arial Narrow" w:cs="Times New Roman"/>
                <w:sz w:val="20"/>
                <w:szCs w:val="20"/>
                <w:lang w:val="en-NZ"/>
              </w:rPr>
            </w:pPr>
            <w:r w:rsidRPr="00866718">
              <w:rPr>
                <w:rFonts w:ascii="Arial Narrow" w:hAnsi="Arial Narrow" w:cs="Times New Roman"/>
                <w:sz w:val="20"/>
                <w:szCs w:val="20"/>
                <w:lang w:val="en-NZ"/>
              </w:rPr>
              <w:t xml:space="preserve">In general population </w:t>
            </w:r>
          </w:p>
        </w:tc>
        <w:tc>
          <w:tcPr>
            <w:tcW w:w="6804" w:type="dxa"/>
            <w:shd w:val="clear" w:color="auto" w:fill="FFE599"/>
          </w:tcPr>
          <w:p w14:paraId="0EE5CCCB" w14:textId="77777777" w:rsidR="0016701A" w:rsidRPr="00484AB3" w:rsidRDefault="0016701A" w:rsidP="007E587A">
            <w:pPr>
              <w:spacing w:before="0" w:after="0"/>
              <w:rPr>
                <w:rFonts w:ascii="Arial Narrow" w:hAnsi="Arial Narrow" w:cs="Times New Roman"/>
                <w:sz w:val="20"/>
                <w:szCs w:val="20"/>
                <w:lang w:val="en-NZ"/>
              </w:rPr>
            </w:pPr>
          </w:p>
        </w:tc>
        <w:tc>
          <w:tcPr>
            <w:tcW w:w="3402" w:type="dxa"/>
          </w:tcPr>
          <w:p w14:paraId="20EE4B1C" w14:textId="77777777" w:rsidR="0016701A" w:rsidRPr="00484AB3" w:rsidRDefault="0016701A" w:rsidP="007E587A">
            <w:pPr>
              <w:spacing w:before="0" w:after="0"/>
              <w:rPr>
                <w:rFonts w:ascii="Arial Narrow" w:hAnsi="Arial Narrow" w:cs="Times New Roman"/>
                <w:sz w:val="20"/>
                <w:szCs w:val="20"/>
                <w:lang w:val="en-NZ"/>
              </w:rPr>
            </w:pPr>
            <w:r w:rsidRPr="00484AB3">
              <w:rPr>
                <w:rFonts w:ascii="Arial Narrow" w:hAnsi="Arial Narrow" w:cs="Times New Roman"/>
                <w:sz w:val="20"/>
                <w:szCs w:val="20"/>
                <w:lang w:val="en-NZ"/>
              </w:rPr>
              <w:t xml:space="preserve">Only monitor if second interim uptake target not met. If monitored, report delivered with or before final uptake report. </w:t>
            </w:r>
          </w:p>
        </w:tc>
        <w:tc>
          <w:tcPr>
            <w:tcW w:w="1275" w:type="dxa"/>
            <w:vMerge/>
          </w:tcPr>
          <w:p w14:paraId="70C42FF6" w14:textId="77777777" w:rsidR="0016701A" w:rsidRPr="00484AB3" w:rsidRDefault="0016701A" w:rsidP="007E587A">
            <w:pPr>
              <w:spacing w:before="0" w:after="0"/>
              <w:rPr>
                <w:rFonts w:ascii="Arial Narrow" w:hAnsi="Arial Narrow" w:cs="Times New Roman"/>
                <w:sz w:val="20"/>
                <w:szCs w:val="20"/>
                <w:lang w:val="en-NZ"/>
              </w:rPr>
            </w:pPr>
          </w:p>
        </w:tc>
        <w:tc>
          <w:tcPr>
            <w:tcW w:w="3261" w:type="dxa"/>
            <w:vMerge/>
          </w:tcPr>
          <w:p w14:paraId="3170D273" w14:textId="77777777" w:rsidR="0016701A" w:rsidRPr="00484AB3" w:rsidRDefault="0016701A" w:rsidP="007E587A">
            <w:pPr>
              <w:spacing w:before="0" w:after="0"/>
              <w:rPr>
                <w:rFonts w:ascii="Arial Narrow" w:hAnsi="Arial Narrow" w:cs="Times New Roman"/>
                <w:sz w:val="20"/>
                <w:szCs w:val="20"/>
                <w:lang w:val="en-NZ"/>
              </w:rPr>
            </w:pPr>
          </w:p>
        </w:tc>
      </w:tr>
      <w:tr w:rsidR="0016701A" w:rsidRPr="00484AB3" w14:paraId="6A1A76D4" w14:textId="77777777" w:rsidTr="007E587A">
        <w:tc>
          <w:tcPr>
            <w:tcW w:w="16302" w:type="dxa"/>
            <w:gridSpan w:val="5"/>
            <w:shd w:val="clear" w:color="auto" w:fill="D9D9D9"/>
          </w:tcPr>
          <w:p w14:paraId="357BD155" w14:textId="77777777" w:rsidR="0016701A" w:rsidRPr="00866718" w:rsidRDefault="0016701A" w:rsidP="007E587A">
            <w:pPr>
              <w:spacing w:before="0" w:after="0"/>
              <w:rPr>
                <w:rFonts w:ascii="Arial Narrow" w:hAnsi="Arial Narrow" w:cs="Times New Roman"/>
                <w:b/>
                <w:bCs/>
                <w:sz w:val="20"/>
                <w:szCs w:val="20"/>
                <w:lang w:val="en-NZ"/>
              </w:rPr>
            </w:pPr>
            <w:r w:rsidRPr="00866718">
              <w:rPr>
                <w:rFonts w:ascii="Arial Narrow" w:hAnsi="Arial Narrow" w:cs="Times New Roman"/>
                <w:b/>
                <w:bCs/>
                <w:sz w:val="20"/>
                <w:szCs w:val="20"/>
                <w:lang w:val="en-NZ"/>
              </w:rPr>
              <w:t xml:space="preserve">Nutrient status </w:t>
            </w:r>
            <w:r>
              <w:rPr>
                <w:rFonts w:ascii="Arial Narrow" w:hAnsi="Arial Narrow" w:cs="Times New Roman"/>
                <w:b/>
                <w:bCs/>
                <w:sz w:val="20"/>
                <w:szCs w:val="20"/>
                <w:lang w:val="en-NZ"/>
              </w:rPr>
              <w:t>and application of the system</w:t>
            </w:r>
          </w:p>
        </w:tc>
      </w:tr>
      <w:tr w:rsidR="0016701A" w:rsidRPr="00484AB3" w14:paraId="0E8083C1" w14:textId="77777777" w:rsidTr="007E587A">
        <w:tc>
          <w:tcPr>
            <w:tcW w:w="1560" w:type="dxa"/>
            <w:shd w:val="clear" w:color="auto" w:fill="FFE599"/>
          </w:tcPr>
          <w:p w14:paraId="144D91C3" w14:textId="77777777" w:rsidR="0016701A" w:rsidRPr="00866718" w:rsidRDefault="0016701A" w:rsidP="007E587A">
            <w:pPr>
              <w:spacing w:before="0" w:after="0"/>
              <w:rPr>
                <w:rFonts w:ascii="Arial Narrow" w:hAnsi="Arial Narrow" w:cs="Times New Roman"/>
                <w:sz w:val="20"/>
                <w:szCs w:val="20"/>
                <w:lang w:val="en-NZ"/>
              </w:rPr>
            </w:pPr>
            <w:r w:rsidRPr="00866718">
              <w:rPr>
                <w:rFonts w:ascii="Arial Narrow" w:hAnsi="Arial Narrow" w:cs="Times New Roman"/>
                <w:sz w:val="20"/>
                <w:szCs w:val="20"/>
                <w:lang w:val="en-NZ"/>
              </w:rPr>
              <w:t xml:space="preserve">Reformulation </w:t>
            </w:r>
          </w:p>
        </w:tc>
        <w:tc>
          <w:tcPr>
            <w:tcW w:w="6804" w:type="dxa"/>
            <w:shd w:val="clear" w:color="auto" w:fill="FFE599"/>
          </w:tcPr>
          <w:p w14:paraId="7EDDAB25" w14:textId="77777777" w:rsidR="0016701A" w:rsidRPr="00484AB3" w:rsidRDefault="0016701A" w:rsidP="007E587A">
            <w:pPr>
              <w:spacing w:before="0" w:after="0"/>
              <w:rPr>
                <w:rFonts w:ascii="Arial Narrow" w:hAnsi="Arial Narrow" w:cs="Times New Roman"/>
                <w:sz w:val="20"/>
                <w:szCs w:val="20"/>
              </w:rPr>
            </w:pPr>
            <w:r w:rsidRPr="00484AB3">
              <w:rPr>
                <w:rFonts w:ascii="Arial Narrow" w:hAnsi="Arial Narrow" w:cs="Times New Roman"/>
                <w:sz w:val="20"/>
                <w:szCs w:val="20"/>
              </w:rPr>
              <w:t xml:space="preserve">Has there been reformulation of products whose HSR has been impacted by the review, to achieve a higher rating (i.e. good result)? </w:t>
            </w:r>
          </w:p>
          <w:p w14:paraId="18FBAB52" w14:textId="77777777" w:rsidR="0016701A" w:rsidRPr="00484AB3" w:rsidRDefault="0016701A" w:rsidP="007E587A">
            <w:pPr>
              <w:spacing w:before="0" w:after="0"/>
              <w:rPr>
                <w:rFonts w:ascii="Arial Narrow" w:hAnsi="Arial Narrow" w:cs="Times New Roman"/>
                <w:sz w:val="20"/>
                <w:szCs w:val="20"/>
                <w:lang w:val="en-NZ"/>
              </w:rPr>
            </w:pPr>
          </w:p>
        </w:tc>
        <w:tc>
          <w:tcPr>
            <w:tcW w:w="3402" w:type="dxa"/>
          </w:tcPr>
          <w:p w14:paraId="09E82C74" w14:textId="77777777" w:rsidR="0016701A" w:rsidRPr="00484AB3" w:rsidRDefault="0016701A" w:rsidP="007E587A">
            <w:pPr>
              <w:spacing w:before="0" w:after="0"/>
              <w:rPr>
                <w:rFonts w:ascii="Arial Narrow" w:hAnsi="Arial Narrow" w:cs="Times New Roman"/>
                <w:sz w:val="20"/>
                <w:szCs w:val="20"/>
                <w:lang w:val="en-NZ"/>
              </w:rPr>
            </w:pPr>
            <w:r>
              <w:rPr>
                <w:rFonts w:ascii="Arial Narrow" w:hAnsi="Arial Narrow" w:cs="Times New Roman"/>
                <w:sz w:val="20"/>
                <w:szCs w:val="20"/>
                <w:lang w:val="en-NZ"/>
              </w:rPr>
              <w:t>Collected by final report</w:t>
            </w:r>
          </w:p>
        </w:tc>
        <w:tc>
          <w:tcPr>
            <w:tcW w:w="1275" w:type="dxa"/>
            <w:vMerge w:val="restart"/>
          </w:tcPr>
          <w:p w14:paraId="2AFE1271" w14:textId="77777777" w:rsidR="0016701A" w:rsidRPr="00484AB3" w:rsidRDefault="0016701A" w:rsidP="007E587A">
            <w:pPr>
              <w:spacing w:before="0" w:after="0"/>
              <w:rPr>
                <w:rFonts w:ascii="Arial Narrow" w:hAnsi="Arial Narrow" w:cs="Times New Roman"/>
                <w:sz w:val="20"/>
                <w:szCs w:val="20"/>
                <w:lang w:val="en-NZ"/>
              </w:rPr>
            </w:pPr>
            <w:r w:rsidRPr="00554CE1">
              <w:rPr>
                <w:rFonts w:ascii="Arial Narrow" w:hAnsi="Arial Narrow" w:cs="Times New Roman"/>
                <w:sz w:val="20"/>
                <w:szCs w:val="20"/>
                <w:lang w:val="en-NZ"/>
              </w:rPr>
              <w:t xml:space="preserve">Quantitative and qualitative  </w:t>
            </w:r>
          </w:p>
          <w:p w14:paraId="70164AA5" w14:textId="77777777" w:rsidR="0016701A" w:rsidRPr="00484AB3" w:rsidRDefault="0016701A" w:rsidP="007E587A">
            <w:pPr>
              <w:spacing w:before="0" w:after="0"/>
              <w:rPr>
                <w:rFonts w:ascii="Arial Narrow" w:hAnsi="Arial Narrow" w:cs="Times New Roman"/>
                <w:sz w:val="20"/>
                <w:szCs w:val="20"/>
                <w:lang w:val="en-NZ"/>
              </w:rPr>
            </w:pPr>
          </w:p>
        </w:tc>
        <w:tc>
          <w:tcPr>
            <w:tcW w:w="3261" w:type="dxa"/>
            <w:vMerge w:val="restart"/>
          </w:tcPr>
          <w:p w14:paraId="223A94BA" w14:textId="77777777" w:rsidR="0016701A" w:rsidRPr="0018361E" w:rsidRDefault="0016701A" w:rsidP="007E587A">
            <w:pPr>
              <w:numPr>
                <w:ilvl w:val="0"/>
                <w:numId w:val="17"/>
              </w:numPr>
              <w:spacing w:before="0" w:after="0"/>
              <w:contextualSpacing/>
              <w:rPr>
                <w:rFonts w:ascii="Arial Narrow" w:hAnsi="Arial Narrow" w:cs="Calibri"/>
                <w:sz w:val="20"/>
                <w:szCs w:val="20"/>
              </w:rPr>
            </w:pPr>
            <w:r w:rsidRPr="0018361E">
              <w:rPr>
                <w:rFonts w:ascii="Arial Narrow" w:hAnsi="Arial Narrow" w:cs="Calibri"/>
                <w:sz w:val="20"/>
                <w:szCs w:val="20"/>
              </w:rPr>
              <w:t xml:space="preserve">Branded food product databases (e.g. GS1, </w:t>
            </w:r>
            <w:r w:rsidRPr="0018361E">
              <w:rPr>
                <w:rFonts w:ascii="Arial Narrow" w:eastAsiaTheme="minorEastAsia" w:hAnsi="Arial Narrow" w:cs="Calibri"/>
                <w:sz w:val="20"/>
                <w:szCs w:val="20"/>
              </w:rPr>
              <w:t>N</w:t>
            </w:r>
            <w:r w:rsidRPr="0018361E">
              <w:rPr>
                <w:rFonts w:ascii="Arial Narrow" w:hAnsi="Arial Narrow" w:cs="Calibri"/>
                <w:sz w:val="20"/>
                <w:szCs w:val="20"/>
              </w:rPr>
              <w:t xml:space="preserve">utritrack, FSANZ BFD, George Institute, Heart Foundation Food Track) </w:t>
            </w:r>
          </w:p>
          <w:p w14:paraId="3C6875EB" w14:textId="77777777" w:rsidR="0016701A" w:rsidRPr="00484AB3" w:rsidRDefault="0016701A" w:rsidP="007E587A">
            <w:pPr>
              <w:spacing w:before="0" w:after="0"/>
              <w:rPr>
                <w:rFonts w:ascii="Arial Narrow" w:hAnsi="Arial Narrow" w:cs="Times New Roman"/>
                <w:sz w:val="20"/>
                <w:szCs w:val="20"/>
                <w:lang w:val="en-NZ"/>
              </w:rPr>
            </w:pPr>
          </w:p>
        </w:tc>
      </w:tr>
      <w:tr w:rsidR="0016701A" w:rsidRPr="00484AB3" w14:paraId="07D2A14B" w14:textId="77777777" w:rsidTr="007E587A">
        <w:tc>
          <w:tcPr>
            <w:tcW w:w="1560" w:type="dxa"/>
            <w:shd w:val="clear" w:color="auto" w:fill="FFE599"/>
          </w:tcPr>
          <w:p w14:paraId="734B2C3F" w14:textId="77777777" w:rsidR="0016701A" w:rsidRPr="00866718" w:rsidRDefault="0016701A" w:rsidP="007E587A">
            <w:pPr>
              <w:spacing w:before="0" w:after="0"/>
              <w:rPr>
                <w:rFonts w:ascii="Arial Narrow" w:hAnsi="Arial Narrow" w:cs="Times New Roman"/>
                <w:sz w:val="20"/>
                <w:szCs w:val="20"/>
                <w:lang w:val="en-NZ"/>
              </w:rPr>
            </w:pPr>
            <w:r w:rsidRPr="00866718">
              <w:rPr>
                <w:rFonts w:ascii="Arial Narrow" w:hAnsi="Arial Narrow" w:cs="Times New Roman"/>
                <w:sz w:val="20"/>
                <w:szCs w:val="20"/>
                <w:lang w:val="en-NZ"/>
              </w:rPr>
              <w:t>Nutrient status of products displaying the HSR</w:t>
            </w:r>
          </w:p>
        </w:tc>
        <w:tc>
          <w:tcPr>
            <w:tcW w:w="6804" w:type="dxa"/>
            <w:shd w:val="clear" w:color="auto" w:fill="FFE599"/>
          </w:tcPr>
          <w:p w14:paraId="25ED6260" w14:textId="77777777" w:rsidR="0016701A" w:rsidRPr="00484AB3" w:rsidRDefault="0016701A" w:rsidP="007E587A">
            <w:pPr>
              <w:spacing w:before="0"/>
              <w:rPr>
                <w:rFonts w:ascii="Arial Narrow" w:hAnsi="Arial Narrow" w:cs="Times New Roman"/>
                <w:sz w:val="20"/>
                <w:szCs w:val="20"/>
              </w:rPr>
            </w:pPr>
            <w:r w:rsidRPr="00484AB3">
              <w:rPr>
                <w:rFonts w:ascii="Arial Narrow" w:hAnsi="Arial Narrow" w:cs="Times New Roman"/>
                <w:sz w:val="20"/>
                <w:szCs w:val="20"/>
              </w:rPr>
              <w:t xml:space="preserve">Healthfulness of the food supply is being looked at under P2 and is of a broader scope than the HSR system. </w:t>
            </w:r>
          </w:p>
          <w:p w14:paraId="1EE3CF86" w14:textId="77777777" w:rsidR="0016701A" w:rsidRPr="00484AB3" w:rsidRDefault="0016701A" w:rsidP="007E587A">
            <w:pPr>
              <w:spacing w:before="0"/>
              <w:rPr>
                <w:rFonts w:ascii="Arial Narrow" w:hAnsi="Arial Narrow" w:cs="Times New Roman"/>
                <w:sz w:val="20"/>
                <w:szCs w:val="20"/>
              </w:rPr>
            </w:pPr>
            <w:r w:rsidRPr="00484AB3">
              <w:rPr>
                <w:rFonts w:ascii="Arial Narrow" w:hAnsi="Arial Narrow" w:cs="Times New Roman"/>
                <w:sz w:val="20"/>
                <w:szCs w:val="20"/>
              </w:rPr>
              <w:t xml:space="preserve">Alignment of ratings with dietary guidelines? </w:t>
            </w:r>
          </w:p>
          <w:p w14:paraId="249D0892" w14:textId="77777777" w:rsidR="0016701A" w:rsidRDefault="0016701A" w:rsidP="007E587A">
            <w:pPr>
              <w:spacing w:before="0" w:after="0"/>
              <w:rPr>
                <w:rFonts w:ascii="Arial Narrow" w:hAnsi="Arial Narrow" w:cs="Times New Roman"/>
                <w:sz w:val="20"/>
                <w:szCs w:val="20"/>
              </w:rPr>
            </w:pPr>
            <w:r w:rsidRPr="00484AB3">
              <w:rPr>
                <w:rFonts w:ascii="Arial Narrow" w:hAnsi="Arial Narrow" w:cs="Times New Roman"/>
                <w:sz w:val="20"/>
                <w:szCs w:val="20"/>
              </w:rPr>
              <w:t>Is the higher penalisation for high in sugar and sodium reflected in ratings?</w:t>
            </w:r>
          </w:p>
          <w:p w14:paraId="375E880E" w14:textId="3751958C" w:rsidR="0016701A" w:rsidRPr="00484AB3" w:rsidRDefault="0016701A" w:rsidP="007E587A">
            <w:pPr>
              <w:spacing w:before="0" w:after="0"/>
              <w:rPr>
                <w:rFonts w:ascii="Arial Narrow" w:hAnsi="Arial Narrow" w:cs="Times New Roman"/>
                <w:sz w:val="20"/>
                <w:szCs w:val="20"/>
                <w:lang w:val="en-NZ"/>
              </w:rPr>
            </w:pPr>
            <w:r w:rsidRPr="00554CE1">
              <w:rPr>
                <w:rFonts w:ascii="Arial Narrow" w:hAnsi="Arial Narrow" w:cs="Times New Roman"/>
                <w:sz w:val="20"/>
                <w:szCs w:val="20"/>
                <w:lang w:val="en-NZ"/>
              </w:rPr>
              <w:t>Rating accuracy will be difficult to measure during and immediately following the Review implementation period due to a high number of rating</w:t>
            </w:r>
            <w:r w:rsidR="009F1243">
              <w:rPr>
                <w:rFonts w:ascii="Arial Narrow" w:hAnsi="Arial Narrow" w:cs="Times New Roman"/>
                <w:sz w:val="20"/>
                <w:szCs w:val="20"/>
                <w:lang w:val="en-NZ"/>
              </w:rPr>
              <w:t>s</w:t>
            </w:r>
            <w:r w:rsidRPr="00554CE1">
              <w:rPr>
                <w:rFonts w:ascii="Arial Narrow" w:hAnsi="Arial Narrow" w:cs="Times New Roman"/>
                <w:sz w:val="20"/>
                <w:szCs w:val="20"/>
                <w:lang w:val="en-NZ"/>
              </w:rPr>
              <w:t>, label and potentially recipe changes</w:t>
            </w:r>
          </w:p>
        </w:tc>
        <w:tc>
          <w:tcPr>
            <w:tcW w:w="3402" w:type="dxa"/>
          </w:tcPr>
          <w:p w14:paraId="409651B6" w14:textId="77777777" w:rsidR="0016701A" w:rsidRPr="00484AB3" w:rsidRDefault="0016701A" w:rsidP="007E587A">
            <w:pPr>
              <w:spacing w:before="0" w:after="0"/>
              <w:rPr>
                <w:rFonts w:ascii="Arial Narrow" w:hAnsi="Arial Narrow" w:cs="Times New Roman"/>
                <w:sz w:val="20"/>
                <w:szCs w:val="20"/>
                <w:lang w:val="en-NZ"/>
              </w:rPr>
            </w:pPr>
            <w:r>
              <w:rPr>
                <w:rFonts w:ascii="Arial Narrow" w:hAnsi="Arial Narrow" w:cs="Times New Roman"/>
                <w:sz w:val="20"/>
                <w:szCs w:val="20"/>
                <w:lang w:val="en-NZ"/>
              </w:rPr>
              <w:t xml:space="preserve">Collected by final report- if necessary to inform mandating </w:t>
            </w:r>
          </w:p>
        </w:tc>
        <w:tc>
          <w:tcPr>
            <w:tcW w:w="1275" w:type="dxa"/>
            <w:vMerge/>
          </w:tcPr>
          <w:p w14:paraId="61C977AD" w14:textId="77777777" w:rsidR="0016701A" w:rsidRPr="00484AB3" w:rsidRDefault="0016701A" w:rsidP="007E587A">
            <w:pPr>
              <w:spacing w:before="0" w:after="0"/>
              <w:rPr>
                <w:rFonts w:ascii="Arial Narrow" w:hAnsi="Arial Narrow" w:cs="Times New Roman"/>
                <w:sz w:val="20"/>
                <w:szCs w:val="20"/>
                <w:lang w:val="en-NZ"/>
              </w:rPr>
            </w:pPr>
          </w:p>
        </w:tc>
        <w:tc>
          <w:tcPr>
            <w:tcW w:w="3261" w:type="dxa"/>
            <w:vMerge/>
          </w:tcPr>
          <w:p w14:paraId="09010968" w14:textId="77777777" w:rsidR="0016701A" w:rsidRPr="00484AB3" w:rsidRDefault="0016701A" w:rsidP="007E587A">
            <w:pPr>
              <w:spacing w:before="0" w:after="0"/>
              <w:rPr>
                <w:rFonts w:ascii="Arial Narrow" w:hAnsi="Arial Narrow" w:cs="Times New Roman"/>
                <w:sz w:val="20"/>
                <w:szCs w:val="20"/>
                <w:lang w:val="en-NZ"/>
              </w:rPr>
            </w:pPr>
          </w:p>
        </w:tc>
      </w:tr>
      <w:tr w:rsidR="0016701A" w:rsidRPr="00484AB3" w14:paraId="24A9C94A" w14:textId="77777777" w:rsidTr="007E587A">
        <w:tc>
          <w:tcPr>
            <w:tcW w:w="1560" w:type="dxa"/>
            <w:shd w:val="clear" w:color="auto" w:fill="FFE599"/>
          </w:tcPr>
          <w:p w14:paraId="36826ACD" w14:textId="77777777" w:rsidR="0016701A" w:rsidRPr="00866718" w:rsidRDefault="0016701A" w:rsidP="007E587A">
            <w:pPr>
              <w:spacing w:before="0" w:after="0"/>
              <w:rPr>
                <w:rFonts w:ascii="Arial Narrow" w:hAnsi="Arial Narrow" w:cstheme="minorHAnsi"/>
                <w:sz w:val="20"/>
                <w:szCs w:val="20"/>
                <w:lang w:val="en-NZ"/>
              </w:rPr>
            </w:pPr>
            <w:r w:rsidRPr="00866718">
              <w:rPr>
                <w:rFonts w:ascii="Arial Narrow" w:hAnsi="Arial Narrow" w:cstheme="minorHAnsi"/>
                <w:sz w:val="20"/>
                <w:szCs w:val="20"/>
                <w:lang w:val="en-NZ"/>
              </w:rPr>
              <w:t>Accuracy of calculations</w:t>
            </w:r>
          </w:p>
        </w:tc>
        <w:tc>
          <w:tcPr>
            <w:tcW w:w="6804" w:type="dxa"/>
            <w:shd w:val="clear" w:color="auto" w:fill="FFE599"/>
          </w:tcPr>
          <w:p w14:paraId="444808EC" w14:textId="77777777" w:rsidR="0016701A" w:rsidRPr="00484AB3" w:rsidRDefault="0016701A" w:rsidP="007E587A">
            <w:pPr>
              <w:spacing w:before="0" w:after="0"/>
              <w:rPr>
                <w:rFonts w:ascii="Arial Narrow" w:hAnsi="Arial Narrow" w:cstheme="minorHAnsi"/>
                <w:sz w:val="20"/>
                <w:szCs w:val="20"/>
                <w:lang w:val="en-NZ"/>
              </w:rPr>
            </w:pPr>
            <w:r w:rsidRPr="00484AB3">
              <w:rPr>
                <w:rFonts w:ascii="Arial Narrow" w:hAnsi="Arial Narrow" w:cstheme="minorHAnsi"/>
                <w:sz w:val="20"/>
                <w:szCs w:val="20"/>
              </w:rPr>
              <w:t xml:space="preserve">This is relevant after implementation of a changed system, possibly not as an ongoing need, depending on findings. </w:t>
            </w:r>
            <w:r w:rsidRPr="00484AB3">
              <w:rPr>
                <w:rFonts w:ascii="Arial Narrow" w:hAnsi="Arial Narrow" w:cstheme="minorHAnsi"/>
                <w:sz w:val="20"/>
                <w:szCs w:val="20"/>
                <w:lang w:val="en-NZ"/>
              </w:rPr>
              <w:t>Can be utilised to inform a margin of error re: uptake, rating distribution.</w:t>
            </w:r>
          </w:p>
        </w:tc>
        <w:tc>
          <w:tcPr>
            <w:tcW w:w="3402" w:type="dxa"/>
          </w:tcPr>
          <w:p w14:paraId="1A8B2665" w14:textId="77777777" w:rsidR="0016701A" w:rsidRPr="00484AB3" w:rsidRDefault="0016701A" w:rsidP="007E587A">
            <w:pPr>
              <w:spacing w:before="0" w:after="0"/>
              <w:rPr>
                <w:rFonts w:ascii="Arial Narrow" w:hAnsi="Arial Narrow" w:cstheme="minorHAnsi"/>
                <w:sz w:val="20"/>
                <w:szCs w:val="20"/>
                <w:lang w:val="en-NZ"/>
              </w:rPr>
            </w:pPr>
            <w:r>
              <w:rPr>
                <w:rFonts w:ascii="Arial Narrow" w:hAnsi="Arial Narrow" w:cs="Times New Roman"/>
                <w:sz w:val="20"/>
                <w:szCs w:val="20"/>
                <w:lang w:val="en-NZ"/>
              </w:rPr>
              <w:t>Collected by final report</w:t>
            </w:r>
          </w:p>
        </w:tc>
        <w:tc>
          <w:tcPr>
            <w:tcW w:w="1275" w:type="dxa"/>
          </w:tcPr>
          <w:p w14:paraId="674CB04E" w14:textId="77777777" w:rsidR="0016701A" w:rsidRPr="00484AB3" w:rsidRDefault="0016701A" w:rsidP="007E587A">
            <w:pPr>
              <w:spacing w:before="0" w:after="0"/>
              <w:rPr>
                <w:rFonts w:ascii="Arial Narrow" w:hAnsi="Arial Narrow" w:cstheme="minorHAnsi"/>
                <w:sz w:val="20"/>
                <w:szCs w:val="20"/>
                <w:lang w:val="en-NZ"/>
              </w:rPr>
            </w:pPr>
            <w:r w:rsidRPr="00554CE1">
              <w:rPr>
                <w:rFonts w:ascii="Arial Narrow" w:hAnsi="Arial Narrow" w:cstheme="minorHAnsi"/>
                <w:sz w:val="20"/>
                <w:szCs w:val="20"/>
                <w:lang w:val="en-NZ"/>
              </w:rPr>
              <w:t xml:space="preserve">Quantitative and qualitative  </w:t>
            </w:r>
          </w:p>
        </w:tc>
        <w:tc>
          <w:tcPr>
            <w:tcW w:w="3261" w:type="dxa"/>
          </w:tcPr>
          <w:p w14:paraId="04148259" w14:textId="77777777" w:rsidR="0016701A" w:rsidRPr="0018361E" w:rsidRDefault="0016701A" w:rsidP="007E587A">
            <w:pPr>
              <w:numPr>
                <w:ilvl w:val="0"/>
                <w:numId w:val="17"/>
              </w:numPr>
              <w:spacing w:before="0" w:after="0"/>
              <w:contextualSpacing/>
              <w:rPr>
                <w:rFonts w:ascii="Arial Narrow" w:hAnsi="Arial Narrow" w:cs="Calibri"/>
                <w:sz w:val="20"/>
                <w:szCs w:val="20"/>
              </w:rPr>
            </w:pPr>
            <w:r w:rsidRPr="0018361E">
              <w:rPr>
                <w:rFonts w:ascii="Arial Narrow" w:hAnsi="Arial Narrow" w:cs="Calibri"/>
                <w:sz w:val="20"/>
                <w:szCs w:val="20"/>
              </w:rPr>
              <w:t xml:space="preserve">Branded food product databases (e.g. GS1, </w:t>
            </w:r>
            <w:r w:rsidRPr="0018361E">
              <w:rPr>
                <w:rFonts w:ascii="Arial Narrow" w:eastAsiaTheme="minorEastAsia" w:hAnsi="Arial Narrow" w:cs="Calibri"/>
                <w:sz w:val="20"/>
                <w:szCs w:val="20"/>
              </w:rPr>
              <w:t>N</w:t>
            </w:r>
            <w:r w:rsidRPr="0018361E">
              <w:rPr>
                <w:rFonts w:ascii="Arial Narrow" w:hAnsi="Arial Narrow" w:cs="Calibri"/>
                <w:sz w:val="20"/>
                <w:szCs w:val="20"/>
              </w:rPr>
              <w:t xml:space="preserve">utritrack, FSANZ BFD, George Institute, Heart Foundation Food Track) </w:t>
            </w:r>
          </w:p>
          <w:p w14:paraId="21D933ED" w14:textId="77777777" w:rsidR="0016701A" w:rsidRPr="00484AB3" w:rsidRDefault="0016701A" w:rsidP="007E587A">
            <w:pPr>
              <w:spacing w:before="0" w:after="0"/>
              <w:rPr>
                <w:rFonts w:ascii="Arial Narrow" w:hAnsi="Arial Narrow" w:cstheme="minorHAnsi"/>
                <w:sz w:val="20"/>
                <w:szCs w:val="20"/>
                <w:lang w:val="en-NZ"/>
              </w:rPr>
            </w:pPr>
          </w:p>
        </w:tc>
      </w:tr>
      <w:tr w:rsidR="0016701A" w:rsidRPr="00484AB3" w14:paraId="123A2A82" w14:textId="77777777" w:rsidTr="007E587A">
        <w:tc>
          <w:tcPr>
            <w:tcW w:w="1560" w:type="dxa"/>
            <w:shd w:val="clear" w:color="auto" w:fill="FF9999"/>
          </w:tcPr>
          <w:p w14:paraId="209BEC95" w14:textId="77777777" w:rsidR="0016701A" w:rsidRPr="00484AB3" w:rsidRDefault="0016701A" w:rsidP="007E587A">
            <w:pPr>
              <w:spacing w:before="0"/>
              <w:rPr>
                <w:rFonts w:ascii="Arial Narrow" w:hAnsi="Arial Narrow" w:cstheme="minorHAnsi"/>
                <w:sz w:val="20"/>
                <w:szCs w:val="20"/>
                <w:lang w:val="en-NZ"/>
              </w:rPr>
            </w:pPr>
            <w:r w:rsidRPr="00484AB3">
              <w:rPr>
                <w:rFonts w:ascii="Arial Narrow" w:hAnsi="Arial Narrow" w:cstheme="minorHAnsi"/>
                <w:sz w:val="20"/>
                <w:szCs w:val="20"/>
                <w:lang w:val="en-NZ"/>
              </w:rPr>
              <w:t>Consistency with the style guide</w:t>
            </w:r>
          </w:p>
        </w:tc>
        <w:tc>
          <w:tcPr>
            <w:tcW w:w="6804" w:type="dxa"/>
            <w:shd w:val="clear" w:color="auto" w:fill="FF9999"/>
          </w:tcPr>
          <w:p w14:paraId="18CFDBA9" w14:textId="77777777" w:rsidR="0016701A" w:rsidRPr="00484AB3" w:rsidRDefault="0016701A" w:rsidP="007E587A">
            <w:pPr>
              <w:spacing w:before="0" w:after="0"/>
              <w:rPr>
                <w:rFonts w:ascii="Arial Narrow" w:hAnsi="Arial Narrow" w:cstheme="minorHAnsi"/>
                <w:sz w:val="20"/>
                <w:szCs w:val="20"/>
                <w:lang w:val="en-NZ"/>
              </w:rPr>
            </w:pPr>
            <w:r w:rsidRPr="00484AB3">
              <w:rPr>
                <w:rFonts w:ascii="Arial Narrow" w:hAnsi="Arial Narrow" w:cstheme="minorHAnsi"/>
                <w:sz w:val="20"/>
                <w:szCs w:val="20"/>
                <w:lang w:val="en-NZ"/>
              </w:rPr>
              <w:t>Not considered required for ongoing monitoring.</w:t>
            </w:r>
          </w:p>
        </w:tc>
        <w:tc>
          <w:tcPr>
            <w:tcW w:w="3402" w:type="dxa"/>
            <w:shd w:val="clear" w:color="auto" w:fill="DDDDDD" w:themeFill="accent1"/>
          </w:tcPr>
          <w:p w14:paraId="792A9977" w14:textId="77777777" w:rsidR="0016701A" w:rsidRPr="00484AB3" w:rsidRDefault="0016701A" w:rsidP="007E587A">
            <w:pPr>
              <w:spacing w:before="0" w:after="0"/>
              <w:rPr>
                <w:rFonts w:ascii="Arial Narrow" w:hAnsi="Arial Narrow" w:cstheme="minorHAnsi"/>
                <w:sz w:val="20"/>
                <w:szCs w:val="20"/>
                <w:lang w:val="en-NZ"/>
              </w:rPr>
            </w:pPr>
          </w:p>
        </w:tc>
        <w:tc>
          <w:tcPr>
            <w:tcW w:w="1275" w:type="dxa"/>
            <w:shd w:val="clear" w:color="auto" w:fill="DDDDDD" w:themeFill="accent1"/>
          </w:tcPr>
          <w:p w14:paraId="724E5779" w14:textId="77777777" w:rsidR="0016701A" w:rsidRPr="00484AB3" w:rsidRDefault="0016701A" w:rsidP="007E587A">
            <w:pPr>
              <w:spacing w:before="0" w:after="0"/>
              <w:rPr>
                <w:rFonts w:ascii="Arial Narrow" w:hAnsi="Arial Narrow" w:cstheme="minorHAnsi"/>
                <w:sz w:val="20"/>
                <w:szCs w:val="20"/>
                <w:lang w:val="en-NZ"/>
              </w:rPr>
            </w:pPr>
          </w:p>
        </w:tc>
        <w:tc>
          <w:tcPr>
            <w:tcW w:w="3261" w:type="dxa"/>
            <w:shd w:val="clear" w:color="auto" w:fill="DDDDDD" w:themeFill="accent1"/>
          </w:tcPr>
          <w:p w14:paraId="427EB6DE" w14:textId="77777777" w:rsidR="0016701A" w:rsidRPr="00484AB3" w:rsidRDefault="0016701A" w:rsidP="007E587A">
            <w:pPr>
              <w:spacing w:before="0" w:after="0"/>
              <w:rPr>
                <w:rFonts w:ascii="Arial Narrow" w:hAnsi="Arial Narrow" w:cstheme="minorHAnsi"/>
                <w:sz w:val="20"/>
                <w:szCs w:val="20"/>
                <w:lang w:val="en-NZ"/>
              </w:rPr>
            </w:pPr>
          </w:p>
        </w:tc>
      </w:tr>
    </w:tbl>
    <w:p w14:paraId="5C7D781E" w14:textId="77777777" w:rsidR="0016701A" w:rsidRDefault="0016701A" w:rsidP="0016701A">
      <w:pPr>
        <w:spacing w:before="0" w:after="160" w:line="259" w:lineRule="auto"/>
        <w:ind w:left="720"/>
        <w:contextualSpacing/>
        <w:rPr>
          <w:rFonts w:eastAsia="Calibri" w:cstheme="minorHAnsi"/>
          <w:lang w:val="en-NZ"/>
        </w:rPr>
        <w:sectPr w:rsidR="0016701A" w:rsidSect="000073B3">
          <w:pgSz w:w="16840" w:h="11900" w:orient="landscape"/>
          <w:pgMar w:top="709" w:right="1531" w:bottom="709" w:left="1440" w:header="709" w:footer="709" w:gutter="0"/>
          <w:cols w:space="708"/>
          <w:titlePg/>
          <w:docGrid w:linePitch="360"/>
        </w:sectPr>
      </w:pPr>
    </w:p>
    <w:p w14:paraId="1C8F9499" w14:textId="28F8EE23" w:rsidR="0016701A" w:rsidRDefault="0016701A" w:rsidP="0016701A">
      <w:pPr>
        <w:pStyle w:val="Heading2"/>
        <w:numPr>
          <w:ilvl w:val="0"/>
          <w:numId w:val="0"/>
        </w:numPr>
        <w:spacing w:before="0"/>
        <w:ind w:left="360"/>
        <w:jc w:val="right"/>
      </w:pPr>
      <w:bookmarkStart w:id="16" w:name="_Toc127181665"/>
      <w:bookmarkStart w:id="17" w:name="_Toc127181666"/>
      <w:bookmarkStart w:id="18" w:name="_Toc127181667"/>
      <w:bookmarkStart w:id="19" w:name="_Toc127262955"/>
      <w:bookmarkEnd w:id="13"/>
      <w:bookmarkEnd w:id="16"/>
      <w:bookmarkEnd w:id="17"/>
      <w:bookmarkEnd w:id="18"/>
      <w:r>
        <w:lastRenderedPageBreak/>
        <w:t>Appendix A</w:t>
      </w:r>
      <w:bookmarkEnd w:id="19"/>
      <w:r>
        <w:t xml:space="preserve"> </w:t>
      </w:r>
    </w:p>
    <w:p w14:paraId="4B446BBA" w14:textId="77777777" w:rsidR="0016701A" w:rsidRPr="00606C54" w:rsidRDefault="0016701A" w:rsidP="0016701A">
      <w:pPr>
        <w:pStyle w:val="Heading2"/>
        <w:numPr>
          <w:ilvl w:val="0"/>
          <w:numId w:val="0"/>
        </w:numPr>
        <w:ind w:left="576" w:hanging="576"/>
      </w:pPr>
      <w:bookmarkStart w:id="20" w:name="_Toc127262830"/>
      <w:bookmarkStart w:id="21" w:name="_Toc127262956"/>
      <w:r w:rsidRPr="00606C54">
        <w:t>Background of the HSR system</w:t>
      </w:r>
      <w:bookmarkEnd w:id="20"/>
      <w:bookmarkEnd w:id="21"/>
    </w:p>
    <w:p w14:paraId="1AE5969D" w14:textId="77777777" w:rsidR="0016701A" w:rsidRPr="00606C54" w:rsidRDefault="0016701A" w:rsidP="0016701A">
      <w:pPr>
        <w:rPr>
          <w:rFonts w:eastAsiaTheme="majorEastAsia"/>
        </w:rPr>
      </w:pPr>
      <w:r w:rsidRPr="00606C54">
        <w:rPr>
          <w:rFonts w:eastAsiaTheme="majorEastAsia"/>
        </w:rPr>
        <w:t xml:space="preserve">The HSR system was conceptualised as a response to </w:t>
      </w:r>
      <w:r w:rsidRPr="00606C54">
        <w:rPr>
          <w:rFonts w:eastAsiaTheme="majorEastAsia"/>
          <w:i/>
          <w:iCs/>
        </w:rPr>
        <w:t xml:space="preserve">Labelling Logic: Review of Food Labelling Law and Policy </w:t>
      </w:r>
      <w:r w:rsidRPr="00606C54">
        <w:rPr>
          <w:rFonts w:eastAsiaTheme="majorEastAsia"/>
        </w:rPr>
        <w:t xml:space="preserve">(the Blewett Review), published in 2011, which recommended an interpretive front of pack labelling system in Australia and New Zealand, as one of several preventative health initiatives designed to improve dietary intakes in line with a comprehensive nutrition policy. The intent was to help people to make better informed, healthier choices quickly and easily when comparing similar types of packaged foods. </w:t>
      </w:r>
    </w:p>
    <w:p w14:paraId="74CFC8EB" w14:textId="77777777" w:rsidR="0016701A" w:rsidRPr="00606C54" w:rsidRDefault="0016701A" w:rsidP="0016701A">
      <w:pPr>
        <w:rPr>
          <w:rFonts w:eastAsiaTheme="majorEastAsia"/>
        </w:rPr>
      </w:pPr>
      <w:r w:rsidRPr="00606C54">
        <w:rPr>
          <w:rFonts w:eastAsiaTheme="majorEastAsia"/>
        </w:rPr>
        <w:t>According to the statement made by Food Ministers at the tim</w:t>
      </w:r>
      <w:r w:rsidRPr="0040065A">
        <w:rPr>
          <w:rFonts w:eastAsiaTheme="majorEastAsia"/>
        </w:rPr>
        <w:t>e</w:t>
      </w:r>
      <w:r w:rsidRPr="0040065A">
        <w:rPr>
          <w:rFonts w:eastAsiaTheme="majorEastAsia"/>
          <w:vertAlign w:val="superscript"/>
        </w:rPr>
        <w:footnoteReference w:id="9"/>
      </w:r>
      <w:r w:rsidRPr="0040065A">
        <w:rPr>
          <w:rFonts w:eastAsiaTheme="majorEastAsia"/>
        </w:rPr>
        <w:t>,  the</w:t>
      </w:r>
      <w:r w:rsidRPr="00606C54">
        <w:rPr>
          <w:rFonts w:eastAsiaTheme="majorEastAsia"/>
        </w:rPr>
        <w:t xml:space="preserve"> stated aim of the FoPL scheme was to guide consumer choice towards healthier food options by:</w:t>
      </w:r>
    </w:p>
    <w:p w14:paraId="625BCEF0" w14:textId="77777777" w:rsidR="0016701A" w:rsidRPr="00606C54" w:rsidRDefault="0016701A" w:rsidP="0016701A">
      <w:pPr>
        <w:numPr>
          <w:ilvl w:val="0"/>
          <w:numId w:val="5"/>
        </w:numPr>
        <w:rPr>
          <w:rFonts w:eastAsiaTheme="majorEastAsia"/>
        </w:rPr>
      </w:pPr>
      <w:r w:rsidRPr="00606C54">
        <w:rPr>
          <w:rFonts w:eastAsiaTheme="majorEastAsia"/>
        </w:rPr>
        <w:t>enabling direct comparison between individual foods that, within the overall diet, may contribute to the risk factors of various diet-related chronic diseases</w:t>
      </w:r>
    </w:p>
    <w:p w14:paraId="771EB8DB" w14:textId="77777777" w:rsidR="0016701A" w:rsidRPr="00606C54" w:rsidRDefault="0016701A" w:rsidP="0016701A">
      <w:pPr>
        <w:numPr>
          <w:ilvl w:val="0"/>
          <w:numId w:val="5"/>
        </w:numPr>
        <w:ind w:left="357" w:hanging="357"/>
        <w:rPr>
          <w:rFonts w:eastAsiaTheme="majorEastAsia"/>
        </w:rPr>
      </w:pPr>
      <w:r w:rsidRPr="00606C54">
        <w:rPr>
          <w:rFonts w:eastAsiaTheme="majorEastAsia"/>
        </w:rPr>
        <w:t>being readily understandable and meaningful across socio-economic groups, culturally and linguistically diverse groups and low literacy/numeracy groups</w:t>
      </w:r>
    </w:p>
    <w:p w14:paraId="70A6AA6F" w14:textId="77777777" w:rsidR="0016701A" w:rsidRPr="00606C54" w:rsidRDefault="0016701A" w:rsidP="0016701A">
      <w:pPr>
        <w:numPr>
          <w:ilvl w:val="0"/>
          <w:numId w:val="5"/>
        </w:numPr>
        <w:ind w:left="357" w:hanging="357"/>
        <w:rPr>
          <w:rFonts w:eastAsiaTheme="majorEastAsia"/>
        </w:rPr>
      </w:pPr>
      <w:r w:rsidRPr="00606C54">
        <w:rPr>
          <w:rFonts w:eastAsiaTheme="majorEastAsia"/>
        </w:rPr>
        <w:t>increasing awareness of foods that, within the overall diet, may contribute positively or negatively to the risk factors of diet-related chronic diseases.</w:t>
      </w:r>
    </w:p>
    <w:p w14:paraId="44E54E59" w14:textId="77777777" w:rsidR="0016701A" w:rsidRDefault="0016701A" w:rsidP="0016701A">
      <w:pPr>
        <w:rPr>
          <w:rFonts w:eastAsiaTheme="majorEastAsia"/>
        </w:rPr>
      </w:pPr>
      <w:r w:rsidRPr="00606C54">
        <w:rPr>
          <w:rFonts w:eastAsiaTheme="majorEastAsia"/>
        </w:rPr>
        <w:t xml:space="preserve">On 27 June 2014, Food Ministers endorsed the HSR system to be voluntarily implemented in Australia and New Zealand for an initial five years, with a formal review to occur at five years. </w:t>
      </w:r>
    </w:p>
    <w:p w14:paraId="2BFB8712" w14:textId="77777777" w:rsidR="0016701A" w:rsidRPr="00606C54" w:rsidRDefault="0016701A" w:rsidP="0016701A">
      <w:pPr>
        <w:pStyle w:val="Heading2"/>
        <w:numPr>
          <w:ilvl w:val="0"/>
          <w:numId w:val="0"/>
        </w:numPr>
        <w:ind w:left="576" w:hanging="576"/>
        <w:rPr>
          <w:bCs/>
        </w:rPr>
      </w:pPr>
      <w:bookmarkStart w:id="22" w:name="_Toc127262831"/>
      <w:bookmarkStart w:id="23" w:name="_Toc127262957"/>
      <w:r w:rsidRPr="00606C54">
        <w:t>The five-year review</w:t>
      </w:r>
      <w:bookmarkEnd w:id="22"/>
      <w:bookmarkEnd w:id="23"/>
    </w:p>
    <w:p w14:paraId="6B79961A" w14:textId="77777777" w:rsidR="0016701A" w:rsidRPr="00606C54" w:rsidRDefault="0016701A" w:rsidP="0016701A">
      <w:pPr>
        <w:spacing w:before="0"/>
      </w:pPr>
      <w:r w:rsidRPr="00606C54">
        <w:t xml:space="preserve">In April 2016, the HSR Advisory Committee </w:t>
      </w:r>
      <w:r>
        <w:t xml:space="preserve">(HSRAC) </w:t>
      </w:r>
      <w:r w:rsidRPr="00606C54">
        <w:t xml:space="preserve">commenced planning for the Review. Between 2017 and 2019, an independent consultant, mpconsulting, reviewed the system, undertaking numerous stakeholder consultations and commissioning several technical papers and pieces of research. </w:t>
      </w:r>
    </w:p>
    <w:p w14:paraId="3280581C" w14:textId="77777777" w:rsidR="0016701A" w:rsidRDefault="0016701A" w:rsidP="0016701A">
      <w:pPr>
        <w:spacing w:before="0"/>
      </w:pPr>
      <w:r w:rsidRPr="00606C54">
        <w:t xml:space="preserve">The final Review Report found that overall, the system works well and should be continued, but recommended a package of </w:t>
      </w:r>
      <w:r>
        <w:t>10</w:t>
      </w:r>
      <w:r w:rsidRPr="00606C54">
        <w:t xml:space="preserve"> changes to improve the system, regarding the operation of the HSR Calculator, driving further uptake, and improving the management and monitoring of the HSR System.</w:t>
      </w:r>
    </w:p>
    <w:p w14:paraId="00C0FCF9" w14:textId="77777777" w:rsidR="0016701A" w:rsidRDefault="0016701A" w:rsidP="0016701A">
      <w:pPr>
        <w:spacing w:before="0"/>
        <w:rPr>
          <w:rFonts w:cstheme="minorHAnsi"/>
        </w:rPr>
      </w:pPr>
      <w:r w:rsidRPr="00606C54">
        <w:rPr>
          <w:rFonts w:cstheme="minorHAnsi"/>
        </w:rPr>
        <w:t>Food Ministers responded to the Review’s recommendations, supporting the majority, with some caveats and adaptations. Recommendations 7 and 8 relate specifically to the approach to monitoring, and Recommendation 9 is relevant to monitoring as it outlines targets for uptake</w:t>
      </w:r>
      <w:r>
        <w:rPr>
          <w:rFonts w:cstheme="minorHAnsi"/>
        </w:rPr>
        <w:t>, which must be monitored</w:t>
      </w:r>
      <w:r w:rsidRPr="00606C54">
        <w:rPr>
          <w:rFonts w:cstheme="minorHAnsi"/>
        </w:rPr>
        <w:t xml:space="preserve">. </w:t>
      </w:r>
    </w:p>
    <w:p w14:paraId="06B584EC" w14:textId="77777777" w:rsidR="0016701A" w:rsidRPr="00606C54" w:rsidRDefault="0016701A" w:rsidP="0016701A">
      <w:pPr>
        <w:pStyle w:val="Heading2"/>
        <w:numPr>
          <w:ilvl w:val="0"/>
          <w:numId w:val="0"/>
        </w:numPr>
        <w:spacing w:before="0"/>
        <w:ind w:left="576" w:hanging="576"/>
      </w:pPr>
      <w:bookmarkStart w:id="24" w:name="_Toc127262832"/>
      <w:bookmarkStart w:id="25" w:name="_Toc127262958"/>
      <w:r w:rsidRPr="00606C54">
        <w:t>Previous monitoring activities and background</w:t>
      </w:r>
      <w:bookmarkEnd w:id="24"/>
      <w:bookmarkEnd w:id="25"/>
    </w:p>
    <w:p w14:paraId="7CB90881" w14:textId="77777777" w:rsidR="0016701A" w:rsidRPr="003A08FA" w:rsidRDefault="0016701A" w:rsidP="0016701A">
      <w:pPr>
        <w:pStyle w:val="Heading3"/>
        <w:numPr>
          <w:ilvl w:val="0"/>
          <w:numId w:val="0"/>
        </w:numPr>
        <w:ind w:left="720" w:hanging="720"/>
        <w:rPr>
          <w:b/>
          <w:bCs w:val="0"/>
        </w:rPr>
      </w:pPr>
      <w:bookmarkStart w:id="26" w:name="_Toc127262833"/>
      <w:bookmarkStart w:id="27" w:name="_Toc127262959"/>
      <w:r w:rsidRPr="003A08FA">
        <w:rPr>
          <w:rFonts w:eastAsiaTheme="minorEastAsia"/>
          <w:b/>
          <w:bCs w:val="0"/>
        </w:rPr>
        <w:t>Previous Areas of Enquiry</w:t>
      </w:r>
      <w:bookmarkEnd w:id="26"/>
      <w:bookmarkEnd w:id="27"/>
      <w:r w:rsidRPr="003A08FA">
        <w:rPr>
          <w:rFonts w:eastAsiaTheme="minorEastAsia"/>
          <w:b/>
          <w:bCs w:val="0"/>
        </w:rPr>
        <w:t xml:space="preserve"> </w:t>
      </w:r>
    </w:p>
    <w:p w14:paraId="61884019" w14:textId="60909F6F" w:rsidR="0016701A" w:rsidRPr="00606C54" w:rsidRDefault="0016701A" w:rsidP="0016701A">
      <w:r w:rsidRPr="00606C54">
        <w:t xml:space="preserve">Monitoring of the HSR system is completed and funded separately for Australia and </w:t>
      </w:r>
      <w:r w:rsidR="0009482A" w:rsidRPr="00606C54">
        <w:t>New</w:t>
      </w:r>
      <w:r w:rsidR="0009482A">
        <w:t> </w:t>
      </w:r>
      <w:r w:rsidRPr="00606C54">
        <w:t>Zealand. However, monitoring activities are aligned between the two countries wherever possible.</w:t>
      </w:r>
    </w:p>
    <w:p w14:paraId="430FF1A6" w14:textId="77777777" w:rsidR="0016701A" w:rsidRPr="00606C54" w:rsidRDefault="0016701A" w:rsidP="0016701A">
      <w:r w:rsidRPr="00606C54">
        <w:t xml:space="preserve">The monitoring of the HSR has historically been overseen by the </w:t>
      </w:r>
      <w:r>
        <w:t>Health Star Rating Advisory Committee (</w:t>
      </w:r>
      <w:r w:rsidRPr="00606C54">
        <w:t>HS</w:t>
      </w:r>
      <w:r>
        <w:t>RAC)</w:t>
      </w:r>
      <w:r w:rsidRPr="00606C54">
        <w:t>, who determined the three original Areas of Enquiry (A</w:t>
      </w:r>
      <w:r>
        <w:t>o</w:t>
      </w:r>
      <w:r w:rsidRPr="00606C54">
        <w:t xml:space="preserve">Es). </w:t>
      </w:r>
    </w:p>
    <w:p w14:paraId="55B63CBA" w14:textId="77777777" w:rsidR="0016701A" w:rsidRPr="00606C54" w:rsidRDefault="0016701A" w:rsidP="00130A51">
      <w:pPr>
        <w:keepNext/>
        <w:keepLines/>
      </w:pPr>
      <w:r w:rsidRPr="00606C54">
        <w:rPr>
          <w:u w:val="single"/>
        </w:rPr>
        <w:lastRenderedPageBreak/>
        <w:t>A</w:t>
      </w:r>
      <w:r>
        <w:rPr>
          <w:u w:val="single"/>
        </w:rPr>
        <w:t>o</w:t>
      </w:r>
      <w:r w:rsidRPr="00606C54">
        <w:rPr>
          <w:u w:val="single"/>
        </w:rPr>
        <w:t xml:space="preserve">E1: Label implementation and consistency with the HSR system Style Guide. </w:t>
      </w:r>
      <w:r w:rsidRPr="00606C54">
        <w:rPr>
          <w:u w:val="single"/>
        </w:rPr>
        <w:br/>
      </w:r>
      <w:r w:rsidRPr="00606C54">
        <w:t xml:space="preserve">Over the first 6 years this included (inconsistently) assessment of overall uptake of the HSR system (absolute and sales weighted), uptake by manufacturer and retailer, and uptake by food category and by rating. </w:t>
      </w:r>
    </w:p>
    <w:p w14:paraId="4B449A17" w14:textId="77777777" w:rsidR="0016701A" w:rsidRPr="00606C54" w:rsidRDefault="0016701A" w:rsidP="0016701A">
      <w:r w:rsidRPr="00606C54">
        <w:t xml:space="preserve">Consistency with the HSR Style Guide, consistency with the HSR calculator (accuracy of ratings) and the proportions of the different HSR display options were also assessed. </w:t>
      </w:r>
    </w:p>
    <w:p w14:paraId="21D83B20" w14:textId="77777777" w:rsidR="0016701A" w:rsidRPr="00606C54" w:rsidRDefault="0016701A" w:rsidP="0016701A">
      <w:pPr>
        <w:rPr>
          <w:bCs/>
        </w:rPr>
      </w:pPr>
      <w:bookmarkStart w:id="28" w:name="_Toc126299705"/>
      <w:r w:rsidRPr="00606C54">
        <w:rPr>
          <w:u w:val="single"/>
        </w:rPr>
        <w:t>A</w:t>
      </w:r>
      <w:r>
        <w:rPr>
          <w:bCs/>
          <w:u w:val="single"/>
        </w:rPr>
        <w:t>o</w:t>
      </w:r>
      <w:r w:rsidRPr="00606C54">
        <w:rPr>
          <w:u w:val="single"/>
        </w:rPr>
        <w:t xml:space="preserve">E2: Consumer awareness and ability to use the HSR system correctly. </w:t>
      </w:r>
      <w:r w:rsidRPr="00606C54">
        <w:t>This involved assessment of consumer awareness, recognition, understanding, correct use and trust, credibility, and confidence of the HSR system across the general population and for priority groups.</w:t>
      </w:r>
      <w:bookmarkEnd w:id="28"/>
      <w:r w:rsidRPr="00606C54">
        <w:t xml:space="preserve"> </w:t>
      </w:r>
    </w:p>
    <w:p w14:paraId="7F60FB22" w14:textId="77777777" w:rsidR="0016701A" w:rsidRPr="00606C54" w:rsidRDefault="0016701A" w:rsidP="0016701A">
      <w:pPr>
        <w:rPr>
          <w:bCs/>
        </w:rPr>
      </w:pPr>
      <w:bookmarkStart w:id="29" w:name="_Toc126299706"/>
      <w:r w:rsidRPr="00606C54">
        <w:rPr>
          <w:u w:val="single"/>
        </w:rPr>
        <w:t>A</w:t>
      </w:r>
      <w:r>
        <w:rPr>
          <w:bCs/>
          <w:u w:val="single"/>
        </w:rPr>
        <w:t>o</w:t>
      </w:r>
      <w:r w:rsidRPr="00606C54">
        <w:rPr>
          <w:u w:val="single"/>
        </w:rPr>
        <w:t>E3: Nutrient status of products carrying a HSR system label.</w:t>
      </w:r>
      <w:r w:rsidRPr="00606C54">
        <w:t xml:space="preserve"> Changes to the nutrient content of HSR products were monitored to determine whether the overall average nutrient profile had changed, i.e. products had been reformulated, compared with non-HSR products. In New Zealand the nutrient content of products displaying the HSR pre and post implementation of the system were compared. This also included looking at the distribution of </w:t>
      </w:r>
      <w:r>
        <w:t>HSRs</w:t>
      </w:r>
      <w:r w:rsidRPr="00606C54">
        <w:t xml:space="preserve"> and considering whether they were being applied more to higher rating products.</w:t>
      </w:r>
      <w:bookmarkEnd w:id="29"/>
    </w:p>
    <w:p w14:paraId="468F569D" w14:textId="77777777" w:rsidR="0016701A" w:rsidRPr="00606C54" w:rsidRDefault="0016701A" w:rsidP="0016701A">
      <w:pPr>
        <w:pStyle w:val="Heading3"/>
        <w:numPr>
          <w:ilvl w:val="0"/>
          <w:numId w:val="0"/>
        </w:numPr>
        <w:spacing w:before="0"/>
        <w:ind w:left="720" w:hanging="720"/>
        <w:rPr>
          <w:b/>
          <w:bCs w:val="0"/>
        </w:rPr>
      </w:pPr>
      <w:bookmarkStart w:id="30" w:name="_Toc127262834"/>
      <w:bookmarkStart w:id="31" w:name="_Toc127262960"/>
      <w:r w:rsidRPr="00606C54">
        <w:rPr>
          <w:b/>
          <w:bCs w:val="0"/>
        </w:rPr>
        <w:t>Australian monitoring activities</w:t>
      </w:r>
      <w:bookmarkEnd w:id="30"/>
      <w:bookmarkEnd w:id="31"/>
      <w:r w:rsidRPr="00606C54">
        <w:rPr>
          <w:b/>
          <w:bCs w:val="0"/>
        </w:rPr>
        <w:t xml:space="preserve"> </w:t>
      </w:r>
    </w:p>
    <w:p w14:paraId="03FAAA44" w14:textId="27415F3C" w:rsidR="0016701A" w:rsidRPr="00606C54" w:rsidRDefault="0016701A" w:rsidP="0016701A">
      <w:pPr>
        <w:rPr>
          <w:bCs/>
        </w:rPr>
      </w:pPr>
      <w:r w:rsidRPr="00606C54">
        <w:rPr>
          <w:bCs/>
        </w:rPr>
        <w:t>In Australia</w:t>
      </w:r>
      <w:r>
        <w:rPr>
          <w:bCs/>
        </w:rPr>
        <w:t>,</w:t>
      </w:r>
      <w:r w:rsidRPr="00606C54">
        <w:rPr>
          <w:bCs/>
        </w:rPr>
        <w:t xml:space="preserve"> the Australian Government Department of Health engaged the National Heart Foundation of Australia (Heart Foundation) to undertake data collection and analysis for the three key A</w:t>
      </w:r>
      <w:r>
        <w:rPr>
          <w:bCs/>
        </w:rPr>
        <w:t>o</w:t>
      </w:r>
      <w:r w:rsidRPr="00606C54">
        <w:rPr>
          <w:bCs/>
        </w:rPr>
        <w:t>Es.</w:t>
      </w:r>
    </w:p>
    <w:p w14:paraId="4262B564" w14:textId="77777777" w:rsidR="0016701A" w:rsidRPr="00606C54" w:rsidRDefault="0016701A" w:rsidP="0016701A">
      <w:pPr>
        <w:rPr>
          <w:bCs/>
        </w:rPr>
      </w:pPr>
      <w:r w:rsidRPr="00606C54">
        <w:rPr>
          <w:bCs/>
        </w:rPr>
        <w:t>The Heart Foundation developed the first framework to guide monitoring and reporting against these three A</w:t>
      </w:r>
      <w:r>
        <w:rPr>
          <w:bCs/>
        </w:rPr>
        <w:t>o</w:t>
      </w:r>
      <w:r w:rsidRPr="00606C54">
        <w:rPr>
          <w:bCs/>
        </w:rPr>
        <w:t>Es, in both Australia and New Zealand.</w:t>
      </w:r>
      <w:r>
        <w:rPr>
          <w:bCs/>
        </w:rPr>
        <w:t xml:space="preserve"> </w:t>
      </w:r>
      <w:r w:rsidRPr="00606C54">
        <w:rPr>
          <w:bCs/>
        </w:rPr>
        <w:t xml:space="preserve">The Heart Foundation published a series of reports covering each of the first five years of implementation of the HSR system in Australia. </w:t>
      </w:r>
    </w:p>
    <w:p w14:paraId="5FD58A21" w14:textId="77777777" w:rsidR="0016701A" w:rsidRPr="00606C54" w:rsidRDefault="0016701A" w:rsidP="0016701A">
      <w:pPr>
        <w:pStyle w:val="Heading3"/>
        <w:numPr>
          <w:ilvl w:val="0"/>
          <w:numId w:val="0"/>
        </w:numPr>
        <w:spacing w:before="0"/>
        <w:ind w:left="720" w:hanging="720"/>
        <w:rPr>
          <w:b/>
          <w:bCs w:val="0"/>
        </w:rPr>
      </w:pPr>
      <w:bookmarkStart w:id="32" w:name="_Toc127262835"/>
      <w:bookmarkStart w:id="33" w:name="_Toc127262961"/>
      <w:r w:rsidRPr="00606C54">
        <w:rPr>
          <w:b/>
          <w:bCs w:val="0"/>
        </w:rPr>
        <w:t>New Zealand monitoring activities</w:t>
      </w:r>
      <w:bookmarkEnd w:id="32"/>
      <w:bookmarkEnd w:id="33"/>
      <w:r w:rsidRPr="00606C54">
        <w:rPr>
          <w:b/>
          <w:bCs w:val="0"/>
        </w:rPr>
        <w:t xml:space="preserve"> </w:t>
      </w:r>
    </w:p>
    <w:p w14:paraId="1E20F4CC" w14:textId="77777777" w:rsidR="0016701A" w:rsidRPr="00606C54" w:rsidRDefault="0016701A" w:rsidP="0016701A">
      <w:r w:rsidRPr="00606C54">
        <w:t xml:space="preserve">In New Zealand, the New Zealand Ministry for Primary Industries (MPI) contracted the National Institute for Health Innovation at the University of Auckland to monitor uptake of the system and changes to nutrient status of the food supply (including reformulation). </w:t>
      </w:r>
    </w:p>
    <w:p w14:paraId="715C03A8" w14:textId="77777777" w:rsidR="0016701A" w:rsidRPr="00606C54" w:rsidRDefault="0016701A" w:rsidP="0016701A">
      <w:r w:rsidRPr="00606C54">
        <w:t>The New Zealand Ministry of Health funded the Health Promotion Agency (HPA) to develop, implement and monitor the consumer marketing and education campaign to help consumers understand the HSR System. HPA commissioned Colmar Brunton to conduct surveys to monitor A</w:t>
      </w:r>
      <w:r>
        <w:t>o</w:t>
      </w:r>
      <w:r w:rsidRPr="00606C54">
        <w:t>E2. Surveys were conducted in 2015, 2016 and 2018.</w:t>
      </w:r>
    </w:p>
    <w:p w14:paraId="72054428" w14:textId="77777777" w:rsidR="0016701A" w:rsidRPr="00606C54" w:rsidRDefault="0016701A" w:rsidP="0016701A">
      <w:r w:rsidRPr="00606C54">
        <w:t>MPI internally considered consistency with the HSR Style Guide.</w:t>
      </w:r>
    </w:p>
    <w:p w14:paraId="4F14A3BF" w14:textId="34235698" w:rsidR="00EA33EE" w:rsidRDefault="00EA33EE" w:rsidP="0016701A">
      <w:pPr>
        <w:spacing w:before="0"/>
        <w:rPr>
          <w:rFonts w:cstheme="minorHAnsi"/>
        </w:rPr>
      </w:pPr>
      <w:r>
        <w:rPr>
          <w:rFonts w:cstheme="minorHAnsi"/>
        </w:rPr>
        <w:br/>
      </w:r>
    </w:p>
    <w:p w14:paraId="4ABDCE93" w14:textId="77777777" w:rsidR="00EA33EE" w:rsidRDefault="00EA33EE">
      <w:pPr>
        <w:spacing w:before="0" w:after="200" w:line="276" w:lineRule="auto"/>
        <w:rPr>
          <w:rFonts w:cstheme="minorHAnsi"/>
        </w:rPr>
      </w:pPr>
      <w:r>
        <w:rPr>
          <w:rFonts w:cstheme="minorHAnsi"/>
        </w:rPr>
        <w:br w:type="page"/>
      </w:r>
    </w:p>
    <w:p w14:paraId="65A98A16" w14:textId="6C089A56" w:rsidR="0016701A" w:rsidRPr="00EA33EE" w:rsidRDefault="002D25FE" w:rsidP="00EA33EE">
      <w:pPr>
        <w:pStyle w:val="Heading2"/>
        <w:numPr>
          <w:ilvl w:val="0"/>
          <w:numId w:val="0"/>
        </w:numPr>
        <w:spacing w:before="0"/>
        <w:ind w:left="576" w:hanging="576"/>
      </w:pPr>
      <w:r w:rsidRPr="00606C54">
        <w:rPr>
          <w:rFonts w:cstheme="minorHAnsi"/>
          <w:noProof/>
        </w:rPr>
        <w:lastRenderedPageBreak/>
        <mc:AlternateContent>
          <mc:Choice Requires="wps">
            <w:drawing>
              <wp:anchor distT="45720" distB="45720" distL="114300" distR="114300" simplePos="0" relativeHeight="251681792" behindDoc="0" locked="0" layoutInCell="1" allowOverlap="1" wp14:anchorId="2FA9876B" wp14:editId="2115C569">
                <wp:simplePos x="0" y="0"/>
                <wp:positionH relativeFrom="margin">
                  <wp:align>left</wp:align>
                </wp:positionH>
                <wp:positionV relativeFrom="paragraph">
                  <wp:posOffset>266065</wp:posOffset>
                </wp:positionV>
                <wp:extent cx="5848350" cy="14046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4620"/>
                        </a:xfrm>
                        <a:prstGeom prst="rect">
                          <a:avLst/>
                        </a:prstGeom>
                        <a:solidFill>
                          <a:srgbClr val="FFFFFF"/>
                        </a:solidFill>
                        <a:ln w="9525">
                          <a:solidFill>
                            <a:srgbClr val="000000"/>
                          </a:solidFill>
                          <a:miter lim="800000"/>
                          <a:headEnd/>
                          <a:tailEnd/>
                        </a:ln>
                      </wps:spPr>
                      <wps:txbx>
                        <w:txbxContent>
                          <w:p w14:paraId="13E6C1C7" w14:textId="77777777" w:rsidR="0016701A" w:rsidRPr="002C6E9D" w:rsidRDefault="0016701A" w:rsidP="002D25FE">
                            <w:pPr>
                              <w:autoSpaceDE w:val="0"/>
                              <w:autoSpaceDN w:val="0"/>
                              <w:adjustRightInd w:val="0"/>
                              <w:spacing w:before="0" w:after="0"/>
                              <w:ind w:right="399"/>
                              <w:contextualSpacing/>
                              <w:rPr>
                                <w:rFonts w:cstheme="minorHAnsi"/>
                                <w:color w:val="000000"/>
                                <w:sz w:val="20"/>
                                <w:szCs w:val="20"/>
                              </w:rPr>
                            </w:pPr>
                            <w:r w:rsidRPr="002C6E9D">
                              <w:rPr>
                                <w:rFonts w:cstheme="minorHAnsi"/>
                                <w:b/>
                                <w:bCs/>
                                <w:color w:val="000000"/>
                                <w:sz w:val="20"/>
                                <w:szCs w:val="20"/>
                              </w:rPr>
                              <w:t xml:space="preserve">Recommendation 7: Minor changes be made to the governance of the HSR System to: </w:t>
                            </w:r>
                          </w:p>
                          <w:p w14:paraId="16A4B9B3" w14:textId="77777777" w:rsidR="0016701A" w:rsidRPr="002C6E9D" w:rsidRDefault="0016701A" w:rsidP="002D25FE">
                            <w:pPr>
                              <w:pStyle w:val="ListParagraph"/>
                              <w:numPr>
                                <w:ilvl w:val="0"/>
                                <w:numId w:val="4"/>
                              </w:numPr>
                              <w:autoSpaceDE w:val="0"/>
                              <w:autoSpaceDN w:val="0"/>
                              <w:adjustRightInd w:val="0"/>
                              <w:spacing w:before="0" w:after="0"/>
                              <w:ind w:right="399"/>
                              <w:rPr>
                                <w:rFonts w:cstheme="minorHAnsi"/>
                                <w:color w:val="000000"/>
                                <w:sz w:val="20"/>
                                <w:szCs w:val="20"/>
                              </w:rPr>
                            </w:pPr>
                            <w:r w:rsidRPr="002C6E9D">
                              <w:rPr>
                                <w:rFonts w:cstheme="minorHAnsi"/>
                                <w:b/>
                                <w:bCs/>
                                <w:color w:val="000000"/>
                                <w:sz w:val="20"/>
                                <w:szCs w:val="20"/>
                              </w:rPr>
                              <w:t xml:space="preserve">support greater consumer confidence in the System by transferring management of the HSR Calculator and </w:t>
                            </w:r>
                            <w:r>
                              <w:rPr>
                                <w:rFonts w:cstheme="minorHAnsi"/>
                                <w:b/>
                                <w:bCs/>
                                <w:color w:val="000000"/>
                                <w:sz w:val="20"/>
                                <w:szCs w:val="20"/>
                              </w:rPr>
                              <w:t xml:space="preserve">(Technical Advisory Group) </w:t>
                            </w:r>
                            <w:r w:rsidRPr="002C6E9D">
                              <w:rPr>
                                <w:rFonts w:cstheme="minorHAnsi"/>
                                <w:b/>
                                <w:bCs/>
                                <w:color w:val="000000"/>
                                <w:sz w:val="20"/>
                                <w:szCs w:val="20"/>
                              </w:rPr>
                              <w:t xml:space="preserve">TAG database to FSANZ </w:t>
                            </w:r>
                          </w:p>
                          <w:p w14:paraId="4874C9AA" w14:textId="77777777" w:rsidR="0016701A" w:rsidRPr="002C6E9D" w:rsidRDefault="0016701A" w:rsidP="002D25FE">
                            <w:pPr>
                              <w:pStyle w:val="ListParagraph"/>
                              <w:numPr>
                                <w:ilvl w:val="0"/>
                                <w:numId w:val="4"/>
                              </w:numPr>
                              <w:autoSpaceDE w:val="0"/>
                              <w:autoSpaceDN w:val="0"/>
                              <w:adjustRightInd w:val="0"/>
                              <w:spacing w:before="0" w:after="0"/>
                              <w:ind w:right="399"/>
                              <w:rPr>
                                <w:rFonts w:cstheme="minorHAnsi"/>
                                <w:color w:val="000000"/>
                                <w:sz w:val="20"/>
                                <w:szCs w:val="20"/>
                              </w:rPr>
                            </w:pPr>
                            <w:r w:rsidRPr="002C6E9D">
                              <w:rPr>
                                <w:rFonts w:cstheme="minorHAnsi"/>
                                <w:b/>
                                <w:bCs/>
                                <w:color w:val="000000"/>
                                <w:sz w:val="20"/>
                                <w:szCs w:val="20"/>
                              </w:rPr>
                              <w:t xml:space="preserve">clarify the role of governance committees </w:t>
                            </w:r>
                          </w:p>
                          <w:p w14:paraId="43695D18" w14:textId="77777777" w:rsidR="0016701A" w:rsidRPr="002C6E9D" w:rsidRDefault="0016701A" w:rsidP="002D25FE">
                            <w:pPr>
                              <w:pStyle w:val="ListParagraph"/>
                              <w:numPr>
                                <w:ilvl w:val="0"/>
                                <w:numId w:val="4"/>
                              </w:numPr>
                              <w:autoSpaceDE w:val="0"/>
                              <w:autoSpaceDN w:val="0"/>
                              <w:adjustRightInd w:val="0"/>
                              <w:spacing w:before="0" w:after="0"/>
                              <w:ind w:right="121"/>
                              <w:rPr>
                                <w:rFonts w:cstheme="minorHAnsi"/>
                                <w:color w:val="000000"/>
                                <w:sz w:val="20"/>
                                <w:szCs w:val="20"/>
                              </w:rPr>
                            </w:pPr>
                            <w:r w:rsidRPr="002C6E9D">
                              <w:rPr>
                                <w:rFonts w:cstheme="minorHAnsi"/>
                                <w:b/>
                                <w:bCs/>
                                <w:color w:val="000000"/>
                                <w:sz w:val="20"/>
                                <w:szCs w:val="20"/>
                              </w:rPr>
                              <w:t xml:space="preserve">increase the transparency of the System </w:t>
                            </w:r>
                          </w:p>
                          <w:p w14:paraId="3C252F7F" w14:textId="77777777" w:rsidR="0016701A" w:rsidRPr="006C0215" w:rsidRDefault="0016701A" w:rsidP="002D25FE">
                            <w:pPr>
                              <w:pStyle w:val="ListParagraph"/>
                              <w:numPr>
                                <w:ilvl w:val="0"/>
                                <w:numId w:val="4"/>
                              </w:numPr>
                              <w:autoSpaceDE w:val="0"/>
                              <w:autoSpaceDN w:val="0"/>
                              <w:adjustRightInd w:val="0"/>
                              <w:spacing w:before="0" w:after="0"/>
                              <w:ind w:right="399"/>
                              <w:rPr>
                                <w:rFonts w:cstheme="minorHAnsi"/>
                                <w:color w:val="000000"/>
                                <w:sz w:val="20"/>
                                <w:szCs w:val="20"/>
                              </w:rPr>
                            </w:pPr>
                            <w:r w:rsidRPr="006C0215">
                              <w:rPr>
                                <w:rFonts w:cstheme="minorHAnsi"/>
                                <w:b/>
                                <w:bCs/>
                                <w:color w:val="000000"/>
                                <w:sz w:val="20"/>
                                <w:szCs w:val="20"/>
                              </w:rPr>
                              <w:t>improve monitoring, enabling the System to be more responsive</w:t>
                            </w:r>
                            <w:r w:rsidRPr="006C0215">
                              <w:rPr>
                                <w:rFonts w:cstheme="minorHAnsi"/>
                                <w:color w:val="000000"/>
                                <w:sz w:val="20"/>
                                <w:szCs w:val="20"/>
                              </w:rPr>
                              <w:t xml:space="preserve">. </w:t>
                            </w:r>
                          </w:p>
                          <w:p w14:paraId="799BE370" w14:textId="77777777" w:rsidR="0016701A" w:rsidRPr="002C6E9D" w:rsidRDefault="0016701A" w:rsidP="002D25FE">
                            <w:pPr>
                              <w:pStyle w:val="ListParagraph"/>
                              <w:autoSpaceDE w:val="0"/>
                              <w:autoSpaceDN w:val="0"/>
                              <w:adjustRightInd w:val="0"/>
                              <w:spacing w:before="0" w:after="0"/>
                              <w:ind w:left="360" w:right="399"/>
                              <w:rPr>
                                <w:rFonts w:cstheme="minorHAnsi"/>
                                <w:color w:val="000000"/>
                                <w:sz w:val="20"/>
                                <w:szCs w:val="20"/>
                              </w:rPr>
                            </w:pPr>
                          </w:p>
                          <w:p w14:paraId="6C714AC1" w14:textId="77777777" w:rsidR="0016701A" w:rsidRPr="002C6E9D" w:rsidRDefault="0016701A" w:rsidP="002D25FE">
                            <w:pPr>
                              <w:spacing w:before="0"/>
                              <w:ind w:right="399"/>
                              <w:contextualSpacing/>
                              <w:rPr>
                                <w:rFonts w:cstheme="minorHAnsi"/>
                                <w:sz w:val="20"/>
                                <w:szCs w:val="20"/>
                              </w:rPr>
                            </w:pPr>
                            <w:r w:rsidRPr="002C6E9D">
                              <w:rPr>
                                <w:rFonts w:cstheme="minorHAnsi"/>
                                <w:color w:val="000000"/>
                                <w:sz w:val="20"/>
                                <w:szCs w:val="20"/>
                              </w:rPr>
                              <w:t xml:space="preserve">As the HSR System moves into the next stage of implementation, adjustments to the governance arrangements are recommended to support greater consumer confidence; enable more effective monitoring; provide greater transparency; and improve responsiveness. Recommended changes include adjustments to the composition and role of the HSRAC and independent custodianship (by FSANZ) of the HSR Calculator and TAG database (including resourcing for this work).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A9876B" id="_x0000_s1048" type="#_x0000_t202" style="position:absolute;left:0;text-align:left;margin-left:0;margin-top:20.95pt;width:460.5pt;height:110.6pt;z-index:2516817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">
                <v:textbox style="mso-fit-shape-to-text:t">
                  <w:txbxContent>
                    <w:p w14:paraId="13E6C1C7" w14:textId="77777777" w:rsidR="0016701A" w:rsidRPr="002C6E9D" w:rsidRDefault="0016701A" w:rsidP="002D25FE">
                      <w:pPr>
                        <w:autoSpaceDE w:val="0"/>
                        <w:autoSpaceDN w:val="0"/>
                        <w:adjustRightInd w:val="0"/>
                        <w:spacing w:before="0" w:after="0"/>
                        <w:ind w:right="399"/>
                        <w:contextualSpacing/>
                        <w:rPr>
                          <w:rFonts w:cstheme="minorHAnsi"/>
                          <w:color w:val="000000"/>
                          <w:sz w:val="20"/>
                          <w:szCs w:val="20"/>
                        </w:rPr>
                      </w:pPr>
                      <w:r w:rsidRPr="002C6E9D">
                        <w:rPr>
                          <w:rFonts w:cstheme="minorHAnsi"/>
                          <w:b/>
                          <w:bCs/>
                          <w:color w:val="000000"/>
                          <w:sz w:val="20"/>
                          <w:szCs w:val="20"/>
                        </w:rPr>
                        <w:t xml:space="preserve">Recommendation 7: Minor changes be made to the governance of the HSR System to: </w:t>
                      </w:r>
                    </w:p>
                    <w:p w14:paraId="16A4B9B3" w14:textId="77777777" w:rsidR="0016701A" w:rsidRPr="002C6E9D" w:rsidRDefault="0016701A" w:rsidP="002D25FE">
                      <w:pPr>
                        <w:pStyle w:val="ListParagraph"/>
                        <w:numPr>
                          <w:ilvl w:val="0"/>
                          <w:numId w:val="4"/>
                        </w:numPr>
                        <w:autoSpaceDE w:val="0"/>
                        <w:autoSpaceDN w:val="0"/>
                        <w:adjustRightInd w:val="0"/>
                        <w:spacing w:before="0" w:after="0"/>
                        <w:ind w:right="399"/>
                        <w:rPr>
                          <w:rFonts w:cstheme="minorHAnsi"/>
                          <w:color w:val="000000"/>
                          <w:sz w:val="20"/>
                          <w:szCs w:val="20"/>
                        </w:rPr>
                      </w:pPr>
                      <w:r w:rsidRPr="002C6E9D">
                        <w:rPr>
                          <w:rFonts w:cstheme="minorHAnsi"/>
                          <w:b/>
                          <w:bCs/>
                          <w:color w:val="000000"/>
                          <w:sz w:val="20"/>
                          <w:szCs w:val="20"/>
                        </w:rPr>
                        <w:t xml:space="preserve">support greater consumer confidence in the System by transferring management of the HSR Calculator and </w:t>
                      </w:r>
                      <w:r>
                        <w:rPr>
                          <w:rFonts w:cstheme="minorHAnsi"/>
                          <w:b/>
                          <w:bCs/>
                          <w:color w:val="000000"/>
                          <w:sz w:val="20"/>
                          <w:szCs w:val="20"/>
                        </w:rPr>
                        <w:t xml:space="preserve">(Technical Advisory Group) </w:t>
                      </w:r>
                      <w:r w:rsidRPr="002C6E9D">
                        <w:rPr>
                          <w:rFonts w:cstheme="minorHAnsi"/>
                          <w:b/>
                          <w:bCs/>
                          <w:color w:val="000000"/>
                          <w:sz w:val="20"/>
                          <w:szCs w:val="20"/>
                        </w:rPr>
                        <w:t xml:space="preserve">TAG database to FSANZ </w:t>
                      </w:r>
                    </w:p>
                    <w:p w14:paraId="4874C9AA" w14:textId="77777777" w:rsidR="0016701A" w:rsidRPr="002C6E9D" w:rsidRDefault="0016701A" w:rsidP="002D25FE">
                      <w:pPr>
                        <w:pStyle w:val="ListParagraph"/>
                        <w:numPr>
                          <w:ilvl w:val="0"/>
                          <w:numId w:val="4"/>
                        </w:numPr>
                        <w:autoSpaceDE w:val="0"/>
                        <w:autoSpaceDN w:val="0"/>
                        <w:adjustRightInd w:val="0"/>
                        <w:spacing w:before="0" w:after="0"/>
                        <w:ind w:right="399"/>
                        <w:rPr>
                          <w:rFonts w:cstheme="minorHAnsi"/>
                          <w:color w:val="000000"/>
                          <w:sz w:val="20"/>
                          <w:szCs w:val="20"/>
                        </w:rPr>
                      </w:pPr>
                      <w:r w:rsidRPr="002C6E9D">
                        <w:rPr>
                          <w:rFonts w:cstheme="minorHAnsi"/>
                          <w:b/>
                          <w:bCs/>
                          <w:color w:val="000000"/>
                          <w:sz w:val="20"/>
                          <w:szCs w:val="20"/>
                        </w:rPr>
                        <w:t xml:space="preserve">clarify the role of governance committees </w:t>
                      </w:r>
                    </w:p>
                    <w:p w14:paraId="43695D18" w14:textId="77777777" w:rsidR="0016701A" w:rsidRPr="002C6E9D" w:rsidRDefault="0016701A" w:rsidP="002D25FE">
                      <w:pPr>
                        <w:pStyle w:val="ListParagraph"/>
                        <w:numPr>
                          <w:ilvl w:val="0"/>
                          <w:numId w:val="4"/>
                        </w:numPr>
                        <w:autoSpaceDE w:val="0"/>
                        <w:autoSpaceDN w:val="0"/>
                        <w:adjustRightInd w:val="0"/>
                        <w:spacing w:before="0" w:after="0"/>
                        <w:ind w:right="121"/>
                        <w:rPr>
                          <w:rFonts w:cstheme="minorHAnsi"/>
                          <w:color w:val="000000"/>
                          <w:sz w:val="20"/>
                          <w:szCs w:val="20"/>
                        </w:rPr>
                      </w:pPr>
                      <w:r w:rsidRPr="002C6E9D">
                        <w:rPr>
                          <w:rFonts w:cstheme="minorHAnsi"/>
                          <w:b/>
                          <w:bCs/>
                          <w:color w:val="000000"/>
                          <w:sz w:val="20"/>
                          <w:szCs w:val="20"/>
                        </w:rPr>
                        <w:t xml:space="preserve">increase the transparency of the System </w:t>
                      </w:r>
                    </w:p>
                    <w:p w14:paraId="3C252F7F" w14:textId="77777777" w:rsidR="0016701A" w:rsidRPr="006C0215" w:rsidRDefault="0016701A" w:rsidP="002D25FE">
                      <w:pPr>
                        <w:pStyle w:val="ListParagraph"/>
                        <w:numPr>
                          <w:ilvl w:val="0"/>
                          <w:numId w:val="4"/>
                        </w:numPr>
                        <w:autoSpaceDE w:val="0"/>
                        <w:autoSpaceDN w:val="0"/>
                        <w:adjustRightInd w:val="0"/>
                        <w:spacing w:before="0" w:after="0"/>
                        <w:ind w:right="399"/>
                        <w:rPr>
                          <w:rFonts w:cstheme="minorHAnsi"/>
                          <w:color w:val="000000"/>
                          <w:sz w:val="20"/>
                          <w:szCs w:val="20"/>
                        </w:rPr>
                      </w:pPr>
                      <w:r w:rsidRPr="006C0215">
                        <w:rPr>
                          <w:rFonts w:cstheme="minorHAnsi"/>
                          <w:b/>
                          <w:bCs/>
                          <w:color w:val="000000"/>
                          <w:sz w:val="20"/>
                          <w:szCs w:val="20"/>
                        </w:rPr>
                        <w:t>improve monitoring, enabling the System to be more responsive</w:t>
                      </w:r>
                      <w:r w:rsidRPr="006C0215">
                        <w:rPr>
                          <w:rFonts w:cstheme="minorHAnsi"/>
                          <w:color w:val="000000"/>
                          <w:sz w:val="20"/>
                          <w:szCs w:val="20"/>
                        </w:rPr>
                        <w:t xml:space="preserve">. </w:t>
                      </w:r>
                    </w:p>
                    <w:p w14:paraId="799BE370" w14:textId="77777777" w:rsidR="0016701A" w:rsidRPr="002C6E9D" w:rsidRDefault="0016701A" w:rsidP="002D25FE">
                      <w:pPr>
                        <w:pStyle w:val="ListParagraph"/>
                        <w:autoSpaceDE w:val="0"/>
                        <w:autoSpaceDN w:val="0"/>
                        <w:adjustRightInd w:val="0"/>
                        <w:spacing w:before="0" w:after="0"/>
                        <w:ind w:left="360" w:right="399"/>
                        <w:rPr>
                          <w:rFonts w:cstheme="minorHAnsi"/>
                          <w:color w:val="000000"/>
                          <w:sz w:val="20"/>
                          <w:szCs w:val="20"/>
                        </w:rPr>
                      </w:pPr>
                    </w:p>
                    <w:p w14:paraId="6C714AC1" w14:textId="77777777" w:rsidR="0016701A" w:rsidRPr="002C6E9D" w:rsidRDefault="0016701A" w:rsidP="002D25FE">
                      <w:pPr>
                        <w:spacing w:before="0"/>
                        <w:ind w:right="399"/>
                        <w:contextualSpacing/>
                        <w:rPr>
                          <w:rFonts w:cstheme="minorHAnsi"/>
                          <w:sz w:val="20"/>
                          <w:szCs w:val="20"/>
                        </w:rPr>
                      </w:pPr>
                      <w:r w:rsidRPr="002C6E9D">
                        <w:rPr>
                          <w:rFonts w:cstheme="minorHAnsi"/>
                          <w:color w:val="000000"/>
                          <w:sz w:val="20"/>
                          <w:szCs w:val="20"/>
                        </w:rPr>
                        <w:t xml:space="preserve">As the HSR System moves into the next stage of implementation, adjustments to the governance arrangements are recommended to support greater consumer confidence; enable more effective monitoring; provide greater transparency; and improve responsiveness. Recommended changes include adjustments to the composition and role of the HSRAC and independent custodianship (by FSANZ) of the HSR Calculator and TAG database (including resourcing for this work). </w:t>
                      </w:r>
                    </w:p>
                  </w:txbxContent>
                </v:textbox>
                <w10:wrap type="square" anchorx="margin"/>
              </v:shape>
            </w:pict>
          </mc:Fallback>
        </mc:AlternateContent>
      </w:r>
      <w:r w:rsidR="00EA33EE" w:rsidRPr="00EA33EE">
        <w:t>Five year review recommendations of relevance</w:t>
      </w:r>
    </w:p>
    <w:p w14:paraId="65DAC1E8" w14:textId="1A69E87C" w:rsidR="0016701A" w:rsidRPr="00606C54" w:rsidRDefault="0016701A" w:rsidP="0016701A">
      <w:pPr>
        <w:spacing w:before="240"/>
        <w:rPr>
          <w:rFonts w:cstheme="minorHAnsi"/>
        </w:rPr>
      </w:pPr>
      <w:r w:rsidRPr="00606C54">
        <w:rPr>
          <w:rFonts w:cstheme="minorHAnsi"/>
        </w:rPr>
        <w:t>Ministers’ response to monitoring under Recommendation 7 was as follows:</w:t>
      </w:r>
    </w:p>
    <w:p w14:paraId="144DD439" w14:textId="77777777" w:rsidR="0016701A" w:rsidRPr="00606C54" w:rsidRDefault="0016701A" w:rsidP="0016701A">
      <w:pPr>
        <w:widowControl w:val="0"/>
        <w:spacing w:before="0"/>
        <w:rPr>
          <w:rFonts w:cstheme="minorHAnsi"/>
          <w:i/>
          <w:iCs/>
        </w:rPr>
      </w:pPr>
      <w:r w:rsidRPr="00606C54">
        <w:rPr>
          <w:rFonts w:cstheme="minorHAnsi"/>
          <w:i/>
          <w:iCs/>
        </w:rPr>
        <w:t>Supports, subject to funding.</w:t>
      </w:r>
    </w:p>
    <w:p w14:paraId="08D35A9D" w14:textId="77777777" w:rsidR="0016701A" w:rsidRPr="00606C54" w:rsidRDefault="0016701A" w:rsidP="0016701A">
      <w:pPr>
        <w:spacing w:before="0" w:after="240"/>
        <w:rPr>
          <w:rFonts w:cstheme="minorHAnsi"/>
          <w:bCs/>
          <w:color w:val="000000" w:themeColor="text1"/>
        </w:rPr>
      </w:pPr>
      <w:r w:rsidRPr="00606C54">
        <w:rPr>
          <w:rFonts w:cstheme="minorHAnsi"/>
          <w:i/>
          <w:iCs/>
        </w:rPr>
        <w:t xml:space="preserve">…Monitoring deliverables and methodology will need to be adjusted in response to recommendation 9 (uptake targets). </w:t>
      </w:r>
      <w:r w:rsidRPr="00A20733">
        <w:rPr>
          <w:rFonts w:cstheme="minorHAnsi"/>
          <w:i/>
          <w:iCs/>
        </w:rPr>
        <w:t>This is a good opportunity to make monitoring requirements more overarching as well as more specific – looking at the performance and results of the HSR system on a population health level as well as more specific criteria. It</w:t>
      </w:r>
      <w:r w:rsidRPr="00606C54">
        <w:rPr>
          <w:rFonts w:cstheme="minorHAnsi"/>
          <w:i/>
          <w:iCs/>
        </w:rPr>
        <w:t xml:space="preserve"> also presents an opportunity to improve consistency between New Zealand and Australian monitoring moving forward.</w:t>
      </w:r>
    </w:p>
    <w:p w14:paraId="2F47EC96" w14:textId="77777777" w:rsidR="0016701A" w:rsidRPr="00606C54" w:rsidRDefault="0016701A" w:rsidP="0016701A">
      <w:pPr>
        <w:rPr>
          <w:rFonts w:cstheme="minorHAnsi"/>
          <w:bCs/>
          <w:color w:val="000000" w:themeColor="text1"/>
        </w:rPr>
      </w:pPr>
      <w:r w:rsidRPr="00606C54">
        <w:rPr>
          <w:rFonts w:cstheme="minorHAnsi"/>
          <w:bCs/>
          <w:noProof/>
        </w:rPr>
        <mc:AlternateContent>
          <mc:Choice Requires="wps">
            <w:drawing>
              <wp:inline distT="0" distB="0" distL="0" distR="0" wp14:anchorId="0A1DE622" wp14:editId="38124ED0">
                <wp:extent cx="5727700" cy="1790700"/>
                <wp:effectExtent l="0" t="0" r="254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790700"/>
                        </a:xfrm>
                        <a:prstGeom prst="rect">
                          <a:avLst/>
                        </a:prstGeom>
                        <a:solidFill>
                          <a:srgbClr val="FFFFFF"/>
                        </a:solidFill>
                        <a:ln w="9525">
                          <a:solidFill>
                            <a:srgbClr val="000000"/>
                          </a:solidFill>
                          <a:miter lim="800000"/>
                          <a:headEnd/>
                          <a:tailEnd/>
                        </a:ln>
                      </wps:spPr>
                      <wps:txbx>
                        <w:txbxContent>
                          <w:p w14:paraId="514DACBF" w14:textId="77777777" w:rsidR="0016701A" w:rsidRPr="001C0433" w:rsidRDefault="0016701A" w:rsidP="0016701A">
                            <w:pPr>
                              <w:pStyle w:val="Default"/>
                              <w:rPr>
                                <w:rFonts w:asciiTheme="minorHAnsi" w:hAnsiTheme="minorHAnsi" w:cstheme="minorHAnsi"/>
                                <w:b/>
                                <w:bCs/>
                                <w:sz w:val="20"/>
                                <w:szCs w:val="20"/>
                              </w:rPr>
                            </w:pPr>
                            <w:r w:rsidRPr="002C6E9D">
                              <w:rPr>
                                <w:rFonts w:asciiTheme="minorHAnsi" w:hAnsiTheme="minorHAnsi" w:cstheme="minorHAnsi"/>
                                <w:b/>
                                <w:bCs/>
                                <w:sz w:val="20"/>
                                <w:szCs w:val="20"/>
                              </w:rPr>
                              <w:t xml:space="preserve">Recommendation 8: Enhance the critical infrastructure to support implementation and evaluation of food and nutrition-related public health initiatives, including the HSR System, through: regular updates to Dietary Guidelines; regular national health and nutrition surveys; establishment of a comprehensive, </w:t>
                            </w:r>
                            <w:r w:rsidRPr="001C0433">
                              <w:rPr>
                                <w:rFonts w:asciiTheme="minorHAnsi" w:hAnsiTheme="minorHAnsi" w:cstheme="minorHAnsi"/>
                                <w:b/>
                                <w:bCs/>
                                <w:sz w:val="20"/>
                                <w:szCs w:val="20"/>
                              </w:rPr>
                              <w:t xml:space="preserve">dataset of branded food products; and improved monitoring of the System. </w:t>
                            </w:r>
                          </w:p>
                          <w:p w14:paraId="2BE9051D" w14:textId="77777777" w:rsidR="0016701A" w:rsidRPr="001C0433" w:rsidRDefault="0016701A" w:rsidP="0016701A">
                            <w:pPr>
                              <w:pStyle w:val="Default"/>
                              <w:rPr>
                                <w:rFonts w:asciiTheme="minorHAnsi" w:hAnsiTheme="minorHAnsi" w:cstheme="minorHAnsi"/>
                                <w:sz w:val="20"/>
                                <w:szCs w:val="20"/>
                              </w:rPr>
                            </w:pPr>
                          </w:p>
                          <w:p w14:paraId="2575E854" w14:textId="77777777" w:rsidR="0016701A" w:rsidRPr="002C6E9D" w:rsidRDefault="0016701A" w:rsidP="0016701A">
                            <w:pPr>
                              <w:spacing w:before="0"/>
                              <w:rPr>
                                <w:rFonts w:cstheme="minorHAnsi"/>
                                <w:sz w:val="20"/>
                                <w:szCs w:val="20"/>
                              </w:rPr>
                            </w:pPr>
                            <w:r w:rsidRPr="001C0433">
                              <w:rPr>
                                <w:rFonts w:cstheme="minorHAnsi"/>
                                <w:sz w:val="20"/>
                                <w:szCs w:val="20"/>
                              </w:rPr>
                              <w:t>Expansion of FSANZ’s existing data management system to enable the automated</w:t>
                            </w:r>
                            <w:r w:rsidRPr="002C6E9D">
                              <w:rPr>
                                <w:rFonts w:cstheme="minorHAnsi"/>
                                <w:sz w:val="20"/>
                                <w:szCs w:val="20"/>
                              </w:rPr>
                              <w:t xml:space="preserve"> upload, validation and public reporting of branded food data (including the HSR) will: support public and industry confidence in the HSR System; enable automated validation of the HSR displayed on a product; track longitudinal reformulation of products; and support development of food and nutrition policy, surveys and regulation. </w:t>
                            </w:r>
                          </w:p>
                          <w:p w14:paraId="375E9A3C" w14:textId="77777777" w:rsidR="0016701A" w:rsidRDefault="0016701A" w:rsidP="0016701A"/>
                        </w:txbxContent>
                      </wps:txbx>
                      <wps:bodyPr rot="0" vert="horz" wrap="square" lIns="91440" tIns="45720" rIns="91440" bIns="45720" anchor="t" anchorCtr="0">
                        <a:noAutofit/>
                      </wps:bodyPr>
                    </wps:wsp>
                  </a:graphicData>
                </a:graphic>
              </wp:inline>
            </w:drawing>
          </mc:Choice>
          <mc:Fallback>
            <w:pict>
              <v:shape w14:anchorId="0A1DE622" id="Text Box 2" o:spid="_x0000_s1049" type="#_x0000_t202" style="width:451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">
                <v:textbox>
                  <w:txbxContent>
                    <w:p w14:paraId="514DACBF" w14:textId="77777777" w:rsidR="0016701A" w:rsidRPr="001C0433" w:rsidRDefault="0016701A" w:rsidP="0016701A">
                      <w:pPr>
                        <w:pStyle w:val="Default"/>
                        <w:rPr>
                          <w:rFonts w:asciiTheme="minorHAnsi" w:hAnsiTheme="minorHAnsi" w:cstheme="minorHAnsi"/>
                          <w:b/>
                          <w:bCs/>
                          <w:sz w:val="20"/>
                          <w:szCs w:val="20"/>
                        </w:rPr>
                      </w:pPr>
                      <w:r w:rsidRPr="002C6E9D">
                        <w:rPr>
                          <w:rFonts w:asciiTheme="minorHAnsi" w:hAnsiTheme="minorHAnsi" w:cstheme="minorHAnsi"/>
                          <w:b/>
                          <w:bCs/>
                          <w:sz w:val="20"/>
                          <w:szCs w:val="20"/>
                        </w:rPr>
                        <w:t xml:space="preserve">Recommendation 8: Enhance the critical infrastructure to support implementation and evaluation of food and nutrition-related public health initiatives, including the HSR System, through: regular updates to Dietary Guidelines; regular national health and nutrition surveys; establishment of a comprehensive, </w:t>
                      </w:r>
                      <w:r w:rsidRPr="001C0433">
                        <w:rPr>
                          <w:rFonts w:asciiTheme="minorHAnsi" w:hAnsiTheme="minorHAnsi" w:cstheme="minorHAnsi"/>
                          <w:b/>
                          <w:bCs/>
                          <w:sz w:val="20"/>
                          <w:szCs w:val="20"/>
                        </w:rPr>
                        <w:t xml:space="preserve">dataset of branded food products; and improved monitoring of the System. </w:t>
                      </w:r>
                    </w:p>
                    <w:p w14:paraId="2BE9051D" w14:textId="77777777" w:rsidR="0016701A" w:rsidRPr="001C0433" w:rsidRDefault="0016701A" w:rsidP="0016701A">
                      <w:pPr>
                        <w:pStyle w:val="Default"/>
                        <w:rPr>
                          <w:rFonts w:asciiTheme="minorHAnsi" w:hAnsiTheme="minorHAnsi" w:cstheme="minorHAnsi"/>
                          <w:sz w:val="20"/>
                          <w:szCs w:val="20"/>
                        </w:rPr>
                      </w:pPr>
                    </w:p>
                    <w:p w14:paraId="2575E854" w14:textId="77777777" w:rsidR="0016701A" w:rsidRPr="002C6E9D" w:rsidRDefault="0016701A" w:rsidP="0016701A">
                      <w:pPr>
                        <w:spacing w:before="0"/>
                        <w:rPr>
                          <w:rFonts w:cstheme="minorHAnsi"/>
                          <w:sz w:val="20"/>
                          <w:szCs w:val="20"/>
                        </w:rPr>
                      </w:pPr>
                      <w:r w:rsidRPr="001C0433">
                        <w:rPr>
                          <w:rFonts w:cstheme="minorHAnsi"/>
                          <w:sz w:val="20"/>
                          <w:szCs w:val="20"/>
                        </w:rPr>
                        <w:t>Expansion of FSANZ’s existing data management system to enable the automated</w:t>
                      </w:r>
                      <w:r w:rsidRPr="002C6E9D">
                        <w:rPr>
                          <w:rFonts w:cstheme="minorHAnsi"/>
                          <w:sz w:val="20"/>
                          <w:szCs w:val="20"/>
                        </w:rPr>
                        <w:t xml:space="preserve"> upload, </w:t>
                      </w:r>
                      <w:proofErr w:type="gramStart"/>
                      <w:r w:rsidRPr="002C6E9D">
                        <w:rPr>
                          <w:rFonts w:cstheme="minorHAnsi"/>
                          <w:sz w:val="20"/>
                          <w:szCs w:val="20"/>
                        </w:rPr>
                        <w:t>validation</w:t>
                      </w:r>
                      <w:proofErr w:type="gramEnd"/>
                      <w:r w:rsidRPr="002C6E9D">
                        <w:rPr>
                          <w:rFonts w:cstheme="minorHAnsi"/>
                          <w:sz w:val="20"/>
                          <w:szCs w:val="20"/>
                        </w:rPr>
                        <w:t xml:space="preserve"> and public reporting of branded food data (including the HSR) will: support public and industry confidence in the HSR System; enable automated validation of the HSR displayed on a product; track longitudinal reformulation of products; and support development of food and nutrition policy, surveys and regulation. </w:t>
                      </w:r>
                    </w:p>
                    <w:p w14:paraId="375E9A3C" w14:textId="77777777" w:rsidR="0016701A" w:rsidRDefault="0016701A" w:rsidP="0016701A"/>
                  </w:txbxContent>
                </v:textbox>
                <w10:anchorlock/>
              </v:shape>
            </w:pict>
          </mc:Fallback>
        </mc:AlternateContent>
      </w:r>
    </w:p>
    <w:p w14:paraId="754C0F21" w14:textId="77777777" w:rsidR="0016701A" w:rsidRPr="00606C54" w:rsidRDefault="0016701A" w:rsidP="0016701A">
      <w:pPr>
        <w:spacing w:before="240"/>
        <w:rPr>
          <w:rFonts w:cstheme="minorHAnsi"/>
          <w:bCs/>
          <w:color w:val="000000" w:themeColor="text1"/>
        </w:rPr>
      </w:pPr>
      <w:r w:rsidRPr="00606C54">
        <w:rPr>
          <w:rFonts w:cstheme="minorHAnsi"/>
          <w:bCs/>
          <w:color w:val="000000" w:themeColor="text1"/>
        </w:rPr>
        <w:t>Minister’s response to Recommendation 8 was as follows:</w:t>
      </w:r>
    </w:p>
    <w:p w14:paraId="01ED60A0" w14:textId="77777777" w:rsidR="0016701A" w:rsidRPr="00606C54" w:rsidRDefault="0016701A" w:rsidP="0016701A">
      <w:pPr>
        <w:rPr>
          <w:rFonts w:cstheme="minorHAnsi"/>
          <w:b/>
          <w:i/>
          <w:iCs/>
        </w:rPr>
      </w:pPr>
      <w:r w:rsidRPr="00606C54">
        <w:rPr>
          <w:rFonts w:cstheme="minorHAnsi"/>
          <w:bCs/>
          <w:i/>
          <w:iCs/>
          <w:color w:val="000000" w:themeColor="text1"/>
        </w:rPr>
        <w:t>Supports</w:t>
      </w:r>
      <w:r w:rsidRPr="00606C54">
        <w:rPr>
          <w:rFonts w:cstheme="minorHAnsi"/>
          <w:i/>
          <w:iCs/>
          <w:color w:val="000000" w:themeColor="text1"/>
        </w:rPr>
        <w:t xml:space="preserve">, subject to funding. </w:t>
      </w:r>
    </w:p>
    <w:p w14:paraId="0AA08284" w14:textId="77777777" w:rsidR="0016701A" w:rsidRPr="00606C54" w:rsidRDefault="0016701A" w:rsidP="0016701A">
      <w:pPr>
        <w:rPr>
          <w:rFonts w:cstheme="minorHAnsi"/>
          <w:i/>
          <w:iCs/>
        </w:rPr>
      </w:pPr>
      <w:r w:rsidRPr="00606C54">
        <w:rPr>
          <w:rFonts w:cstheme="minorHAnsi"/>
          <w:i/>
          <w:iCs/>
        </w:rPr>
        <w:t xml:space="preserve">Overall the concept of enhancing and expanding existing infrastructure is supported. There are planned activities irrespective of, and separate to, this recommendation. The recommended activities come with several additional logistical considerations, particularly regarding funding. In particular, the costs associated with regular national health and nutrition surveys is known to be high and the financial viability of such a proposal will need to be assessed. Further work and substantial planning will be required to implement many of the initiatives recommended. </w:t>
      </w:r>
    </w:p>
    <w:p w14:paraId="4ABBB1C2" w14:textId="77777777" w:rsidR="0016701A" w:rsidRPr="00606C54" w:rsidRDefault="0016701A" w:rsidP="0016701A">
      <w:pPr>
        <w:spacing w:after="240"/>
        <w:rPr>
          <w:rFonts w:cstheme="minorHAnsi"/>
          <w:i/>
          <w:iCs/>
        </w:rPr>
      </w:pPr>
      <w:r w:rsidRPr="00606C54">
        <w:rPr>
          <w:rFonts w:cstheme="minorHAnsi"/>
          <w:i/>
          <w:iCs/>
        </w:rPr>
        <w:t>Pleasingly, FSANZ has already commenced scoping work on options for a comprehensive branded food database – which will enable better monitoring of the food supply.</w:t>
      </w:r>
      <w:r w:rsidRPr="00606C54">
        <w:rPr>
          <w:rFonts w:cstheme="minorHAnsi"/>
          <w:i/>
          <w:iCs/>
          <w:sz w:val="20"/>
          <w:szCs w:val="20"/>
        </w:rPr>
        <w:t xml:space="preserve"> </w:t>
      </w:r>
      <w:r w:rsidRPr="00606C54">
        <w:rPr>
          <w:rFonts w:cstheme="minorHAnsi"/>
          <w:i/>
          <w:iCs/>
        </w:rPr>
        <w:lastRenderedPageBreak/>
        <w:t>Identification of a preferred option will include consideration of future financial obligations required to appropriately develop and maintain the database.</w:t>
      </w:r>
    </w:p>
    <w:p w14:paraId="1D9F4BF7" w14:textId="77777777" w:rsidR="0016701A" w:rsidRPr="00606C54" w:rsidRDefault="0016701A" w:rsidP="0016701A">
      <w:pPr>
        <w:rPr>
          <w:rFonts w:cstheme="minorHAnsi"/>
        </w:rPr>
      </w:pPr>
      <w:r w:rsidRPr="00606C54">
        <w:rPr>
          <w:rFonts w:cstheme="minorHAnsi"/>
          <w:bCs/>
          <w:noProof/>
        </w:rPr>
        <mc:AlternateContent>
          <mc:Choice Requires="wps">
            <w:drawing>
              <wp:inline distT="0" distB="0" distL="0" distR="0" wp14:anchorId="31665EB3" wp14:editId="3F4BCA66">
                <wp:extent cx="5727700" cy="2295525"/>
                <wp:effectExtent l="0" t="0" r="25400"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295525"/>
                        </a:xfrm>
                        <a:prstGeom prst="rect">
                          <a:avLst/>
                        </a:prstGeom>
                        <a:solidFill>
                          <a:srgbClr val="FFFFFF"/>
                        </a:solidFill>
                        <a:ln w="9525">
                          <a:solidFill>
                            <a:srgbClr val="000000"/>
                          </a:solidFill>
                          <a:miter lim="800000"/>
                          <a:headEnd/>
                          <a:tailEnd/>
                        </a:ln>
                      </wps:spPr>
                      <wps:txbx>
                        <w:txbxContent>
                          <w:p w14:paraId="434FC0B8" w14:textId="77777777" w:rsidR="0016701A" w:rsidRPr="005D4431" w:rsidRDefault="0016701A" w:rsidP="0016701A">
                            <w:pPr>
                              <w:pStyle w:val="Default"/>
                              <w:rPr>
                                <w:rFonts w:asciiTheme="minorHAnsi" w:hAnsiTheme="minorHAnsi" w:cstheme="minorHAnsi"/>
                                <w:sz w:val="20"/>
                                <w:szCs w:val="20"/>
                              </w:rPr>
                            </w:pPr>
                            <w:r w:rsidRPr="005D4431">
                              <w:rPr>
                                <w:rFonts w:asciiTheme="minorHAnsi" w:hAnsiTheme="minorHAnsi" w:cstheme="minorHAnsi"/>
                                <w:b/>
                                <w:bCs/>
                                <w:sz w:val="20"/>
                                <w:szCs w:val="20"/>
                              </w:rPr>
                              <w:t xml:space="preserve">Recommendation 9: The HSR System remain voluntary but with clear uptake targets set and all stakeholders working together to drive uptake. If the HSR System continues to perform well but the HSR is not displayed on 70% of target products within five years of a government decision on these recommendations, the HSR System should be mandated. </w:t>
                            </w:r>
                          </w:p>
                          <w:p w14:paraId="65A13346" w14:textId="77777777" w:rsidR="0016701A" w:rsidRPr="005D4431" w:rsidRDefault="0016701A" w:rsidP="0016701A">
                            <w:pPr>
                              <w:pStyle w:val="Default"/>
                              <w:rPr>
                                <w:rFonts w:asciiTheme="minorHAnsi" w:hAnsiTheme="minorHAnsi" w:cstheme="minorHAnsi"/>
                                <w:b/>
                                <w:bCs/>
                                <w:sz w:val="20"/>
                                <w:szCs w:val="20"/>
                              </w:rPr>
                            </w:pPr>
                          </w:p>
                          <w:p w14:paraId="7438FBDD" w14:textId="77777777" w:rsidR="0016701A" w:rsidRPr="005D4431" w:rsidRDefault="0016701A" w:rsidP="0016701A">
                            <w:pPr>
                              <w:autoSpaceDE w:val="0"/>
                              <w:autoSpaceDN w:val="0"/>
                              <w:adjustRightInd w:val="0"/>
                              <w:spacing w:before="0"/>
                              <w:rPr>
                                <w:rFonts w:cstheme="minorHAnsi"/>
                                <w:color w:val="000000"/>
                                <w:sz w:val="20"/>
                                <w:szCs w:val="20"/>
                              </w:rPr>
                            </w:pPr>
                            <w:r w:rsidRPr="005D4431">
                              <w:rPr>
                                <w:rFonts w:cstheme="minorHAnsi"/>
                                <w:color w:val="000000"/>
                                <w:sz w:val="20"/>
                                <w:szCs w:val="20"/>
                              </w:rPr>
                              <w:t xml:space="preserve">Consistent and widespread adoption of the HSR is required for the System to have a significant public health impact. The Review closely considered whether improved uptake should be achieved through mandating the System. On balance, the Review considers that attention should first be focused on improving the System, setting clear uptake targets and continuing to incentivise uptake. </w:t>
                            </w:r>
                          </w:p>
                          <w:p w14:paraId="49233BA8" w14:textId="77777777" w:rsidR="0016701A" w:rsidRPr="005D4431" w:rsidRDefault="0016701A" w:rsidP="0016701A">
                            <w:pPr>
                              <w:pStyle w:val="Default"/>
                              <w:rPr>
                                <w:rFonts w:asciiTheme="minorHAnsi" w:hAnsiTheme="minorHAnsi" w:cstheme="minorHAnsi"/>
                                <w:sz w:val="20"/>
                                <w:szCs w:val="20"/>
                              </w:rPr>
                            </w:pPr>
                            <w:r w:rsidRPr="005D4431">
                              <w:rPr>
                                <w:rFonts w:asciiTheme="minorHAnsi" w:hAnsiTheme="minorHAnsi" w:cstheme="minorHAnsi"/>
                                <w:i/>
                                <w:iCs/>
                                <w:sz w:val="20"/>
                                <w:szCs w:val="20"/>
                              </w:rPr>
                              <w:t xml:space="preserve">This approach continues to build on the significant investment and goodwill of industry and others; is consistent with the principles of best practice regulation; and reflects international experience (where the majority of interpretive front-of-pack labelling schemes have been implemented on a voluntary basis). </w:t>
                            </w:r>
                          </w:p>
                        </w:txbxContent>
                      </wps:txbx>
                      <wps:bodyPr rot="0" vert="horz" wrap="square" lIns="91440" tIns="45720" rIns="91440" bIns="45720" anchor="t" anchorCtr="0">
                        <a:noAutofit/>
                      </wps:bodyPr>
                    </wps:wsp>
                  </a:graphicData>
                </a:graphic>
              </wp:inline>
            </w:drawing>
          </mc:Choice>
          <mc:Fallback>
            <w:pict>
              <v:shape w14:anchorId="31665EB3" id="_x0000_s1050" type="#_x0000_t202" style="width:451pt;height:1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">
                <v:textbox>
                  <w:txbxContent>
                    <w:p w14:paraId="434FC0B8" w14:textId="77777777" w:rsidR="0016701A" w:rsidRPr="005D4431" w:rsidRDefault="0016701A" w:rsidP="0016701A">
                      <w:pPr>
                        <w:pStyle w:val="Default"/>
                        <w:rPr>
                          <w:rFonts w:asciiTheme="minorHAnsi" w:hAnsiTheme="minorHAnsi" w:cstheme="minorHAnsi"/>
                          <w:sz w:val="20"/>
                          <w:szCs w:val="20"/>
                        </w:rPr>
                      </w:pPr>
                      <w:r w:rsidRPr="005D4431">
                        <w:rPr>
                          <w:rFonts w:asciiTheme="minorHAnsi" w:hAnsiTheme="minorHAnsi" w:cstheme="minorHAnsi"/>
                          <w:b/>
                          <w:bCs/>
                          <w:sz w:val="20"/>
                          <w:szCs w:val="20"/>
                        </w:rPr>
                        <w:t xml:space="preserve">Recommendation 9: The HSR System remain voluntary but with clear uptake targets set and all stakeholders working together to drive uptake. If the HSR System continues to perform well but the HSR is not displayed on 70% of target products within five years of a government decision on these recommendations, the HSR System should be mandated. </w:t>
                      </w:r>
                    </w:p>
                    <w:p w14:paraId="65A13346" w14:textId="77777777" w:rsidR="0016701A" w:rsidRPr="005D4431" w:rsidRDefault="0016701A" w:rsidP="0016701A">
                      <w:pPr>
                        <w:pStyle w:val="Default"/>
                        <w:rPr>
                          <w:rFonts w:asciiTheme="minorHAnsi" w:hAnsiTheme="minorHAnsi" w:cstheme="minorHAnsi"/>
                          <w:b/>
                          <w:bCs/>
                          <w:sz w:val="20"/>
                          <w:szCs w:val="20"/>
                        </w:rPr>
                      </w:pPr>
                    </w:p>
                    <w:p w14:paraId="7438FBDD" w14:textId="77777777" w:rsidR="0016701A" w:rsidRPr="005D4431" w:rsidRDefault="0016701A" w:rsidP="0016701A">
                      <w:pPr>
                        <w:autoSpaceDE w:val="0"/>
                        <w:autoSpaceDN w:val="0"/>
                        <w:adjustRightInd w:val="0"/>
                        <w:spacing w:before="0"/>
                        <w:rPr>
                          <w:rFonts w:cstheme="minorHAnsi"/>
                          <w:color w:val="000000"/>
                          <w:sz w:val="20"/>
                          <w:szCs w:val="20"/>
                        </w:rPr>
                      </w:pPr>
                      <w:r w:rsidRPr="005D4431">
                        <w:rPr>
                          <w:rFonts w:cstheme="minorHAnsi"/>
                          <w:color w:val="000000"/>
                          <w:sz w:val="20"/>
                          <w:szCs w:val="20"/>
                        </w:rPr>
                        <w:t xml:space="preserve">Consistent and widespread adoption of the HSR is required for the System to have a significant public health impact. The Review closely considered whether improved uptake should be achieved through mandating the System. On balance, the Review considers that attention should first be focused on improving the System, setting clear uptake </w:t>
                      </w:r>
                      <w:proofErr w:type="gramStart"/>
                      <w:r w:rsidRPr="005D4431">
                        <w:rPr>
                          <w:rFonts w:cstheme="minorHAnsi"/>
                          <w:color w:val="000000"/>
                          <w:sz w:val="20"/>
                          <w:szCs w:val="20"/>
                        </w:rPr>
                        <w:t>targets</w:t>
                      </w:r>
                      <w:proofErr w:type="gramEnd"/>
                      <w:r w:rsidRPr="005D4431">
                        <w:rPr>
                          <w:rFonts w:cstheme="minorHAnsi"/>
                          <w:color w:val="000000"/>
                          <w:sz w:val="20"/>
                          <w:szCs w:val="20"/>
                        </w:rPr>
                        <w:t xml:space="preserve"> and continuing to incentivise uptake. </w:t>
                      </w:r>
                    </w:p>
                    <w:p w14:paraId="49233BA8" w14:textId="77777777" w:rsidR="0016701A" w:rsidRPr="005D4431" w:rsidRDefault="0016701A" w:rsidP="0016701A">
                      <w:pPr>
                        <w:pStyle w:val="Default"/>
                        <w:rPr>
                          <w:rFonts w:asciiTheme="minorHAnsi" w:hAnsiTheme="minorHAnsi" w:cstheme="minorHAnsi"/>
                          <w:sz w:val="20"/>
                          <w:szCs w:val="20"/>
                        </w:rPr>
                      </w:pPr>
                      <w:r w:rsidRPr="005D4431">
                        <w:rPr>
                          <w:rFonts w:asciiTheme="minorHAnsi" w:hAnsiTheme="minorHAnsi" w:cstheme="minorHAnsi"/>
                          <w:i/>
                          <w:iCs/>
                          <w:sz w:val="20"/>
                          <w:szCs w:val="20"/>
                        </w:rPr>
                        <w:t xml:space="preserve">This approach continues to build on the significant investment and goodwill of industry and others; is consistent with the principles of best practice regulation; and reflects international experience (where </w:t>
                      </w:r>
                      <w:proofErr w:type="gramStart"/>
                      <w:r w:rsidRPr="005D4431">
                        <w:rPr>
                          <w:rFonts w:asciiTheme="minorHAnsi" w:hAnsiTheme="minorHAnsi" w:cstheme="minorHAnsi"/>
                          <w:i/>
                          <w:iCs/>
                          <w:sz w:val="20"/>
                          <w:szCs w:val="20"/>
                        </w:rPr>
                        <w:t>the majority of</w:t>
                      </w:r>
                      <w:proofErr w:type="gramEnd"/>
                      <w:r w:rsidRPr="005D4431">
                        <w:rPr>
                          <w:rFonts w:asciiTheme="minorHAnsi" w:hAnsiTheme="minorHAnsi" w:cstheme="minorHAnsi"/>
                          <w:i/>
                          <w:iCs/>
                          <w:sz w:val="20"/>
                          <w:szCs w:val="20"/>
                        </w:rPr>
                        <w:t xml:space="preserve"> interpretive front-of-pack labelling schemes have been implemented on a voluntary basis). </w:t>
                      </w:r>
                    </w:p>
                  </w:txbxContent>
                </v:textbox>
                <w10:anchorlock/>
              </v:shape>
            </w:pict>
          </mc:Fallback>
        </mc:AlternateContent>
      </w:r>
    </w:p>
    <w:p w14:paraId="03320DE3" w14:textId="77777777" w:rsidR="0016701A" w:rsidRPr="00606C54" w:rsidRDefault="0016701A" w:rsidP="0016701A">
      <w:pPr>
        <w:spacing w:before="240"/>
        <w:rPr>
          <w:rFonts w:cstheme="minorHAnsi"/>
        </w:rPr>
      </w:pPr>
      <w:r w:rsidRPr="00606C54">
        <w:rPr>
          <w:rFonts w:cstheme="minorHAnsi"/>
        </w:rPr>
        <w:t>Minister’s response to Recommendation 9 was as follows:</w:t>
      </w:r>
    </w:p>
    <w:p w14:paraId="324B780F" w14:textId="77777777" w:rsidR="0016701A" w:rsidRPr="00606C54" w:rsidRDefault="0016701A" w:rsidP="0016701A">
      <w:pPr>
        <w:rPr>
          <w:rFonts w:cstheme="minorHAnsi"/>
          <w:i/>
          <w:iCs/>
        </w:rPr>
      </w:pPr>
      <w:r w:rsidRPr="00606C54">
        <w:rPr>
          <w:rFonts w:cstheme="minorHAnsi"/>
          <w:i/>
          <w:iCs/>
        </w:rPr>
        <w:t>Supports in principle, subject to agreeing interim and final target metrics and discussions with the Office of Best Practice Regulation.</w:t>
      </w:r>
    </w:p>
    <w:p w14:paraId="1449B2F1" w14:textId="77777777" w:rsidR="0016701A" w:rsidRPr="00606C54" w:rsidRDefault="0016701A" w:rsidP="0016701A">
      <w:pPr>
        <w:rPr>
          <w:rFonts w:cstheme="minorHAnsi"/>
          <w:i/>
          <w:iCs/>
        </w:rPr>
      </w:pPr>
      <w:r w:rsidRPr="00606C54">
        <w:rPr>
          <w:i/>
          <w:iCs/>
        </w:rPr>
        <w:t xml:space="preserve">The Forum is aware that the voluntary basis on which the HSR system currently operates has been a point of contention for many stakeholders since its inception. The resulting inconsistent uptake on products negatively affects consumer trust in the HSR system, as well as reducing the actual effectiveness of the HSR system by allowing fewer opportunities for meaningful comparison. A commitment to high interim and final uptake targets with the potential of mandating should those targets not be met demonstrates a commitment to improved public health nutrition outcomes. It would also render the HSR system more useful for consumers if it were applied to a greater number of products. The Forum notes the original intention that the HSR system be applied to processed and packaged foods, and not to single ingredient foods and unpackaged, minimally processed fruits and vegetables. Taking this rationale into account, the Forum requests that FRSC consider the target metrics to be used to measure successful uptake. The details of the agreed metrics and implementation timeframes will be included in an implementation plan to be developed following release of this </w:t>
      </w:r>
      <w:proofErr w:type="gramStart"/>
      <w:r w:rsidRPr="00606C54">
        <w:rPr>
          <w:i/>
          <w:iCs/>
        </w:rPr>
        <w:t>response, and</w:t>
      </w:r>
      <w:proofErr w:type="gramEnd"/>
      <w:r w:rsidRPr="00606C54">
        <w:rPr>
          <w:i/>
          <w:iCs/>
        </w:rPr>
        <w:t xml:space="preserve"> considered at the first Forum meeting of 2020. In addition to the metrics and timeframes, the implementation plan will also detail a process that further explores the implication of a voluntary versus mandatory approach.</w:t>
      </w:r>
    </w:p>
    <w:p w14:paraId="6A6289B6" w14:textId="77777777" w:rsidR="0016701A" w:rsidRPr="00606C54" w:rsidRDefault="0016701A" w:rsidP="0016701A">
      <w:pPr>
        <w:rPr>
          <w:rFonts w:cstheme="minorHAnsi"/>
        </w:rPr>
      </w:pPr>
      <w:r w:rsidRPr="00606C54">
        <w:rPr>
          <w:rFonts w:cstheme="minorHAnsi"/>
        </w:rPr>
        <w:t>Following further committee consideration of Minister’s response, the HSR System is to remain voluntary for the time being, but clear uptake targets have been set for a percentage of intended products (that is, products that are both eligible to and are intended to have the HSR system applied), with a view to mandating should they not be met by their set date. These are:</w:t>
      </w:r>
    </w:p>
    <w:p w14:paraId="6149F3DD" w14:textId="77777777" w:rsidR="0016701A" w:rsidRPr="00606C54" w:rsidRDefault="0016701A" w:rsidP="0016701A">
      <w:pPr>
        <w:rPr>
          <w:rFonts w:cstheme="minorHAnsi"/>
        </w:rPr>
      </w:pPr>
      <w:r w:rsidRPr="00606C54">
        <w:rPr>
          <w:rFonts w:cstheme="minorHAnsi"/>
        </w:rPr>
        <w:t>50% of intended products to have applied the system by 14 November 2023,</w:t>
      </w:r>
    </w:p>
    <w:p w14:paraId="6D1D62F0" w14:textId="77777777" w:rsidR="0016701A" w:rsidRPr="00606C54" w:rsidRDefault="0016701A" w:rsidP="0016701A">
      <w:pPr>
        <w:rPr>
          <w:rFonts w:cstheme="minorHAnsi"/>
        </w:rPr>
      </w:pPr>
      <w:r w:rsidRPr="00606C54">
        <w:rPr>
          <w:rFonts w:cstheme="minorHAnsi"/>
        </w:rPr>
        <w:t>60% of intended products to have applied the system by 14 November 2024, and</w:t>
      </w:r>
    </w:p>
    <w:p w14:paraId="1B69827B" w14:textId="77777777" w:rsidR="0016701A" w:rsidRPr="00606C54" w:rsidRDefault="0016701A" w:rsidP="0016701A">
      <w:pPr>
        <w:rPr>
          <w:rFonts w:cstheme="minorHAnsi"/>
        </w:rPr>
      </w:pPr>
      <w:r w:rsidRPr="00606C54">
        <w:rPr>
          <w:rFonts w:cstheme="minorHAnsi"/>
        </w:rPr>
        <w:t xml:space="preserve">70% of intended products to have applied the system by 14 November 2025.  </w:t>
      </w:r>
    </w:p>
    <w:p w14:paraId="39BF74BD" w14:textId="77777777" w:rsidR="0016701A" w:rsidRPr="00606C54" w:rsidRDefault="0016701A" w:rsidP="0016701A">
      <w:pPr>
        <w:rPr>
          <w:rFonts w:cstheme="minorHAnsi"/>
        </w:rPr>
      </w:pPr>
      <w:r w:rsidRPr="00606C54">
        <w:rPr>
          <w:rFonts w:cstheme="minorHAnsi"/>
        </w:rPr>
        <w:t xml:space="preserve">Details on which products are eligible and intended to apply the HSR are in the </w:t>
      </w:r>
      <w:r>
        <w:rPr>
          <w:rFonts w:cstheme="minorHAnsi"/>
        </w:rPr>
        <w:t>HSR</w:t>
      </w:r>
      <w:r w:rsidRPr="00606C54">
        <w:rPr>
          <w:rFonts w:cstheme="minorHAnsi"/>
        </w:rPr>
        <w:t xml:space="preserve"> system Calculator and Style Guide</w:t>
      </w:r>
      <w:r>
        <w:rPr>
          <w:rFonts w:cstheme="minorHAnsi"/>
        </w:rPr>
        <w:t>.</w:t>
      </w:r>
    </w:p>
    <w:p w14:paraId="00EE3827" w14:textId="77777777" w:rsidR="0016701A" w:rsidRPr="00606C54" w:rsidRDefault="0016701A" w:rsidP="0016701A">
      <w:pPr>
        <w:pStyle w:val="Heading3"/>
        <w:numPr>
          <w:ilvl w:val="0"/>
          <w:numId w:val="0"/>
        </w:numPr>
        <w:ind w:hanging="11"/>
        <w:rPr>
          <w:b/>
          <w:bCs w:val="0"/>
        </w:rPr>
      </w:pPr>
      <w:bookmarkStart w:id="34" w:name="_Toc127262836"/>
      <w:bookmarkStart w:id="35" w:name="_Toc127262962"/>
      <w:r w:rsidRPr="00606C54">
        <w:rPr>
          <w:b/>
          <w:bCs w:val="0"/>
        </w:rPr>
        <w:lastRenderedPageBreak/>
        <w:t>Changes to the way HSR system is implemented resulting from the Review that are</w:t>
      </w:r>
      <w:r>
        <w:rPr>
          <w:b/>
          <w:bCs w:val="0"/>
        </w:rPr>
        <w:t xml:space="preserve"> </w:t>
      </w:r>
      <w:r w:rsidRPr="00606C54">
        <w:rPr>
          <w:b/>
          <w:bCs w:val="0"/>
        </w:rPr>
        <w:t>relevant to future monitoring:</w:t>
      </w:r>
      <w:bookmarkEnd w:id="34"/>
      <w:bookmarkEnd w:id="35"/>
    </w:p>
    <w:p w14:paraId="4DECDA34" w14:textId="77777777" w:rsidR="0016701A" w:rsidRPr="00606C54" w:rsidRDefault="0016701A" w:rsidP="0016701A">
      <w:pPr>
        <w:pStyle w:val="Default"/>
        <w:numPr>
          <w:ilvl w:val="0"/>
          <w:numId w:val="6"/>
        </w:numPr>
        <w:spacing w:after="120"/>
        <w:ind w:left="360"/>
        <w:rPr>
          <w:rFonts w:asciiTheme="minorHAnsi" w:hAnsiTheme="minorHAnsi" w:cstheme="minorHAnsi"/>
          <w:sz w:val="22"/>
          <w:szCs w:val="22"/>
        </w:rPr>
      </w:pPr>
      <w:r w:rsidRPr="00606C54">
        <w:rPr>
          <w:rFonts w:asciiTheme="minorHAnsi" w:hAnsiTheme="minorHAnsi" w:cstheme="minorHAnsi"/>
          <w:sz w:val="22"/>
          <w:szCs w:val="22"/>
        </w:rPr>
        <w:t xml:space="preserve">HSR graphic Option 5, the energy icon only, has been removed from the HSR </w:t>
      </w:r>
      <w:r>
        <w:rPr>
          <w:rFonts w:asciiTheme="minorHAnsi" w:hAnsiTheme="minorHAnsi" w:cstheme="minorHAnsi"/>
          <w:sz w:val="22"/>
          <w:szCs w:val="22"/>
        </w:rPr>
        <w:t>s</w:t>
      </w:r>
      <w:r w:rsidRPr="00606C54">
        <w:rPr>
          <w:rFonts w:asciiTheme="minorHAnsi" w:hAnsiTheme="minorHAnsi" w:cstheme="minorHAnsi"/>
          <w:sz w:val="22"/>
          <w:szCs w:val="22"/>
        </w:rPr>
        <w:t xml:space="preserve">ystem as a display option. </w:t>
      </w:r>
    </w:p>
    <w:p w14:paraId="127BD2EA" w14:textId="77777777" w:rsidR="0016701A" w:rsidRPr="00606C54" w:rsidRDefault="0016701A" w:rsidP="0016701A">
      <w:pPr>
        <w:pStyle w:val="Default"/>
        <w:numPr>
          <w:ilvl w:val="0"/>
          <w:numId w:val="6"/>
        </w:numPr>
        <w:spacing w:after="120"/>
        <w:ind w:left="360"/>
        <w:rPr>
          <w:rFonts w:asciiTheme="minorHAnsi" w:hAnsiTheme="minorHAnsi" w:cstheme="minorHAnsi"/>
          <w:sz w:val="22"/>
          <w:szCs w:val="22"/>
        </w:rPr>
      </w:pPr>
      <w:r w:rsidRPr="00606C54">
        <w:rPr>
          <w:rFonts w:asciiTheme="minorHAnsi" w:hAnsiTheme="minorHAnsi" w:cstheme="minorHAnsi"/>
          <w:sz w:val="22"/>
          <w:szCs w:val="22"/>
        </w:rPr>
        <w:t>A package of changes has been made to the way the HSR is calculated for foods, including stronger penalties for sugars and sodium, rescaled dairy categories to allow a greater spread of ratings, an automatic 5 star rating to fresh and minimally processed fruit and vegetable products, and changes made to the way the HSR is calculated for non-dairy beverages to better discern water (and drinks similar in nutritional profile) from high energy drinks.</w:t>
      </w:r>
    </w:p>
    <w:p w14:paraId="335707AB" w14:textId="77777777" w:rsidR="0016701A" w:rsidRPr="00606C54" w:rsidRDefault="0016701A" w:rsidP="0016701A">
      <w:pPr>
        <w:pStyle w:val="Default"/>
        <w:numPr>
          <w:ilvl w:val="1"/>
          <w:numId w:val="6"/>
        </w:numPr>
        <w:spacing w:after="120"/>
        <w:ind w:left="993"/>
        <w:rPr>
          <w:rFonts w:asciiTheme="minorHAnsi" w:hAnsiTheme="minorHAnsi" w:cstheme="minorHAnsi"/>
          <w:sz w:val="22"/>
          <w:szCs w:val="22"/>
        </w:rPr>
      </w:pPr>
      <w:r>
        <w:rPr>
          <w:rFonts w:asciiTheme="minorHAnsi" w:hAnsiTheme="minorHAnsi" w:cstheme="minorHAnsi"/>
          <w:sz w:val="22"/>
          <w:szCs w:val="22"/>
        </w:rPr>
        <w:t>Note: F</w:t>
      </w:r>
      <w:r w:rsidRPr="00606C54">
        <w:rPr>
          <w:rFonts w:asciiTheme="minorHAnsi" w:hAnsiTheme="minorHAnsi" w:cstheme="minorHAnsi"/>
          <w:sz w:val="22"/>
          <w:szCs w:val="22"/>
        </w:rPr>
        <w:t xml:space="preserve">ood Ministers suggested that it would </w:t>
      </w:r>
      <w:r w:rsidRPr="00606C54">
        <w:rPr>
          <w:rFonts w:asciiTheme="minorHAnsi" w:hAnsiTheme="minorHAnsi" w:cstheme="minorHAnsi"/>
          <w:sz w:val="22"/>
          <w:szCs w:val="22"/>
          <w:u w:val="single"/>
        </w:rPr>
        <w:t>not</w:t>
      </w:r>
      <w:r w:rsidRPr="00606C54">
        <w:rPr>
          <w:rFonts w:asciiTheme="minorHAnsi" w:hAnsiTheme="minorHAnsi" w:cstheme="minorHAnsi"/>
          <w:sz w:val="22"/>
          <w:szCs w:val="22"/>
        </w:rPr>
        <w:t xml:space="preserve"> be appropriate to include the application of the HSR system to unpackaged and minimally processed fruit and vegetables in uptake numbers.</w:t>
      </w:r>
    </w:p>
    <w:p w14:paraId="2CCDE87D" w14:textId="77777777" w:rsidR="0016701A" w:rsidRPr="007A3136" w:rsidRDefault="0016701A" w:rsidP="0016701A">
      <w:pPr>
        <w:pStyle w:val="Default"/>
        <w:rPr>
          <w:rFonts w:asciiTheme="minorHAnsi" w:hAnsiTheme="minorHAnsi" w:cstheme="minorHAnsi"/>
          <w:color w:val="auto"/>
          <w:sz w:val="22"/>
          <w:szCs w:val="22"/>
        </w:rPr>
      </w:pPr>
      <w:r w:rsidRPr="00606C54">
        <w:rPr>
          <w:rFonts w:asciiTheme="minorHAnsi" w:hAnsiTheme="minorHAnsi" w:cstheme="minorHAnsi"/>
          <w:sz w:val="22"/>
          <w:szCs w:val="22"/>
        </w:rPr>
        <w:t xml:space="preserve">Full details on the Review recommendations, Ministers response to the recommendations, and </w:t>
      </w:r>
      <w:r w:rsidRPr="007A3136">
        <w:rPr>
          <w:rFonts w:asciiTheme="minorHAnsi" w:hAnsiTheme="minorHAnsi" w:cstheme="minorHAnsi"/>
          <w:color w:val="auto"/>
          <w:sz w:val="22"/>
          <w:szCs w:val="22"/>
        </w:rPr>
        <w:t xml:space="preserve">the changes resulting from the Review, can be found at the following web page: </w:t>
      </w:r>
    </w:p>
    <w:p w14:paraId="725CD42E" w14:textId="77777777" w:rsidR="0016701A" w:rsidRPr="007A3136" w:rsidRDefault="00000000" w:rsidP="0016701A">
      <w:pPr>
        <w:spacing w:before="0"/>
        <w:rPr>
          <w:rFonts w:cstheme="minorHAnsi"/>
        </w:rPr>
      </w:pPr>
      <w:hyperlink r:id="rId17" w:history="1">
        <w:r w:rsidR="0016701A" w:rsidRPr="007A3136">
          <w:rPr>
            <w:rStyle w:val="Hyperlink"/>
            <w:rFonts w:cstheme="minorHAnsi"/>
            <w:color w:val="auto"/>
          </w:rPr>
          <w:t>http://healthstarrating.gov.au/internet/healthstarrating/publishing.nsf/Content/formal-review-of-the-system-after-five-years</w:t>
        </w:r>
      </w:hyperlink>
      <w:r w:rsidR="0016701A">
        <w:rPr>
          <w:rFonts w:cstheme="minorHAnsi"/>
        </w:rPr>
        <w:t>.</w:t>
      </w:r>
    </w:p>
    <w:p w14:paraId="6E44E191" w14:textId="77777777" w:rsidR="0016701A" w:rsidRPr="00606C54" w:rsidRDefault="0016701A" w:rsidP="0016701A">
      <w:pPr>
        <w:pStyle w:val="Heading2"/>
        <w:numPr>
          <w:ilvl w:val="0"/>
          <w:numId w:val="0"/>
        </w:numPr>
        <w:ind w:left="576" w:hanging="576"/>
      </w:pPr>
      <w:bookmarkStart w:id="36" w:name="_Toc127262837"/>
      <w:bookmarkStart w:id="37" w:name="_Toc127262963"/>
      <w:r w:rsidRPr="00606C54">
        <w:rPr>
          <w:rFonts w:cstheme="minorHAnsi"/>
        </w:rPr>
        <w:t>F</w:t>
      </w:r>
      <w:r w:rsidRPr="00606C54">
        <w:t>unding and governance</w:t>
      </w:r>
      <w:bookmarkEnd w:id="36"/>
      <w:bookmarkEnd w:id="37"/>
      <w:r w:rsidRPr="00606C54">
        <w:t xml:space="preserve"> </w:t>
      </w:r>
    </w:p>
    <w:p w14:paraId="638E776D" w14:textId="77777777" w:rsidR="0016701A" w:rsidRPr="00606C54" w:rsidRDefault="0016701A" w:rsidP="0016701A">
      <w:pPr>
        <w:pStyle w:val="Heading3"/>
        <w:numPr>
          <w:ilvl w:val="0"/>
          <w:numId w:val="0"/>
        </w:numPr>
        <w:ind w:left="720" w:hanging="720"/>
        <w:rPr>
          <w:b/>
          <w:bCs w:val="0"/>
        </w:rPr>
      </w:pPr>
      <w:bookmarkStart w:id="38" w:name="_Toc127262838"/>
      <w:bookmarkStart w:id="39" w:name="_Toc127262964"/>
      <w:r w:rsidRPr="00606C54">
        <w:rPr>
          <w:b/>
          <w:bCs w:val="0"/>
        </w:rPr>
        <w:t>Funding</w:t>
      </w:r>
      <w:bookmarkEnd w:id="38"/>
      <w:bookmarkEnd w:id="39"/>
    </w:p>
    <w:p w14:paraId="6B888542" w14:textId="2B8D3956" w:rsidR="0016701A" w:rsidRPr="00606C54" w:rsidRDefault="0016701A" w:rsidP="0016701A">
      <w:r w:rsidRPr="00606C54">
        <w:t xml:space="preserve">To date, the HSR system has been jointly funded by the Australian Government, state and territory governments and the New Zealand Government, as per the </w:t>
      </w:r>
      <w:r w:rsidR="00B83FE4">
        <w:t xml:space="preserve">previous </w:t>
      </w:r>
      <w:r w:rsidRPr="00606C54">
        <w:t>Australian Health Ministers’ Advisory Committee (AHMAC) cost share formula. The New Zealand Government has contributed for base funding only, on the basis that New Zealand consumer education and monitoring activities are undertaken separately.</w:t>
      </w:r>
    </w:p>
    <w:p w14:paraId="4A8CE3AB" w14:textId="77777777" w:rsidR="0016701A" w:rsidRPr="00606C54" w:rsidRDefault="0016701A" w:rsidP="0016701A">
      <w:pPr>
        <w:pStyle w:val="Heading3"/>
        <w:numPr>
          <w:ilvl w:val="0"/>
          <w:numId w:val="0"/>
        </w:numPr>
        <w:ind w:left="720" w:hanging="720"/>
        <w:rPr>
          <w:b/>
          <w:bCs w:val="0"/>
        </w:rPr>
      </w:pPr>
      <w:bookmarkStart w:id="40" w:name="_Toc127262839"/>
      <w:bookmarkStart w:id="41" w:name="_Toc127262965"/>
      <w:r w:rsidRPr="00606C54">
        <w:rPr>
          <w:b/>
          <w:bCs w:val="0"/>
        </w:rPr>
        <w:t>Monitoring governance</w:t>
      </w:r>
      <w:bookmarkEnd w:id="40"/>
      <w:bookmarkEnd w:id="41"/>
      <w:r w:rsidRPr="00606C54">
        <w:rPr>
          <w:b/>
          <w:bCs w:val="0"/>
        </w:rPr>
        <w:t xml:space="preserve"> </w:t>
      </w:r>
    </w:p>
    <w:p w14:paraId="1A06F875" w14:textId="0C650817" w:rsidR="0016701A" w:rsidRPr="00606C54" w:rsidRDefault="0016701A" w:rsidP="0016701A">
      <w:pPr>
        <w:spacing w:before="0"/>
      </w:pPr>
      <w:r w:rsidRPr="00606C54">
        <w:t>Until the Review, monitoring was the remit of the HS</w:t>
      </w:r>
      <w:r>
        <w:t>RAC</w:t>
      </w:r>
      <w:r w:rsidRPr="00606C54">
        <w:t>. As a result of the Review’s recommendation to “improve monitoring, enabling the</w:t>
      </w:r>
      <w:r>
        <w:t xml:space="preserve"> s</w:t>
      </w:r>
      <w:r w:rsidRPr="00606C54">
        <w:t>ystem to be more responsive</w:t>
      </w:r>
      <w:r w:rsidR="00130A51">
        <w:t>”</w:t>
      </w:r>
      <w:r w:rsidRPr="00606C54">
        <w:t>, monitoring is now overseen by the FRSC, and this will be the case for the monitoring period to which this Framework applies.</w:t>
      </w:r>
    </w:p>
    <w:p w14:paraId="1876521C" w14:textId="77777777" w:rsidR="0016701A" w:rsidRPr="00606C54" w:rsidRDefault="0016701A" w:rsidP="0016701A">
      <w:pPr>
        <w:pStyle w:val="Heading2"/>
        <w:numPr>
          <w:ilvl w:val="0"/>
          <w:numId w:val="0"/>
        </w:numPr>
        <w:ind w:left="576" w:hanging="576"/>
      </w:pPr>
      <w:bookmarkStart w:id="42" w:name="_Ref473811967"/>
      <w:bookmarkStart w:id="43" w:name="_Toc127262840"/>
      <w:bookmarkStart w:id="44" w:name="_Toc127262966"/>
      <w:r w:rsidRPr="00606C54">
        <w:t>Stakeholders</w:t>
      </w:r>
      <w:bookmarkEnd w:id="42"/>
      <w:bookmarkEnd w:id="43"/>
      <w:bookmarkEnd w:id="44"/>
    </w:p>
    <w:p w14:paraId="0E38B918" w14:textId="77777777" w:rsidR="0016701A" w:rsidRPr="00D57D9C" w:rsidRDefault="0016701A" w:rsidP="0016701A">
      <w:pPr>
        <w:pStyle w:val="Heading3"/>
        <w:numPr>
          <w:ilvl w:val="0"/>
          <w:numId w:val="0"/>
        </w:numPr>
        <w:ind w:left="720" w:hanging="720"/>
        <w:rPr>
          <w:b/>
          <w:bCs w:val="0"/>
        </w:rPr>
      </w:pPr>
      <w:bookmarkStart w:id="45" w:name="_Toc127262841"/>
      <w:bookmarkStart w:id="46" w:name="_Toc127262967"/>
      <w:r w:rsidRPr="00D57D9C">
        <w:rPr>
          <w:b/>
          <w:bCs w:val="0"/>
        </w:rPr>
        <w:t>Government</w:t>
      </w:r>
      <w:bookmarkEnd w:id="45"/>
      <w:bookmarkEnd w:id="46"/>
      <w:r w:rsidRPr="00D57D9C">
        <w:rPr>
          <w:b/>
          <w:bCs w:val="0"/>
        </w:rPr>
        <w:t xml:space="preserve"> </w:t>
      </w:r>
    </w:p>
    <w:p w14:paraId="312174AF" w14:textId="77777777" w:rsidR="0016701A" w:rsidRPr="00606C54" w:rsidRDefault="0016701A" w:rsidP="0016701A">
      <w:pPr>
        <w:rPr>
          <w:rFonts w:ascii="Arial" w:hAnsi="Arial" w:cs="Arial"/>
          <w:szCs w:val="24"/>
        </w:rPr>
      </w:pPr>
      <w:r w:rsidRPr="00606C54">
        <w:rPr>
          <w:rFonts w:ascii="Arial" w:hAnsi="Arial" w:cs="Arial"/>
          <w:szCs w:val="24"/>
        </w:rPr>
        <w:t xml:space="preserve">The HSR system is jointly funded between the Australian Government, State and Territory, and New Zealand Governments. The system is overseen by the Australian Government Department of Health and Aged Care in all aspects – inception, development, secretariat, administration, communications, marketing and implementation. </w:t>
      </w:r>
      <w:r>
        <w:rPr>
          <w:rFonts w:ascii="Arial" w:hAnsi="Arial" w:cs="Arial"/>
          <w:szCs w:val="24"/>
        </w:rPr>
        <w:t>T</w:t>
      </w:r>
      <w:r w:rsidRPr="00606C54">
        <w:rPr>
          <w:rFonts w:ascii="Arial" w:hAnsi="Arial" w:cs="Arial"/>
          <w:szCs w:val="24"/>
        </w:rPr>
        <w:t xml:space="preserve">he New Zealand </w:t>
      </w:r>
      <w:r>
        <w:rPr>
          <w:rFonts w:ascii="Arial" w:hAnsi="Arial" w:cs="Arial"/>
          <w:szCs w:val="24"/>
        </w:rPr>
        <w:t>MPI</w:t>
      </w:r>
      <w:r w:rsidRPr="00606C54">
        <w:rPr>
          <w:rFonts w:ascii="Arial" w:hAnsi="Arial" w:cs="Arial"/>
          <w:szCs w:val="24"/>
        </w:rPr>
        <w:t xml:space="preserve"> </w:t>
      </w:r>
      <w:r>
        <w:rPr>
          <w:rFonts w:ascii="Arial" w:hAnsi="Arial" w:cs="Arial"/>
          <w:szCs w:val="24"/>
        </w:rPr>
        <w:t xml:space="preserve">oversees a range of these aspects on behalf of New Zealand. </w:t>
      </w:r>
      <w:r w:rsidRPr="00606C54">
        <w:rPr>
          <w:rFonts w:ascii="Arial" w:hAnsi="Arial" w:cs="Arial"/>
          <w:szCs w:val="24"/>
        </w:rPr>
        <w:t xml:space="preserve">Australian, New Zealand and State and Territory representatives are (currently) involved with the ongoing implementation and management of the system via the </w:t>
      </w:r>
      <w:r>
        <w:rPr>
          <w:rFonts w:ascii="Arial" w:hAnsi="Arial" w:cs="Arial"/>
          <w:szCs w:val="24"/>
        </w:rPr>
        <w:t>HSR IWG</w:t>
      </w:r>
      <w:r w:rsidRPr="00606C54">
        <w:rPr>
          <w:rFonts w:ascii="Arial" w:hAnsi="Arial" w:cs="Arial"/>
          <w:szCs w:val="24"/>
        </w:rPr>
        <w:t>, and Campaign Working Group (Australia only).</w:t>
      </w:r>
    </w:p>
    <w:p w14:paraId="6B86226E" w14:textId="77777777" w:rsidR="0016701A" w:rsidRPr="00D57D9C" w:rsidRDefault="0016701A" w:rsidP="0016701A">
      <w:pPr>
        <w:pStyle w:val="Heading3"/>
        <w:numPr>
          <w:ilvl w:val="0"/>
          <w:numId w:val="0"/>
        </w:numPr>
        <w:ind w:left="720" w:hanging="720"/>
        <w:rPr>
          <w:b/>
          <w:bCs w:val="0"/>
        </w:rPr>
      </w:pPr>
      <w:bookmarkStart w:id="47" w:name="_Toc127262842"/>
      <w:bookmarkStart w:id="48" w:name="_Toc127262968"/>
      <w:r w:rsidRPr="00D57D9C">
        <w:rPr>
          <w:b/>
          <w:bCs w:val="0"/>
        </w:rPr>
        <w:lastRenderedPageBreak/>
        <w:t>Public Health</w:t>
      </w:r>
      <w:bookmarkEnd w:id="47"/>
      <w:bookmarkEnd w:id="48"/>
    </w:p>
    <w:p w14:paraId="13E3D365" w14:textId="77777777" w:rsidR="0016701A" w:rsidRPr="00606C54" w:rsidRDefault="0016701A" w:rsidP="0016701A">
      <w:pPr>
        <w:rPr>
          <w:rFonts w:ascii="Arial" w:hAnsi="Arial" w:cs="Arial"/>
          <w:szCs w:val="24"/>
        </w:rPr>
      </w:pPr>
      <w:r w:rsidRPr="00606C54">
        <w:rPr>
          <w:rFonts w:ascii="Arial" w:hAnsi="Arial" w:cs="Arial"/>
          <w:szCs w:val="24"/>
        </w:rPr>
        <w:t>Public health representatives, such as health and medical research organisations and peak</w:t>
      </w:r>
      <w:r>
        <w:rPr>
          <w:rFonts w:ascii="Arial" w:hAnsi="Arial" w:cs="Arial"/>
          <w:szCs w:val="24"/>
        </w:rPr>
        <w:t xml:space="preserve"> </w:t>
      </w:r>
      <w:r w:rsidRPr="00606C54">
        <w:rPr>
          <w:rFonts w:ascii="Arial" w:hAnsi="Arial" w:cs="Arial"/>
          <w:szCs w:val="24"/>
        </w:rPr>
        <w:t>health bodies, have been involved with the HSR system since its development. A public health representative from each of Australia and New Zealand is a standing position on the HSR</w:t>
      </w:r>
      <w:r>
        <w:rPr>
          <w:rFonts w:ascii="Arial" w:hAnsi="Arial" w:cs="Arial"/>
          <w:szCs w:val="24"/>
        </w:rPr>
        <w:t>AC</w:t>
      </w:r>
      <w:r w:rsidRPr="00606C54">
        <w:rPr>
          <w:rFonts w:ascii="Arial" w:hAnsi="Arial" w:cs="Arial"/>
          <w:szCs w:val="24"/>
        </w:rPr>
        <w:t>. Public health stakeholders provide valuable input on the main objective of the HSR system, which is improved public health outcomes.</w:t>
      </w:r>
    </w:p>
    <w:p w14:paraId="26317FDE" w14:textId="77777777" w:rsidR="0016701A" w:rsidRPr="00606C54" w:rsidRDefault="0016701A" w:rsidP="0016701A">
      <w:pPr>
        <w:rPr>
          <w:rFonts w:ascii="Arial" w:hAnsi="Arial" w:cs="Arial"/>
          <w:szCs w:val="24"/>
        </w:rPr>
      </w:pPr>
      <w:r w:rsidRPr="00606C54">
        <w:rPr>
          <w:rFonts w:ascii="Arial" w:hAnsi="Arial" w:cs="Arial"/>
          <w:szCs w:val="24"/>
        </w:rPr>
        <w:t>Academics and health professionals have contributed significantly to the HSR both directly through involvement in committees/groups, and via a large body of independent research.</w:t>
      </w:r>
    </w:p>
    <w:p w14:paraId="540327A3" w14:textId="77777777" w:rsidR="0016701A" w:rsidRPr="00D57D9C" w:rsidRDefault="0016701A" w:rsidP="0016701A">
      <w:pPr>
        <w:pStyle w:val="Heading3"/>
        <w:numPr>
          <w:ilvl w:val="0"/>
          <w:numId w:val="0"/>
        </w:numPr>
        <w:ind w:left="720" w:hanging="720"/>
        <w:rPr>
          <w:b/>
          <w:bCs w:val="0"/>
        </w:rPr>
      </w:pPr>
      <w:bookmarkStart w:id="49" w:name="_Toc127262843"/>
      <w:bookmarkStart w:id="50" w:name="_Toc127262969"/>
      <w:r w:rsidRPr="00D57D9C">
        <w:rPr>
          <w:b/>
          <w:bCs w:val="0"/>
        </w:rPr>
        <w:t>Food Industry</w:t>
      </w:r>
      <w:bookmarkEnd w:id="49"/>
      <w:bookmarkEnd w:id="50"/>
      <w:r w:rsidRPr="00D57D9C">
        <w:rPr>
          <w:b/>
          <w:bCs w:val="0"/>
        </w:rPr>
        <w:t xml:space="preserve"> </w:t>
      </w:r>
    </w:p>
    <w:p w14:paraId="181476B4" w14:textId="77777777" w:rsidR="0016701A" w:rsidRPr="00606C54" w:rsidRDefault="0016701A" w:rsidP="0016701A">
      <w:pPr>
        <w:rPr>
          <w:rFonts w:ascii="Arial" w:hAnsi="Arial" w:cs="Arial"/>
          <w:szCs w:val="24"/>
        </w:rPr>
      </w:pPr>
      <w:r w:rsidRPr="00606C54">
        <w:rPr>
          <w:rFonts w:ascii="Arial" w:hAnsi="Arial" w:cs="Arial"/>
          <w:szCs w:val="24"/>
        </w:rPr>
        <w:t>The HSR is implemented on a voluntary basis and relies on the cooperation and good will of food retailers and manufacturers to apply it to their labelling. Large food industry associations such as the Australian and the New Zealand Food and Grocery Councils, as well as representatives of individual companies have been involved in the HSR since its development, representing the interests of the food industry. Retailers in both countries have also been strong supporters of the system. A food industry representative to represent the broad sector from each of Australia and New Zealand is a standing position on the HSR</w:t>
      </w:r>
      <w:r>
        <w:rPr>
          <w:rFonts w:ascii="Arial" w:hAnsi="Arial" w:cs="Arial"/>
          <w:szCs w:val="24"/>
        </w:rPr>
        <w:t>AC</w:t>
      </w:r>
      <w:r w:rsidRPr="00606C54">
        <w:rPr>
          <w:rFonts w:ascii="Arial" w:hAnsi="Arial" w:cs="Arial"/>
          <w:szCs w:val="24"/>
        </w:rPr>
        <w:t>.</w:t>
      </w:r>
    </w:p>
    <w:p w14:paraId="641A8CBD" w14:textId="77777777" w:rsidR="0016701A" w:rsidRPr="00D57D9C" w:rsidRDefault="0016701A" w:rsidP="0016701A">
      <w:pPr>
        <w:pStyle w:val="Heading3"/>
        <w:numPr>
          <w:ilvl w:val="0"/>
          <w:numId w:val="0"/>
        </w:numPr>
        <w:ind w:left="720" w:hanging="720"/>
        <w:rPr>
          <w:b/>
          <w:bCs w:val="0"/>
        </w:rPr>
      </w:pPr>
      <w:bookmarkStart w:id="51" w:name="_Toc127262844"/>
      <w:bookmarkStart w:id="52" w:name="_Toc127262970"/>
      <w:r w:rsidRPr="00D57D9C">
        <w:rPr>
          <w:b/>
          <w:bCs w:val="0"/>
        </w:rPr>
        <w:t>Consumer Groups</w:t>
      </w:r>
      <w:bookmarkEnd w:id="51"/>
      <w:bookmarkEnd w:id="52"/>
    </w:p>
    <w:p w14:paraId="69961516" w14:textId="77777777" w:rsidR="0016701A" w:rsidRDefault="0016701A" w:rsidP="0016701A">
      <w:r w:rsidRPr="00606C54">
        <w:t xml:space="preserve">Consumer groups are also represented with a standing position on the </w:t>
      </w:r>
      <w:r>
        <w:t>HSRAC</w:t>
      </w:r>
      <w:r w:rsidRPr="00606C54">
        <w:t xml:space="preserve"> and have been involved with the HSR since its development. Consumer groups represent and advise consumers and families on a variety of products, programs, services and price recommendations. </w:t>
      </w:r>
      <w:r w:rsidRPr="00D57D9C">
        <w:rPr>
          <w:b/>
          <w:bCs/>
        </w:rPr>
        <w:br/>
      </w:r>
    </w:p>
    <w:p w14:paraId="3DB3D272" w14:textId="77777777" w:rsidR="0016701A" w:rsidRDefault="0016701A" w:rsidP="0016701A">
      <w:pPr>
        <w:spacing w:before="0" w:after="200" w:line="276" w:lineRule="auto"/>
        <w:rPr>
          <w:rFonts w:ascii="Arial" w:eastAsiaTheme="majorEastAsia" w:hAnsi="Arial" w:cs="Arial"/>
          <w:b/>
          <w:color w:val="0D0D0D" w:themeColor="text1" w:themeTint="F2"/>
          <w:sz w:val="26"/>
          <w:szCs w:val="26"/>
        </w:rPr>
      </w:pPr>
      <w:r>
        <w:br w:type="page"/>
      </w:r>
    </w:p>
    <w:p w14:paraId="369D3702" w14:textId="77777777" w:rsidR="0016701A" w:rsidRDefault="0016701A" w:rsidP="0016701A">
      <w:pPr>
        <w:pStyle w:val="Heading2"/>
        <w:numPr>
          <w:ilvl w:val="0"/>
          <w:numId w:val="0"/>
        </w:numPr>
        <w:spacing w:before="0"/>
        <w:ind w:left="576" w:hanging="576"/>
        <w:jc w:val="right"/>
      </w:pPr>
      <w:bookmarkStart w:id="53" w:name="_Toc127262971"/>
      <w:r>
        <w:lastRenderedPageBreak/>
        <w:t>Appendix B</w:t>
      </w:r>
      <w:bookmarkEnd w:id="53"/>
    </w:p>
    <w:p w14:paraId="4854082A" w14:textId="77777777" w:rsidR="0016701A" w:rsidRDefault="0016701A" w:rsidP="0016701A">
      <w:pPr>
        <w:pStyle w:val="Heading2"/>
        <w:numPr>
          <w:ilvl w:val="0"/>
          <w:numId w:val="0"/>
        </w:numPr>
        <w:spacing w:before="0"/>
        <w:ind w:hanging="9"/>
      </w:pPr>
    </w:p>
    <w:p w14:paraId="5ACA1530" w14:textId="77777777" w:rsidR="0016701A" w:rsidRPr="00606C54" w:rsidRDefault="0016701A" w:rsidP="0016701A">
      <w:pPr>
        <w:pStyle w:val="Heading2"/>
        <w:numPr>
          <w:ilvl w:val="0"/>
          <w:numId w:val="0"/>
        </w:numPr>
        <w:spacing w:before="0"/>
        <w:ind w:hanging="9"/>
      </w:pPr>
      <w:bookmarkStart w:id="54" w:name="_Toc127262972"/>
      <w:r w:rsidRPr="00606C54">
        <w:t xml:space="preserve">World Health Organization’s </w:t>
      </w:r>
      <w:bookmarkStart w:id="55" w:name="_Hlk127163265"/>
      <w:r w:rsidRPr="00606C54">
        <w:t>Guiding Principles and Framework Manual for Front-of-Pack Labelling for Promoting Healthy Diets</w:t>
      </w:r>
      <w:bookmarkEnd w:id="54"/>
      <w:bookmarkEnd w:id="55"/>
    </w:p>
    <w:p w14:paraId="159BBBCA" w14:textId="77777777" w:rsidR="0016701A" w:rsidRPr="00606C54" w:rsidRDefault="0016701A" w:rsidP="0016701A">
      <w:pPr>
        <w:spacing w:before="0"/>
      </w:pPr>
      <w:r w:rsidRPr="00606C54">
        <w:t>WHO’s Guiding Principles and Framework Manual for Front-of-Pack Labelling for Promoting Healthy Diets was consulted during the development of this Framework. Indicators under these Guidelines that should be monitored are:</w:t>
      </w:r>
    </w:p>
    <w:p w14:paraId="127FF6B3" w14:textId="77777777" w:rsidR="0016701A" w:rsidRPr="00606C54" w:rsidRDefault="0016701A" w:rsidP="0016701A">
      <w:pPr>
        <w:spacing w:before="0"/>
      </w:pPr>
      <w:r w:rsidRPr="00606C54">
        <w:t>•</w:t>
      </w:r>
      <w:r w:rsidRPr="00606C54">
        <w:tab/>
        <w:t xml:space="preserve">The extent and fidelity of implementation of the FoPL system </w:t>
      </w:r>
    </w:p>
    <w:p w14:paraId="5227DAFD" w14:textId="77777777" w:rsidR="0016701A" w:rsidRPr="00606C54" w:rsidRDefault="0016701A" w:rsidP="0016701A">
      <w:pPr>
        <w:spacing w:before="0"/>
      </w:pPr>
      <w:r w:rsidRPr="00606C54">
        <w:t>•</w:t>
      </w:r>
      <w:r w:rsidRPr="00606C54">
        <w:tab/>
        <w:t xml:space="preserve">The effect of the FoPL system on changes to consumer understanding </w:t>
      </w:r>
    </w:p>
    <w:p w14:paraId="5E08EAF5" w14:textId="77777777" w:rsidR="0016701A" w:rsidRPr="00606C54" w:rsidRDefault="0016701A" w:rsidP="0016701A">
      <w:pPr>
        <w:spacing w:before="0"/>
      </w:pPr>
      <w:r w:rsidRPr="00606C54">
        <w:t>•</w:t>
      </w:r>
      <w:r w:rsidRPr="00606C54">
        <w:tab/>
        <w:t>The effect of the FoPL system on changes to product purchases</w:t>
      </w:r>
    </w:p>
    <w:p w14:paraId="172AAB0C" w14:textId="77777777" w:rsidR="0016701A" w:rsidRPr="00606C54" w:rsidRDefault="0016701A" w:rsidP="0016701A">
      <w:pPr>
        <w:spacing w:before="0"/>
      </w:pPr>
      <w:r w:rsidRPr="00606C54">
        <w:t>•</w:t>
      </w:r>
      <w:r w:rsidRPr="00606C54">
        <w:tab/>
        <w:t xml:space="preserve">The effect of the FoPL system on changes to population dietary intakes </w:t>
      </w:r>
    </w:p>
    <w:p w14:paraId="5AF0B05E" w14:textId="77777777" w:rsidR="0016701A" w:rsidRPr="00606C54" w:rsidRDefault="0016701A" w:rsidP="0016701A">
      <w:pPr>
        <w:spacing w:before="0"/>
      </w:pPr>
      <w:r w:rsidRPr="00606C54">
        <w:t>•</w:t>
      </w:r>
      <w:r w:rsidRPr="00606C54">
        <w:tab/>
        <w:t xml:space="preserve">The effect of the FoPL system on changes to nutrient compositions of food products </w:t>
      </w:r>
      <w:r w:rsidRPr="00606C54">
        <w:tab/>
        <w:t>(reformulation). Is uptake meeting the set targets?</w:t>
      </w:r>
    </w:p>
    <w:p w14:paraId="5EAAEB26" w14:textId="77777777" w:rsidR="0016701A" w:rsidRPr="00606C54" w:rsidRDefault="0016701A" w:rsidP="0016701A">
      <w:pPr>
        <w:spacing w:before="0"/>
      </w:pPr>
      <w:r w:rsidRPr="00606C54">
        <w:t xml:space="preserve">These principles were all included in proposed areas of enquiry considered by the HSR IWG prior to development of this framework. </w:t>
      </w:r>
    </w:p>
    <w:p w14:paraId="5E0C0B50" w14:textId="77777777" w:rsidR="0016701A" w:rsidRPr="00606C54" w:rsidRDefault="0016701A" w:rsidP="0016701A">
      <w:pPr>
        <w:spacing w:before="0"/>
      </w:pPr>
    </w:p>
    <w:p w14:paraId="0F1AD53B" w14:textId="77777777" w:rsidR="0016701A" w:rsidRPr="00606C54" w:rsidRDefault="0016701A" w:rsidP="0016701A">
      <w:pPr>
        <w:spacing w:before="0"/>
      </w:pPr>
    </w:p>
    <w:p w14:paraId="1372F1C2" w14:textId="77777777" w:rsidR="0016701A" w:rsidRPr="00606C54" w:rsidRDefault="0016701A" w:rsidP="0016701A">
      <w:pPr>
        <w:spacing w:before="0"/>
      </w:pPr>
    </w:p>
    <w:p w14:paraId="3BB1513B" w14:textId="77777777" w:rsidR="0016701A" w:rsidRPr="00606C54" w:rsidRDefault="0016701A" w:rsidP="0016701A">
      <w:pPr>
        <w:spacing w:before="0"/>
      </w:pPr>
    </w:p>
    <w:p w14:paraId="1C860F4A" w14:textId="77777777" w:rsidR="0016701A" w:rsidRPr="00606C54" w:rsidRDefault="0016701A" w:rsidP="0016701A">
      <w:pPr>
        <w:spacing w:before="0"/>
      </w:pPr>
    </w:p>
    <w:p w14:paraId="5E054EF7" w14:textId="77777777" w:rsidR="0016701A" w:rsidRPr="00606C54" w:rsidRDefault="0016701A" w:rsidP="0016701A">
      <w:pPr>
        <w:spacing w:before="0"/>
      </w:pPr>
    </w:p>
    <w:p w14:paraId="0CB345B5" w14:textId="77777777" w:rsidR="0016701A" w:rsidRPr="00606C54" w:rsidRDefault="0016701A" w:rsidP="0016701A">
      <w:pPr>
        <w:tabs>
          <w:tab w:val="left" w:pos="8771"/>
        </w:tabs>
        <w:spacing w:before="0"/>
      </w:pPr>
      <w:r w:rsidRPr="00606C54">
        <w:tab/>
      </w:r>
    </w:p>
    <w:p w14:paraId="4906C849" w14:textId="42733472" w:rsidR="003C0BE9" w:rsidRPr="00606C54" w:rsidRDefault="003C0BE9" w:rsidP="0016701A">
      <w:pPr>
        <w:pStyle w:val="TOCHeading"/>
        <w:numPr>
          <w:ilvl w:val="0"/>
          <w:numId w:val="0"/>
        </w:numPr>
        <w:ind w:left="432"/>
      </w:pPr>
    </w:p>
    <w:sectPr w:rsidR="003C0BE9" w:rsidRPr="00606C54" w:rsidSect="00FE1AC7">
      <w:footerReference w:type="default" r:id="rId18"/>
      <w:footerReference w:type="first" r:id="rId19"/>
      <w:pgSz w:w="11900" w:h="16840"/>
      <w:pgMar w:top="153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FDEA" w14:textId="77777777" w:rsidR="00FA68C3" w:rsidRDefault="00FA68C3" w:rsidP="00A806DF">
      <w:pPr>
        <w:spacing w:before="0" w:after="0"/>
      </w:pPr>
      <w:r>
        <w:separator/>
      </w:r>
    </w:p>
  </w:endnote>
  <w:endnote w:type="continuationSeparator" w:id="0">
    <w:p w14:paraId="6C283BBF" w14:textId="77777777" w:rsidR="00FA68C3" w:rsidRDefault="00FA68C3" w:rsidP="00A806DF">
      <w:pPr>
        <w:spacing w:before="0" w:after="0"/>
      </w:pPr>
      <w:r>
        <w:continuationSeparator/>
      </w:r>
    </w:p>
  </w:endnote>
  <w:endnote w:type="continuationNotice" w:id="1">
    <w:p w14:paraId="4AB9ABE9" w14:textId="77777777" w:rsidR="00FA68C3" w:rsidRDefault="00FA68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864266"/>
      <w:docPartObj>
        <w:docPartGallery w:val="Page Numbers (Bottom of Page)"/>
        <w:docPartUnique/>
      </w:docPartObj>
    </w:sdtPr>
    <w:sdtEndPr>
      <w:rPr>
        <w:noProof/>
      </w:rPr>
    </w:sdtEndPr>
    <w:sdtContent>
      <w:p w14:paraId="70AE25AB" w14:textId="5ECC4939" w:rsidR="00BE7497" w:rsidRDefault="00BE7497" w:rsidP="00BE2EE7">
        <w:pPr>
          <w:pStyle w:val="Footer"/>
          <w:tabs>
            <w:tab w:val="clear" w:pos="4513"/>
            <w:tab w:val="clear" w:pos="9026"/>
            <w:tab w:val="left" w:pos="0"/>
            <w:tab w:val="right" w:pos="9072"/>
          </w:tabs>
        </w:pPr>
      </w:p>
      <w:p w14:paraId="63E7FC44" w14:textId="52FBF319" w:rsidR="00BE7497" w:rsidRDefault="00BE7497" w:rsidP="00171D39">
        <w:pPr>
          <w:pStyle w:val="Footer"/>
          <w:tabs>
            <w:tab w:val="clear" w:pos="4513"/>
            <w:tab w:val="clear" w:pos="9026"/>
            <w:tab w:val="left" w:pos="0"/>
            <w:tab w:val="left" w:pos="8752"/>
            <w:tab w:val="right" w:pos="9072"/>
          </w:tabs>
          <w:ind w:right="-165"/>
          <w:rPr>
            <w:noProof/>
          </w:rPr>
        </w:pPr>
        <w:r>
          <w:tab/>
        </w:r>
        <w:r>
          <w:tab/>
        </w:r>
        <w:r>
          <w:tab/>
        </w:r>
        <w:r>
          <w:tab/>
        </w:r>
        <w:r>
          <w:tab/>
        </w:r>
        <w:r>
          <w:tab/>
        </w:r>
        <w:r>
          <w:tab/>
        </w:r>
        <w:r>
          <w:tab/>
        </w:r>
        <w:r>
          <w:tab/>
        </w:r>
        <w:r>
          <w:fldChar w:fldCharType="begin"/>
        </w:r>
        <w:r>
          <w:instrText xml:space="preserve"> PAGE   \* MERGEFORMAT </w:instrText>
        </w:r>
        <w:r>
          <w:fldChar w:fldCharType="separate"/>
        </w:r>
        <w:r>
          <w:rPr>
            <w:noProof/>
          </w:rPr>
          <w:t>10</w:t>
        </w:r>
        <w:r>
          <w:rPr>
            <w:noProof/>
          </w:rPr>
          <w:fldChar w:fldCharType="end"/>
        </w:r>
        <w:r>
          <w:tab/>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150148"/>
      <w:docPartObj>
        <w:docPartGallery w:val="Page Numbers (Bottom of Page)"/>
        <w:docPartUnique/>
      </w:docPartObj>
    </w:sdtPr>
    <w:sdtEndPr>
      <w:rPr>
        <w:noProof/>
      </w:rPr>
    </w:sdtEndPr>
    <w:sdtContent>
      <w:p w14:paraId="40FAECEA" w14:textId="3FA8EA39" w:rsidR="00DE057C" w:rsidRDefault="00DE05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C9A63B" w14:textId="77777777" w:rsidR="00DE057C" w:rsidRDefault="00DE0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0F45" w14:textId="77777777" w:rsidR="00FA68C3" w:rsidRDefault="00FA68C3" w:rsidP="00A806DF">
      <w:pPr>
        <w:spacing w:before="0" w:after="0"/>
      </w:pPr>
      <w:r>
        <w:separator/>
      </w:r>
    </w:p>
  </w:footnote>
  <w:footnote w:type="continuationSeparator" w:id="0">
    <w:p w14:paraId="1C45D441" w14:textId="77777777" w:rsidR="00FA68C3" w:rsidRDefault="00FA68C3" w:rsidP="00A806DF">
      <w:pPr>
        <w:spacing w:before="0" w:after="0"/>
      </w:pPr>
      <w:r>
        <w:continuationSeparator/>
      </w:r>
    </w:p>
  </w:footnote>
  <w:footnote w:type="continuationNotice" w:id="1">
    <w:p w14:paraId="360985DC" w14:textId="77777777" w:rsidR="00FA68C3" w:rsidRDefault="00FA68C3">
      <w:pPr>
        <w:spacing w:before="0" w:after="0"/>
      </w:pPr>
    </w:p>
  </w:footnote>
  <w:footnote w:id="2">
    <w:p w14:paraId="59A08EEF" w14:textId="77777777" w:rsidR="0016701A" w:rsidRDefault="0016701A" w:rsidP="0016701A">
      <w:pPr>
        <w:pStyle w:val="FootnoteText"/>
      </w:pPr>
      <w:r w:rsidRPr="00FA4D99">
        <w:rPr>
          <w:rStyle w:val="FootnoteReference"/>
          <w:sz w:val="18"/>
          <w:szCs w:val="18"/>
        </w:rPr>
        <w:footnoteRef/>
      </w:r>
      <w:r w:rsidRPr="00FA4D99">
        <w:rPr>
          <w:sz w:val="18"/>
          <w:szCs w:val="18"/>
        </w:rPr>
        <w:t xml:space="preserve"> Food Ministers response to the 5-Year Review recommendations http://www.healthstarrating.gov.au/internet/healthstarrating/publishing.nsf/Content/D1562AA78A574853CA2581BD00828751/$File/V1-Forum-Health%20Star%20Rating%20System%20five%20year%20review%20response%202019-12.pdf</w:t>
      </w:r>
    </w:p>
  </w:footnote>
  <w:footnote w:id="3">
    <w:p w14:paraId="7F984588" w14:textId="77777777" w:rsidR="0016701A" w:rsidRDefault="0016701A" w:rsidP="0016701A">
      <w:pPr>
        <w:pStyle w:val="FootnoteText"/>
      </w:pPr>
      <w:r>
        <w:rPr>
          <w:rStyle w:val="FootnoteReference"/>
        </w:rPr>
        <w:footnoteRef/>
      </w:r>
      <w:r>
        <w:t xml:space="preserve"> </w:t>
      </w:r>
      <w:r w:rsidRPr="004B5B1F">
        <w:rPr>
          <w:sz w:val="18"/>
          <w:szCs w:val="18"/>
        </w:rPr>
        <w:t>National Health and Medical Research Council</w:t>
      </w:r>
      <w:r>
        <w:rPr>
          <w:sz w:val="18"/>
          <w:szCs w:val="18"/>
        </w:rPr>
        <w:t xml:space="preserve"> (NHMRC), 2013. </w:t>
      </w:r>
      <w:r w:rsidRPr="004B5B1F">
        <w:rPr>
          <w:i/>
          <w:iCs/>
          <w:sz w:val="18"/>
          <w:szCs w:val="18"/>
        </w:rPr>
        <w:t>Australian Dietary Guidelines</w:t>
      </w:r>
      <w:r>
        <w:rPr>
          <w:sz w:val="18"/>
          <w:szCs w:val="18"/>
        </w:rPr>
        <w:t xml:space="preserve">. </w:t>
      </w:r>
      <w:r w:rsidRPr="004B5B1F">
        <w:rPr>
          <w:sz w:val="18"/>
          <w:szCs w:val="18"/>
        </w:rPr>
        <w:t xml:space="preserve">Canberra: </w:t>
      </w:r>
      <w:r>
        <w:rPr>
          <w:sz w:val="18"/>
          <w:szCs w:val="18"/>
        </w:rPr>
        <w:t>NHMRC.</w:t>
      </w:r>
    </w:p>
  </w:footnote>
  <w:footnote w:id="4">
    <w:p w14:paraId="0FB06307" w14:textId="77777777" w:rsidR="0016701A" w:rsidRDefault="0016701A" w:rsidP="0016701A">
      <w:pPr>
        <w:pStyle w:val="FootnoteText"/>
      </w:pPr>
      <w:r>
        <w:rPr>
          <w:rStyle w:val="FootnoteReference"/>
        </w:rPr>
        <w:footnoteRef/>
      </w:r>
      <w:r>
        <w:t xml:space="preserve"> </w:t>
      </w:r>
      <w:r w:rsidRPr="004B5B1F">
        <w:rPr>
          <w:sz w:val="18"/>
          <w:szCs w:val="18"/>
        </w:rPr>
        <w:t>Australian Bureau of Statistics. (2018-19). </w:t>
      </w:r>
      <w:r w:rsidRPr="004B5B1F">
        <w:rPr>
          <w:i/>
          <w:iCs/>
          <w:sz w:val="18"/>
          <w:szCs w:val="18"/>
        </w:rPr>
        <w:t>National Aboriginal and Torres Strait Islander Health Survey</w:t>
      </w:r>
      <w:r w:rsidRPr="004B5B1F">
        <w:rPr>
          <w:sz w:val="18"/>
          <w:szCs w:val="18"/>
        </w:rPr>
        <w:t>. ABS</w:t>
      </w:r>
    </w:p>
  </w:footnote>
  <w:footnote w:id="5">
    <w:p w14:paraId="7CD3B751" w14:textId="77777777" w:rsidR="0016701A" w:rsidRDefault="0016701A" w:rsidP="0016701A">
      <w:pPr>
        <w:pStyle w:val="FootnoteText"/>
      </w:pPr>
      <w:r>
        <w:rPr>
          <w:rStyle w:val="FootnoteReference"/>
        </w:rPr>
        <w:footnoteRef/>
      </w:r>
      <w:r>
        <w:t xml:space="preserve"> </w:t>
      </w:r>
      <w:r w:rsidRPr="004B5B1F">
        <w:rPr>
          <w:sz w:val="18"/>
          <w:szCs w:val="18"/>
        </w:rPr>
        <w:t xml:space="preserve">Ministry of Health. 2020. </w:t>
      </w:r>
      <w:r w:rsidRPr="004B5B1F">
        <w:rPr>
          <w:i/>
          <w:iCs/>
          <w:sz w:val="18"/>
          <w:szCs w:val="18"/>
        </w:rPr>
        <w:t>Eating and Activity Guidelines for New Zealand Adults</w:t>
      </w:r>
      <w:r w:rsidRPr="004B5B1F">
        <w:rPr>
          <w:sz w:val="18"/>
          <w:szCs w:val="18"/>
        </w:rPr>
        <w:t>: Updated 2020. Wellington: Ministry of Health.</w:t>
      </w:r>
    </w:p>
  </w:footnote>
  <w:footnote w:id="6">
    <w:p w14:paraId="612C8BF8" w14:textId="77777777" w:rsidR="0016701A" w:rsidRPr="00A20733" w:rsidRDefault="0016701A" w:rsidP="0016701A">
      <w:pPr>
        <w:pStyle w:val="FootnoteText"/>
        <w:rPr>
          <w:sz w:val="18"/>
          <w:szCs w:val="18"/>
        </w:rPr>
      </w:pPr>
      <w:r w:rsidRPr="00A20733">
        <w:rPr>
          <w:rStyle w:val="FootnoteReference"/>
          <w:sz w:val="18"/>
          <w:szCs w:val="18"/>
        </w:rPr>
        <w:footnoteRef/>
      </w:r>
      <w:r w:rsidRPr="00A20733">
        <w:rPr>
          <w:sz w:val="18"/>
          <w:szCs w:val="18"/>
        </w:rPr>
        <w:t xml:space="preserve"> Mantilla Herrera, </w:t>
      </w:r>
      <w:r>
        <w:rPr>
          <w:sz w:val="18"/>
          <w:szCs w:val="18"/>
        </w:rPr>
        <w:t>et al,</w:t>
      </w:r>
      <w:r w:rsidRPr="00A20733">
        <w:rPr>
          <w:sz w:val="18"/>
          <w:szCs w:val="18"/>
        </w:rPr>
        <w:t xml:space="preserve"> </w:t>
      </w:r>
      <w:r w:rsidRPr="00D249C8">
        <w:rPr>
          <w:i/>
          <w:iCs/>
          <w:sz w:val="18"/>
          <w:szCs w:val="18"/>
        </w:rPr>
        <w:t>Cost-effectiveness of product reformulation in response to the Health Star</w:t>
      </w:r>
      <w:r>
        <w:rPr>
          <w:i/>
          <w:iCs/>
          <w:sz w:val="18"/>
          <w:szCs w:val="18"/>
        </w:rPr>
        <w:t xml:space="preserve"> </w:t>
      </w:r>
      <w:r w:rsidRPr="00D249C8">
        <w:rPr>
          <w:i/>
          <w:iCs/>
          <w:sz w:val="18"/>
          <w:szCs w:val="18"/>
        </w:rPr>
        <w:t>Rating food labelling system in Australia</w:t>
      </w:r>
      <w:r w:rsidRPr="00A20733">
        <w:rPr>
          <w:sz w:val="18"/>
          <w:szCs w:val="18"/>
        </w:rPr>
        <w:t xml:space="preserve">, </w:t>
      </w:r>
      <w:r>
        <w:rPr>
          <w:sz w:val="18"/>
          <w:szCs w:val="18"/>
        </w:rPr>
        <w:t xml:space="preserve">2018, </w:t>
      </w:r>
      <w:r w:rsidRPr="00A20733">
        <w:rPr>
          <w:sz w:val="18"/>
          <w:szCs w:val="18"/>
        </w:rPr>
        <w:t>Nutrients, vol. 10, no. 614, pp. 2-16.</w:t>
      </w:r>
    </w:p>
  </w:footnote>
  <w:footnote w:id="7">
    <w:p w14:paraId="05029884" w14:textId="77777777" w:rsidR="0016701A" w:rsidRDefault="0016701A" w:rsidP="0016701A">
      <w:pPr>
        <w:shd w:val="clear" w:color="auto" w:fill="FFFFFF"/>
        <w:spacing w:before="0" w:after="0"/>
      </w:pPr>
      <w:r w:rsidRPr="00A20733">
        <w:rPr>
          <w:rStyle w:val="FootnoteReference"/>
          <w:sz w:val="18"/>
          <w:szCs w:val="18"/>
        </w:rPr>
        <w:footnoteRef/>
      </w:r>
      <w:r w:rsidRPr="00A20733">
        <w:rPr>
          <w:sz w:val="18"/>
          <w:szCs w:val="18"/>
        </w:rPr>
        <w:t xml:space="preserve"> </w:t>
      </w:r>
      <w:r w:rsidRPr="004B5B1F">
        <w:rPr>
          <w:sz w:val="18"/>
          <w:szCs w:val="18"/>
        </w:rPr>
        <w:t>Bablani L, et al</w:t>
      </w:r>
      <w:r>
        <w:rPr>
          <w:sz w:val="18"/>
          <w:szCs w:val="18"/>
        </w:rPr>
        <w:t xml:space="preserve">, </w:t>
      </w:r>
      <w:r w:rsidRPr="004B5B1F">
        <w:rPr>
          <w:i/>
          <w:iCs/>
          <w:sz w:val="18"/>
          <w:szCs w:val="18"/>
        </w:rPr>
        <w:t>Effect of voluntary Health Star Rating labels on healthier food purchasing in New Zealand: longitudinal evidence using representative household purchase data</w:t>
      </w:r>
      <w:r>
        <w:rPr>
          <w:sz w:val="18"/>
          <w:szCs w:val="18"/>
        </w:rPr>
        <w:t xml:space="preserve">. </w:t>
      </w:r>
      <w:r w:rsidRPr="004B5B1F">
        <w:rPr>
          <w:sz w:val="18"/>
          <w:szCs w:val="18"/>
        </w:rPr>
        <w:t>BMJ Nutrition, Prevention &amp; Health 2022</w:t>
      </w:r>
      <w:r>
        <w:rPr>
          <w:sz w:val="18"/>
          <w:szCs w:val="18"/>
        </w:rPr>
        <w:t>.</w:t>
      </w:r>
      <w:r w:rsidRPr="004B5B1F">
        <w:rPr>
          <w:sz w:val="18"/>
          <w:szCs w:val="18"/>
        </w:rPr>
        <w:t> </w:t>
      </w:r>
      <w:r>
        <w:rPr>
          <w:sz w:val="18"/>
          <w:szCs w:val="18"/>
        </w:rPr>
        <w:t>d</w:t>
      </w:r>
      <w:r w:rsidRPr="004B5B1F">
        <w:rPr>
          <w:sz w:val="18"/>
          <w:szCs w:val="18"/>
        </w:rPr>
        <w:t>oi: 10.1136/bmjnph-2022-000459</w:t>
      </w:r>
      <w:r>
        <w:rPr>
          <w:sz w:val="18"/>
          <w:szCs w:val="18"/>
        </w:rPr>
        <w:t>.</w:t>
      </w:r>
    </w:p>
  </w:footnote>
  <w:footnote w:id="8">
    <w:p w14:paraId="4FA1B740" w14:textId="77777777" w:rsidR="0016701A" w:rsidRPr="00BC7F6C" w:rsidRDefault="0016701A" w:rsidP="0016701A">
      <w:pPr>
        <w:pStyle w:val="FootnoteText"/>
        <w:rPr>
          <w:sz w:val="18"/>
          <w:szCs w:val="18"/>
        </w:rPr>
      </w:pPr>
      <w:r w:rsidRPr="00BC7F6C">
        <w:rPr>
          <w:rStyle w:val="FootnoteReference"/>
          <w:sz w:val="18"/>
          <w:szCs w:val="18"/>
        </w:rPr>
        <w:footnoteRef/>
      </w:r>
      <w:r w:rsidRPr="00BC7F6C">
        <w:rPr>
          <w:sz w:val="18"/>
          <w:szCs w:val="18"/>
        </w:rPr>
        <w:t xml:space="preserve"> “Priority groups” refers to populations of low socio-economic status (SES), Aboriginal, Torres Strait Islander people and culturally and linguistically diverse (CALD) populations in Australia, Pasifika and Māori people in New Zealand</w:t>
      </w:r>
      <w:r>
        <w:rPr>
          <w:sz w:val="18"/>
          <w:szCs w:val="18"/>
        </w:rPr>
        <w:t>.</w:t>
      </w:r>
    </w:p>
  </w:footnote>
  <w:footnote w:id="9">
    <w:p w14:paraId="09FFEE0A" w14:textId="77777777" w:rsidR="0016701A" w:rsidRPr="00A20733" w:rsidRDefault="0016701A" w:rsidP="0016701A">
      <w:pPr>
        <w:pStyle w:val="FootnoteText"/>
        <w:rPr>
          <w:sz w:val="18"/>
          <w:szCs w:val="18"/>
        </w:rPr>
      </w:pPr>
      <w:r w:rsidRPr="00BC7F6C">
        <w:rPr>
          <w:rStyle w:val="FootnoteReference"/>
          <w:sz w:val="18"/>
          <w:szCs w:val="18"/>
        </w:rPr>
        <w:footnoteRef/>
      </w:r>
      <w:r w:rsidRPr="00BC7F6C">
        <w:rPr>
          <w:sz w:val="18"/>
          <w:szCs w:val="18"/>
        </w:rPr>
        <w:t xml:space="preserve"> </w:t>
      </w:r>
      <w:r w:rsidRPr="00BC7F6C">
        <w:rPr>
          <w:rFonts w:ascii="Arial" w:hAnsi="Arial" w:cs="Arial"/>
          <w:sz w:val="18"/>
          <w:szCs w:val="18"/>
        </w:rPr>
        <w:t>Department of Health</w:t>
      </w:r>
      <w:r>
        <w:rPr>
          <w:rFonts w:ascii="Arial" w:hAnsi="Arial" w:cs="Arial"/>
          <w:sz w:val="18"/>
          <w:szCs w:val="18"/>
        </w:rPr>
        <w:t xml:space="preserve"> and Aged Care</w:t>
      </w:r>
      <w:r w:rsidRPr="00BC7F6C">
        <w:rPr>
          <w:rFonts w:ascii="Arial" w:hAnsi="Arial" w:cs="Arial"/>
          <w:sz w:val="18"/>
          <w:szCs w:val="18"/>
        </w:rPr>
        <w:t>. Front of pack labelling Project Committee</w:t>
      </w:r>
      <w:r>
        <w:rPr>
          <w:rFonts w:ascii="Arial" w:hAnsi="Arial" w:cs="Arial"/>
          <w:sz w:val="18"/>
          <w:szCs w:val="18"/>
        </w:rPr>
        <w:t xml:space="preserve">, </w:t>
      </w:r>
      <w:r w:rsidRPr="00BC7F6C">
        <w:rPr>
          <w:rFonts w:ascii="Arial" w:hAnsi="Arial" w:cs="Arial"/>
          <w:i/>
          <w:iCs/>
          <w:sz w:val="18"/>
          <w:szCs w:val="18"/>
        </w:rPr>
        <w:t>Objectives and principles for the development of a front-of-pack labelling (FoPL) system</w:t>
      </w:r>
      <w:r w:rsidRPr="00BC7F6C">
        <w:rPr>
          <w:rFonts w:ascii="Arial" w:hAnsi="Arial" w:cs="Arial"/>
          <w:sz w:val="18"/>
          <w:szCs w:val="18"/>
        </w:rPr>
        <w:t>.</w:t>
      </w:r>
      <w:r w:rsidRPr="00A20733">
        <w:rPr>
          <w:rFonts w:ascii="Arial" w:hAnsi="Arial" w:cs="Arial"/>
          <w:sz w:val="18"/>
          <w:szCs w:val="18"/>
        </w:rPr>
        <w:t xml:space="preserve"> </w:t>
      </w:r>
      <w:r w:rsidRPr="00BC7F6C">
        <w:rPr>
          <w:rFonts w:ascii="Arial" w:hAnsi="Arial" w:cs="Arial"/>
          <w:sz w:val="18"/>
          <w:szCs w:val="18"/>
        </w:rPr>
        <w:t>https://foodregulation.gov.au/internet/fr/publishing.nsf/Content/frontofpackobjectives</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64EA" w14:textId="348B0133" w:rsidR="009500E0" w:rsidRPr="009500E0" w:rsidRDefault="009500E0" w:rsidP="00130A51">
    <w:pPr>
      <w:pStyle w:val="Heading"/>
      <w:keepNext w:val="0"/>
      <w:widowControl/>
      <w:spacing w:after="0" w:line="240" w:lineRule="auto"/>
      <w:ind w:left="1418" w:hanging="1418"/>
      <w:jc w:val="center"/>
      <w:rPr>
        <w:rFonts w:ascii="Times New Roman" w:eastAsia="Calibri" w:hAnsi="Times New Roman" w:cs="Times New Roman"/>
        <w:b w:val="0"/>
        <w:sz w:val="20"/>
        <w:szCs w:val="20"/>
        <w:lang w:val="en-US"/>
      </w:rPr>
    </w:pPr>
    <w:r w:rsidRPr="009500E0">
      <w:rPr>
        <w:rFonts w:ascii="Times New Roman" w:hAnsi="Times New Roman" w:cs="Times New Roman"/>
        <w:color w:val="FF0000"/>
        <w:spacing w:val="-20"/>
        <w:sz w:val="24"/>
        <w:szCs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F551" w14:textId="77777777" w:rsidR="00C96111" w:rsidRPr="00C96111" w:rsidRDefault="00C96111" w:rsidP="00C96111">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0D50" w14:textId="081F3CF9" w:rsidR="00C96111" w:rsidRPr="009500E0" w:rsidRDefault="00C96111" w:rsidP="00130A51">
    <w:pPr>
      <w:pStyle w:val="Heading"/>
      <w:keepNext w:val="0"/>
      <w:widowControl/>
      <w:spacing w:after="0" w:line="240" w:lineRule="auto"/>
      <w:ind w:left="1418" w:hanging="1418"/>
      <w:jc w:val="center"/>
      <w:rPr>
        <w:rFonts w:ascii="Times New Roman" w:eastAsia="Calibri" w:hAnsi="Times New Roman" w:cs="Times New Roman"/>
        <w:b w:val="0"/>
        <w:sz w:val="20"/>
        <w:szCs w:val="20"/>
        <w:lang w:val="en-US"/>
      </w:rPr>
    </w:pPr>
    <w:r w:rsidRPr="009500E0">
      <w:rPr>
        <w:rFonts w:ascii="Times New Roman" w:hAnsi="Times New Roman" w:cs="Times New Roman"/>
        <w:color w:val="FF0000"/>
        <w:spacing w:val="-20"/>
        <w:sz w:val="24"/>
        <w:szCs w:val="24"/>
      </w:rPr>
      <w:t>OFFICIAL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826F" w14:textId="77777777" w:rsidR="00C96111" w:rsidRPr="009500E0" w:rsidRDefault="00C96111" w:rsidP="00C96111">
    <w:pPr>
      <w:pStyle w:val="Heading"/>
      <w:keepNext w:val="0"/>
      <w:widowControl/>
      <w:spacing w:after="0" w:line="240" w:lineRule="auto"/>
      <w:ind w:left="1418" w:hanging="1418"/>
      <w:jc w:val="center"/>
      <w:rPr>
        <w:rFonts w:ascii="Times New Roman" w:hAnsi="Times New Roman" w:cs="Times New Roman"/>
        <w:color w:val="FF0000"/>
        <w:spacing w:val="-20"/>
        <w:sz w:val="24"/>
        <w:szCs w:val="24"/>
      </w:rPr>
    </w:pPr>
    <w:r w:rsidRPr="009500E0">
      <w:rPr>
        <w:rFonts w:ascii="Times New Roman" w:hAnsi="Times New Roman" w:cs="Times New Roman"/>
        <w:color w:val="FF0000"/>
        <w:spacing w:val="-20"/>
        <w:sz w:val="24"/>
        <w:szCs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66D"/>
    <w:multiLevelType w:val="hybridMultilevel"/>
    <w:tmpl w:val="D80277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814561"/>
    <w:multiLevelType w:val="hybridMultilevel"/>
    <w:tmpl w:val="A588C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D93CAE"/>
    <w:multiLevelType w:val="hybridMultilevel"/>
    <w:tmpl w:val="5854F3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942504B"/>
    <w:multiLevelType w:val="hybridMultilevel"/>
    <w:tmpl w:val="177A012A"/>
    <w:lvl w:ilvl="0" w:tplc="596E6B70">
      <w:start w:val="3"/>
      <w:numFmt w:val="bullet"/>
      <w:lvlText w:val="­"/>
      <w:lvlJc w:val="left"/>
      <w:pPr>
        <w:ind w:left="360" w:hanging="360"/>
      </w:pPr>
      <w:rPr>
        <w:rFonts w:ascii="Courier New" w:eastAsiaTheme="minorHAnsi"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0E6704D"/>
    <w:multiLevelType w:val="hybridMultilevel"/>
    <w:tmpl w:val="F23C6C7A"/>
    <w:lvl w:ilvl="0" w:tplc="596E6B70">
      <w:start w:val="3"/>
      <w:numFmt w:val="bullet"/>
      <w:lvlText w:val="­"/>
      <w:lvlJc w:val="left"/>
      <w:pPr>
        <w:ind w:left="360" w:hanging="360"/>
      </w:pPr>
      <w:rPr>
        <w:rFonts w:ascii="Courier New" w:eastAsiaTheme="minorHAnsi"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5327BE"/>
    <w:multiLevelType w:val="hybridMultilevel"/>
    <w:tmpl w:val="C0F878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747735"/>
    <w:multiLevelType w:val="hybridMultilevel"/>
    <w:tmpl w:val="DE784D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CF4EE9"/>
    <w:multiLevelType w:val="hybridMultilevel"/>
    <w:tmpl w:val="EF006C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FB464C7"/>
    <w:multiLevelType w:val="multilevel"/>
    <w:tmpl w:val="515499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i w:val="0"/>
        <w:color w:val="auto"/>
        <w:sz w:val="26"/>
        <w:szCs w:val="26"/>
      </w:rPr>
    </w:lvl>
    <w:lvl w:ilvl="2">
      <w:start w:val="1"/>
      <w:numFmt w:val="decimal"/>
      <w:pStyle w:val="Heading3"/>
      <w:lvlText w:val="%1.%2.%3"/>
      <w:lvlJc w:val="left"/>
      <w:pPr>
        <w:ind w:left="720" w:hanging="720"/>
      </w:pPr>
      <w:rPr>
        <w:rFonts w:hint="default"/>
        <w:b/>
        <w:bCs w:val="0"/>
        <w:i w:val="0"/>
        <w:iCs/>
      </w:rPr>
    </w:lvl>
    <w:lvl w:ilvl="3">
      <w:start w:val="1"/>
      <w:numFmt w:val="decimal"/>
      <w:pStyle w:val="Heading4"/>
      <w:lvlText w:val="%1.%2.%3.%4"/>
      <w:lvlJc w:val="left"/>
      <w:pPr>
        <w:ind w:left="864"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4CA2272"/>
    <w:multiLevelType w:val="hybridMultilevel"/>
    <w:tmpl w:val="4B906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104847"/>
    <w:multiLevelType w:val="hybridMultilevel"/>
    <w:tmpl w:val="59AA2832"/>
    <w:lvl w:ilvl="0" w:tplc="0C090001">
      <w:start w:val="1"/>
      <w:numFmt w:val="bullet"/>
      <w:lvlText w:val=""/>
      <w:lvlJc w:val="left"/>
      <w:pPr>
        <w:ind w:left="360" w:hanging="360"/>
      </w:pPr>
      <w:rPr>
        <w:rFonts w:ascii="Symbol" w:hAnsi="Symbol" w:hint="default"/>
      </w:rPr>
    </w:lvl>
    <w:lvl w:ilvl="1" w:tplc="812A98BE">
      <w:numFmt w:val="bullet"/>
      <w:lvlText w:val="•"/>
      <w:lvlJc w:val="left"/>
      <w:pPr>
        <w:ind w:left="1440" w:hanging="720"/>
      </w:pPr>
      <w:rPr>
        <w:rFonts w:ascii="Arial" w:eastAsiaTheme="minorEastAs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F84EAB"/>
    <w:multiLevelType w:val="hybridMultilevel"/>
    <w:tmpl w:val="9998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253256"/>
    <w:multiLevelType w:val="hybridMultilevel"/>
    <w:tmpl w:val="13340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982DEC"/>
    <w:multiLevelType w:val="hybridMultilevel"/>
    <w:tmpl w:val="07F007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CB7094F"/>
    <w:multiLevelType w:val="hybridMultilevel"/>
    <w:tmpl w:val="B9E29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103BE1"/>
    <w:multiLevelType w:val="hybridMultilevel"/>
    <w:tmpl w:val="9F923B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41FB01A5"/>
    <w:multiLevelType w:val="hybridMultilevel"/>
    <w:tmpl w:val="A0B4C4F4"/>
    <w:lvl w:ilvl="0" w:tplc="596E6B70">
      <w:start w:val="3"/>
      <w:numFmt w:val="bullet"/>
      <w:lvlText w:val="­"/>
      <w:lvlJc w:val="left"/>
      <w:pPr>
        <w:ind w:left="360" w:hanging="360"/>
      </w:pPr>
      <w:rPr>
        <w:rFonts w:ascii="Courier New" w:eastAsiaTheme="minorHAnsi"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C244192"/>
    <w:multiLevelType w:val="hybridMultilevel"/>
    <w:tmpl w:val="9C8410DA"/>
    <w:lvl w:ilvl="0" w:tplc="596E6B70">
      <w:start w:val="3"/>
      <w:numFmt w:val="bullet"/>
      <w:lvlText w:val="­"/>
      <w:lvlJc w:val="left"/>
      <w:pPr>
        <w:ind w:left="720" w:hanging="360"/>
      </w:pPr>
      <w:rPr>
        <w:rFonts w:ascii="Courier New" w:eastAsiaTheme="minorHAnsi"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DA208DD"/>
    <w:multiLevelType w:val="hybridMultilevel"/>
    <w:tmpl w:val="CE5E75FC"/>
    <w:lvl w:ilvl="0" w:tplc="7750DB46">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53292097"/>
    <w:multiLevelType w:val="hybridMultilevel"/>
    <w:tmpl w:val="9A66C5A6"/>
    <w:lvl w:ilvl="0" w:tplc="0B2E21CC">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534C4002"/>
    <w:multiLevelType w:val="hybridMultilevel"/>
    <w:tmpl w:val="3C40AF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9CB16CC"/>
    <w:multiLevelType w:val="hybridMultilevel"/>
    <w:tmpl w:val="ACB40A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5F493F0F"/>
    <w:multiLevelType w:val="multilevel"/>
    <w:tmpl w:val="7C589FDA"/>
    <w:lvl w:ilvl="0">
      <w:start w:val="1"/>
      <w:numFmt w:val="decimal"/>
      <w:pStyle w:val="List"/>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A64995"/>
    <w:multiLevelType w:val="hybridMultilevel"/>
    <w:tmpl w:val="1B3C2490"/>
    <w:lvl w:ilvl="0" w:tplc="596E6B70">
      <w:start w:val="3"/>
      <w:numFmt w:val="bullet"/>
      <w:lvlText w:val="­"/>
      <w:lvlJc w:val="left"/>
      <w:pPr>
        <w:ind w:left="360" w:hanging="360"/>
      </w:pPr>
      <w:rPr>
        <w:rFonts w:ascii="Courier New" w:eastAsiaTheme="minorHAnsi"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6FCF396C"/>
    <w:multiLevelType w:val="hybridMultilevel"/>
    <w:tmpl w:val="E4E00C1E"/>
    <w:lvl w:ilvl="0" w:tplc="D572392E">
      <w:start w:val="1"/>
      <w:numFmt w:val="bullet"/>
      <w:pStyle w:val="ListBullet"/>
      <w:lvlText w:val=""/>
      <w:lvlJc w:val="left"/>
      <w:pPr>
        <w:ind w:left="360" w:hanging="360"/>
      </w:pPr>
      <w:rPr>
        <w:rFonts w:ascii="Symbol" w:hAnsi="Symbol" w:hint="default"/>
        <w:color w:val="000000"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2C5DCB"/>
    <w:multiLevelType w:val="hybridMultilevel"/>
    <w:tmpl w:val="E3745E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5005EFA"/>
    <w:multiLevelType w:val="hybridMultilevel"/>
    <w:tmpl w:val="BB1E1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3837FE"/>
    <w:multiLevelType w:val="hybridMultilevel"/>
    <w:tmpl w:val="9496B9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99F1A4A"/>
    <w:multiLevelType w:val="hybridMultilevel"/>
    <w:tmpl w:val="9244B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620181">
    <w:abstractNumId w:val="22"/>
  </w:num>
  <w:num w:numId="2" w16cid:durableId="1350182707">
    <w:abstractNumId w:val="24"/>
  </w:num>
  <w:num w:numId="3" w16cid:durableId="991327101">
    <w:abstractNumId w:val="8"/>
  </w:num>
  <w:num w:numId="4" w16cid:durableId="1308585602">
    <w:abstractNumId w:val="1"/>
  </w:num>
  <w:num w:numId="5" w16cid:durableId="603998077">
    <w:abstractNumId w:val="10"/>
  </w:num>
  <w:num w:numId="6" w16cid:durableId="843471547">
    <w:abstractNumId w:val="12"/>
  </w:num>
  <w:num w:numId="7" w16cid:durableId="2117678231">
    <w:abstractNumId w:val="5"/>
  </w:num>
  <w:num w:numId="8" w16cid:durableId="75100844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4665973">
    <w:abstractNumId w:val="2"/>
  </w:num>
  <w:num w:numId="10" w16cid:durableId="653609685">
    <w:abstractNumId w:val="13"/>
  </w:num>
  <w:num w:numId="11" w16cid:durableId="1338390155">
    <w:abstractNumId w:val="7"/>
  </w:num>
  <w:num w:numId="12" w16cid:durableId="904004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2154090">
    <w:abstractNumId w:val="21"/>
  </w:num>
  <w:num w:numId="14" w16cid:durableId="837157390">
    <w:abstractNumId w:val="15"/>
  </w:num>
  <w:num w:numId="15" w16cid:durableId="19041003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556218">
    <w:abstractNumId w:val="17"/>
  </w:num>
  <w:num w:numId="17" w16cid:durableId="1594631495">
    <w:abstractNumId w:val="0"/>
  </w:num>
  <w:num w:numId="18" w16cid:durableId="1575117751">
    <w:abstractNumId w:val="25"/>
  </w:num>
  <w:num w:numId="19" w16cid:durableId="260722618">
    <w:abstractNumId w:val="14"/>
  </w:num>
  <w:num w:numId="20" w16cid:durableId="1613317055">
    <w:abstractNumId w:val="16"/>
  </w:num>
  <w:num w:numId="21" w16cid:durableId="430129936">
    <w:abstractNumId w:val="6"/>
  </w:num>
  <w:num w:numId="22" w16cid:durableId="1171726127">
    <w:abstractNumId w:val="20"/>
  </w:num>
  <w:num w:numId="23" w16cid:durableId="1588803055">
    <w:abstractNumId w:val="4"/>
  </w:num>
  <w:num w:numId="24" w16cid:durableId="2066372531">
    <w:abstractNumId w:val="3"/>
  </w:num>
  <w:num w:numId="25" w16cid:durableId="65149545">
    <w:abstractNumId w:val="23"/>
  </w:num>
  <w:num w:numId="26" w16cid:durableId="2108185299">
    <w:abstractNumId w:val="27"/>
  </w:num>
  <w:num w:numId="27" w16cid:durableId="1392383109">
    <w:abstractNumId w:val="8"/>
    <w:lvlOverride w:ilvl="0">
      <w:startOverride w:val="1"/>
    </w:lvlOverride>
  </w:num>
  <w:num w:numId="28" w16cid:durableId="1781990593">
    <w:abstractNumId w:val="18"/>
  </w:num>
  <w:num w:numId="29" w16cid:durableId="1984970162">
    <w:abstractNumId w:val="11"/>
  </w:num>
  <w:num w:numId="30" w16cid:durableId="1143279836">
    <w:abstractNumId w:val="28"/>
  </w:num>
  <w:num w:numId="31" w16cid:durableId="1290164834">
    <w:abstractNumId w:val="26"/>
  </w:num>
  <w:num w:numId="32" w16cid:durableId="747578516">
    <w:abstractNumId w:val="9"/>
  </w:num>
  <w:num w:numId="33" w16cid:durableId="4950770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6443435">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7C"/>
    <w:rsid w:val="00000EE4"/>
    <w:rsid w:val="00002A6E"/>
    <w:rsid w:val="00002F14"/>
    <w:rsid w:val="000041BD"/>
    <w:rsid w:val="00004AB5"/>
    <w:rsid w:val="0000582B"/>
    <w:rsid w:val="000065FF"/>
    <w:rsid w:val="000073B3"/>
    <w:rsid w:val="0001029A"/>
    <w:rsid w:val="00013084"/>
    <w:rsid w:val="00014B78"/>
    <w:rsid w:val="000154CA"/>
    <w:rsid w:val="0001582B"/>
    <w:rsid w:val="00015C4E"/>
    <w:rsid w:val="0001663F"/>
    <w:rsid w:val="00020A14"/>
    <w:rsid w:val="00020C16"/>
    <w:rsid w:val="000215F6"/>
    <w:rsid w:val="0002311B"/>
    <w:rsid w:val="00034EB4"/>
    <w:rsid w:val="00034F73"/>
    <w:rsid w:val="000360EB"/>
    <w:rsid w:val="000406EB"/>
    <w:rsid w:val="00042FC1"/>
    <w:rsid w:val="00044892"/>
    <w:rsid w:val="00047542"/>
    <w:rsid w:val="000509B8"/>
    <w:rsid w:val="000518F6"/>
    <w:rsid w:val="00053420"/>
    <w:rsid w:val="00060567"/>
    <w:rsid w:val="000613A8"/>
    <w:rsid w:val="00063D96"/>
    <w:rsid w:val="0006477D"/>
    <w:rsid w:val="00067365"/>
    <w:rsid w:val="00070073"/>
    <w:rsid w:val="0007027C"/>
    <w:rsid w:val="00073E48"/>
    <w:rsid w:val="00075728"/>
    <w:rsid w:val="00076016"/>
    <w:rsid w:val="00080A8D"/>
    <w:rsid w:val="00082CA2"/>
    <w:rsid w:val="00082EB2"/>
    <w:rsid w:val="00090F87"/>
    <w:rsid w:val="0009482A"/>
    <w:rsid w:val="000963CC"/>
    <w:rsid w:val="000974CF"/>
    <w:rsid w:val="000A07D5"/>
    <w:rsid w:val="000A7D33"/>
    <w:rsid w:val="000B1882"/>
    <w:rsid w:val="000B293D"/>
    <w:rsid w:val="000B3CCF"/>
    <w:rsid w:val="000B585D"/>
    <w:rsid w:val="000C2E26"/>
    <w:rsid w:val="000C32AE"/>
    <w:rsid w:val="000C4697"/>
    <w:rsid w:val="000C5DCA"/>
    <w:rsid w:val="000C5F30"/>
    <w:rsid w:val="000D107E"/>
    <w:rsid w:val="000D2028"/>
    <w:rsid w:val="000D3137"/>
    <w:rsid w:val="000D63D5"/>
    <w:rsid w:val="000E0824"/>
    <w:rsid w:val="000E3D44"/>
    <w:rsid w:val="000E708A"/>
    <w:rsid w:val="000F0434"/>
    <w:rsid w:val="000F0807"/>
    <w:rsid w:val="000F0F52"/>
    <w:rsid w:val="000F1415"/>
    <w:rsid w:val="000F4958"/>
    <w:rsid w:val="000F7609"/>
    <w:rsid w:val="0010133B"/>
    <w:rsid w:val="00105BE5"/>
    <w:rsid w:val="00112C57"/>
    <w:rsid w:val="00113C6B"/>
    <w:rsid w:val="00114049"/>
    <w:rsid w:val="00115CAD"/>
    <w:rsid w:val="0012034A"/>
    <w:rsid w:val="00121A40"/>
    <w:rsid w:val="001220CB"/>
    <w:rsid w:val="00122947"/>
    <w:rsid w:val="001265F0"/>
    <w:rsid w:val="00126A43"/>
    <w:rsid w:val="00127F25"/>
    <w:rsid w:val="00127FF4"/>
    <w:rsid w:val="00130499"/>
    <w:rsid w:val="00130A51"/>
    <w:rsid w:val="00131A40"/>
    <w:rsid w:val="0013660C"/>
    <w:rsid w:val="0014193F"/>
    <w:rsid w:val="00141CCF"/>
    <w:rsid w:val="001438DF"/>
    <w:rsid w:val="00143B13"/>
    <w:rsid w:val="00145E5E"/>
    <w:rsid w:val="00146CF4"/>
    <w:rsid w:val="00151C58"/>
    <w:rsid w:val="00152B81"/>
    <w:rsid w:val="0015697D"/>
    <w:rsid w:val="001600A4"/>
    <w:rsid w:val="00160A1D"/>
    <w:rsid w:val="0016503A"/>
    <w:rsid w:val="0016701A"/>
    <w:rsid w:val="00167A87"/>
    <w:rsid w:val="00171D39"/>
    <w:rsid w:val="00172E65"/>
    <w:rsid w:val="00173807"/>
    <w:rsid w:val="00173A7C"/>
    <w:rsid w:val="00176A76"/>
    <w:rsid w:val="00176DDB"/>
    <w:rsid w:val="001800C1"/>
    <w:rsid w:val="00180AFB"/>
    <w:rsid w:val="00183181"/>
    <w:rsid w:val="0018361E"/>
    <w:rsid w:val="0018566E"/>
    <w:rsid w:val="00187C31"/>
    <w:rsid w:val="00191306"/>
    <w:rsid w:val="001926B0"/>
    <w:rsid w:val="00193EEF"/>
    <w:rsid w:val="001950D4"/>
    <w:rsid w:val="00195398"/>
    <w:rsid w:val="001963F6"/>
    <w:rsid w:val="00196752"/>
    <w:rsid w:val="00196A2F"/>
    <w:rsid w:val="001A0C61"/>
    <w:rsid w:val="001A14B1"/>
    <w:rsid w:val="001A1667"/>
    <w:rsid w:val="001A2792"/>
    <w:rsid w:val="001A4095"/>
    <w:rsid w:val="001A5187"/>
    <w:rsid w:val="001B05D0"/>
    <w:rsid w:val="001B06E4"/>
    <w:rsid w:val="001B280B"/>
    <w:rsid w:val="001B3884"/>
    <w:rsid w:val="001B59B0"/>
    <w:rsid w:val="001B73FF"/>
    <w:rsid w:val="001C0433"/>
    <w:rsid w:val="001C0BFA"/>
    <w:rsid w:val="001C1CF8"/>
    <w:rsid w:val="001C576D"/>
    <w:rsid w:val="001C7028"/>
    <w:rsid w:val="001D1AA4"/>
    <w:rsid w:val="001D4B6C"/>
    <w:rsid w:val="001D70FC"/>
    <w:rsid w:val="001D78B5"/>
    <w:rsid w:val="001D7914"/>
    <w:rsid w:val="001E1C2A"/>
    <w:rsid w:val="001E27DD"/>
    <w:rsid w:val="001E3CB9"/>
    <w:rsid w:val="001E47E7"/>
    <w:rsid w:val="001E5579"/>
    <w:rsid w:val="001F02B1"/>
    <w:rsid w:val="001F432B"/>
    <w:rsid w:val="001F63DD"/>
    <w:rsid w:val="00205477"/>
    <w:rsid w:val="00205D98"/>
    <w:rsid w:val="002064A4"/>
    <w:rsid w:val="00212E4C"/>
    <w:rsid w:val="00212FAA"/>
    <w:rsid w:val="002179FC"/>
    <w:rsid w:val="00221978"/>
    <w:rsid w:val="00221B40"/>
    <w:rsid w:val="0022259B"/>
    <w:rsid w:val="00223624"/>
    <w:rsid w:val="002255A2"/>
    <w:rsid w:val="00227323"/>
    <w:rsid w:val="00227388"/>
    <w:rsid w:val="00232784"/>
    <w:rsid w:val="00232D59"/>
    <w:rsid w:val="00232D81"/>
    <w:rsid w:val="00234713"/>
    <w:rsid w:val="00237822"/>
    <w:rsid w:val="00237852"/>
    <w:rsid w:val="0024028A"/>
    <w:rsid w:val="00240909"/>
    <w:rsid w:val="00243C4E"/>
    <w:rsid w:val="00244E57"/>
    <w:rsid w:val="0025154B"/>
    <w:rsid w:val="00252AA1"/>
    <w:rsid w:val="00252E39"/>
    <w:rsid w:val="00253252"/>
    <w:rsid w:val="00253341"/>
    <w:rsid w:val="00253E45"/>
    <w:rsid w:val="00254791"/>
    <w:rsid w:val="00255117"/>
    <w:rsid w:val="00256B88"/>
    <w:rsid w:val="00256E3F"/>
    <w:rsid w:val="00261E7A"/>
    <w:rsid w:val="00264F45"/>
    <w:rsid w:val="00265011"/>
    <w:rsid w:val="00266494"/>
    <w:rsid w:val="00266956"/>
    <w:rsid w:val="0026790F"/>
    <w:rsid w:val="002731BC"/>
    <w:rsid w:val="002757BF"/>
    <w:rsid w:val="00277680"/>
    <w:rsid w:val="00277946"/>
    <w:rsid w:val="00283E83"/>
    <w:rsid w:val="0029523A"/>
    <w:rsid w:val="002A0C0C"/>
    <w:rsid w:val="002A2E97"/>
    <w:rsid w:val="002A4FEF"/>
    <w:rsid w:val="002A56EC"/>
    <w:rsid w:val="002A6FDB"/>
    <w:rsid w:val="002A7118"/>
    <w:rsid w:val="002B03D0"/>
    <w:rsid w:val="002B04F3"/>
    <w:rsid w:val="002B23FE"/>
    <w:rsid w:val="002B29E4"/>
    <w:rsid w:val="002B42E5"/>
    <w:rsid w:val="002B4D07"/>
    <w:rsid w:val="002B60E3"/>
    <w:rsid w:val="002B70A7"/>
    <w:rsid w:val="002C13C6"/>
    <w:rsid w:val="002C50E4"/>
    <w:rsid w:val="002C54E0"/>
    <w:rsid w:val="002C6E9D"/>
    <w:rsid w:val="002C728D"/>
    <w:rsid w:val="002D25FE"/>
    <w:rsid w:val="002D299A"/>
    <w:rsid w:val="002E10FD"/>
    <w:rsid w:val="002E48AF"/>
    <w:rsid w:val="002E5E99"/>
    <w:rsid w:val="002F2A3C"/>
    <w:rsid w:val="002F48A2"/>
    <w:rsid w:val="002F50B6"/>
    <w:rsid w:val="002F53EE"/>
    <w:rsid w:val="002F5693"/>
    <w:rsid w:val="002F639D"/>
    <w:rsid w:val="002F6562"/>
    <w:rsid w:val="00300BAD"/>
    <w:rsid w:val="00300EA3"/>
    <w:rsid w:val="00301662"/>
    <w:rsid w:val="003016AB"/>
    <w:rsid w:val="00302778"/>
    <w:rsid w:val="00303684"/>
    <w:rsid w:val="003036DB"/>
    <w:rsid w:val="00307C02"/>
    <w:rsid w:val="0031697F"/>
    <w:rsid w:val="00316CE9"/>
    <w:rsid w:val="003177ED"/>
    <w:rsid w:val="0031799F"/>
    <w:rsid w:val="003209C8"/>
    <w:rsid w:val="00321FE5"/>
    <w:rsid w:val="00322ED1"/>
    <w:rsid w:val="00324FE9"/>
    <w:rsid w:val="00327840"/>
    <w:rsid w:val="00331E8A"/>
    <w:rsid w:val="003365FD"/>
    <w:rsid w:val="00340078"/>
    <w:rsid w:val="00342321"/>
    <w:rsid w:val="003431A6"/>
    <w:rsid w:val="003434BB"/>
    <w:rsid w:val="003522DE"/>
    <w:rsid w:val="00352704"/>
    <w:rsid w:val="003537ED"/>
    <w:rsid w:val="003560DE"/>
    <w:rsid w:val="00361358"/>
    <w:rsid w:val="00361413"/>
    <w:rsid w:val="003624AC"/>
    <w:rsid w:val="00362D48"/>
    <w:rsid w:val="003636AF"/>
    <w:rsid w:val="00364EDE"/>
    <w:rsid w:val="00367438"/>
    <w:rsid w:val="00374105"/>
    <w:rsid w:val="0037417F"/>
    <w:rsid w:val="0037461B"/>
    <w:rsid w:val="00376EFC"/>
    <w:rsid w:val="0037708A"/>
    <w:rsid w:val="00377669"/>
    <w:rsid w:val="0038185C"/>
    <w:rsid w:val="00382632"/>
    <w:rsid w:val="003850A5"/>
    <w:rsid w:val="00387659"/>
    <w:rsid w:val="003879B9"/>
    <w:rsid w:val="00387BDA"/>
    <w:rsid w:val="003908DC"/>
    <w:rsid w:val="003917DB"/>
    <w:rsid w:val="00391A95"/>
    <w:rsid w:val="0039234A"/>
    <w:rsid w:val="0039717E"/>
    <w:rsid w:val="00397DCD"/>
    <w:rsid w:val="003A08FA"/>
    <w:rsid w:val="003A62B5"/>
    <w:rsid w:val="003B240E"/>
    <w:rsid w:val="003B3D50"/>
    <w:rsid w:val="003B483C"/>
    <w:rsid w:val="003B765B"/>
    <w:rsid w:val="003C0BE9"/>
    <w:rsid w:val="003C1196"/>
    <w:rsid w:val="003C3F3C"/>
    <w:rsid w:val="003C4C58"/>
    <w:rsid w:val="003C5200"/>
    <w:rsid w:val="003C5423"/>
    <w:rsid w:val="003C5FCF"/>
    <w:rsid w:val="003C6B4E"/>
    <w:rsid w:val="003C6C42"/>
    <w:rsid w:val="003D1265"/>
    <w:rsid w:val="003D162A"/>
    <w:rsid w:val="003D1E32"/>
    <w:rsid w:val="003D2476"/>
    <w:rsid w:val="003D55AB"/>
    <w:rsid w:val="003D7AC9"/>
    <w:rsid w:val="003E4BA1"/>
    <w:rsid w:val="003E7F0E"/>
    <w:rsid w:val="003F31E2"/>
    <w:rsid w:val="003F429C"/>
    <w:rsid w:val="0040065A"/>
    <w:rsid w:val="004037C3"/>
    <w:rsid w:val="00404068"/>
    <w:rsid w:val="0040666C"/>
    <w:rsid w:val="004078DA"/>
    <w:rsid w:val="0041008E"/>
    <w:rsid w:val="0041521A"/>
    <w:rsid w:val="00420D64"/>
    <w:rsid w:val="004215A3"/>
    <w:rsid w:val="00421BFC"/>
    <w:rsid w:val="00422257"/>
    <w:rsid w:val="00425DA4"/>
    <w:rsid w:val="00426554"/>
    <w:rsid w:val="00432320"/>
    <w:rsid w:val="00433613"/>
    <w:rsid w:val="00435399"/>
    <w:rsid w:val="00435655"/>
    <w:rsid w:val="00437176"/>
    <w:rsid w:val="00437CC7"/>
    <w:rsid w:val="00440E67"/>
    <w:rsid w:val="00442B30"/>
    <w:rsid w:val="004447AF"/>
    <w:rsid w:val="004468DB"/>
    <w:rsid w:val="00447277"/>
    <w:rsid w:val="00447373"/>
    <w:rsid w:val="00450715"/>
    <w:rsid w:val="00450C3C"/>
    <w:rsid w:val="00450E14"/>
    <w:rsid w:val="004513C9"/>
    <w:rsid w:val="004514D6"/>
    <w:rsid w:val="00451A07"/>
    <w:rsid w:val="00452718"/>
    <w:rsid w:val="00454ECC"/>
    <w:rsid w:val="00457161"/>
    <w:rsid w:val="0045719E"/>
    <w:rsid w:val="00457A0C"/>
    <w:rsid w:val="00462CBF"/>
    <w:rsid w:val="004630B7"/>
    <w:rsid w:val="004661C9"/>
    <w:rsid w:val="00466283"/>
    <w:rsid w:val="00466860"/>
    <w:rsid w:val="00466E8C"/>
    <w:rsid w:val="0046759A"/>
    <w:rsid w:val="00476381"/>
    <w:rsid w:val="00476481"/>
    <w:rsid w:val="0047660B"/>
    <w:rsid w:val="00477AB9"/>
    <w:rsid w:val="00477D40"/>
    <w:rsid w:val="00480592"/>
    <w:rsid w:val="00481A6F"/>
    <w:rsid w:val="00482EBF"/>
    <w:rsid w:val="00484AB3"/>
    <w:rsid w:val="004878E1"/>
    <w:rsid w:val="0049253A"/>
    <w:rsid w:val="00492579"/>
    <w:rsid w:val="00495CFA"/>
    <w:rsid w:val="00496A19"/>
    <w:rsid w:val="00496B09"/>
    <w:rsid w:val="00496FD2"/>
    <w:rsid w:val="0049707F"/>
    <w:rsid w:val="004A05EE"/>
    <w:rsid w:val="004A0766"/>
    <w:rsid w:val="004A1953"/>
    <w:rsid w:val="004A3D15"/>
    <w:rsid w:val="004A7881"/>
    <w:rsid w:val="004B09BC"/>
    <w:rsid w:val="004B1090"/>
    <w:rsid w:val="004B1FDA"/>
    <w:rsid w:val="004B289C"/>
    <w:rsid w:val="004B3B65"/>
    <w:rsid w:val="004B5B1F"/>
    <w:rsid w:val="004B6792"/>
    <w:rsid w:val="004B703C"/>
    <w:rsid w:val="004B794B"/>
    <w:rsid w:val="004B79AA"/>
    <w:rsid w:val="004C11AC"/>
    <w:rsid w:val="004C1333"/>
    <w:rsid w:val="004C18FB"/>
    <w:rsid w:val="004C2B4E"/>
    <w:rsid w:val="004C2F9E"/>
    <w:rsid w:val="004D094F"/>
    <w:rsid w:val="004D3292"/>
    <w:rsid w:val="004D4402"/>
    <w:rsid w:val="004D4B81"/>
    <w:rsid w:val="004D5107"/>
    <w:rsid w:val="004D74D5"/>
    <w:rsid w:val="004E2640"/>
    <w:rsid w:val="004E4D8E"/>
    <w:rsid w:val="004F3505"/>
    <w:rsid w:val="004F4521"/>
    <w:rsid w:val="0050136E"/>
    <w:rsid w:val="005031DB"/>
    <w:rsid w:val="0050333A"/>
    <w:rsid w:val="005057F3"/>
    <w:rsid w:val="00506444"/>
    <w:rsid w:val="00506C4F"/>
    <w:rsid w:val="00512ADF"/>
    <w:rsid w:val="005146D2"/>
    <w:rsid w:val="005162F4"/>
    <w:rsid w:val="00516AF4"/>
    <w:rsid w:val="005200E4"/>
    <w:rsid w:val="005276A5"/>
    <w:rsid w:val="00527ED4"/>
    <w:rsid w:val="005303B7"/>
    <w:rsid w:val="0053055B"/>
    <w:rsid w:val="00534569"/>
    <w:rsid w:val="005410E4"/>
    <w:rsid w:val="00546943"/>
    <w:rsid w:val="00547D0E"/>
    <w:rsid w:val="005510F8"/>
    <w:rsid w:val="00554CE1"/>
    <w:rsid w:val="00555C22"/>
    <w:rsid w:val="00556D63"/>
    <w:rsid w:val="00557372"/>
    <w:rsid w:val="00561FFF"/>
    <w:rsid w:val="005626B7"/>
    <w:rsid w:val="0056742D"/>
    <w:rsid w:val="0057113C"/>
    <w:rsid w:val="00571887"/>
    <w:rsid w:val="005738CA"/>
    <w:rsid w:val="005749C1"/>
    <w:rsid w:val="00574C8D"/>
    <w:rsid w:val="005831FF"/>
    <w:rsid w:val="0058361C"/>
    <w:rsid w:val="00587F4F"/>
    <w:rsid w:val="00592989"/>
    <w:rsid w:val="00593C89"/>
    <w:rsid w:val="00595640"/>
    <w:rsid w:val="00596489"/>
    <w:rsid w:val="00596F0C"/>
    <w:rsid w:val="005A0156"/>
    <w:rsid w:val="005A069D"/>
    <w:rsid w:val="005A1B35"/>
    <w:rsid w:val="005A45AA"/>
    <w:rsid w:val="005A76C9"/>
    <w:rsid w:val="005A76F6"/>
    <w:rsid w:val="005A7AAC"/>
    <w:rsid w:val="005B3201"/>
    <w:rsid w:val="005B3225"/>
    <w:rsid w:val="005B52FF"/>
    <w:rsid w:val="005B5CAB"/>
    <w:rsid w:val="005B7076"/>
    <w:rsid w:val="005B7083"/>
    <w:rsid w:val="005B7A97"/>
    <w:rsid w:val="005C16A9"/>
    <w:rsid w:val="005D3F5C"/>
    <w:rsid w:val="005D43D7"/>
    <w:rsid w:val="005D4431"/>
    <w:rsid w:val="005D77B3"/>
    <w:rsid w:val="005E5FB7"/>
    <w:rsid w:val="005E6C03"/>
    <w:rsid w:val="005F1B07"/>
    <w:rsid w:val="005F2DD8"/>
    <w:rsid w:val="005F4B41"/>
    <w:rsid w:val="005F54DD"/>
    <w:rsid w:val="00600760"/>
    <w:rsid w:val="00600C1B"/>
    <w:rsid w:val="00602BD0"/>
    <w:rsid w:val="0060384C"/>
    <w:rsid w:val="00606C54"/>
    <w:rsid w:val="00607061"/>
    <w:rsid w:val="00611B5A"/>
    <w:rsid w:val="00615634"/>
    <w:rsid w:val="00620CA4"/>
    <w:rsid w:val="006219B2"/>
    <w:rsid w:val="00622CD0"/>
    <w:rsid w:val="0062450F"/>
    <w:rsid w:val="00624893"/>
    <w:rsid w:val="00624F5A"/>
    <w:rsid w:val="006254ED"/>
    <w:rsid w:val="00633403"/>
    <w:rsid w:val="006357E5"/>
    <w:rsid w:val="00635A1B"/>
    <w:rsid w:val="0063637D"/>
    <w:rsid w:val="0063694D"/>
    <w:rsid w:val="006376A4"/>
    <w:rsid w:val="00642CDD"/>
    <w:rsid w:val="00645971"/>
    <w:rsid w:val="006507E1"/>
    <w:rsid w:val="0065097F"/>
    <w:rsid w:val="00654D81"/>
    <w:rsid w:val="00661CF5"/>
    <w:rsid w:val="00663A24"/>
    <w:rsid w:val="00666402"/>
    <w:rsid w:val="00670C05"/>
    <w:rsid w:val="00671BB9"/>
    <w:rsid w:val="00672B9D"/>
    <w:rsid w:val="006739C3"/>
    <w:rsid w:val="00674738"/>
    <w:rsid w:val="00675C9F"/>
    <w:rsid w:val="006803B4"/>
    <w:rsid w:val="00680E2E"/>
    <w:rsid w:val="00684A8C"/>
    <w:rsid w:val="0068550F"/>
    <w:rsid w:val="00686A87"/>
    <w:rsid w:val="00687911"/>
    <w:rsid w:val="00690C74"/>
    <w:rsid w:val="00690D75"/>
    <w:rsid w:val="00692661"/>
    <w:rsid w:val="0069613E"/>
    <w:rsid w:val="006969C8"/>
    <w:rsid w:val="006A191D"/>
    <w:rsid w:val="006A4F1A"/>
    <w:rsid w:val="006A5DF3"/>
    <w:rsid w:val="006B001A"/>
    <w:rsid w:val="006B07C3"/>
    <w:rsid w:val="006B1ADC"/>
    <w:rsid w:val="006B3662"/>
    <w:rsid w:val="006B57F8"/>
    <w:rsid w:val="006B5AEA"/>
    <w:rsid w:val="006B670A"/>
    <w:rsid w:val="006C0215"/>
    <w:rsid w:val="006C087D"/>
    <w:rsid w:val="006C3E09"/>
    <w:rsid w:val="006C3E71"/>
    <w:rsid w:val="006C47A7"/>
    <w:rsid w:val="006C5524"/>
    <w:rsid w:val="006C5D4F"/>
    <w:rsid w:val="006D0E33"/>
    <w:rsid w:val="006D1CA0"/>
    <w:rsid w:val="006D28CE"/>
    <w:rsid w:val="006D3AAD"/>
    <w:rsid w:val="006D3D97"/>
    <w:rsid w:val="006D4F8D"/>
    <w:rsid w:val="006D542F"/>
    <w:rsid w:val="006D7527"/>
    <w:rsid w:val="006E0800"/>
    <w:rsid w:val="006E3FBE"/>
    <w:rsid w:val="006F3F05"/>
    <w:rsid w:val="006F4346"/>
    <w:rsid w:val="006F512E"/>
    <w:rsid w:val="006F5291"/>
    <w:rsid w:val="006F551A"/>
    <w:rsid w:val="006F6AF1"/>
    <w:rsid w:val="00701CAD"/>
    <w:rsid w:val="00701CF5"/>
    <w:rsid w:val="007042BE"/>
    <w:rsid w:val="00706677"/>
    <w:rsid w:val="007132BA"/>
    <w:rsid w:val="007136C0"/>
    <w:rsid w:val="00715631"/>
    <w:rsid w:val="00715D3E"/>
    <w:rsid w:val="00715D9A"/>
    <w:rsid w:val="00716438"/>
    <w:rsid w:val="00717785"/>
    <w:rsid w:val="00717DD6"/>
    <w:rsid w:val="00720AA6"/>
    <w:rsid w:val="00721849"/>
    <w:rsid w:val="007228C5"/>
    <w:rsid w:val="00722D47"/>
    <w:rsid w:val="00724762"/>
    <w:rsid w:val="00724AD7"/>
    <w:rsid w:val="00727770"/>
    <w:rsid w:val="00730E4B"/>
    <w:rsid w:val="007316C4"/>
    <w:rsid w:val="00740D87"/>
    <w:rsid w:val="00742361"/>
    <w:rsid w:val="00743C52"/>
    <w:rsid w:val="00745618"/>
    <w:rsid w:val="0074620C"/>
    <w:rsid w:val="00746FB1"/>
    <w:rsid w:val="00750A62"/>
    <w:rsid w:val="00750E05"/>
    <w:rsid w:val="00752495"/>
    <w:rsid w:val="00754362"/>
    <w:rsid w:val="00754479"/>
    <w:rsid w:val="007553DB"/>
    <w:rsid w:val="007677BC"/>
    <w:rsid w:val="00772881"/>
    <w:rsid w:val="00772B77"/>
    <w:rsid w:val="00773718"/>
    <w:rsid w:val="0077373D"/>
    <w:rsid w:val="00775A81"/>
    <w:rsid w:val="00775A94"/>
    <w:rsid w:val="00780E66"/>
    <w:rsid w:val="00783C78"/>
    <w:rsid w:val="00783E36"/>
    <w:rsid w:val="00785639"/>
    <w:rsid w:val="00787928"/>
    <w:rsid w:val="007908DD"/>
    <w:rsid w:val="007919E0"/>
    <w:rsid w:val="00795126"/>
    <w:rsid w:val="007A3136"/>
    <w:rsid w:val="007A3ABC"/>
    <w:rsid w:val="007A3C74"/>
    <w:rsid w:val="007A53E5"/>
    <w:rsid w:val="007A60FE"/>
    <w:rsid w:val="007A78EE"/>
    <w:rsid w:val="007B47AF"/>
    <w:rsid w:val="007B523E"/>
    <w:rsid w:val="007C02A3"/>
    <w:rsid w:val="007C034B"/>
    <w:rsid w:val="007C0B72"/>
    <w:rsid w:val="007C128F"/>
    <w:rsid w:val="007C22A5"/>
    <w:rsid w:val="007C430E"/>
    <w:rsid w:val="007C43B5"/>
    <w:rsid w:val="007C4DCB"/>
    <w:rsid w:val="007D05FF"/>
    <w:rsid w:val="007D0BB4"/>
    <w:rsid w:val="007D1292"/>
    <w:rsid w:val="007D3047"/>
    <w:rsid w:val="007D5332"/>
    <w:rsid w:val="007E22DB"/>
    <w:rsid w:val="007E5D51"/>
    <w:rsid w:val="007E66C2"/>
    <w:rsid w:val="007F56B7"/>
    <w:rsid w:val="007F7C2B"/>
    <w:rsid w:val="00802E2C"/>
    <w:rsid w:val="0080403B"/>
    <w:rsid w:val="00804D3E"/>
    <w:rsid w:val="00805A11"/>
    <w:rsid w:val="008069C5"/>
    <w:rsid w:val="00806CD0"/>
    <w:rsid w:val="008109BA"/>
    <w:rsid w:val="00811202"/>
    <w:rsid w:val="00812BE8"/>
    <w:rsid w:val="00817CFB"/>
    <w:rsid w:val="00821236"/>
    <w:rsid w:val="008212C1"/>
    <w:rsid w:val="00821A53"/>
    <w:rsid w:val="00822B99"/>
    <w:rsid w:val="00822C7B"/>
    <w:rsid w:val="00823D39"/>
    <w:rsid w:val="0082555B"/>
    <w:rsid w:val="008265B3"/>
    <w:rsid w:val="00827937"/>
    <w:rsid w:val="008307F3"/>
    <w:rsid w:val="008327B8"/>
    <w:rsid w:val="00835301"/>
    <w:rsid w:val="00841460"/>
    <w:rsid w:val="00841908"/>
    <w:rsid w:val="008465C3"/>
    <w:rsid w:val="008474FC"/>
    <w:rsid w:val="008510DF"/>
    <w:rsid w:val="008512BF"/>
    <w:rsid w:val="00851D28"/>
    <w:rsid w:val="008521BF"/>
    <w:rsid w:val="008552CF"/>
    <w:rsid w:val="0086213F"/>
    <w:rsid w:val="00864359"/>
    <w:rsid w:val="00866718"/>
    <w:rsid w:val="00866CB0"/>
    <w:rsid w:val="00866EF2"/>
    <w:rsid w:val="00867212"/>
    <w:rsid w:val="00867529"/>
    <w:rsid w:val="00867C5F"/>
    <w:rsid w:val="008727F7"/>
    <w:rsid w:val="008745EB"/>
    <w:rsid w:val="0087532D"/>
    <w:rsid w:val="00877ABA"/>
    <w:rsid w:val="00881140"/>
    <w:rsid w:val="00882F7C"/>
    <w:rsid w:val="008845AC"/>
    <w:rsid w:val="00886666"/>
    <w:rsid w:val="00890632"/>
    <w:rsid w:val="00890E55"/>
    <w:rsid w:val="008959C3"/>
    <w:rsid w:val="008A03CA"/>
    <w:rsid w:val="008A052E"/>
    <w:rsid w:val="008A0E8D"/>
    <w:rsid w:val="008A1854"/>
    <w:rsid w:val="008A60AF"/>
    <w:rsid w:val="008A6452"/>
    <w:rsid w:val="008A6D61"/>
    <w:rsid w:val="008B0EE8"/>
    <w:rsid w:val="008B23D6"/>
    <w:rsid w:val="008B31D8"/>
    <w:rsid w:val="008B3D53"/>
    <w:rsid w:val="008B64FE"/>
    <w:rsid w:val="008B6974"/>
    <w:rsid w:val="008B735C"/>
    <w:rsid w:val="008C1E14"/>
    <w:rsid w:val="008C3D86"/>
    <w:rsid w:val="008D034D"/>
    <w:rsid w:val="008D12EC"/>
    <w:rsid w:val="008E64F8"/>
    <w:rsid w:val="008E7709"/>
    <w:rsid w:val="008F0078"/>
    <w:rsid w:val="008F0230"/>
    <w:rsid w:val="008F04C8"/>
    <w:rsid w:val="008F05CC"/>
    <w:rsid w:val="008F130D"/>
    <w:rsid w:val="008F3951"/>
    <w:rsid w:val="008F5488"/>
    <w:rsid w:val="008F67AC"/>
    <w:rsid w:val="008F7729"/>
    <w:rsid w:val="009009AF"/>
    <w:rsid w:val="00901475"/>
    <w:rsid w:val="00904254"/>
    <w:rsid w:val="009046C7"/>
    <w:rsid w:val="009065CE"/>
    <w:rsid w:val="00907216"/>
    <w:rsid w:val="00907DC9"/>
    <w:rsid w:val="009134C6"/>
    <w:rsid w:val="00913F57"/>
    <w:rsid w:val="009140B3"/>
    <w:rsid w:val="00916DB6"/>
    <w:rsid w:val="00920A07"/>
    <w:rsid w:val="00922C4C"/>
    <w:rsid w:val="00924D40"/>
    <w:rsid w:val="00925229"/>
    <w:rsid w:val="00925A2A"/>
    <w:rsid w:val="0092669A"/>
    <w:rsid w:val="00930DE9"/>
    <w:rsid w:val="00931FD3"/>
    <w:rsid w:val="009331CD"/>
    <w:rsid w:val="0093400E"/>
    <w:rsid w:val="009355BC"/>
    <w:rsid w:val="00935FAA"/>
    <w:rsid w:val="00936067"/>
    <w:rsid w:val="00937153"/>
    <w:rsid w:val="00937353"/>
    <w:rsid w:val="009406A0"/>
    <w:rsid w:val="00941BF6"/>
    <w:rsid w:val="00946EEF"/>
    <w:rsid w:val="00947C09"/>
    <w:rsid w:val="009500E0"/>
    <w:rsid w:val="00950B5D"/>
    <w:rsid w:val="009535D1"/>
    <w:rsid w:val="0095513B"/>
    <w:rsid w:val="00955A18"/>
    <w:rsid w:val="009579B0"/>
    <w:rsid w:val="00957E13"/>
    <w:rsid w:val="00961EF4"/>
    <w:rsid w:val="00964040"/>
    <w:rsid w:val="00966EC3"/>
    <w:rsid w:val="00970470"/>
    <w:rsid w:val="00973C4A"/>
    <w:rsid w:val="009743B9"/>
    <w:rsid w:val="00974538"/>
    <w:rsid w:val="00976ED1"/>
    <w:rsid w:val="00977439"/>
    <w:rsid w:val="00977500"/>
    <w:rsid w:val="00982887"/>
    <w:rsid w:val="0098524D"/>
    <w:rsid w:val="00987A3B"/>
    <w:rsid w:val="00987B6B"/>
    <w:rsid w:val="00987C3E"/>
    <w:rsid w:val="00991E1D"/>
    <w:rsid w:val="009A098C"/>
    <w:rsid w:val="009A21A9"/>
    <w:rsid w:val="009A6F74"/>
    <w:rsid w:val="009B1895"/>
    <w:rsid w:val="009B3BCF"/>
    <w:rsid w:val="009B4DEA"/>
    <w:rsid w:val="009B4F34"/>
    <w:rsid w:val="009C0586"/>
    <w:rsid w:val="009C11E0"/>
    <w:rsid w:val="009C1405"/>
    <w:rsid w:val="009C394D"/>
    <w:rsid w:val="009C3E39"/>
    <w:rsid w:val="009C4A92"/>
    <w:rsid w:val="009C6DB1"/>
    <w:rsid w:val="009D00C0"/>
    <w:rsid w:val="009D1587"/>
    <w:rsid w:val="009D1904"/>
    <w:rsid w:val="009D196E"/>
    <w:rsid w:val="009D686C"/>
    <w:rsid w:val="009D6E5B"/>
    <w:rsid w:val="009D7E99"/>
    <w:rsid w:val="009E12B2"/>
    <w:rsid w:val="009E15BD"/>
    <w:rsid w:val="009E17FB"/>
    <w:rsid w:val="009E2A71"/>
    <w:rsid w:val="009E4E53"/>
    <w:rsid w:val="009E6FD0"/>
    <w:rsid w:val="009E72D8"/>
    <w:rsid w:val="009F1243"/>
    <w:rsid w:val="009F52B8"/>
    <w:rsid w:val="009F7566"/>
    <w:rsid w:val="00A001EF"/>
    <w:rsid w:val="00A035BB"/>
    <w:rsid w:val="00A04351"/>
    <w:rsid w:val="00A05172"/>
    <w:rsid w:val="00A054C5"/>
    <w:rsid w:val="00A07C69"/>
    <w:rsid w:val="00A1076B"/>
    <w:rsid w:val="00A1356D"/>
    <w:rsid w:val="00A14383"/>
    <w:rsid w:val="00A14903"/>
    <w:rsid w:val="00A155D6"/>
    <w:rsid w:val="00A20020"/>
    <w:rsid w:val="00A20043"/>
    <w:rsid w:val="00A20733"/>
    <w:rsid w:val="00A21FF3"/>
    <w:rsid w:val="00A224A6"/>
    <w:rsid w:val="00A22D37"/>
    <w:rsid w:val="00A23491"/>
    <w:rsid w:val="00A23E12"/>
    <w:rsid w:val="00A25856"/>
    <w:rsid w:val="00A30691"/>
    <w:rsid w:val="00A30850"/>
    <w:rsid w:val="00A335D5"/>
    <w:rsid w:val="00A341A6"/>
    <w:rsid w:val="00A344BF"/>
    <w:rsid w:val="00A347F4"/>
    <w:rsid w:val="00A34D25"/>
    <w:rsid w:val="00A35ABD"/>
    <w:rsid w:val="00A43388"/>
    <w:rsid w:val="00A440B8"/>
    <w:rsid w:val="00A471CC"/>
    <w:rsid w:val="00A47E5B"/>
    <w:rsid w:val="00A54ABF"/>
    <w:rsid w:val="00A56D64"/>
    <w:rsid w:val="00A56F8C"/>
    <w:rsid w:val="00A62E17"/>
    <w:rsid w:val="00A63946"/>
    <w:rsid w:val="00A63A2E"/>
    <w:rsid w:val="00A64656"/>
    <w:rsid w:val="00A6740E"/>
    <w:rsid w:val="00A6749D"/>
    <w:rsid w:val="00A702B6"/>
    <w:rsid w:val="00A714DD"/>
    <w:rsid w:val="00A722E3"/>
    <w:rsid w:val="00A72A17"/>
    <w:rsid w:val="00A73082"/>
    <w:rsid w:val="00A7540E"/>
    <w:rsid w:val="00A76975"/>
    <w:rsid w:val="00A806DF"/>
    <w:rsid w:val="00A8145A"/>
    <w:rsid w:val="00A8164A"/>
    <w:rsid w:val="00A82674"/>
    <w:rsid w:val="00A84B76"/>
    <w:rsid w:val="00A84E07"/>
    <w:rsid w:val="00A872E7"/>
    <w:rsid w:val="00A9193A"/>
    <w:rsid w:val="00A92217"/>
    <w:rsid w:val="00A9222D"/>
    <w:rsid w:val="00A92CC7"/>
    <w:rsid w:val="00A93EBC"/>
    <w:rsid w:val="00A9422C"/>
    <w:rsid w:val="00A95E99"/>
    <w:rsid w:val="00AA1262"/>
    <w:rsid w:val="00AA1598"/>
    <w:rsid w:val="00AA6A30"/>
    <w:rsid w:val="00AB0B30"/>
    <w:rsid w:val="00AB32E6"/>
    <w:rsid w:val="00AB347E"/>
    <w:rsid w:val="00AB535F"/>
    <w:rsid w:val="00AB7007"/>
    <w:rsid w:val="00AB79EC"/>
    <w:rsid w:val="00AC1C73"/>
    <w:rsid w:val="00AC5328"/>
    <w:rsid w:val="00AD0186"/>
    <w:rsid w:val="00AD04F6"/>
    <w:rsid w:val="00AD24F5"/>
    <w:rsid w:val="00AD2DDD"/>
    <w:rsid w:val="00AD3895"/>
    <w:rsid w:val="00AD3F49"/>
    <w:rsid w:val="00AD4E3F"/>
    <w:rsid w:val="00AE1C95"/>
    <w:rsid w:val="00AE1D56"/>
    <w:rsid w:val="00AE6AB0"/>
    <w:rsid w:val="00AE7594"/>
    <w:rsid w:val="00AF002A"/>
    <w:rsid w:val="00AF04F0"/>
    <w:rsid w:val="00AF25BE"/>
    <w:rsid w:val="00AF3ABF"/>
    <w:rsid w:val="00AF5C8C"/>
    <w:rsid w:val="00B017CF"/>
    <w:rsid w:val="00B03CC8"/>
    <w:rsid w:val="00B07B7B"/>
    <w:rsid w:val="00B136CF"/>
    <w:rsid w:val="00B145A8"/>
    <w:rsid w:val="00B14713"/>
    <w:rsid w:val="00B14F52"/>
    <w:rsid w:val="00B153F7"/>
    <w:rsid w:val="00B15901"/>
    <w:rsid w:val="00B16CD1"/>
    <w:rsid w:val="00B17AAD"/>
    <w:rsid w:val="00B20E9E"/>
    <w:rsid w:val="00B214FE"/>
    <w:rsid w:val="00B22BC0"/>
    <w:rsid w:val="00B23681"/>
    <w:rsid w:val="00B248C5"/>
    <w:rsid w:val="00B259C2"/>
    <w:rsid w:val="00B27FC5"/>
    <w:rsid w:val="00B3065E"/>
    <w:rsid w:val="00B314B0"/>
    <w:rsid w:val="00B314E4"/>
    <w:rsid w:val="00B32B2D"/>
    <w:rsid w:val="00B33C26"/>
    <w:rsid w:val="00B359D3"/>
    <w:rsid w:val="00B35F68"/>
    <w:rsid w:val="00B36095"/>
    <w:rsid w:val="00B368AC"/>
    <w:rsid w:val="00B373AD"/>
    <w:rsid w:val="00B4496A"/>
    <w:rsid w:val="00B465C7"/>
    <w:rsid w:val="00B46A4E"/>
    <w:rsid w:val="00B46EFF"/>
    <w:rsid w:val="00B47A2D"/>
    <w:rsid w:val="00B47B94"/>
    <w:rsid w:val="00B530C4"/>
    <w:rsid w:val="00B53339"/>
    <w:rsid w:val="00B5361F"/>
    <w:rsid w:val="00B545B2"/>
    <w:rsid w:val="00B54668"/>
    <w:rsid w:val="00B55C1D"/>
    <w:rsid w:val="00B5769B"/>
    <w:rsid w:val="00B60135"/>
    <w:rsid w:val="00B61606"/>
    <w:rsid w:val="00B61B6B"/>
    <w:rsid w:val="00B61EBB"/>
    <w:rsid w:val="00B62972"/>
    <w:rsid w:val="00B63CF5"/>
    <w:rsid w:val="00B63DE0"/>
    <w:rsid w:val="00B653CB"/>
    <w:rsid w:val="00B657B6"/>
    <w:rsid w:val="00B70A79"/>
    <w:rsid w:val="00B71271"/>
    <w:rsid w:val="00B71347"/>
    <w:rsid w:val="00B72445"/>
    <w:rsid w:val="00B74483"/>
    <w:rsid w:val="00B760BF"/>
    <w:rsid w:val="00B76430"/>
    <w:rsid w:val="00B76C64"/>
    <w:rsid w:val="00B80BC4"/>
    <w:rsid w:val="00B83E55"/>
    <w:rsid w:val="00B83FE4"/>
    <w:rsid w:val="00B845FC"/>
    <w:rsid w:val="00B93E5F"/>
    <w:rsid w:val="00BA0386"/>
    <w:rsid w:val="00BA1561"/>
    <w:rsid w:val="00BA4755"/>
    <w:rsid w:val="00BA4E4E"/>
    <w:rsid w:val="00BA6BCB"/>
    <w:rsid w:val="00BB29C8"/>
    <w:rsid w:val="00BB7C17"/>
    <w:rsid w:val="00BC1149"/>
    <w:rsid w:val="00BC2859"/>
    <w:rsid w:val="00BC2AE0"/>
    <w:rsid w:val="00BC3473"/>
    <w:rsid w:val="00BC3642"/>
    <w:rsid w:val="00BC49B8"/>
    <w:rsid w:val="00BC5DE4"/>
    <w:rsid w:val="00BC6F54"/>
    <w:rsid w:val="00BC7F6C"/>
    <w:rsid w:val="00BD0B27"/>
    <w:rsid w:val="00BD384A"/>
    <w:rsid w:val="00BD44A7"/>
    <w:rsid w:val="00BE0804"/>
    <w:rsid w:val="00BE17C7"/>
    <w:rsid w:val="00BE2EE7"/>
    <w:rsid w:val="00BE2EEC"/>
    <w:rsid w:val="00BE417C"/>
    <w:rsid w:val="00BE6FB4"/>
    <w:rsid w:val="00BE7497"/>
    <w:rsid w:val="00BF1BBF"/>
    <w:rsid w:val="00BF3B33"/>
    <w:rsid w:val="00BF6254"/>
    <w:rsid w:val="00BF7731"/>
    <w:rsid w:val="00C00070"/>
    <w:rsid w:val="00C02766"/>
    <w:rsid w:val="00C058A4"/>
    <w:rsid w:val="00C074D6"/>
    <w:rsid w:val="00C11E50"/>
    <w:rsid w:val="00C13167"/>
    <w:rsid w:val="00C13D01"/>
    <w:rsid w:val="00C13F8D"/>
    <w:rsid w:val="00C151CC"/>
    <w:rsid w:val="00C156AB"/>
    <w:rsid w:val="00C174CE"/>
    <w:rsid w:val="00C17C6F"/>
    <w:rsid w:val="00C20197"/>
    <w:rsid w:val="00C214A6"/>
    <w:rsid w:val="00C22026"/>
    <w:rsid w:val="00C23129"/>
    <w:rsid w:val="00C26E48"/>
    <w:rsid w:val="00C278DB"/>
    <w:rsid w:val="00C27C8C"/>
    <w:rsid w:val="00C27CCF"/>
    <w:rsid w:val="00C3155D"/>
    <w:rsid w:val="00C338A2"/>
    <w:rsid w:val="00C36FEA"/>
    <w:rsid w:val="00C42D99"/>
    <w:rsid w:val="00C42EF4"/>
    <w:rsid w:val="00C47CF5"/>
    <w:rsid w:val="00C5443B"/>
    <w:rsid w:val="00C56FA7"/>
    <w:rsid w:val="00C57E9F"/>
    <w:rsid w:val="00C667B2"/>
    <w:rsid w:val="00C67C8F"/>
    <w:rsid w:val="00C70609"/>
    <w:rsid w:val="00C73515"/>
    <w:rsid w:val="00C7735E"/>
    <w:rsid w:val="00C800AC"/>
    <w:rsid w:val="00C80A83"/>
    <w:rsid w:val="00C81370"/>
    <w:rsid w:val="00C82120"/>
    <w:rsid w:val="00C8428E"/>
    <w:rsid w:val="00C84559"/>
    <w:rsid w:val="00C85AD6"/>
    <w:rsid w:val="00C91879"/>
    <w:rsid w:val="00C933A0"/>
    <w:rsid w:val="00C93DA1"/>
    <w:rsid w:val="00C944E0"/>
    <w:rsid w:val="00C95DE5"/>
    <w:rsid w:val="00C96111"/>
    <w:rsid w:val="00C97118"/>
    <w:rsid w:val="00CA08C9"/>
    <w:rsid w:val="00CA1DD8"/>
    <w:rsid w:val="00CA401D"/>
    <w:rsid w:val="00CA52AD"/>
    <w:rsid w:val="00CA5C77"/>
    <w:rsid w:val="00CA6204"/>
    <w:rsid w:val="00CB1B81"/>
    <w:rsid w:val="00CB1DC6"/>
    <w:rsid w:val="00CB21C8"/>
    <w:rsid w:val="00CB6971"/>
    <w:rsid w:val="00CC1A60"/>
    <w:rsid w:val="00CC2733"/>
    <w:rsid w:val="00CC34B4"/>
    <w:rsid w:val="00CC7CDA"/>
    <w:rsid w:val="00CD6411"/>
    <w:rsid w:val="00CD7B7D"/>
    <w:rsid w:val="00CE0564"/>
    <w:rsid w:val="00CE4390"/>
    <w:rsid w:val="00CE5860"/>
    <w:rsid w:val="00CF4EE6"/>
    <w:rsid w:val="00D0292A"/>
    <w:rsid w:val="00D050DD"/>
    <w:rsid w:val="00D061E8"/>
    <w:rsid w:val="00D10741"/>
    <w:rsid w:val="00D10E7B"/>
    <w:rsid w:val="00D111B6"/>
    <w:rsid w:val="00D1225A"/>
    <w:rsid w:val="00D1347E"/>
    <w:rsid w:val="00D15D5C"/>
    <w:rsid w:val="00D211B5"/>
    <w:rsid w:val="00D21B0D"/>
    <w:rsid w:val="00D21C26"/>
    <w:rsid w:val="00D22BF7"/>
    <w:rsid w:val="00D249C8"/>
    <w:rsid w:val="00D26F9B"/>
    <w:rsid w:val="00D30EC3"/>
    <w:rsid w:val="00D33393"/>
    <w:rsid w:val="00D408CF"/>
    <w:rsid w:val="00D41B9D"/>
    <w:rsid w:val="00D42B28"/>
    <w:rsid w:val="00D42D0A"/>
    <w:rsid w:val="00D4360A"/>
    <w:rsid w:val="00D445D0"/>
    <w:rsid w:val="00D45666"/>
    <w:rsid w:val="00D45ED5"/>
    <w:rsid w:val="00D47E2E"/>
    <w:rsid w:val="00D53E48"/>
    <w:rsid w:val="00D557EB"/>
    <w:rsid w:val="00D56811"/>
    <w:rsid w:val="00D57D9C"/>
    <w:rsid w:val="00D60407"/>
    <w:rsid w:val="00D60ACF"/>
    <w:rsid w:val="00D629B5"/>
    <w:rsid w:val="00D66F22"/>
    <w:rsid w:val="00D70C12"/>
    <w:rsid w:val="00D70C37"/>
    <w:rsid w:val="00D714CD"/>
    <w:rsid w:val="00D71E2F"/>
    <w:rsid w:val="00D805F3"/>
    <w:rsid w:val="00D80AAD"/>
    <w:rsid w:val="00D84CF8"/>
    <w:rsid w:val="00D85380"/>
    <w:rsid w:val="00D8574F"/>
    <w:rsid w:val="00D86B45"/>
    <w:rsid w:val="00D86DB4"/>
    <w:rsid w:val="00D87638"/>
    <w:rsid w:val="00D90D7F"/>
    <w:rsid w:val="00D92CFF"/>
    <w:rsid w:val="00D93B6C"/>
    <w:rsid w:val="00D95E4C"/>
    <w:rsid w:val="00D96E23"/>
    <w:rsid w:val="00DA05CB"/>
    <w:rsid w:val="00DA0654"/>
    <w:rsid w:val="00DA221E"/>
    <w:rsid w:val="00DA2286"/>
    <w:rsid w:val="00DA6396"/>
    <w:rsid w:val="00DA7799"/>
    <w:rsid w:val="00DA7DD1"/>
    <w:rsid w:val="00DB07D4"/>
    <w:rsid w:val="00DB1309"/>
    <w:rsid w:val="00DB34A4"/>
    <w:rsid w:val="00DB55C6"/>
    <w:rsid w:val="00DB5FCB"/>
    <w:rsid w:val="00DB63F3"/>
    <w:rsid w:val="00DB6F95"/>
    <w:rsid w:val="00DC2292"/>
    <w:rsid w:val="00DC2384"/>
    <w:rsid w:val="00DC3479"/>
    <w:rsid w:val="00DC35FB"/>
    <w:rsid w:val="00DC404F"/>
    <w:rsid w:val="00DC5CCB"/>
    <w:rsid w:val="00DC6826"/>
    <w:rsid w:val="00DC78B9"/>
    <w:rsid w:val="00DD4903"/>
    <w:rsid w:val="00DD5562"/>
    <w:rsid w:val="00DE057C"/>
    <w:rsid w:val="00DE15E2"/>
    <w:rsid w:val="00DE2CCD"/>
    <w:rsid w:val="00DE3FEF"/>
    <w:rsid w:val="00DE53CF"/>
    <w:rsid w:val="00DF6F18"/>
    <w:rsid w:val="00E02069"/>
    <w:rsid w:val="00E02942"/>
    <w:rsid w:val="00E03B22"/>
    <w:rsid w:val="00E05E39"/>
    <w:rsid w:val="00E061AD"/>
    <w:rsid w:val="00E07E70"/>
    <w:rsid w:val="00E1108E"/>
    <w:rsid w:val="00E111D5"/>
    <w:rsid w:val="00E11A20"/>
    <w:rsid w:val="00E16EBF"/>
    <w:rsid w:val="00E252EF"/>
    <w:rsid w:val="00E26218"/>
    <w:rsid w:val="00E26810"/>
    <w:rsid w:val="00E268E1"/>
    <w:rsid w:val="00E303F3"/>
    <w:rsid w:val="00E31EF0"/>
    <w:rsid w:val="00E32A74"/>
    <w:rsid w:val="00E34E09"/>
    <w:rsid w:val="00E35356"/>
    <w:rsid w:val="00E357B9"/>
    <w:rsid w:val="00E3670C"/>
    <w:rsid w:val="00E37E3D"/>
    <w:rsid w:val="00E4131D"/>
    <w:rsid w:val="00E429DA"/>
    <w:rsid w:val="00E4366B"/>
    <w:rsid w:val="00E46FF6"/>
    <w:rsid w:val="00E53AFF"/>
    <w:rsid w:val="00E55161"/>
    <w:rsid w:val="00E562A1"/>
    <w:rsid w:val="00E6061C"/>
    <w:rsid w:val="00E61D06"/>
    <w:rsid w:val="00E636E1"/>
    <w:rsid w:val="00E6642F"/>
    <w:rsid w:val="00E71000"/>
    <w:rsid w:val="00E74095"/>
    <w:rsid w:val="00E767E6"/>
    <w:rsid w:val="00E769AA"/>
    <w:rsid w:val="00E808B3"/>
    <w:rsid w:val="00E83B4A"/>
    <w:rsid w:val="00E84361"/>
    <w:rsid w:val="00E84F5B"/>
    <w:rsid w:val="00E8641E"/>
    <w:rsid w:val="00E86A2B"/>
    <w:rsid w:val="00E91C82"/>
    <w:rsid w:val="00E9514B"/>
    <w:rsid w:val="00E9625D"/>
    <w:rsid w:val="00E97C04"/>
    <w:rsid w:val="00EA06DA"/>
    <w:rsid w:val="00EA12DB"/>
    <w:rsid w:val="00EA2E78"/>
    <w:rsid w:val="00EA33EE"/>
    <w:rsid w:val="00EA4158"/>
    <w:rsid w:val="00EA511C"/>
    <w:rsid w:val="00EB00D5"/>
    <w:rsid w:val="00EB01E1"/>
    <w:rsid w:val="00EB0B1D"/>
    <w:rsid w:val="00EB2096"/>
    <w:rsid w:val="00EB3AC6"/>
    <w:rsid w:val="00EB4FFC"/>
    <w:rsid w:val="00EC052E"/>
    <w:rsid w:val="00EC1391"/>
    <w:rsid w:val="00EC2080"/>
    <w:rsid w:val="00EC4DF5"/>
    <w:rsid w:val="00ED1743"/>
    <w:rsid w:val="00ED5B69"/>
    <w:rsid w:val="00ED69B5"/>
    <w:rsid w:val="00EE1D31"/>
    <w:rsid w:val="00EE61DD"/>
    <w:rsid w:val="00EE7C72"/>
    <w:rsid w:val="00EF0C3B"/>
    <w:rsid w:val="00EF446F"/>
    <w:rsid w:val="00EF4973"/>
    <w:rsid w:val="00F01471"/>
    <w:rsid w:val="00F02F23"/>
    <w:rsid w:val="00F04FBC"/>
    <w:rsid w:val="00F056CA"/>
    <w:rsid w:val="00F109DE"/>
    <w:rsid w:val="00F135FB"/>
    <w:rsid w:val="00F204AF"/>
    <w:rsid w:val="00F20C1B"/>
    <w:rsid w:val="00F229B6"/>
    <w:rsid w:val="00F22AA7"/>
    <w:rsid w:val="00F23947"/>
    <w:rsid w:val="00F23FD1"/>
    <w:rsid w:val="00F24218"/>
    <w:rsid w:val="00F337DC"/>
    <w:rsid w:val="00F34B03"/>
    <w:rsid w:val="00F37591"/>
    <w:rsid w:val="00F3768F"/>
    <w:rsid w:val="00F42928"/>
    <w:rsid w:val="00F429AA"/>
    <w:rsid w:val="00F44660"/>
    <w:rsid w:val="00F44A3B"/>
    <w:rsid w:val="00F475BB"/>
    <w:rsid w:val="00F47860"/>
    <w:rsid w:val="00F51260"/>
    <w:rsid w:val="00F513EF"/>
    <w:rsid w:val="00F5289E"/>
    <w:rsid w:val="00F54817"/>
    <w:rsid w:val="00F549E5"/>
    <w:rsid w:val="00F5599A"/>
    <w:rsid w:val="00F56B96"/>
    <w:rsid w:val="00F56CFF"/>
    <w:rsid w:val="00F66214"/>
    <w:rsid w:val="00F71E5D"/>
    <w:rsid w:val="00F763FC"/>
    <w:rsid w:val="00F804D9"/>
    <w:rsid w:val="00F80CFC"/>
    <w:rsid w:val="00F80D17"/>
    <w:rsid w:val="00F811B1"/>
    <w:rsid w:val="00F81242"/>
    <w:rsid w:val="00F837A9"/>
    <w:rsid w:val="00F85D8A"/>
    <w:rsid w:val="00F921D7"/>
    <w:rsid w:val="00F93763"/>
    <w:rsid w:val="00F93F2D"/>
    <w:rsid w:val="00F947B8"/>
    <w:rsid w:val="00F954FA"/>
    <w:rsid w:val="00F95771"/>
    <w:rsid w:val="00F97BBC"/>
    <w:rsid w:val="00FA17FC"/>
    <w:rsid w:val="00FA1E44"/>
    <w:rsid w:val="00FA26C5"/>
    <w:rsid w:val="00FA68C3"/>
    <w:rsid w:val="00FA71D3"/>
    <w:rsid w:val="00FA71F7"/>
    <w:rsid w:val="00FB336D"/>
    <w:rsid w:val="00FB648C"/>
    <w:rsid w:val="00FB6EEC"/>
    <w:rsid w:val="00FB7CBA"/>
    <w:rsid w:val="00FC28A5"/>
    <w:rsid w:val="00FC394D"/>
    <w:rsid w:val="00FC3FCA"/>
    <w:rsid w:val="00FC78C9"/>
    <w:rsid w:val="00FC7FC8"/>
    <w:rsid w:val="00FD142E"/>
    <w:rsid w:val="00FD1485"/>
    <w:rsid w:val="00FD1F7F"/>
    <w:rsid w:val="00FD2D91"/>
    <w:rsid w:val="00FD3F9A"/>
    <w:rsid w:val="00FD4C61"/>
    <w:rsid w:val="00FE152C"/>
    <w:rsid w:val="00FE16E5"/>
    <w:rsid w:val="00FE1AC7"/>
    <w:rsid w:val="00FE2AF5"/>
    <w:rsid w:val="00FE31FC"/>
    <w:rsid w:val="00FE369B"/>
    <w:rsid w:val="00FE43F2"/>
    <w:rsid w:val="00FE5CBA"/>
    <w:rsid w:val="00FE7C12"/>
    <w:rsid w:val="00FF2AE4"/>
    <w:rsid w:val="00FF430C"/>
    <w:rsid w:val="00FF67E5"/>
    <w:rsid w:val="00FF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02245"/>
  <w15:docId w15:val="{1F61624B-037E-41A1-9708-C8553DB4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587"/>
    <w:pPr>
      <w:spacing w:before="120" w:after="120" w:line="240" w:lineRule="auto"/>
    </w:pPr>
    <w:rPr>
      <w:lang w:val="en-AU"/>
    </w:rPr>
  </w:style>
  <w:style w:type="paragraph" w:styleId="Heading1">
    <w:name w:val="heading 1"/>
    <w:basedOn w:val="Normal"/>
    <w:next w:val="Normal"/>
    <w:link w:val="Heading1Char"/>
    <w:uiPriority w:val="9"/>
    <w:qFormat/>
    <w:rsid w:val="00931FD3"/>
    <w:pPr>
      <w:keepNext/>
      <w:keepLines/>
      <w:numPr>
        <w:numId w:val="3"/>
      </w:numPr>
      <w:spacing w:before="360"/>
      <w:outlineLvl w:val="0"/>
    </w:pPr>
    <w:rPr>
      <w:rFonts w:asciiTheme="majorHAnsi" w:eastAsiaTheme="majorEastAsia" w:hAnsiTheme="majorHAnsi" w:cstheme="majorBidi"/>
      <w:b/>
      <w:bCs/>
      <w:color w:val="000000" w:themeColor="text1"/>
      <w:sz w:val="28"/>
      <w:szCs w:val="28"/>
    </w:rPr>
  </w:style>
  <w:style w:type="paragraph" w:styleId="Heading2">
    <w:name w:val="heading 2"/>
    <w:basedOn w:val="Heading1"/>
    <w:next w:val="Normal"/>
    <w:link w:val="Heading2Char"/>
    <w:uiPriority w:val="9"/>
    <w:unhideWhenUsed/>
    <w:qFormat/>
    <w:rsid w:val="00931FD3"/>
    <w:pPr>
      <w:numPr>
        <w:ilvl w:val="1"/>
      </w:numPr>
      <w:spacing w:before="240"/>
      <w:outlineLvl w:val="1"/>
    </w:pPr>
    <w:rPr>
      <w:rFonts w:ascii="Arial" w:hAnsi="Arial" w:cs="Arial"/>
      <w:bCs w:val="0"/>
      <w:color w:val="0D0D0D" w:themeColor="text1" w:themeTint="F2"/>
      <w:sz w:val="26"/>
      <w:szCs w:val="26"/>
    </w:rPr>
  </w:style>
  <w:style w:type="paragraph" w:styleId="Heading3">
    <w:name w:val="heading 3"/>
    <w:basedOn w:val="Heading2"/>
    <w:next w:val="Normal"/>
    <w:link w:val="Heading3Char"/>
    <w:uiPriority w:val="9"/>
    <w:unhideWhenUsed/>
    <w:qFormat/>
    <w:rsid w:val="00931FD3"/>
    <w:pPr>
      <w:numPr>
        <w:ilvl w:val="2"/>
      </w:numPr>
      <w:outlineLvl w:val="2"/>
    </w:pPr>
    <w:rPr>
      <w:rFonts w:asciiTheme="majorHAnsi" w:hAnsiTheme="majorHAnsi" w:cstheme="majorBidi"/>
      <w:b w:val="0"/>
      <w:bCs/>
      <w:sz w:val="22"/>
    </w:rPr>
  </w:style>
  <w:style w:type="paragraph" w:styleId="Heading4">
    <w:name w:val="heading 4"/>
    <w:basedOn w:val="Heading3"/>
    <w:next w:val="Normal"/>
    <w:link w:val="Heading4Char"/>
    <w:uiPriority w:val="9"/>
    <w:unhideWhenUsed/>
    <w:qFormat/>
    <w:rsid w:val="00931FD3"/>
    <w:pPr>
      <w:numPr>
        <w:ilvl w:val="3"/>
      </w:numPr>
      <w:outlineLvl w:val="3"/>
    </w:pPr>
    <w:rPr>
      <w:b/>
      <w:bCs w:val="0"/>
      <w:i/>
      <w:iCs/>
      <w:sz w:val="20"/>
    </w:rPr>
  </w:style>
  <w:style w:type="paragraph" w:styleId="Heading5">
    <w:name w:val="heading 5"/>
    <w:basedOn w:val="Heading4"/>
    <w:next w:val="Normal"/>
    <w:link w:val="Heading5Char"/>
    <w:uiPriority w:val="9"/>
    <w:unhideWhenUsed/>
    <w:qFormat/>
    <w:rsid w:val="009D1587"/>
    <w:pPr>
      <w:numPr>
        <w:ilvl w:val="4"/>
      </w:numPr>
      <w:outlineLvl w:val="4"/>
    </w:pPr>
    <w:rPr>
      <w:color w:val="636462"/>
      <w14:textFill>
        <w14:solidFill>
          <w14:srgbClr w14:val="636462">
            <w14:lumMod w14:val="95000"/>
            <w14:lumOff w14:val="5000"/>
          </w14:srgbClr>
        </w14:solidFill>
      </w14:textFill>
    </w:rPr>
  </w:style>
  <w:style w:type="paragraph" w:styleId="Heading6">
    <w:name w:val="heading 6"/>
    <w:basedOn w:val="Heading5"/>
    <w:next w:val="Normal"/>
    <w:link w:val="Heading6Char"/>
    <w:uiPriority w:val="9"/>
    <w:unhideWhenUsed/>
    <w:qFormat/>
    <w:rsid w:val="009D1587"/>
    <w:pPr>
      <w:numPr>
        <w:ilvl w:val="5"/>
      </w:numPr>
      <w:outlineLvl w:val="5"/>
    </w:pPr>
    <w:rPr>
      <w:i w:val="0"/>
      <w:iCs w:val="0"/>
    </w:rPr>
  </w:style>
  <w:style w:type="paragraph" w:styleId="Heading7">
    <w:name w:val="heading 7"/>
    <w:basedOn w:val="Normal"/>
    <w:next w:val="Normal"/>
    <w:link w:val="Heading7Char"/>
    <w:uiPriority w:val="9"/>
    <w:semiHidden/>
    <w:unhideWhenUsed/>
    <w:qFormat/>
    <w:rsid w:val="003D55AB"/>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D55AB"/>
    <w:pPr>
      <w:keepNext/>
      <w:keepLines/>
      <w:numPr>
        <w:ilvl w:val="7"/>
        <w:numId w:val="3"/>
      </w:numPr>
      <w:spacing w:before="200" w:after="0"/>
      <w:outlineLvl w:val="7"/>
    </w:pPr>
    <w:rPr>
      <w:rFonts w:asciiTheme="majorHAnsi" w:eastAsiaTheme="majorEastAsia" w:hAnsiTheme="majorHAnsi" w:cstheme="majorBidi"/>
      <w:color w:val="DDDDDD" w:themeColor="accent1"/>
      <w:sz w:val="20"/>
      <w:szCs w:val="20"/>
    </w:rPr>
  </w:style>
  <w:style w:type="paragraph" w:styleId="Heading9">
    <w:name w:val="heading 9"/>
    <w:basedOn w:val="Normal"/>
    <w:next w:val="Normal"/>
    <w:link w:val="Heading9Char"/>
    <w:uiPriority w:val="9"/>
    <w:semiHidden/>
    <w:unhideWhenUsed/>
    <w:qFormat/>
    <w:rsid w:val="003D55AB"/>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FD3"/>
    <w:rPr>
      <w:rFonts w:asciiTheme="majorHAnsi" w:eastAsiaTheme="majorEastAsia" w:hAnsiTheme="majorHAnsi" w:cstheme="majorBidi"/>
      <w:b/>
      <w:bCs/>
      <w:color w:val="000000" w:themeColor="text1"/>
      <w:sz w:val="28"/>
      <w:szCs w:val="28"/>
      <w:lang w:val="en-AU"/>
    </w:rPr>
  </w:style>
  <w:style w:type="character" w:customStyle="1" w:styleId="Heading2Char">
    <w:name w:val="Heading 2 Char"/>
    <w:basedOn w:val="DefaultParagraphFont"/>
    <w:link w:val="Heading2"/>
    <w:uiPriority w:val="9"/>
    <w:rsid w:val="00931FD3"/>
    <w:rPr>
      <w:rFonts w:ascii="Arial" w:eastAsiaTheme="majorEastAsia" w:hAnsi="Arial" w:cs="Arial"/>
      <w:b/>
      <w:color w:val="0D0D0D" w:themeColor="text1" w:themeTint="F2"/>
      <w:sz w:val="26"/>
      <w:szCs w:val="26"/>
      <w:lang w:val="en-AU"/>
    </w:rPr>
  </w:style>
  <w:style w:type="character" w:customStyle="1" w:styleId="Heading3Char">
    <w:name w:val="Heading 3 Char"/>
    <w:basedOn w:val="DefaultParagraphFont"/>
    <w:link w:val="Heading3"/>
    <w:uiPriority w:val="9"/>
    <w:rsid w:val="00931FD3"/>
    <w:rPr>
      <w:rFonts w:asciiTheme="majorHAnsi" w:eastAsiaTheme="majorEastAsia" w:hAnsiTheme="majorHAnsi" w:cstheme="majorBidi"/>
      <w:bCs/>
      <w:color w:val="0D0D0D" w:themeColor="text1" w:themeTint="F2"/>
      <w:szCs w:val="26"/>
      <w:lang w:val="en-AU"/>
    </w:rPr>
  </w:style>
  <w:style w:type="character" w:customStyle="1" w:styleId="Heading4Char">
    <w:name w:val="Heading 4 Char"/>
    <w:basedOn w:val="DefaultParagraphFont"/>
    <w:link w:val="Heading4"/>
    <w:uiPriority w:val="9"/>
    <w:rsid w:val="00931FD3"/>
    <w:rPr>
      <w:rFonts w:asciiTheme="majorHAnsi" w:eastAsiaTheme="majorEastAsia" w:hAnsiTheme="majorHAnsi" w:cstheme="majorBidi"/>
      <w:b/>
      <w:i/>
      <w:iCs/>
      <w:color w:val="0D0D0D" w:themeColor="text1" w:themeTint="F2"/>
      <w:sz w:val="20"/>
      <w:szCs w:val="26"/>
      <w:lang w:val="en-AU"/>
    </w:rPr>
  </w:style>
  <w:style w:type="character" w:customStyle="1" w:styleId="Heading5Char">
    <w:name w:val="Heading 5 Char"/>
    <w:basedOn w:val="DefaultParagraphFont"/>
    <w:link w:val="Heading5"/>
    <w:uiPriority w:val="9"/>
    <w:rsid w:val="009D1587"/>
    <w:rPr>
      <w:rFonts w:asciiTheme="majorHAnsi" w:eastAsiaTheme="majorEastAsia" w:hAnsiTheme="majorHAnsi" w:cstheme="majorBidi"/>
      <w:b/>
      <w:i/>
      <w:iCs/>
      <w:color w:val="636462"/>
      <w:sz w:val="20"/>
      <w:szCs w:val="26"/>
      <w:lang w:val="en-AU"/>
      <w14:textFill>
        <w14:solidFill>
          <w14:srgbClr w14:val="636462">
            <w14:lumMod w14:val="95000"/>
            <w14:lumOff w14:val="5000"/>
          </w14:srgbClr>
        </w14:solidFill>
      </w14:textFill>
    </w:rPr>
  </w:style>
  <w:style w:type="character" w:customStyle="1" w:styleId="Heading6Char">
    <w:name w:val="Heading 6 Char"/>
    <w:basedOn w:val="DefaultParagraphFont"/>
    <w:link w:val="Heading6"/>
    <w:uiPriority w:val="9"/>
    <w:rsid w:val="009D1587"/>
    <w:rPr>
      <w:rFonts w:asciiTheme="majorHAnsi" w:eastAsiaTheme="majorEastAsia" w:hAnsiTheme="majorHAnsi" w:cstheme="majorBidi"/>
      <w:b/>
      <w:color w:val="636462"/>
      <w:sz w:val="20"/>
      <w:szCs w:val="26"/>
      <w:lang w:val="en-AU"/>
      <w14:textFill>
        <w14:solidFill>
          <w14:srgbClr w14:val="636462">
            <w14:lumMod w14:val="95000"/>
            <w14:lumOff w14:val="5000"/>
          </w14:srgbClr>
        </w14:solidFill>
      </w14:textFill>
    </w:rPr>
  </w:style>
  <w:style w:type="paragraph" w:styleId="ListBullet">
    <w:name w:val="List Bullet"/>
    <w:basedOn w:val="Normal"/>
    <w:uiPriority w:val="99"/>
    <w:unhideWhenUsed/>
    <w:rsid w:val="007C43B5"/>
    <w:pPr>
      <w:numPr>
        <w:numId w:val="2"/>
      </w:numPr>
      <w:contextualSpacing/>
    </w:pPr>
  </w:style>
  <w:style w:type="character" w:customStyle="1" w:styleId="Heading7Char">
    <w:name w:val="Heading 7 Char"/>
    <w:basedOn w:val="DefaultParagraphFont"/>
    <w:link w:val="Heading7"/>
    <w:uiPriority w:val="9"/>
    <w:semiHidden/>
    <w:rsid w:val="003D55AB"/>
    <w:rPr>
      <w:rFonts w:asciiTheme="majorHAnsi" w:eastAsiaTheme="majorEastAsia" w:hAnsiTheme="majorHAnsi" w:cstheme="majorBidi"/>
      <w:i/>
      <w:iCs/>
      <w:color w:val="404040" w:themeColor="text1" w:themeTint="BF"/>
      <w:lang w:val="en-AU"/>
    </w:rPr>
  </w:style>
  <w:style w:type="character" w:customStyle="1" w:styleId="Heading8Char">
    <w:name w:val="Heading 8 Char"/>
    <w:basedOn w:val="DefaultParagraphFont"/>
    <w:link w:val="Heading8"/>
    <w:uiPriority w:val="9"/>
    <w:semiHidden/>
    <w:rsid w:val="003D55AB"/>
    <w:rPr>
      <w:rFonts w:asciiTheme="majorHAnsi" w:eastAsiaTheme="majorEastAsia" w:hAnsiTheme="majorHAnsi" w:cstheme="majorBidi"/>
      <w:color w:val="DDDDDD" w:themeColor="accent1"/>
      <w:sz w:val="20"/>
      <w:szCs w:val="20"/>
      <w:lang w:val="en-AU"/>
    </w:rPr>
  </w:style>
  <w:style w:type="character" w:customStyle="1" w:styleId="Heading9Char">
    <w:name w:val="Heading 9 Char"/>
    <w:basedOn w:val="DefaultParagraphFont"/>
    <w:link w:val="Heading9"/>
    <w:uiPriority w:val="9"/>
    <w:semiHidden/>
    <w:rsid w:val="003D55AB"/>
    <w:rPr>
      <w:rFonts w:asciiTheme="majorHAnsi" w:eastAsiaTheme="majorEastAsia" w:hAnsiTheme="majorHAnsi" w:cstheme="majorBidi"/>
      <w:i/>
      <w:iCs/>
      <w:color w:val="404040" w:themeColor="text1" w:themeTint="BF"/>
      <w:sz w:val="20"/>
      <w:szCs w:val="20"/>
      <w:lang w:val="en-AU"/>
    </w:rPr>
  </w:style>
  <w:style w:type="paragraph" w:styleId="Caption">
    <w:name w:val="caption"/>
    <w:basedOn w:val="Normal"/>
    <w:next w:val="Normal"/>
    <w:uiPriority w:val="35"/>
    <w:unhideWhenUsed/>
    <w:qFormat/>
    <w:rsid w:val="003537ED"/>
    <w:rPr>
      <w:b/>
      <w:bCs/>
      <w:color w:val="000000" w:themeColor="text1"/>
      <w:szCs w:val="18"/>
    </w:rPr>
  </w:style>
  <w:style w:type="paragraph" w:styleId="Title">
    <w:name w:val="Title"/>
    <w:basedOn w:val="Normal"/>
    <w:next w:val="Normal"/>
    <w:link w:val="TitleChar"/>
    <w:qFormat/>
    <w:rsid w:val="00316CE9"/>
    <w:pPr>
      <w:pBdr>
        <w:bottom w:val="single" w:sz="8" w:space="10" w:color="DDDDDD" w:themeColor="accent1"/>
      </w:pBdr>
      <w:spacing w:after="300"/>
      <w:contextualSpacing/>
    </w:pPr>
    <w:rPr>
      <w:rFonts w:asciiTheme="majorHAnsi" w:eastAsiaTheme="majorEastAsia" w:hAnsiTheme="majorHAnsi" w:cstheme="majorBidi"/>
      <w:color w:val="000000" w:themeColor="text1"/>
      <w:spacing w:val="5"/>
      <w:kern w:val="28"/>
      <w:sz w:val="40"/>
      <w:szCs w:val="40"/>
    </w:rPr>
  </w:style>
  <w:style w:type="character" w:customStyle="1" w:styleId="TitleChar">
    <w:name w:val="Title Char"/>
    <w:basedOn w:val="DefaultParagraphFont"/>
    <w:link w:val="Title"/>
    <w:rsid w:val="00316CE9"/>
    <w:rPr>
      <w:rFonts w:asciiTheme="majorHAnsi" w:eastAsiaTheme="majorEastAsia" w:hAnsiTheme="majorHAnsi" w:cstheme="majorBidi"/>
      <w:color w:val="000000" w:themeColor="text1"/>
      <w:spacing w:val="5"/>
      <w:kern w:val="28"/>
      <w:sz w:val="40"/>
      <w:szCs w:val="40"/>
      <w:lang w:val="en-AU"/>
    </w:rPr>
  </w:style>
  <w:style w:type="paragraph" w:styleId="Subtitle">
    <w:name w:val="Subtitle"/>
    <w:basedOn w:val="Normal"/>
    <w:next w:val="Normal"/>
    <w:link w:val="SubtitleChar"/>
    <w:uiPriority w:val="11"/>
    <w:qFormat/>
    <w:rsid w:val="003D55AB"/>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uiPriority w:val="11"/>
    <w:rsid w:val="003D55AB"/>
    <w:rPr>
      <w:rFonts w:asciiTheme="majorHAnsi" w:eastAsiaTheme="majorEastAsia" w:hAnsiTheme="majorHAnsi" w:cstheme="majorBidi"/>
      <w:i/>
      <w:iCs/>
      <w:color w:val="DDDDDD" w:themeColor="accent1"/>
      <w:spacing w:val="15"/>
      <w:sz w:val="24"/>
      <w:szCs w:val="24"/>
    </w:rPr>
  </w:style>
  <w:style w:type="character" w:styleId="Strong">
    <w:name w:val="Strong"/>
    <w:basedOn w:val="DefaultParagraphFont"/>
    <w:uiPriority w:val="22"/>
    <w:qFormat/>
    <w:rsid w:val="003D55AB"/>
    <w:rPr>
      <w:b/>
      <w:bCs/>
    </w:rPr>
  </w:style>
  <w:style w:type="character" w:styleId="Emphasis">
    <w:name w:val="Emphasis"/>
    <w:basedOn w:val="DefaultParagraphFont"/>
    <w:uiPriority w:val="20"/>
    <w:qFormat/>
    <w:rsid w:val="003D55AB"/>
    <w:rPr>
      <w:i/>
      <w:iCs/>
    </w:rPr>
  </w:style>
  <w:style w:type="paragraph" w:styleId="NoSpacing">
    <w:name w:val="No Spacing"/>
    <w:link w:val="NoSpacingChar"/>
    <w:uiPriority w:val="1"/>
    <w:qFormat/>
    <w:rsid w:val="003D55AB"/>
    <w:pPr>
      <w:spacing w:after="0" w:line="240" w:lineRule="auto"/>
    </w:pPr>
  </w:style>
  <w:style w:type="character" w:customStyle="1" w:styleId="NoSpacingChar">
    <w:name w:val="No Spacing Char"/>
    <w:basedOn w:val="DefaultParagraphFont"/>
    <w:link w:val="NoSpacing"/>
    <w:uiPriority w:val="1"/>
    <w:rsid w:val="003D55AB"/>
  </w:style>
  <w:style w:type="paragraph" w:styleId="ListParagraph">
    <w:name w:val="List Paragraph"/>
    <w:basedOn w:val="Normal"/>
    <w:uiPriority w:val="34"/>
    <w:qFormat/>
    <w:rsid w:val="003D55AB"/>
    <w:pPr>
      <w:ind w:left="720"/>
      <w:contextualSpacing/>
    </w:pPr>
  </w:style>
  <w:style w:type="paragraph" w:styleId="Quote">
    <w:name w:val="Quote"/>
    <w:basedOn w:val="Normal"/>
    <w:next w:val="Normal"/>
    <w:link w:val="QuoteChar"/>
    <w:uiPriority w:val="29"/>
    <w:qFormat/>
    <w:rsid w:val="003D55AB"/>
    <w:rPr>
      <w:i/>
      <w:iCs/>
      <w:color w:val="000000" w:themeColor="text1"/>
    </w:rPr>
  </w:style>
  <w:style w:type="character" w:customStyle="1" w:styleId="QuoteChar">
    <w:name w:val="Quote Char"/>
    <w:basedOn w:val="DefaultParagraphFont"/>
    <w:link w:val="Quote"/>
    <w:uiPriority w:val="29"/>
    <w:rsid w:val="003D55AB"/>
    <w:rPr>
      <w:i/>
      <w:iCs/>
      <w:color w:val="000000" w:themeColor="text1"/>
    </w:rPr>
  </w:style>
  <w:style w:type="paragraph" w:styleId="IntenseQuote">
    <w:name w:val="Intense Quote"/>
    <w:basedOn w:val="Normal"/>
    <w:next w:val="Normal"/>
    <w:link w:val="IntenseQuoteChar"/>
    <w:uiPriority w:val="30"/>
    <w:qFormat/>
    <w:rsid w:val="003D55AB"/>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sid w:val="003D55AB"/>
    <w:rPr>
      <w:b/>
      <w:bCs/>
      <w:i/>
      <w:iCs/>
      <w:color w:val="DDDDDD" w:themeColor="accent1"/>
    </w:rPr>
  </w:style>
  <w:style w:type="character" w:styleId="SubtleEmphasis">
    <w:name w:val="Subtle Emphasis"/>
    <w:basedOn w:val="DefaultParagraphFont"/>
    <w:uiPriority w:val="19"/>
    <w:qFormat/>
    <w:rsid w:val="003D55AB"/>
    <w:rPr>
      <w:i/>
      <w:iCs/>
      <w:color w:val="808080" w:themeColor="text1" w:themeTint="7F"/>
    </w:rPr>
  </w:style>
  <w:style w:type="character" w:styleId="IntenseEmphasis">
    <w:name w:val="Intense Emphasis"/>
    <w:basedOn w:val="DefaultParagraphFont"/>
    <w:uiPriority w:val="21"/>
    <w:qFormat/>
    <w:rsid w:val="003D55AB"/>
    <w:rPr>
      <w:b/>
      <w:bCs/>
      <w:i/>
      <w:iCs/>
      <w:color w:val="DDDDDD" w:themeColor="accent1"/>
    </w:rPr>
  </w:style>
  <w:style w:type="character" w:styleId="SubtleReference">
    <w:name w:val="Subtle Reference"/>
    <w:basedOn w:val="DefaultParagraphFont"/>
    <w:uiPriority w:val="31"/>
    <w:qFormat/>
    <w:rsid w:val="003D55AB"/>
    <w:rPr>
      <w:smallCaps/>
      <w:color w:val="B2B2B2" w:themeColor="accent2"/>
      <w:u w:val="single"/>
    </w:rPr>
  </w:style>
  <w:style w:type="character" w:styleId="IntenseReference">
    <w:name w:val="Intense Reference"/>
    <w:basedOn w:val="DefaultParagraphFont"/>
    <w:uiPriority w:val="32"/>
    <w:qFormat/>
    <w:rsid w:val="003D55AB"/>
    <w:rPr>
      <w:b/>
      <w:bCs/>
      <w:smallCaps/>
      <w:color w:val="B2B2B2" w:themeColor="accent2"/>
      <w:spacing w:val="5"/>
      <w:u w:val="single"/>
    </w:rPr>
  </w:style>
  <w:style w:type="character" w:styleId="BookTitle">
    <w:name w:val="Book Title"/>
    <w:basedOn w:val="DefaultParagraphFont"/>
    <w:uiPriority w:val="33"/>
    <w:qFormat/>
    <w:rsid w:val="003D55AB"/>
    <w:rPr>
      <w:b/>
      <w:bCs/>
      <w:smallCaps/>
      <w:spacing w:val="5"/>
    </w:rPr>
  </w:style>
  <w:style w:type="paragraph" w:styleId="TOCHeading">
    <w:name w:val="TOC Heading"/>
    <w:basedOn w:val="Heading1"/>
    <w:next w:val="Normal"/>
    <w:uiPriority w:val="39"/>
    <w:unhideWhenUsed/>
    <w:qFormat/>
    <w:rsid w:val="003D55AB"/>
    <w:pPr>
      <w:outlineLvl w:val="9"/>
    </w:pPr>
  </w:style>
  <w:style w:type="paragraph" w:customStyle="1" w:styleId="NOTE">
    <w:name w:val="NOTE"/>
    <w:basedOn w:val="Normal"/>
    <w:qFormat/>
    <w:rsid w:val="003C1196"/>
    <w:pPr>
      <w:pBdr>
        <w:left w:val="single" w:sz="18" w:space="4" w:color="000000" w:themeColor="text1"/>
      </w:pBdr>
      <w:shd w:val="clear" w:color="auto" w:fill="EAEAEA"/>
      <w:spacing w:before="240" w:after="240"/>
    </w:pPr>
  </w:style>
  <w:style w:type="table" w:styleId="TableGrid">
    <w:name w:val="Table Grid"/>
    <w:basedOn w:val="TableNormal"/>
    <w:uiPriority w:val="39"/>
    <w:rsid w:val="00717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21">
    <w:name w:val="List Table 4 - Accent 21"/>
    <w:basedOn w:val="TableNormal"/>
    <w:uiPriority w:val="49"/>
    <w:rsid w:val="00717DD6"/>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paragraph" w:customStyle="1" w:styleId="TableHeadingText">
    <w:name w:val="Table Heading Text"/>
    <w:next w:val="Normal"/>
    <w:qFormat/>
    <w:rsid w:val="004A3D15"/>
    <w:pPr>
      <w:spacing w:before="120" w:after="0" w:line="240" w:lineRule="auto"/>
    </w:pPr>
    <w:rPr>
      <w:b/>
      <w:bCs/>
      <w:color w:val="000000" w:themeColor="text1"/>
    </w:rPr>
  </w:style>
  <w:style w:type="paragraph" w:styleId="TableofFigures">
    <w:name w:val="table of figures"/>
    <w:basedOn w:val="Normal"/>
    <w:next w:val="Normal"/>
    <w:uiPriority w:val="99"/>
    <w:unhideWhenUsed/>
    <w:rsid w:val="006D28CE"/>
    <w:pPr>
      <w:spacing w:after="0"/>
    </w:pPr>
    <w:rPr>
      <w:sz w:val="21"/>
    </w:rPr>
  </w:style>
  <w:style w:type="paragraph" w:styleId="TableofAuthorities">
    <w:name w:val="table of authorities"/>
    <w:basedOn w:val="Normal"/>
    <w:next w:val="Normal"/>
    <w:uiPriority w:val="99"/>
    <w:unhideWhenUsed/>
    <w:rsid w:val="004A3D15"/>
    <w:pPr>
      <w:spacing w:after="0"/>
      <w:ind w:left="220" w:hanging="220"/>
    </w:pPr>
  </w:style>
  <w:style w:type="character" w:styleId="LineNumber">
    <w:name w:val="line number"/>
    <w:basedOn w:val="DefaultParagraphFont"/>
    <w:uiPriority w:val="99"/>
    <w:unhideWhenUsed/>
    <w:rsid w:val="003537ED"/>
  </w:style>
  <w:style w:type="paragraph" w:styleId="List">
    <w:name w:val="List"/>
    <w:basedOn w:val="Normal"/>
    <w:uiPriority w:val="99"/>
    <w:unhideWhenUsed/>
    <w:rsid w:val="003537ED"/>
    <w:pPr>
      <w:numPr>
        <w:numId w:val="1"/>
      </w:numPr>
      <w:contextualSpacing/>
    </w:pPr>
  </w:style>
  <w:style w:type="paragraph" w:customStyle="1" w:styleId="Checklist">
    <w:name w:val="Check list"/>
    <w:basedOn w:val="Normal"/>
    <w:qFormat/>
    <w:rsid w:val="00316CE9"/>
    <w:pPr>
      <w:tabs>
        <w:tab w:val="left" w:pos="425"/>
      </w:tabs>
      <w:ind w:left="425" w:hanging="425"/>
    </w:pPr>
  </w:style>
  <w:style w:type="paragraph" w:styleId="Header">
    <w:name w:val="header"/>
    <w:basedOn w:val="Normal"/>
    <w:link w:val="HeaderChar"/>
    <w:uiPriority w:val="99"/>
    <w:unhideWhenUsed/>
    <w:rsid w:val="00A806DF"/>
    <w:pPr>
      <w:tabs>
        <w:tab w:val="center" w:pos="4513"/>
        <w:tab w:val="right" w:pos="9026"/>
      </w:tabs>
      <w:spacing w:before="0" w:after="0"/>
    </w:pPr>
  </w:style>
  <w:style w:type="character" w:customStyle="1" w:styleId="HeaderChar">
    <w:name w:val="Header Char"/>
    <w:basedOn w:val="DefaultParagraphFont"/>
    <w:link w:val="Header"/>
    <w:uiPriority w:val="99"/>
    <w:rsid w:val="00A806DF"/>
  </w:style>
  <w:style w:type="paragraph" w:styleId="Footer">
    <w:name w:val="footer"/>
    <w:basedOn w:val="Normal"/>
    <w:link w:val="FooterChar"/>
    <w:uiPriority w:val="99"/>
    <w:unhideWhenUsed/>
    <w:rsid w:val="00A806DF"/>
    <w:pPr>
      <w:tabs>
        <w:tab w:val="center" w:pos="4513"/>
        <w:tab w:val="right" w:pos="9026"/>
      </w:tabs>
      <w:spacing w:before="0" w:after="0"/>
    </w:pPr>
  </w:style>
  <w:style w:type="character" w:customStyle="1" w:styleId="FooterChar">
    <w:name w:val="Footer Char"/>
    <w:basedOn w:val="DefaultParagraphFont"/>
    <w:link w:val="Footer"/>
    <w:uiPriority w:val="99"/>
    <w:rsid w:val="00A806DF"/>
  </w:style>
  <w:style w:type="character" w:styleId="PageNumber">
    <w:name w:val="page number"/>
    <w:basedOn w:val="DefaultParagraphFont"/>
    <w:uiPriority w:val="99"/>
    <w:semiHidden/>
    <w:unhideWhenUsed/>
    <w:rsid w:val="00A806DF"/>
  </w:style>
  <w:style w:type="paragraph" w:styleId="BalloonText">
    <w:name w:val="Balloon Text"/>
    <w:basedOn w:val="Normal"/>
    <w:link w:val="BalloonTextChar"/>
    <w:uiPriority w:val="99"/>
    <w:semiHidden/>
    <w:unhideWhenUsed/>
    <w:rsid w:val="00AF002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2A"/>
    <w:rPr>
      <w:rFonts w:ascii="Tahoma" w:hAnsi="Tahoma" w:cs="Tahoma"/>
      <w:sz w:val="16"/>
      <w:szCs w:val="16"/>
    </w:rPr>
  </w:style>
  <w:style w:type="character" w:styleId="Hyperlink">
    <w:name w:val="Hyperlink"/>
    <w:basedOn w:val="DefaultParagraphFont"/>
    <w:uiPriority w:val="99"/>
    <w:unhideWhenUsed/>
    <w:rsid w:val="00FC7FC8"/>
    <w:rPr>
      <w:color w:val="5F5F5F" w:themeColor="hyperlink"/>
      <w:u w:val="single"/>
    </w:rPr>
  </w:style>
  <w:style w:type="character" w:styleId="CommentReference">
    <w:name w:val="annotation reference"/>
    <w:basedOn w:val="DefaultParagraphFont"/>
    <w:uiPriority w:val="99"/>
    <w:semiHidden/>
    <w:unhideWhenUsed/>
    <w:rsid w:val="00076016"/>
    <w:rPr>
      <w:sz w:val="16"/>
      <w:szCs w:val="16"/>
    </w:rPr>
  </w:style>
  <w:style w:type="paragraph" w:styleId="CommentText">
    <w:name w:val="annotation text"/>
    <w:basedOn w:val="Normal"/>
    <w:link w:val="CommentTextChar"/>
    <w:uiPriority w:val="99"/>
    <w:unhideWhenUsed/>
    <w:rsid w:val="00076016"/>
    <w:rPr>
      <w:sz w:val="20"/>
      <w:szCs w:val="20"/>
    </w:rPr>
  </w:style>
  <w:style w:type="character" w:customStyle="1" w:styleId="CommentTextChar">
    <w:name w:val="Comment Text Char"/>
    <w:basedOn w:val="DefaultParagraphFont"/>
    <w:link w:val="CommentText"/>
    <w:uiPriority w:val="99"/>
    <w:rsid w:val="00076016"/>
    <w:rPr>
      <w:sz w:val="20"/>
      <w:szCs w:val="20"/>
    </w:rPr>
  </w:style>
  <w:style w:type="paragraph" w:styleId="CommentSubject">
    <w:name w:val="annotation subject"/>
    <w:basedOn w:val="CommentText"/>
    <w:next w:val="CommentText"/>
    <w:link w:val="CommentSubjectChar"/>
    <w:uiPriority w:val="99"/>
    <w:semiHidden/>
    <w:unhideWhenUsed/>
    <w:rsid w:val="004878E1"/>
    <w:rPr>
      <w:b/>
      <w:bCs/>
    </w:rPr>
  </w:style>
  <w:style w:type="character" w:customStyle="1" w:styleId="CommentSubjectChar">
    <w:name w:val="Comment Subject Char"/>
    <w:basedOn w:val="CommentTextChar"/>
    <w:link w:val="CommentSubject"/>
    <w:uiPriority w:val="99"/>
    <w:semiHidden/>
    <w:rsid w:val="004878E1"/>
    <w:rPr>
      <w:b/>
      <w:bCs/>
      <w:sz w:val="20"/>
      <w:szCs w:val="20"/>
    </w:rPr>
  </w:style>
  <w:style w:type="paragraph" w:styleId="Revision">
    <w:name w:val="Revision"/>
    <w:hidden/>
    <w:uiPriority w:val="99"/>
    <w:semiHidden/>
    <w:rsid w:val="00E03B22"/>
    <w:pPr>
      <w:spacing w:after="0" w:line="240" w:lineRule="auto"/>
    </w:pPr>
  </w:style>
  <w:style w:type="paragraph" w:styleId="FootnoteText">
    <w:name w:val="footnote text"/>
    <w:basedOn w:val="Normal"/>
    <w:link w:val="FootnoteTextChar"/>
    <w:uiPriority w:val="99"/>
    <w:semiHidden/>
    <w:unhideWhenUsed/>
    <w:rsid w:val="003F31E2"/>
    <w:pPr>
      <w:spacing w:before="0" w:after="0"/>
    </w:pPr>
    <w:rPr>
      <w:sz w:val="20"/>
      <w:szCs w:val="20"/>
    </w:rPr>
  </w:style>
  <w:style w:type="character" w:customStyle="1" w:styleId="FootnoteTextChar">
    <w:name w:val="Footnote Text Char"/>
    <w:basedOn w:val="DefaultParagraphFont"/>
    <w:link w:val="FootnoteText"/>
    <w:uiPriority w:val="99"/>
    <w:semiHidden/>
    <w:rsid w:val="003F31E2"/>
    <w:rPr>
      <w:sz w:val="20"/>
      <w:szCs w:val="20"/>
    </w:rPr>
  </w:style>
  <w:style w:type="character" w:styleId="FootnoteReference">
    <w:name w:val="footnote reference"/>
    <w:basedOn w:val="DefaultParagraphFont"/>
    <w:uiPriority w:val="99"/>
    <w:semiHidden/>
    <w:unhideWhenUsed/>
    <w:rsid w:val="003F31E2"/>
    <w:rPr>
      <w:vertAlign w:val="superscript"/>
    </w:rPr>
  </w:style>
  <w:style w:type="character" w:styleId="UnresolvedMention">
    <w:name w:val="Unresolved Mention"/>
    <w:basedOn w:val="DefaultParagraphFont"/>
    <w:uiPriority w:val="99"/>
    <w:semiHidden/>
    <w:unhideWhenUsed/>
    <w:rsid w:val="00867212"/>
    <w:rPr>
      <w:color w:val="605E5C"/>
      <w:shd w:val="clear" w:color="auto" w:fill="E1DFDD"/>
    </w:rPr>
  </w:style>
  <w:style w:type="character" w:styleId="FollowedHyperlink">
    <w:name w:val="FollowedHyperlink"/>
    <w:basedOn w:val="DefaultParagraphFont"/>
    <w:uiPriority w:val="99"/>
    <w:semiHidden/>
    <w:unhideWhenUsed/>
    <w:rsid w:val="00724AD7"/>
    <w:rPr>
      <w:color w:val="919191" w:themeColor="followedHyperlink"/>
      <w:u w:val="single"/>
    </w:rPr>
  </w:style>
  <w:style w:type="paragraph" w:customStyle="1" w:styleId="Default">
    <w:name w:val="Default"/>
    <w:rsid w:val="00D805F3"/>
    <w:pPr>
      <w:autoSpaceDE w:val="0"/>
      <w:autoSpaceDN w:val="0"/>
      <w:adjustRightInd w:val="0"/>
      <w:spacing w:after="0" w:line="240" w:lineRule="auto"/>
    </w:pPr>
    <w:rPr>
      <w:rFonts w:ascii="Calibri" w:hAnsi="Calibri" w:cs="Calibri"/>
      <w:color w:val="000000"/>
      <w:sz w:val="24"/>
      <w:szCs w:val="24"/>
      <w:lang w:val="en-AU"/>
    </w:rPr>
  </w:style>
  <w:style w:type="paragraph" w:styleId="NormalWeb">
    <w:name w:val="Normal (Web)"/>
    <w:basedOn w:val="Normal"/>
    <w:uiPriority w:val="99"/>
    <w:unhideWhenUsed/>
    <w:rsid w:val="00BC3642"/>
    <w:pPr>
      <w:spacing w:before="100" w:beforeAutospacing="1" w:after="100" w:afterAutospacing="1"/>
    </w:pPr>
    <w:rPr>
      <w:rFonts w:ascii="Calibri" w:eastAsiaTheme="minorHAnsi" w:hAnsi="Calibri" w:cs="Calibri"/>
      <w:lang w:eastAsia="en-AU"/>
    </w:rPr>
  </w:style>
  <w:style w:type="table" w:customStyle="1" w:styleId="TableGrid1">
    <w:name w:val="Table Grid1"/>
    <w:basedOn w:val="TableNormal"/>
    <w:next w:val="TableGrid"/>
    <w:uiPriority w:val="39"/>
    <w:rsid w:val="00977439"/>
    <w:pPr>
      <w:spacing w:after="0" w:line="240" w:lineRule="auto"/>
    </w:pPr>
    <w:rPr>
      <w:rFonts w:eastAsia="Calibri"/>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22026"/>
    <w:pPr>
      <w:spacing w:after="0" w:line="240" w:lineRule="auto"/>
    </w:pPr>
    <w:rPr>
      <w:rFonts w:eastAsia="Calibri"/>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4AB3"/>
    <w:pPr>
      <w:spacing w:after="0" w:line="240" w:lineRule="auto"/>
    </w:pPr>
    <w:rPr>
      <w:rFonts w:eastAsia="Calibri"/>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209C8"/>
    <w:pPr>
      <w:tabs>
        <w:tab w:val="left" w:pos="440"/>
        <w:tab w:val="right" w:leader="dot" w:pos="9010"/>
      </w:tabs>
      <w:spacing w:after="100"/>
    </w:pPr>
    <w:rPr>
      <w:b/>
      <w:bCs/>
      <w:noProof/>
    </w:rPr>
  </w:style>
  <w:style w:type="paragraph" w:styleId="TOC2">
    <w:name w:val="toc 2"/>
    <w:basedOn w:val="Normal"/>
    <w:next w:val="Normal"/>
    <w:autoRedefine/>
    <w:uiPriority w:val="39"/>
    <w:unhideWhenUsed/>
    <w:rsid w:val="003B240E"/>
    <w:pPr>
      <w:spacing w:after="100"/>
      <w:ind w:left="220"/>
    </w:pPr>
  </w:style>
  <w:style w:type="paragraph" w:styleId="TOC3">
    <w:name w:val="toc 3"/>
    <w:basedOn w:val="Normal"/>
    <w:next w:val="Normal"/>
    <w:autoRedefine/>
    <w:uiPriority w:val="39"/>
    <w:unhideWhenUsed/>
    <w:rsid w:val="003209C8"/>
    <w:pPr>
      <w:tabs>
        <w:tab w:val="left" w:pos="1320"/>
        <w:tab w:val="right" w:leader="dot" w:pos="9010"/>
      </w:tabs>
      <w:spacing w:after="100"/>
      <w:ind w:left="440"/>
    </w:pPr>
    <w:rPr>
      <w:b/>
      <w:bCs/>
      <w:iCs/>
      <w:noProof/>
    </w:rPr>
  </w:style>
  <w:style w:type="character" w:customStyle="1" w:styleId="highwire-citation-authors">
    <w:name w:val="highwire-citation-authors"/>
    <w:basedOn w:val="DefaultParagraphFont"/>
    <w:rsid w:val="004B5B1F"/>
  </w:style>
  <w:style w:type="character" w:customStyle="1" w:styleId="highwire-citation-author">
    <w:name w:val="highwire-citation-author"/>
    <w:basedOn w:val="DefaultParagraphFont"/>
    <w:rsid w:val="004B5B1F"/>
  </w:style>
  <w:style w:type="character" w:customStyle="1" w:styleId="nlm-surname">
    <w:name w:val="nlm-surname"/>
    <w:basedOn w:val="DefaultParagraphFont"/>
    <w:rsid w:val="004B5B1F"/>
  </w:style>
  <w:style w:type="character" w:customStyle="1" w:styleId="citation-et">
    <w:name w:val="citation-et"/>
    <w:basedOn w:val="DefaultParagraphFont"/>
    <w:rsid w:val="004B5B1F"/>
  </w:style>
  <w:style w:type="character" w:customStyle="1" w:styleId="highwire-cite-metadata-journal">
    <w:name w:val="highwire-cite-metadata-journal"/>
    <w:basedOn w:val="DefaultParagraphFont"/>
    <w:rsid w:val="004B5B1F"/>
  </w:style>
  <w:style w:type="character" w:customStyle="1" w:styleId="highwire-cite-metadata-year">
    <w:name w:val="highwire-cite-metadata-year"/>
    <w:basedOn w:val="DefaultParagraphFont"/>
    <w:rsid w:val="004B5B1F"/>
  </w:style>
  <w:style w:type="character" w:customStyle="1" w:styleId="highwire-cite-metadata-elocation-id">
    <w:name w:val="highwire-cite-metadata-elocation-id"/>
    <w:basedOn w:val="DefaultParagraphFont"/>
    <w:rsid w:val="004B5B1F"/>
  </w:style>
  <w:style w:type="character" w:customStyle="1" w:styleId="highwire-cite-metadata-doi">
    <w:name w:val="highwire-cite-metadata-doi"/>
    <w:basedOn w:val="DefaultParagraphFont"/>
    <w:rsid w:val="004B5B1F"/>
  </w:style>
  <w:style w:type="character" w:customStyle="1" w:styleId="label">
    <w:name w:val="label"/>
    <w:basedOn w:val="DefaultParagraphFont"/>
    <w:rsid w:val="004B5B1F"/>
  </w:style>
  <w:style w:type="paragraph" w:customStyle="1" w:styleId="Heading">
    <w:name w:val="Heading"/>
    <w:next w:val="Normal"/>
    <w:rsid w:val="009500E0"/>
    <w:pPr>
      <w:keepNext/>
      <w:widowControl w:val="0"/>
      <w:spacing w:after="240"/>
      <w:ind w:left="851" w:hanging="851"/>
      <w:outlineLvl w:val="0"/>
    </w:pPr>
    <w:rPr>
      <w:rFonts w:ascii="Arial" w:eastAsia="Arial Unicode MS" w:hAnsi="Arial" w:cs="Arial Unicode MS"/>
      <w:b/>
      <w:bCs/>
      <w:color w:val="000000"/>
      <w:sz w:val="36"/>
      <w:szCs w:val="36"/>
      <w:u w:color="000000"/>
      <w:lang w:val="fr-FR" w:eastAsia="en-A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2620">
      <w:bodyDiv w:val="1"/>
      <w:marLeft w:val="0"/>
      <w:marRight w:val="0"/>
      <w:marTop w:val="0"/>
      <w:marBottom w:val="0"/>
      <w:divBdr>
        <w:top w:val="none" w:sz="0" w:space="0" w:color="auto"/>
        <w:left w:val="none" w:sz="0" w:space="0" w:color="auto"/>
        <w:bottom w:val="none" w:sz="0" w:space="0" w:color="auto"/>
        <w:right w:val="none" w:sz="0" w:space="0" w:color="auto"/>
      </w:divBdr>
    </w:div>
    <w:div w:id="147210196">
      <w:bodyDiv w:val="1"/>
      <w:marLeft w:val="0"/>
      <w:marRight w:val="0"/>
      <w:marTop w:val="0"/>
      <w:marBottom w:val="0"/>
      <w:divBdr>
        <w:top w:val="none" w:sz="0" w:space="0" w:color="auto"/>
        <w:left w:val="none" w:sz="0" w:space="0" w:color="auto"/>
        <w:bottom w:val="none" w:sz="0" w:space="0" w:color="auto"/>
        <w:right w:val="none" w:sz="0" w:space="0" w:color="auto"/>
      </w:divBdr>
    </w:div>
    <w:div w:id="169687502">
      <w:bodyDiv w:val="1"/>
      <w:marLeft w:val="0"/>
      <w:marRight w:val="0"/>
      <w:marTop w:val="0"/>
      <w:marBottom w:val="0"/>
      <w:divBdr>
        <w:top w:val="none" w:sz="0" w:space="0" w:color="auto"/>
        <w:left w:val="none" w:sz="0" w:space="0" w:color="auto"/>
        <w:bottom w:val="none" w:sz="0" w:space="0" w:color="auto"/>
        <w:right w:val="none" w:sz="0" w:space="0" w:color="auto"/>
      </w:divBdr>
    </w:div>
    <w:div w:id="242419010">
      <w:bodyDiv w:val="1"/>
      <w:marLeft w:val="0"/>
      <w:marRight w:val="0"/>
      <w:marTop w:val="0"/>
      <w:marBottom w:val="0"/>
      <w:divBdr>
        <w:top w:val="none" w:sz="0" w:space="0" w:color="auto"/>
        <w:left w:val="none" w:sz="0" w:space="0" w:color="auto"/>
        <w:bottom w:val="none" w:sz="0" w:space="0" w:color="auto"/>
        <w:right w:val="none" w:sz="0" w:space="0" w:color="auto"/>
      </w:divBdr>
      <w:divsChild>
        <w:div w:id="973176403">
          <w:marLeft w:val="0"/>
          <w:marRight w:val="0"/>
          <w:marTop w:val="0"/>
          <w:marBottom w:val="0"/>
          <w:divBdr>
            <w:top w:val="none" w:sz="0" w:space="0" w:color="auto"/>
            <w:left w:val="none" w:sz="0" w:space="0" w:color="auto"/>
            <w:bottom w:val="none" w:sz="0" w:space="0" w:color="auto"/>
            <w:right w:val="none" w:sz="0" w:space="0" w:color="auto"/>
          </w:divBdr>
        </w:div>
        <w:div w:id="1423650692">
          <w:marLeft w:val="0"/>
          <w:marRight w:val="0"/>
          <w:marTop w:val="0"/>
          <w:marBottom w:val="0"/>
          <w:divBdr>
            <w:top w:val="none" w:sz="0" w:space="0" w:color="auto"/>
            <w:left w:val="none" w:sz="0" w:space="0" w:color="auto"/>
            <w:bottom w:val="none" w:sz="0" w:space="0" w:color="auto"/>
            <w:right w:val="none" w:sz="0" w:space="0" w:color="auto"/>
          </w:divBdr>
        </w:div>
        <w:div w:id="1884516974">
          <w:marLeft w:val="0"/>
          <w:marRight w:val="0"/>
          <w:marTop w:val="0"/>
          <w:marBottom w:val="0"/>
          <w:divBdr>
            <w:top w:val="none" w:sz="0" w:space="0" w:color="auto"/>
            <w:left w:val="none" w:sz="0" w:space="0" w:color="auto"/>
            <w:bottom w:val="none" w:sz="0" w:space="0" w:color="auto"/>
            <w:right w:val="none" w:sz="0" w:space="0" w:color="auto"/>
          </w:divBdr>
        </w:div>
      </w:divsChild>
    </w:div>
    <w:div w:id="248782350">
      <w:bodyDiv w:val="1"/>
      <w:marLeft w:val="0"/>
      <w:marRight w:val="0"/>
      <w:marTop w:val="0"/>
      <w:marBottom w:val="0"/>
      <w:divBdr>
        <w:top w:val="none" w:sz="0" w:space="0" w:color="auto"/>
        <w:left w:val="none" w:sz="0" w:space="0" w:color="auto"/>
        <w:bottom w:val="none" w:sz="0" w:space="0" w:color="auto"/>
        <w:right w:val="none" w:sz="0" w:space="0" w:color="auto"/>
      </w:divBdr>
    </w:div>
    <w:div w:id="289434741">
      <w:bodyDiv w:val="1"/>
      <w:marLeft w:val="0"/>
      <w:marRight w:val="0"/>
      <w:marTop w:val="0"/>
      <w:marBottom w:val="0"/>
      <w:divBdr>
        <w:top w:val="none" w:sz="0" w:space="0" w:color="auto"/>
        <w:left w:val="none" w:sz="0" w:space="0" w:color="auto"/>
        <w:bottom w:val="none" w:sz="0" w:space="0" w:color="auto"/>
        <w:right w:val="none" w:sz="0" w:space="0" w:color="auto"/>
      </w:divBdr>
    </w:div>
    <w:div w:id="329798285">
      <w:bodyDiv w:val="1"/>
      <w:marLeft w:val="0"/>
      <w:marRight w:val="0"/>
      <w:marTop w:val="0"/>
      <w:marBottom w:val="0"/>
      <w:divBdr>
        <w:top w:val="none" w:sz="0" w:space="0" w:color="auto"/>
        <w:left w:val="none" w:sz="0" w:space="0" w:color="auto"/>
        <w:bottom w:val="none" w:sz="0" w:space="0" w:color="auto"/>
        <w:right w:val="none" w:sz="0" w:space="0" w:color="auto"/>
      </w:divBdr>
    </w:div>
    <w:div w:id="337849396">
      <w:bodyDiv w:val="1"/>
      <w:marLeft w:val="0"/>
      <w:marRight w:val="0"/>
      <w:marTop w:val="0"/>
      <w:marBottom w:val="0"/>
      <w:divBdr>
        <w:top w:val="none" w:sz="0" w:space="0" w:color="auto"/>
        <w:left w:val="none" w:sz="0" w:space="0" w:color="auto"/>
        <w:bottom w:val="none" w:sz="0" w:space="0" w:color="auto"/>
        <w:right w:val="none" w:sz="0" w:space="0" w:color="auto"/>
      </w:divBdr>
    </w:div>
    <w:div w:id="522090223">
      <w:bodyDiv w:val="1"/>
      <w:marLeft w:val="0"/>
      <w:marRight w:val="0"/>
      <w:marTop w:val="0"/>
      <w:marBottom w:val="0"/>
      <w:divBdr>
        <w:top w:val="none" w:sz="0" w:space="0" w:color="auto"/>
        <w:left w:val="none" w:sz="0" w:space="0" w:color="auto"/>
        <w:bottom w:val="none" w:sz="0" w:space="0" w:color="auto"/>
        <w:right w:val="none" w:sz="0" w:space="0" w:color="auto"/>
      </w:divBdr>
    </w:div>
    <w:div w:id="527765116">
      <w:bodyDiv w:val="1"/>
      <w:marLeft w:val="0"/>
      <w:marRight w:val="0"/>
      <w:marTop w:val="0"/>
      <w:marBottom w:val="0"/>
      <w:divBdr>
        <w:top w:val="none" w:sz="0" w:space="0" w:color="auto"/>
        <w:left w:val="none" w:sz="0" w:space="0" w:color="auto"/>
        <w:bottom w:val="none" w:sz="0" w:space="0" w:color="auto"/>
        <w:right w:val="none" w:sz="0" w:space="0" w:color="auto"/>
      </w:divBdr>
    </w:div>
    <w:div w:id="547255685">
      <w:bodyDiv w:val="1"/>
      <w:marLeft w:val="0"/>
      <w:marRight w:val="0"/>
      <w:marTop w:val="0"/>
      <w:marBottom w:val="0"/>
      <w:divBdr>
        <w:top w:val="none" w:sz="0" w:space="0" w:color="auto"/>
        <w:left w:val="none" w:sz="0" w:space="0" w:color="auto"/>
        <w:bottom w:val="none" w:sz="0" w:space="0" w:color="auto"/>
        <w:right w:val="none" w:sz="0" w:space="0" w:color="auto"/>
      </w:divBdr>
    </w:div>
    <w:div w:id="661276681">
      <w:bodyDiv w:val="1"/>
      <w:marLeft w:val="0"/>
      <w:marRight w:val="0"/>
      <w:marTop w:val="0"/>
      <w:marBottom w:val="0"/>
      <w:divBdr>
        <w:top w:val="none" w:sz="0" w:space="0" w:color="auto"/>
        <w:left w:val="none" w:sz="0" w:space="0" w:color="auto"/>
        <w:bottom w:val="none" w:sz="0" w:space="0" w:color="auto"/>
        <w:right w:val="none" w:sz="0" w:space="0" w:color="auto"/>
      </w:divBdr>
    </w:div>
    <w:div w:id="677386798">
      <w:bodyDiv w:val="1"/>
      <w:marLeft w:val="0"/>
      <w:marRight w:val="0"/>
      <w:marTop w:val="0"/>
      <w:marBottom w:val="0"/>
      <w:divBdr>
        <w:top w:val="none" w:sz="0" w:space="0" w:color="auto"/>
        <w:left w:val="none" w:sz="0" w:space="0" w:color="auto"/>
        <w:bottom w:val="none" w:sz="0" w:space="0" w:color="auto"/>
        <w:right w:val="none" w:sz="0" w:space="0" w:color="auto"/>
      </w:divBdr>
    </w:div>
    <w:div w:id="834303504">
      <w:bodyDiv w:val="1"/>
      <w:marLeft w:val="0"/>
      <w:marRight w:val="0"/>
      <w:marTop w:val="0"/>
      <w:marBottom w:val="0"/>
      <w:divBdr>
        <w:top w:val="none" w:sz="0" w:space="0" w:color="auto"/>
        <w:left w:val="none" w:sz="0" w:space="0" w:color="auto"/>
        <w:bottom w:val="none" w:sz="0" w:space="0" w:color="auto"/>
        <w:right w:val="none" w:sz="0" w:space="0" w:color="auto"/>
      </w:divBdr>
    </w:div>
    <w:div w:id="858542131">
      <w:bodyDiv w:val="1"/>
      <w:marLeft w:val="0"/>
      <w:marRight w:val="0"/>
      <w:marTop w:val="0"/>
      <w:marBottom w:val="0"/>
      <w:divBdr>
        <w:top w:val="none" w:sz="0" w:space="0" w:color="auto"/>
        <w:left w:val="none" w:sz="0" w:space="0" w:color="auto"/>
        <w:bottom w:val="none" w:sz="0" w:space="0" w:color="auto"/>
        <w:right w:val="none" w:sz="0" w:space="0" w:color="auto"/>
      </w:divBdr>
    </w:div>
    <w:div w:id="890575991">
      <w:bodyDiv w:val="1"/>
      <w:marLeft w:val="0"/>
      <w:marRight w:val="0"/>
      <w:marTop w:val="0"/>
      <w:marBottom w:val="0"/>
      <w:divBdr>
        <w:top w:val="none" w:sz="0" w:space="0" w:color="auto"/>
        <w:left w:val="none" w:sz="0" w:space="0" w:color="auto"/>
        <w:bottom w:val="none" w:sz="0" w:space="0" w:color="auto"/>
        <w:right w:val="none" w:sz="0" w:space="0" w:color="auto"/>
      </w:divBdr>
    </w:div>
    <w:div w:id="1064331581">
      <w:bodyDiv w:val="1"/>
      <w:marLeft w:val="0"/>
      <w:marRight w:val="0"/>
      <w:marTop w:val="0"/>
      <w:marBottom w:val="0"/>
      <w:divBdr>
        <w:top w:val="none" w:sz="0" w:space="0" w:color="auto"/>
        <w:left w:val="none" w:sz="0" w:space="0" w:color="auto"/>
        <w:bottom w:val="none" w:sz="0" w:space="0" w:color="auto"/>
        <w:right w:val="none" w:sz="0" w:space="0" w:color="auto"/>
      </w:divBdr>
    </w:div>
    <w:div w:id="1074858470">
      <w:bodyDiv w:val="1"/>
      <w:marLeft w:val="0"/>
      <w:marRight w:val="0"/>
      <w:marTop w:val="0"/>
      <w:marBottom w:val="0"/>
      <w:divBdr>
        <w:top w:val="none" w:sz="0" w:space="0" w:color="auto"/>
        <w:left w:val="none" w:sz="0" w:space="0" w:color="auto"/>
        <w:bottom w:val="none" w:sz="0" w:space="0" w:color="auto"/>
        <w:right w:val="none" w:sz="0" w:space="0" w:color="auto"/>
      </w:divBdr>
    </w:div>
    <w:div w:id="1106652884">
      <w:bodyDiv w:val="1"/>
      <w:marLeft w:val="0"/>
      <w:marRight w:val="0"/>
      <w:marTop w:val="0"/>
      <w:marBottom w:val="0"/>
      <w:divBdr>
        <w:top w:val="none" w:sz="0" w:space="0" w:color="auto"/>
        <w:left w:val="none" w:sz="0" w:space="0" w:color="auto"/>
        <w:bottom w:val="none" w:sz="0" w:space="0" w:color="auto"/>
        <w:right w:val="none" w:sz="0" w:space="0" w:color="auto"/>
      </w:divBdr>
    </w:div>
    <w:div w:id="1306934992">
      <w:bodyDiv w:val="1"/>
      <w:marLeft w:val="0"/>
      <w:marRight w:val="0"/>
      <w:marTop w:val="0"/>
      <w:marBottom w:val="0"/>
      <w:divBdr>
        <w:top w:val="none" w:sz="0" w:space="0" w:color="auto"/>
        <w:left w:val="none" w:sz="0" w:space="0" w:color="auto"/>
        <w:bottom w:val="none" w:sz="0" w:space="0" w:color="auto"/>
        <w:right w:val="none" w:sz="0" w:space="0" w:color="auto"/>
      </w:divBdr>
    </w:div>
    <w:div w:id="1312443632">
      <w:bodyDiv w:val="1"/>
      <w:marLeft w:val="0"/>
      <w:marRight w:val="0"/>
      <w:marTop w:val="0"/>
      <w:marBottom w:val="0"/>
      <w:divBdr>
        <w:top w:val="none" w:sz="0" w:space="0" w:color="auto"/>
        <w:left w:val="none" w:sz="0" w:space="0" w:color="auto"/>
        <w:bottom w:val="none" w:sz="0" w:space="0" w:color="auto"/>
        <w:right w:val="none" w:sz="0" w:space="0" w:color="auto"/>
      </w:divBdr>
    </w:div>
    <w:div w:id="1338381337">
      <w:bodyDiv w:val="1"/>
      <w:marLeft w:val="0"/>
      <w:marRight w:val="0"/>
      <w:marTop w:val="0"/>
      <w:marBottom w:val="0"/>
      <w:divBdr>
        <w:top w:val="none" w:sz="0" w:space="0" w:color="auto"/>
        <w:left w:val="none" w:sz="0" w:space="0" w:color="auto"/>
        <w:bottom w:val="none" w:sz="0" w:space="0" w:color="auto"/>
        <w:right w:val="none" w:sz="0" w:space="0" w:color="auto"/>
      </w:divBdr>
    </w:div>
    <w:div w:id="1386563092">
      <w:bodyDiv w:val="1"/>
      <w:marLeft w:val="0"/>
      <w:marRight w:val="0"/>
      <w:marTop w:val="0"/>
      <w:marBottom w:val="0"/>
      <w:divBdr>
        <w:top w:val="none" w:sz="0" w:space="0" w:color="auto"/>
        <w:left w:val="none" w:sz="0" w:space="0" w:color="auto"/>
        <w:bottom w:val="none" w:sz="0" w:space="0" w:color="auto"/>
        <w:right w:val="none" w:sz="0" w:space="0" w:color="auto"/>
      </w:divBdr>
    </w:div>
    <w:div w:id="1423528581">
      <w:bodyDiv w:val="1"/>
      <w:marLeft w:val="0"/>
      <w:marRight w:val="0"/>
      <w:marTop w:val="0"/>
      <w:marBottom w:val="0"/>
      <w:divBdr>
        <w:top w:val="none" w:sz="0" w:space="0" w:color="auto"/>
        <w:left w:val="none" w:sz="0" w:space="0" w:color="auto"/>
        <w:bottom w:val="none" w:sz="0" w:space="0" w:color="auto"/>
        <w:right w:val="none" w:sz="0" w:space="0" w:color="auto"/>
      </w:divBdr>
    </w:div>
    <w:div w:id="1439567580">
      <w:bodyDiv w:val="1"/>
      <w:marLeft w:val="0"/>
      <w:marRight w:val="0"/>
      <w:marTop w:val="0"/>
      <w:marBottom w:val="0"/>
      <w:divBdr>
        <w:top w:val="none" w:sz="0" w:space="0" w:color="auto"/>
        <w:left w:val="none" w:sz="0" w:space="0" w:color="auto"/>
        <w:bottom w:val="none" w:sz="0" w:space="0" w:color="auto"/>
        <w:right w:val="none" w:sz="0" w:space="0" w:color="auto"/>
      </w:divBdr>
    </w:div>
    <w:div w:id="1601834201">
      <w:bodyDiv w:val="1"/>
      <w:marLeft w:val="0"/>
      <w:marRight w:val="0"/>
      <w:marTop w:val="0"/>
      <w:marBottom w:val="0"/>
      <w:divBdr>
        <w:top w:val="none" w:sz="0" w:space="0" w:color="auto"/>
        <w:left w:val="none" w:sz="0" w:space="0" w:color="auto"/>
        <w:bottom w:val="none" w:sz="0" w:space="0" w:color="auto"/>
        <w:right w:val="none" w:sz="0" w:space="0" w:color="auto"/>
      </w:divBdr>
    </w:div>
    <w:div w:id="1704329826">
      <w:bodyDiv w:val="1"/>
      <w:marLeft w:val="0"/>
      <w:marRight w:val="0"/>
      <w:marTop w:val="0"/>
      <w:marBottom w:val="0"/>
      <w:divBdr>
        <w:top w:val="none" w:sz="0" w:space="0" w:color="auto"/>
        <w:left w:val="none" w:sz="0" w:space="0" w:color="auto"/>
        <w:bottom w:val="none" w:sz="0" w:space="0" w:color="auto"/>
        <w:right w:val="none" w:sz="0" w:space="0" w:color="auto"/>
      </w:divBdr>
    </w:div>
    <w:div w:id="1954896768">
      <w:bodyDiv w:val="1"/>
      <w:marLeft w:val="0"/>
      <w:marRight w:val="0"/>
      <w:marTop w:val="0"/>
      <w:marBottom w:val="0"/>
      <w:divBdr>
        <w:top w:val="none" w:sz="0" w:space="0" w:color="auto"/>
        <w:left w:val="none" w:sz="0" w:space="0" w:color="auto"/>
        <w:bottom w:val="none" w:sz="0" w:space="0" w:color="auto"/>
        <w:right w:val="none" w:sz="0" w:space="0" w:color="auto"/>
      </w:divBdr>
    </w:div>
    <w:div w:id="2006591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healthstarrating.gov.au/internet/healthstarrating/publishing.nsf/Content/formal-review-of-the-system-after-five-years"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ho.int/publications/m/item/guidingprinciples-labelling-promoting-healthydie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ECC0F49FA547BE4A8A9B555DDD180094" ma:contentTypeVersion="5" ma:contentTypeDescription="Create a new Word Document" ma:contentTypeScope="" ma:versionID="9144198ccdbacff45847023cfc503309">
  <xsd:schema xmlns:xsd="http://www.w3.org/2001/XMLSchema" xmlns:xs="http://www.w3.org/2001/XMLSchema" xmlns:p="http://schemas.microsoft.com/office/2006/metadata/properties" xmlns:ns3="01be4277-2979-4a68-876d-b92b25fceece" xmlns:ns4="72cc37d4-5d09-4cfd-a3cb-d7e1855b79a7" xmlns:ns5="1d8ff7ec-2659-49cb-a3f6-93e10ad1e971" xmlns:ns7="http://schemas.microsoft.com/sharepoint/v4" xmlns:ns8="da4e8e8e-1ef6-4631-8d7e-02b94c170110" targetNamespace="http://schemas.microsoft.com/office/2006/metadata/properties" ma:root="true" ma:fieldsID="b5f58337fb2ad892d88263e36b340ecc" ns3:_="" ns4:_="" ns5:_="" ns7:_="" ns8:_="">
    <xsd:import namespace="01be4277-2979-4a68-876d-b92b25fceece"/>
    <xsd:import namespace="72cc37d4-5d09-4cfd-a3cb-d7e1855b79a7"/>
    <xsd:import namespace="1d8ff7ec-2659-49cb-a3f6-93e10ad1e971"/>
    <xsd:import namespace="http://schemas.microsoft.com/sharepoint/v4"/>
    <xsd:import namespace="da4e8e8e-1ef6-4631-8d7e-02b94c170110"/>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n34b2a1472b34485af6d1097f3437ddb" minOccurs="0"/>
                <xsd:element ref="ns4:MPIStage" minOccurs="0"/>
                <xsd:element ref="ns5:MPIProjectWorkstream" minOccurs="0"/>
                <xsd:element ref="ns4:a982e8f01a8141f990532e9571a73e3e" minOccurs="0"/>
                <xsd:element ref="ns4:PingarLastProcessed" minOccurs="0"/>
                <xsd:element ref="ns4:i783979ff6e2414d9d054a94a3ea37d8" minOccurs="0"/>
                <xsd:element ref="ns7:IconOverlay" minOccurs="0"/>
                <xsd:element ref="ns8: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3a592a89-6bc1-4c8c-80ff-f37625b7c14c" ma:anchorId="14728799-ea26-414a-9863-54102175a08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cc37d4-5d09-4cfd-a3cb-d7e1855b79a7"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e769e10b-31c0-4092-9f1a-77a4913209d0}" ma:internalName="TaxCatchAll" ma:showField="CatchAllData" ma:web="72cc37d4-5d09-4cfd-a3cb-d7e1855b79a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769e10b-31c0-4092-9f1a-77a4913209d0}" ma:internalName="TaxCatchAllLabel" ma:readOnly="true" ma:showField="CatchAllDataLabel" ma:web="72cc37d4-5d09-4cfd-a3cb-d7e1855b79a7">
      <xsd:complexType>
        <xsd:complexContent>
          <xsd:extension base="dms:MultiChoiceLookup">
            <xsd:sequence>
              <xsd:element name="Value" type="dms:Lookup" maxOccurs="unbounded" minOccurs="0" nillable="true"/>
            </xsd:sequence>
          </xsd:extension>
        </xsd:complexContent>
      </xsd:complexType>
    </xsd:element>
    <xsd:element name="n34b2a1472b34485af6d1097f3437ddb" ma:index="14" nillable="true" ma:taxonomy="true" ma:internalName="n34b2a1472b34485af6d1097f3437ddb" ma:taxonomyFieldName="MPISecurityClassification" ma:displayName="Security Classification" ma:readOnly="false" ma:default="1;#None|cf402fa0-b6a8-49a7-a22e-a95b6152c608" ma:fieldId="{734b2a14-72b3-4485-af6d-1097f3437ddb}"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MPIStage" ma:index="16" nillable="true" ma:displayName="Stage" ma:format="Dropdown" ma:internalName="MPIStage">
      <xsd:simpleType>
        <xsd:restriction base="dms:Choice">
          <xsd:enumeration value="Start"/>
          <xsd:enumeration value="Plan"/>
          <xsd:enumeration value="Manage"/>
          <xsd:enumeration value="Close"/>
        </xsd:restriction>
      </xsd:simpleType>
    </xsd:element>
    <xsd:element name="a982e8f01a8141f990532e9571a73e3e" ma:index="20" nillable="true" ma:taxonomy="true" ma:internalName="a982e8f01a8141f990532e9571a73e3e" ma:taxonomyFieldName="PingarMPI_Terms" ma:displayName="Derived Terms" ma:fieldId="{a982e8f0-1a81-41f9-9053-2e9571a73e3e}"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21" nillable="true" ma:displayName="PingarLastProcessed" ma:format="DateTime" ma:internalName="PingarLastProcessed">
      <xsd:simpleType>
        <xsd:restriction base="dms:DateTime"/>
      </xsd:simpleType>
    </xsd:element>
    <xsd:element name="i783979ff6e2414d9d054a94a3ea37d8" ma:index="24" nillable="true" ma:taxonomy="true" ma:internalName="i783979ff6e2414d9d054a94a3ea37d8" ma:taxonomyFieldName="MPIYear" ma:displayName="Year" ma:default="" ma:fieldId="{2783979f-f6e2-414d-9d05-4a94a3ea37d8}"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8ff7ec-2659-49cb-a3f6-93e10ad1e971" elementFormDefault="qualified">
    <xsd:import namespace="http://schemas.microsoft.com/office/2006/documentManagement/types"/>
    <xsd:import namespace="http://schemas.microsoft.com/office/infopath/2007/PartnerControls"/>
    <xsd:element name="MPIProjectWorkstream" ma:index="17" nillable="true" ma:displayName="Project Workstream" ma:list="{EEABF693-B64D-4EBA-A92C-E60227CA4F3B}" ma:internalName="MPIProjectWorkstream" ma:showField="Title" ma:web="{da4e8e8e-1ef6-4631-8d7e-02b94c1701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e8e8e-1ef6-4631-8d7e-02b94c170110"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PingarLastProcessed xmlns="72cc37d4-5d09-4cfd-a3cb-d7e1855b79a7" xsi:nil="true"/>
    <i783979ff6e2414d9d054a94a3ea37d8 xmlns="72cc37d4-5d09-4cfd-a3cb-d7e1855b79a7">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df5cbc27-f24c-4e6e-a5dd-0ff3105a1cf8</TermId>
        </TermInfo>
      </Terms>
    </i783979ff6e2414d9d054a94a3ea37d8>
    <IconOverlay xmlns="http://schemas.microsoft.com/sharepoint/v4" xsi:nil="true"/>
    <a982e8f01a8141f990532e9571a73e3e xmlns="72cc37d4-5d09-4cfd-a3cb-d7e1855b79a7">
      <Terms xmlns="http://schemas.microsoft.com/office/infopath/2007/PartnerControls"/>
    </a982e8f01a8141f990532e9571a73e3e>
    <TaxCatchAll xmlns="72cc37d4-5d09-4cfd-a3cb-d7e1855b79a7">
      <Value>1</Value>
      <Value>17688</Value>
    </TaxCatchAll>
    <n34b2a1472b34485af6d1097f3437ddb xmlns="72cc37d4-5d09-4cfd-a3cb-d7e1855b79a7">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n34b2a1472b34485af6d1097f3437ddb>
    <MPIProjectWorkstream xmlns="1d8ff7ec-2659-49cb-a3f6-93e10ad1e971" xsi:nil="true"/>
    <MPIStage xmlns="72cc37d4-5d09-4cfd-a3cb-d7e1855b79a7" xsi:nil="true"/>
    <TaxKeywordTaxHTField xmlns="72cc37d4-5d09-4cfd-a3cb-d7e1855b79a7">
      <Terms xmlns="http://schemas.microsoft.com/office/infopath/2007/PartnerControls"/>
    </TaxKeywordTaxHTField>
    <_dlc_DocId xmlns="72cc37d4-5d09-4cfd-a3cb-d7e1855b79a7">PROJECTS-1190405878-250</_dlc_DocId>
    <_dlc_DocIdUrl xmlns="72cc37d4-5d09-4cfd-a3cb-d7e1855b79a7">
      <Url>https://piritahi.cohesion.net.nz/Sites/PRO/RA/HSRP/_layouts/15/DocIdRedir.aspx?ID=PROJECTS-1190405878-250</Url>
      <Description>PROJECTS-1190405878-250</Description>
    </_dlc_DocIdUrl>
  </documentManagement>
</p:properties>
</file>

<file path=customXml/itemProps1.xml><?xml version="1.0" encoding="utf-8"?>
<ds:datastoreItem xmlns:ds="http://schemas.openxmlformats.org/officeDocument/2006/customXml" ds:itemID="{9AB0C633-F204-48CA-A288-586298AEE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72cc37d4-5d09-4cfd-a3cb-d7e1855b79a7"/>
    <ds:schemaRef ds:uri="1d8ff7ec-2659-49cb-a3f6-93e10ad1e971"/>
    <ds:schemaRef ds:uri="http://schemas.microsoft.com/sharepoint/v4"/>
    <ds:schemaRef ds:uri="da4e8e8e-1ef6-4631-8d7e-02b94c170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BE641-3DCF-4E0D-A4C3-9A2C4209B090}">
  <ds:schemaRefs>
    <ds:schemaRef ds:uri="http://schemas.openxmlformats.org/officeDocument/2006/bibliography"/>
  </ds:schemaRefs>
</ds:datastoreItem>
</file>

<file path=customXml/itemProps3.xml><?xml version="1.0" encoding="utf-8"?>
<ds:datastoreItem xmlns:ds="http://schemas.openxmlformats.org/officeDocument/2006/customXml" ds:itemID="{7030F107-CD63-473F-8FCB-5AE7D81F10C3}">
  <ds:schemaRefs>
    <ds:schemaRef ds:uri="http://schemas.microsoft.com/sharepoint/v3/contenttype/forms"/>
  </ds:schemaRefs>
</ds:datastoreItem>
</file>

<file path=customXml/itemProps4.xml><?xml version="1.0" encoding="utf-8"?>
<ds:datastoreItem xmlns:ds="http://schemas.openxmlformats.org/officeDocument/2006/customXml" ds:itemID="{9DF2A6A8-B4A1-403B-8EFC-EAA9BD52DFF9}">
  <ds:schemaRefs>
    <ds:schemaRef ds:uri="http://schemas.microsoft.com/sharepoint/events"/>
  </ds:schemaRefs>
</ds:datastoreItem>
</file>

<file path=customXml/itemProps5.xml><?xml version="1.0" encoding="utf-8"?>
<ds:datastoreItem xmlns:ds="http://schemas.openxmlformats.org/officeDocument/2006/customXml" ds:itemID="{49B7F941-9D83-4B8C-8A97-A71D97D158CB}">
  <ds:schemaRefs>
    <ds:schemaRef ds:uri="http://schemas.microsoft.com/office/2006/metadata/properties"/>
    <ds:schemaRef ds:uri="http://schemas.microsoft.com/office/infopath/2007/PartnerControls"/>
    <ds:schemaRef ds:uri="01be4277-2979-4a68-876d-b92b25fceece"/>
    <ds:schemaRef ds:uri="72cc37d4-5d09-4cfd-a3cb-d7e1855b79a7"/>
    <ds:schemaRef ds:uri="http://schemas.microsoft.com/sharepoint/v4"/>
    <ds:schemaRef ds:uri="1d8ff7ec-2659-49cb-a3f6-93e10ad1e971"/>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4022</Words>
  <Characters>22929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QRG Template Title</vt:lpstr>
    </vt:vector>
  </TitlesOfParts>
  <Company>Dept Health And Ageing</Company>
  <LinksUpToDate>false</LinksUpToDate>
  <CharactersWithSpaces>26898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QRG Template Title</dc:title>
  <dc:creator>Department of Health</dc:creator>
  <cp:keywords/>
  <cp:lastModifiedBy>Health and Aged care </cp:lastModifiedBy>
  <cp:revision>23</cp:revision>
  <cp:lastPrinted>2016-09-21T03:29:00Z</cp:lastPrinted>
  <dcterms:created xsi:type="dcterms:W3CDTF">2023-09-15T00:57:00Z</dcterms:created>
  <dcterms:modified xsi:type="dcterms:W3CDTF">2023-10-16T06:24:00Z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0x0101005496552013C0BA46BE88192D5C6EB20B00BC7B51C3C3DA487E91D1E0ED95F8C85C00ECC0F49FA547BE4A8A9B555DDD180094</vt:lpwstr>
  </property>
  <property fmtid="{D5CDD505-2E9C-101B-9397-08002B2CF9AE}" pid="3" name="_dlc_DocIdItemGuid">
    <vt:lpwstr>c0e5d2d1-1915-41fa-824a-d6858644ee8e</vt:lpwstr>
  </property>
  <property fmtid="{D5CDD505-2E9C-101B-9397-08002B2CF9AE}" pid="4" name="RecordPoint_WorkflowType">
    <vt:lpwstr>ActiveSubmitStub</vt:lpwstr>
  </property>
  <property fmtid="{D5CDD505-2E9C-101B-9397-08002B2CF9AE}" pid="5" name="RecordPoint_ActiveItemListId">
    <vt:lpwstr>{d349c8d3-caf0-4d8e-a560-6e7b0a267f38}</vt:lpwstr>
  </property>
  <property fmtid="{D5CDD505-2E9C-101B-9397-08002B2CF9AE}" pid="6" name="RecordPoint_ActiveItemUniqueId">
    <vt:lpwstr>{c0e5d2d1-1915-41fa-824a-d6858644ee8e}</vt:lpwstr>
  </property>
  <property fmtid="{D5CDD505-2E9C-101B-9397-08002B2CF9AE}" pid="7" name="RecordPoint_ActiveItemWebId">
    <vt:lpwstr>{da4e8e8e-1ef6-4631-8d7e-02b94c170110}</vt:lpwstr>
  </property>
  <property fmtid="{D5CDD505-2E9C-101B-9397-08002B2CF9AE}" pid="8" name="RecordPoint_ActiveItemSiteId">
    <vt:lpwstr>{6ca9caab-e4f7-4b7b-aa1a-8b535e38f6e3}</vt:lpwstr>
  </property>
  <property fmtid="{D5CDD505-2E9C-101B-9397-08002B2CF9AE}" pid="9" name="TaxKeyword">
    <vt:lpwstr/>
  </property>
  <property fmtid="{D5CDD505-2E9C-101B-9397-08002B2CF9AE}" pid="10" name="MPISecurityClassification">
    <vt:lpwstr>1;#None|cf402fa0-b6a8-49a7-a22e-a95b6152c608</vt:lpwstr>
  </property>
  <property fmtid="{D5CDD505-2E9C-101B-9397-08002B2CF9AE}" pid="11" name="MPIYear">
    <vt:lpwstr>17688;#2022|df5cbc27-f24c-4e6e-a5dd-0ff3105a1cf8</vt:lpwstr>
  </property>
  <property fmtid="{D5CDD505-2E9C-101B-9397-08002B2CF9AE}" pid="12" name="PingarMPI_Terms">
    <vt:lpwstr/>
  </property>
  <property fmtid="{D5CDD505-2E9C-101B-9397-08002B2CF9AE}" pid="13" name="C3Topic">
    <vt:lpwstr/>
  </property>
</Properties>
</file>