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B2C9D" w14:textId="0A169611" w:rsidR="008A6601" w:rsidRPr="00323B53" w:rsidRDefault="000554D7" w:rsidP="00C35C41">
      <w:pPr>
        <w:pStyle w:val="Heading1"/>
        <w:spacing w:before="0"/>
        <w:contextualSpacing/>
        <w:rPr>
          <w:rFonts w:cs="Times New Roman"/>
        </w:rPr>
      </w:pPr>
      <w:r w:rsidRPr="00323B53">
        <w:rPr>
          <w:rFonts w:ascii="Times New Roman" w:eastAsia="Times New Roman" w:hAnsi="Times New Roman" w:cs="Times New Roman"/>
        </w:rPr>
        <w:t>Health</w:t>
      </w:r>
      <w:r w:rsidRPr="00323B53">
        <w:rPr>
          <w:rFonts w:ascii="Times New Roman" w:eastAsia="Times New Roman" w:hAnsi="Times New Roman" w:cs="Times New Roman"/>
          <w:spacing w:val="-1"/>
        </w:rPr>
        <w:t xml:space="preserve"> </w:t>
      </w:r>
      <w:r w:rsidRPr="00323B53">
        <w:rPr>
          <w:rFonts w:ascii="Times New Roman" w:eastAsia="Times New Roman" w:hAnsi="Times New Roman" w:cs="Times New Roman"/>
        </w:rPr>
        <w:t>Star</w:t>
      </w:r>
      <w:r w:rsidRPr="00323B53">
        <w:rPr>
          <w:rFonts w:ascii="Times New Roman" w:eastAsia="Times New Roman" w:hAnsi="Times New Roman" w:cs="Times New Roman"/>
          <w:spacing w:val="-1"/>
        </w:rPr>
        <w:t xml:space="preserve"> </w:t>
      </w:r>
      <w:r w:rsidRPr="00323B53">
        <w:rPr>
          <w:rFonts w:ascii="Times New Roman" w:eastAsia="Times New Roman" w:hAnsi="Times New Roman" w:cs="Times New Roman"/>
        </w:rPr>
        <w:t>Rating</w:t>
      </w:r>
      <w:r w:rsidRPr="00323B53">
        <w:rPr>
          <w:rFonts w:ascii="Times New Roman" w:eastAsia="Times New Roman" w:hAnsi="Times New Roman" w:cs="Times New Roman"/>
          <w:spacing w:val="-1"/>
        </w:rPr>
        <w:t xml:space="preserve"> </w:t>
      </w:r>
      <w:r w:rsidRPr="00323B53">
        <w:rPr>
          <w:rFonts w:ascii="Times New Roman" w:eastAsia="Times New Roman" w:hAnsi="Times New Roman" w:cs="Times New Roman"/>
        </w:rPr>
        <w:t>System–</w:t>
      </w:r>
      <w:r w:rsidRPr="00323B53">
        <w:rPr>
          <w:rFonts w:ascii="Times New Roman" w:eastAsia="Times New Roman" w:hAnsi="Times New Roman" w:cs="Times New Roman"/>
          <w:spacing w:val="-1"/>
        </w:rPr>
        <w:t xml:space="preserve"> </w:t>
      </w:r>
      <w:r w:rsidRPr="00323B53">
        <w:rPr>
          <w:rFonts w:ascii="Times New Roman" w:eastAsia="Times New Roman" w:hAnsi="Times New Roman" w:cs="Times New Roman"/>
        </w:rPr>
        <w:t>Anomalies</w:t>
      </w:r>
      <w:r w:rsidR="00664A5C">
        <w:rPr>
          <w:rFonts w:ascii="Times New Roman" w:eastAsia="Times New Roman" w:hAnsi="Times New Roman" w:cs="Times New Roman"/>
        </w:rPr>
        <w:br/>
      </w:r>
    </w:p>
    <w:p w14:paraId="55C266BA" w14:textId="26CF14BC" w:rsidR="00FD64F3" w:rsidRPr="00323B53" w:rsidRDefault="00357C4E" w:rsidP="00713709">
      <w:pPr>
        <w:pStyle w:val="BodyText"/>
        <w:spacing w:line="276" w:lineRule="auto"/>
        <w:ind w:left="0" w:right="346"/>
        <w:contextualSpacing/>
        <w:rPr>
          <w:rFonts w:cs="Times New Roman"/>
        </w:rPr>
      </w:pPr>
      <w:r w:rsidRPr="00323B53">
        <w:rPr>
          <w:rFonts w:cs="Times New Roman"/>
        </w:rPr>
        <w:t>A</w:t>
      </w:r>
      <w:r w:rsidR="00FD64F3" w:rsidRPr="00323B53">
        <w:rPr>
          <w:rFonts w:cs="Times New Roman"/>
        </w:rPr>
        <w:t>n anomaly is</w:t>
      </w:r>
      <w:r w:rsidR="00FD64F3" w:rsidRPr="00323B53">
        <w:rPr>
          <w:rFonts w:cs="Times New Roman"/>
          <w:i/>
          <w:iCs/>
        </w:rPr>
        <w:t xml:space="preserve"> a deviation from the common rule, type, arrangement, or form. </w:t>
      </w:r>
      <w:r w:rsidR="00FD64F3" w:rsidRPr="00323B53">
        <w:rPr>
          <w:rFonts w:cs="Times New Roman"/>
        </w:rPr>
        <w:t>For</w:t>
      </w:r>
      <w:r w:rsidR="00FD64F3" w:rsidRPr="00323B53">
        <w:rPr>
          <w:rFonts w:cs="Times New Roman"/>
          <w:spacing w:val="-1"/>
        </w:rPr>
        <w:t xml:space="preserve"> </w:t>
      </w:r>
      <w:r w:rsidR="00FD64F3" w:rsidRPr="00323B53">
        <w:rPr>
          <w:rFonts w:cs="Times New Roman"/>
        </w:rPr>
        <w:t>the</w:t>
      </w:r>
      <w:r w:rsidR="00FD64F3" w:rsidRPr="00323B53">
        <w:rPr>
          <w:rFonts w:cs="Times New Roman"/>
          <w:spacing w:val="-1"/>
        </w:rPr>
        <w:t xml:space="preserve"> </w:t>
      </w:r>
      <w:r w:rsidR="00FD64F3" w:rsidRPr="00323B53">
        <w:rPr>
          <w:rFonts w:cs="Times New Roman"/>
        </w:rPr>
        <w:t>purposes</w:t>
      </w:r>
      <w:r w:rsidR="00FD64F3" w:rsidRPr="00323B53">
        <w:rPr>
          <w:rFonts w:cs="Times New Roman"/>
          <w:spacing w:val="-1"/>
        </w:rPr>
        <w:t xml:space="preserve"> </w:t>
      </w:r>
      <w:r w:rsidR="00FD64F3" w:rsidRPr="00323B53">
        <w:rPr>
          <w:rFonts w:cs="Times New Roman"/>
        </w:rPr>
        <w:t>of</w:t>
      </w:r>
      <w:r w:rsidR="00FD64F3" w:rsidRPr="00323B53">
        <w:rPr>
          <w:rFonts w:cs="Times New Roman"/>
          <w:spacing w:val="-1"/>
        </w:rPr>
        <w:t xml:space="preserve"> </w:t>
      </w:r>
      <w:r w:rsidR="00FD64F3" w:rsidRPr="00323B53">
        <w:rPr>
          <w:rFonts w:cs="Times New Roman"/>
        </w:rPr>
        <w:t>the</w:t>
      </w:r>
      <w:r w:rsidR="00FD64F3" w:rsidRPr="00323B53">
        <w:rPr>
          <w:rFonts w:cs="Times New Roman"/>
          <w:spacing w:val="-1"/>
        </w:rPr>
        <w:t xml:space="preserve"> </w:t>
      </w:r>
      <w:r w:rsidR="00FD64F3" w:rsidRPr="00323B53">
        <w:rPr>
          <w:rFonts w:cs="Times New Roman"/>
        </w:rPr>
        <w:t>Health St</w:t>
      </w:r>
      <w:r w:rsidR="00FD64F3" w:rsidRPr="00323B53">
        <w:rPr>
          <w:rFonts w:cs="Times New Roman"/>
          <w:spacing w:val="-1"/>
        </w:rPr>
        <w:t>a</w:t>
      </w:r>
      <w:r w:rsidR="00FD64F3" w:rsidRPr="00323B53">
        <w:rPr>
          <w:rFonts w:cs="Times New Roman"/>
        </w:rPr>
        <w:t>r Rating (</w:t>
      </w:r>
      <w:r w:rsidR="00FD64F3" w:rsidRPr="00323B53">
        <w:rPr>
          <w:rFonts w:cs="Times New Roman"/>
          <w:spacing w:val="-2"/>
        </w:rPr>
        <w:t>H</w:t>
      </w:r>
      <w:r w:rsidR="00FD64F3" w:rsidRPr="00323B53">
        <w:rPr>
          <w:rFonts w:cs="Times New Roman"/>
        </w:rPr>
        <w:t>SR) system,</w:t>
      </w:r>
      <w:r w:rsidR="00FD64F3" w:rsidRPr="00323B53">
        <w:rPr>
          <w:rFonts w:cs="Times New Roman"/>
          <w:spacing w:val="-1"/>
        </w:rPr>
        <w:t xml:space="preserve"> </w:t>
      </w:r>
      <w:r w:rsidR="00FD64F3" w:rsidRPr="00323B53">
        <w:rPr>
          <w:rFonts w:cs="Times New Roman"/>
        </w:rPr>
        <w:t>an</w:t>
      </w:r>
      <w:r w:rsidR="00FD64F3" w:rsidRPr="00323B53">
        <w:rPr>
          <w:rFonts w:cs="Times New Roman"/>
          <w:spacing w:val="-1"/>
        </w:rPr>
        <w:t xml:space="preserve"> </w:t>
      </w:r>
      <w:r w:rsidR="00FD64F3" w:rsidRPr="00323B53">
        <w:rPr>
          <w:rFonts w:cs="Times New Roman"/>
        </w:rPr>
        <w:t>ano</w:t>
      </w:r>
      <w:r w:rsidR="00FD64F3" w:rsidRPr="00323B53">
        <w:rPr>
          <w:rFonts w:cs="Times New Roman"/>
          <w:spacing w:val="-2"/>
        </w:rPr>
        <w:t>m</w:t>
      </w:r>
      <w:r w:rsidR="00FD64F3" w:rsidRPr="00323B53">
        <w:rPr>
          <w:rFonts w:cs="Times New Roman"/>
        </w:rPr>
        <w:t>aly</w:t>
      </w:r>
      <w:r w:rsidR="00FD64F3" w:rsidRPr="00323B53">
        <w:rPr>
          <w:rFonts w:cs="Times New Roman"/>
          <w:spacing w:val="-1"/>
        </w:rPr>
        <w:t xml:space="preserve"> </w:t>
      </w:r>
      <w:r w:rsidR="00FD64F3" w:rsidRPr="00323B53">
        <w:rPr>
          <w:rFonts w:cs="Times New Roman"/>
        </w:rPr>
        <w:t>occurs when:</w:t>
      </w:r>
    </w:p>
    <w:p w14:paraId="1DEBE096" w14:textId="4FF7A0BB" w:rsidR="00FD64F3" w:rsidRPr="00323B53" w:rsidRDefault="0051538B" w:rsidP="00713709">
      <w:pPr>
        <w:pStyle w:val="BodyText"/>
        <w:numPr>
          <w:ilvl w:val="0"/>
          <w:numId w:val="11"/>
        </w:numPr>
        <w:contextualSpacing/>
        <w:rPr>
          <w:rFonts w:cs="Times New Roman"/>
        </w:rPr>
      </w:pPr>
      <w:r w:rsidRPr="00323B53">
        <w:rPr>
          <w:rFonts w:cs="Times New Roman"/>
        </w:rPr>
        <w:t>the calculated</w:t>
      </w:r>
      <w:r w:rsidR="00FD64F3" w:rsidRPr="00323B53">
        <w:rPr>
          <w:rFonts w:cs="Times New Roman"/>
        </w:rPr>
        <w:t xml:space="preserve"> star rating</w:t>
      </w:r>
      <w:r w:rsidR="004D44E2" w:rsidRPr="00323B53">
        <w:rPr>
          <w:rFonts w:cs="Times New Roman"/>
        </w:rPr>
        <w:t xml:space="preserve"> for a product</w:t>
      </w:r>
      <w:r w:rsidR="00FD64F3" w:rsidRPr="00323B53">
        <w:rPr>
          <w:rFonts w:cs="Times New Roman"/>
        </w:rPr>
        <w:t xml:space="preserve">: </w:t>
      </w:r>
    </w:p>
    <w:p w14:paraId="7D13AD5C" w14:textId="77777777" w:rsidR="00FD64F3" w:rsidRPr="00323B53" w:rsidRDefault="00FD64F3" w:rsidP="00713709">
      <w:pPr>
        <w:pStyle w:val="BodyText"/>
        <w:numPr>
          <w:ilvl w:val="1"/>
          <w:numId w:val="11"/>
        </w:numPr>
        <w:contextualSpacing/>
        <w:rPr>
          <w:rFonts w:cs="Times New Roman"/>
        </w:rPr>
      </w:pPr>
      <w:r w:rsidRPr="00323B53">
        <w:rPr>
          <w:rFonts w:cs="Times New Roman"/>
        </w:rPr>
        <w:t>is inconsistent with the Australi</w:t>
      </w:r>
      <w:r w:rsidRPr="00323B53">
        <w:rPr>
          <w:rFonts w:cs="Times New Roman"/>
          <w:spacing w:val="-1"/>
        </w:rPr>
        <w:t>a</w:t>
      </w:r>
      <w:r w:rsidRPr="00323B53">
        <w:rPr>
          <w:rFonts w:cs="Times New Roman"/>
        </w:rPr>
        <w:t>n</w:t>
      </w:r>
      <w:r w:rsidRPr="00323B53">
        <w:rPr>
          <w:rFonts w:cs="Times New Roman"/>
          <w:spacing w:val="-1"/>
        </w:rPr>
        <w:t xml:space="preserve"> Dietar</w:t>
      </w:r>
      <w:r w:rsidRPr="00323B53">
        <w:rPr>
          <w:rFonts w:cs="Times New Roman"/>
        </w:rPr>
        <w:t>y</w:t>
      </w:r>
      <w:r w:rsidRPr="00323B53">
        <w:rPr>
          <w:rFonts w:cs="Times New Roman"/>
          <w:spacing w:val="-1"/>
        </w:rPr>
        <w:t xml:space="preserve"> Guideline</w:t>
      </w:r>
      <w:r w:rsidRPr="00323B53">
        <w:rPr>
          <w:rFonts w:cs="Times New Roman"/>
        </w:rPr>
        <w:t>s</w:t>
      </w:r>
      <w:r w:rsidRPr="00323B53">
        <w:rPr>
          <w:rFonts w:cs="Times New Roman"/>
          <w:spacing w:val="-1"/>
        </w:rPr>
        <w:t xml:space="preserve"> (ADGs)/New Zealand Eating and Activity Guidelines (NZEAGs)</w:t>
      </w:r>
      <w:r w:rsidRPr="00323B53">
        <w:rPr>
          <w:rFonts w:cs="Times New Roman"/>
        </w:rPr>
        <w:t xml:space="preserve">; </w:t>
      </w:r>
      <w:r w:rsidRPr="00323B53">
        <w:rPr>
          <w:rFonts w:cs="Times New Roman"/>
          <w:b/>
          <w:bCs/>
        </w:rPr>
        <w:t>or</w:t>
      </w:r>
    </w:p>
    <w:p w14:paraId="3EA0A209" w14:textId="77777777" w:rsidR="00947423" w:rsidRPr="00323B53" w:rsidRDefault="00FD64F3" w:rsidP="002A3C61">
      <w:pPr>
        <w:pStyle w:val="BodyText"/>
        <w:numPr>
          <w:ilvl w:val="1"/>
          <w:numId w:val="11"/>
        </w:numPr>
        <w:contextualSpacing/>
        <w:rPr>
          <w:rFonts w:cs="Times New Roman"/>
        </w:rPr>
      </w:pPr>
      <w:r w:rsidRPr="00323B53">
        <w:rPr>
          <w:rFonts w:cs="Times New Roman"/>
        </w:rPr>
        <w:t xml:space="preserve">when used to make comparisons within a food category or across comparable food categories would mislead </w:t>
      </w:r>
      <w:proofErr w:type="gramStart"/>
      <w:r w:rsidRPr="00323B53">
        <w:rPr>
          <w:rFonts w:cs="Times New Roman"/>
        </w:rPr>
        <w:t>consumers;</w:t>
      </w:r>
      <w:proofErr w:type="gramEnd"/>
      <w:r w:rsidRPr="00323B53">
        <w:rPr>
          <w:rFonts w:cs="Times New Roman"/>
        </w:rPr>
        <w:t xml:space="preserve"> </w:t>
      </w:r>
    </w:p>
    <w:p w14:paraId="76EE9E93" w14:textId="757FB070" w:rsidR="00FD64F3" w:rsidRPr="00323B53" w:rsidRDefault="00FD64F3" w:rsidP="00713709">
      <w:pPr>
        <w:pStyle w:val="BodyText"/>
        <w:contextualSpacing/>
        <w:rPr>
          <w:rFonts w:cs="Times New Roman"/>
        </w:rPr>
      </w:pPr>
      <w:r w:rsidRPr="00323B53">
        <w:rPr>
          <w:rFonts w:cs="Times New Roman"/>
          <w:b/>
          <w:bCs/>
        </w:rPr>
        <w:t>and</w:t>
      </w:r>
    </w:p>
    <w:p w14:paraId="5FF6252C" w14:textId="140162FE" w:rsidR="004D44E2" w:rsidRPr="00323B53" w:rsidRDefault="00FD64F3" w:rsidP="004A6FB2">
      <w:pPr>
        <w:pStyle w:val="BodyText"/>
        <w:numPr>
          <w:ilvl w:val="0"/>
          <w:numId w:val="11"/>
        </w:numPr>
        <w:spacing w:after="120"/>
        <w:ind w:left="714" w:hanging="357"/>
        <w:rPr>
          <w:rFonts w:cs="Times New Roman"/>
        </w:rPr>
      </w:pPr>
      <w:r w:rsidRPr="00323B53">
        <w:rPr>
          <w:rFonts w:cs="Times New Roman"/>
        </w:rPr>
        <w:t>the matter was not substantially considered during the</w:t>
      </w:r>
      <w:r w:rsidR="00824C28" w:rsidRPr="00323B53">
        <w:rPr>
          <w:rFonts w:cs="Times New Roman"/>
        </w:rPr>
        <w:t xml:space="preserve"> 2019 formal</w:t>
      </w:r>
      <w:r w:rsidRPr="00323B53">
        <w:rPr>
          <w:rFonts w:cs="Times New Roman"/>
        </w:rPr>
        <w:t xml:space="preserve"> five-year review of the HSR system (if new information or developments have occurred the matter can be revisited)</w:t>
      </w:r>
      <w:r w:rsidR="00824C28" w:rsidRPr="00323B53">
        <w:rPr>
          <w:rFonts w:cs="Times New Roman"/>
        </w:rPr>
        <w:t>.</w:t>
      </w:r>
    </w:p>
    <w:p w14:paraId="758D3B8D" w14:textId="389C4165" w:rsidR="004D44E2" w:rsidRPr="00323B53" w:rsidRDefault="004D44E2" w:rsidP="00506E94">
      <w:pPr>
        <w:pStyle w:val="BodyText"/>
        <w:spacing w:after="120"/>
        <w:ind w:left="0"/>
        <w:rPr>
          <w:rFonts w:cs="Times New Roman"/>
        </w:rPr>
      </w:pPr>
      <w:r w:rsidRPr="00323B53">
        <w:rPr>
          <w:rFonts w:cs="Times New Roman"/>
        </w:rPr>
        <w:t xml:space="preserve">When a true anomaly </w:t>
      </w:r>
      <w:r w:rsidR="00EB12CE" w:rsidRPr="00323B53">
        <w:rPr>
          <w:rFonts w:cs="Times New Roman"/>
        </w:rPr>
        <w:t>of</w:t>
      </w:r>
      <w:r w:rsidR="0084556D" w:rsidRPr="00323B53">
        <w:rPr>
          <w:rFonts w:cs="Times New Roman"/>
        </w:rPr>
        <w:t xml:space="preserve"> the HSR system </w:t>
      </w:r>
      <w:r w:rsidRPr="00323B53">
        <w:rPr>
          <w:rFonts w:cs="Times New Roman"/>
        </w:rPr>
        <w:t xml:space="preserve">has occurred, </w:t>
      </w:r>
      <w:r w:rsidR="006729CC" w:rsidRPr="006729CC">
        <w:rPr>
          <w:rFonts w:cs="Times New Roman"/>
          <w:lang w:val="en-AU"/>
        </w:rPr>
        <w:t>an appropriate resolution will be found.</w:t>
      </w:r>
    </w:p>
    <w:p w14:paraId="66B61BBC" w14:textId="77777777" w:rsidR="002A6C35" w:rsidRPr="00323B53" w:rsidRDefault="002A6C35" w:rsidP="00506E94">
      <w:pPr>
        <w:pStyle w:val="BodyText"/>
        <w:spacing w:after="120"/>
        <w:ind w:left="0"/>
        <w:rPr>
          <w:rFonts w:cs="Times New Roman"/>
        </w:rPr>
      </w:pPr>
    </w:p>
    <w:p w14:paraId="71239DBA" w14:textId="2FD668BF" w:rsidR="002B6B89" w:rsidRPr="00323B53" w:rsidRDefault="00B352A1" w:rsidP="00CB7015">
      <w:pPr>
        <w:pStyle w:val="Heading2"/>
        <w:spacing w:before="0"/>
        <w:ind w:left="0"/>
        <w:contextualSpacing/>
        <w:rPr>
          <w:rFonts w:cs="Times New Roman"/>
          <w:color w:val="2F5496" w:themeColor="accent1" w:themeShade="BF"/>
          <w:sz w:val="28"/>
          <w:szCs w:val="28"/>
        </w:rPr>
      </w:pPr>
      <w:r w:rsidRPr="00323B53">
        <w:rPr>
          <w:rFonts w:cs="Times New Roman"/>
          <w:color w:val="2F5496" w:themeColor="accent1" w:themeShade="BF"/>
          <w:sz w:val="28"/>
          <w:szCs w:val="28"/>
        </w:rPr>
        <w:t>C</w:t>
      </w:r>
      <w:r w:rsidR="009C0F1D" w:rsidRPr="00323B53">
        <w:rPr>
          <w:rFonts w:cs="Times New Roman"/>
          <w:color w:val="2F5496" w:themeColor="accent1" w:themeShade="BF"/>
          <w:sz w:val="28"/>
          <w:szCs w:val="28"/>
        </w:rPr>
        <w:t>ontext</w:t>
      </w:r>
    </w:p>
    <w:p w14:paraId="543FA278" w14:textId="1AA2CC46" w:rsidR="000554D7" w:rsidRPr="00323B53" w:rsidRDefault="00B352A1" w:rsidP="00CB7015">
      <w:pPr>
        <w:pStyle w:val="Heading2"/>
        <w:spacing w:before="0"/>
        <w:ind w:left="0"/>
        <w:contextualSpacing/>
        <w:rPr>
          <w:rFonts w:cs="Times New Roman"/>
          <w:color w:val="000000" w:themeColor="text1"/>
        </w:rPr>
      </w:pPr>
      <w:r w:rsidRPr="00323B53">
        <w:rPr>
          <w:rFonts w:cs="Times New Roman"/>
          <w:color w:val="000000" w:themeColor="text1"/>
        </w:rPr>
        <w:t>The HSR system</w:t>
      </w:r>
    </w:p>
    <w:p w14:paraId="2848C012" w14:textId="48B5AD67" w:rsidR="000554D7" w:rsidRPr="00323B53" w:rsidRDefault="000554D7" w:rsidP="008A6601">
      <w:pPr>
        <w:pStyle w:val="BodyText"/>
        <w:numPr>
          <w:ilvl w:val="0"/>
          <w:numId w:val="10"/>
        </w:numPr>
        <w:tabs>
          <w:tab w:val="left" w:pos="851"/>
        </w:tabs>
        <w:ind w:left="714" w:right="210" w:hanging="357"/>
        <w:rPr>
          <w:rFonts w:cs="Times New Roman"/>
        </w:rPr>
      </w:pPr>
      <w:r w:rsidRPr="00323B53">
        <w:rPr>
          <w:rFonts w:cs="Times New Roman"/>
        </w:rPr>
        <w:t xml:space="preserve">The purpose of the </w:t>
      </w:r>
      <w:r w:rsidR="001031E6" w:rsidRPr="00323B53">
        <w:rPr>
          <w:rFonts w:cs="Times New Roman"/>
        </w:rPr>
        <w:t xml:space="preserve">HSR system </w:t>
      </w:r>
      <w:r w:rsidRPr="00323B53">
        <w:rPr>
          <w:rFonts w:cs="Times New Roman"/>
        </w:rPr>
        <w:t>is to provide</w:t>
      </w:r>
      <w:r w:rsidRPr="00323B53">
        <w:rPr>
          <w:rFonts w:cs="Times New Roman"/>
          <w:spacing w:val="-1"/>
        </w:rPr>
        <w:t xml:space="preserve"> </w:t>
      </w:r>
      <w:r w:rsidRPr="00323B53">
        <w:rPr>
          <w:rFonts w:cs="Times New Roman"/>
        </w:rPr>
        <w:t>convenient,</w:t>
      </w:r>
      <w:r w:rsidRPr="00323B53">
        <w:rPr>
          <w:rFonts w:cs="Times New Roman"/>
          <w:spacing w:val="-1"/>
        </w:rPr>
        <w:t xml:space="preserve"> </w:t>
      </w:r>
      <w:r w:rsidRPr="00323B53">
        <w:rPr>
          <w:rFonts w:cs="Times New Roman"/>
        </w:rPr>
        <w:t>relevant</w:t>
      </w:r>
      <w:r w:rsidRPr="00323B53">
        <w:rPr>
          <w:rFonts w:cs="Times New Roman"/>
          <w:spacing w:val="-1"/>
        </w:rPr>
        <w:t xml:space="preserve"> </w:t>
      </w:r>
      <w:r w:rsidRPr="00323B53">
        <w:rPr>
          <w:rFonts w:cs="Times New Roman"/>
        </w:rPr>
        <w:t>and</w:t>
      </w:r>
      <w:r w:rsidRPr="00323B53">
        <w:rPr>
          <w:rFonts w:cs="Times New Roman"/>
          <w:spacing w:val="-1"/>
        </w:rPr>
        <w:t xml:space="preserve"> </w:t>
      </w:r>
      <w:r w:rsidRPr="00323B53">
        <w:rPr>
          <w:rFonts w:cs="Times New Roman"/>
        </w:rPr>
        <w:t>readily understood</w:t>
      </w:r>
      <w:r w:rsidRPr="00323B53">
        <w:rPr>
          <w:rFonts w:cs="Times New Roman"/>
          <w:spacing w:val="-2"/>
        </w:rPr>
        <w:t xml:space="preserve"> </w:t>
      </w:r>
      <w:r w:rsidRPr="00323B53">
        <w:rPr>
          <w:rFonts w:cs="Times New Roman"/>
        </w:rPr>
        <w:t>nutrition</w:t>
      </w:r>
      <w:r w:rsidRPr="00323B53">
        <w:rPr>
          <w:rFonts w:cs="Times New Roman"/>
          <w:spacing w:val="-2"/>
        </w:rPr>
        <w:t xml:space="preserve"> </w:t>
      </w:r>
      <w:r w:rsidRPr="00323B53">
        <w:rPr>
          <w:rFonts w:cs="Times New Roman"/>
        </w:rPr>
        <w:t>infor</w:t>
      </w:r>
      <w:r w:rsidRPr="00323B53">
        <w:rPr>
          <w:rFonts w:cs="Times New Roman"/>
          <w:spacing w:val="-2"/>
        </w:rPr>
        <w:t>m</w:t>
      </w:r>
      <w:r w:rsidRPr="00323B53">
        <w:rPr>
          <w:rFonts w:cs="Times New Roman"/>
        </w:rPr>
        <w:t>at</w:t>
      </w:r>
      <w:r w:rsidRPr="00323B53">
        <w:rPr>
          <w:rFonts w:cs="Times New Roman"/>
          <w:spacing w:val="-1"/>
        </w:rPr>
        <w:t>i</w:t>
      </w:r>
      <w:r w:rsidRPr="00323B53">
        <w:rPr>
          <w:rFonts w:cs="Times New Roman"/>
        </w:rPr>
        <w:t>on</w:t>
      </w:r>
      <w:r w:rsidRPr="00323B53">
        <w:rPr>
          <w:rFonts w:cs="Times New Roman"/>
          <w:spacing w:val="-1"/>
        </w:rPr>
        <w:t xml:space="preserve"> </w:t>
      </w:r>
      <w:r w:rsidRPr="00323B53">
        <w:rPr>
          <w:rFonts w:cs="Times New Roman"/>
        </w:rPr>
        <w:t>and/or</w:t>
      </w:r>
      <w:r w:rsidRPr="00323B53">
        <w:rPr>
          <w:rFonts w:cs="Times New Roman"/>
          <w:spacing w:val="-1"/>
        </w:rPr>
        <w:t xml:space="preserve"> </w:t>
      </w:r>
      <w:r w:rsidRPr="00323B53">
        <w:rPr>
          <w:rFonts w:cs="Times New Roman"/>
        </w:rPr>
        <w:t>guidance</w:t>
      </w:r>
      <w:r w:rsidRPr="00323B53">
        <w:rPr>
          <w:rFonts w:cs="Times New Roman"/>
          <w:spacing w:val="-1"/>
        </w:rPr>
        <w:t xml:space="preserve"> </w:t>
      </w:r>
      <w:r w:rsidRPr="00323B53">
        <w:rPr>
          <w:rFonts w:cs="Times New Roman"/>
        </w:rPr>
        <w:t>on</w:t>
      </w:r>
      <w:r w:rsidRPr="00323B53">
        <w:rPr>
          <w:rFonts w:cs="Times New Roman"/>
          <w:spacing w:val="-1"/>
        </w:rPr>
        <w:t xml:space="preserve"> </w:t>
      </w:r>
      <w:r w:rsidRPr="00323B53">
        <w:rPr>
          <w:rFonts w:cs="Times New Roman"/>
        </w:rPr>
        <w:t>food</w:t>
      </w:r>
      <w:r w:rsidRPr="00323B53">
        <w:rPr>
          <w:rFonts w:cs="Times New Roman"/>
          <w:spacing w:val="-1"/>
        </w:rPr>
        <w:t xml:space="preserve"> </w:t>
      </w:r>
      <w:r w:rsidRPr="00323B53">
        <w:rPr>
          <w:rFonts w:cs="Times New Roman"/>
        </w:rPr>
        <w:t>packs</w:t>
      </w:r>
      <w:r w:rsidRPr="00323B53">
        <w:rPr>
          <w:rFonts w:cs="Times New Roman"/>
          <w:spacing w:val="-1"/>
        </w:rPr>
        <w:t xml:space="preserve"> </w:t>
      </w:r>
      <w:r w:rsidRPr="00323B53">
        <w:rPr>
          <w:rFonts w:cs="Times New Roman"/>
        </w:rPr>
        <w:t>to</w:t>
      </w:r>
      <w:r w:rsidRPr="00323B53">
        <w:rPr>
          <w:rFonts w:cs="Times New Roman"/>
          <w:spacing w:val="-1"/>
        </w:rPr>
        <w:t xml:space="preserve"> </w:t>
      </w:r>
      <w:r w:rsidRPr="00323B53">
        <w:rPr>
          <w:rFonts w:cs="Times New Roman"/>
        </w:rPr>
        <w:t>assist</w:t>
      </w:r>
      <w:r w:rsidRPr="00323B53">
        <w:rPr>
          <w:rFonts w:cs="Times New Roman"/>
          <w:spacing w:val="-1"/>
        </w:rPr>
        <w:t xml:space="preserve"> </w:t>
      </w:r>
      <w:r w:rsidRPr="00323B53">
        <w:rPr>
          <w:rFonts w:cs="Times New Roman"/>
        </w:rPr>
        <w:t>consu</w:t>
      </w:r>
      <w:r w:rsidRPr="00323B53">
        <w:rPr>
          <w:rFonts w:cs="Times New Roman"/>
          <w:spacing w:val="-2"/>
        </w:rPr>
        <w:t>m</w:t>
      </w:r>
      <w:r w:rsidRPr="00323B53">
        <w:rPr>
          <w:rFonts w:cs="Times New Roman"/>
        </w:rPr>
        <w:t xml:space="preserve">ers to </w:t>
      </w:r>
      <w:r w:rsidRPr="00323B53">
        <w:rPr>
          <w:rFonts w:cs="Times New Roman"/>
          <w:spacing w:val="-2"/>
        </w:rPr>
        <w:t>m</w:t>
      </w:r>
      <w:r w:rsidRPr="00323B53">
        <w:rPr>
          <w:rFonts w:cs="Times New Roman"/>
        </w:rPr>
        <w:t>ake infor</w:t>
      </w:r>
      <w:r w:rsidRPr="00323B53">
        <w:rPr>
          <w:rFonts w:cs="Times New Roman"/>
          <w:spacing w:val="-2"/>
        </w:rPr>
        <w:t>m</w:t>
      </w:r>
      <w:r w:rsidRPr="00323B53">
        <w:rPr>
          <w:rFonts w:cs="Times New Roman"/>
        </w:rPr>
        <w:t>ed food purchas</w:t>
      </w:r>
      <w:r w:rsidRPr="00323B53">
        <w:rPr>
          <w:rFonts w:cs="Times New Roman"/>
          <w:spacing w:val="-1"/>
        </w:rPr>
        <w:t>e</w:t>
      </w:r>
      <w:r w:rsidRPr="00323B53">
        <w:rPr>
          <w:rFonts w:cs="Times New Roman"/>
        </w:rPr>
        <w:t>s</w:t>
      </w:r>
      <w:r w:rsidRPr="00323B53">
        <w:rPr>
          <w:rFonts w:cs="Times New Roman"/>
          <w:spacing w:val="-1"/>
        </w:rPr>
        <w:t xml:space="preserve"> </w:t>
      </w:r>
      <w:r w:rsidRPr="00323B53">
        <w:rPr>
          <w:rFonts w:cs="Times New Roman"/>
        </w:rPr>
        <w:t>and</w:t>
      </w:r>
      <w:r w:rsidRPr="00323B53">
        <w:rPr>
          <w:rFonts w:cs="Times New Roman"/>
          <w:spacing w:val="-1"/>
        </w:rPr>
        <w:t xml:space="preserve"> </w:t>
      </w:r>
      <w:r w:rsidRPr="00323B53">
        <w:rPr>
          <w:rFonts w:cs="Times New Roman"/>
        </w:rPr>
        <w:t>healthier</w:t>
      </w:r>
      <w:r w:rsidRPr="00323B53">
        <w:rPr>
          <w:rFonts w:cs="Times New Roman"/>
          <w:spacing w:val="-1"/>
        </w:rPr>
        <w:t xml:space="preserve"> </w:t>
      </w:r>
      <w:r w:rsidRPr="00323B53">
        <w:rPr>
          <w:rFonts w:cs="Times New Roman"/>
        </w:rPr>
        <w:t>eating</w:t>
      </w:r>
      <w:r w:rsidRPr="00323B53">
        <w:rPr>
          <w:rFonts w:cs="Times New Roman"/>
          <w:spacing w:val="-1"/>
        </w:rPr>
        <w:t xml:space="preserve"> </w:t>
      </w:r>
      <w:r w:rsidRPr="00323B53">
        <w:rPr>
          <w:rFonts w:cs="Times New Roman"/>
        </w:rPr>
        <w:t>choices.</w:t>
      </w:r>
    </w:p>
    <w:p w14:paraId="09FD2A4A" w14:textId="77777777" w:rsidR="000554D7" w:rsidRPr="00323B53" w:rsidRDefault="000554D7" w:rsidP="008A6601">
      <w:pPr>
        <w:pStyle w:val="BodyText"/>
        <w:numPr>
          <w:ilvl w:val="0"/>
          <w:numId w:val="10"/>
        </w:numPr>
        <w:tabs>
          <w:tab w:val="left" w:pos="851"/>
        </w:tabs>
        <w:ind w:left="714" w:hanging="357"/>
        <w:rPr>
          <w:rFonts w:cs="Times New Roman"/>
        </w:rPr>
      </w:pPr>
      <w:r w:rsidRPr="00323B53">
        <w:rPr>
          <w:rFonts w:cs="Times New Roman"/>
        </w:rPr>
        <w:t>The priority focus of the HSR system is packaged food products presented for retail sale through supermarkets and similar retail outlets.</w:t>
      </w:r>
    </w:p>
    <w:p w14:paraId="504C11C1" w14:textId="22B66CC3" w:rsidR="000554D7" w:rsidRPr="00323B53" w:rsidRDefault="000554D7" w:rsidP="008A6601">
      <w:pPr>
        <w:pStyle w:val="BodyText"/>
        <w:numPr>
          <w:ilvl w:val="0"/>
          <w:numId w:val="10"/>
        </w:numPr>
        <w:tabs>
          <w:tab w:val="left" w:pos="851"/>
        </w:tabs>
        <w:rPr>
          <w:rFonts w:cs="Times New Roman"/>
        </w:rPr>
      </w:pPr>
      <w:r w:rsidRPr="00323B53">
        <w:rPr>
          <w:rFonts w:cs="Times New Roman"/>
        </w:rPr>
        <w:t>The HSR system enables valid comparisons between foods</w:t>
      </w:r>
      <w:r w:rsidR="00A506F0" w:rsidRPr="00323B53">
        <w:rPr>
          <w:rFonts w:cs="Times New Roman"/>
        </w:rPr>
        <w:t xml:space="preserve"> within the same category,</w:t>
      </w:r>
      <w:r w:rsidRPr="00323B53">
        <w:rPr>
          <w:rFonts w:cs="Times New Roman"/>
        </w:rPr>
        <w:t xml:space="preserve"> based on agreed and consistent measures. </w:t>
      </w:r>
    </w:p>
    <w:p w14:paraId="1151EDC9" w14:textId="22339B04" w:rsidR="000554D7" w:rsidRPr="00323B53" w:rsidRDefault="000554D7" w:rsidP="008A6601">
      <w:pPr>
        <w:pStyle w:val="BodyText"/>
        <w:numPr>
          <w:ilvl w:val="0"/>
          <w:numId w:val="10"/>
        </w:numPr>
        <w:tabs>
          <w:tab w:val="left" w:pos="851"/>
        </w:tabs>
        <w:rPr>
          <w:rFonts w:cs="Times New Roman"/>
        </w:rPr>
      </w:pPr>
      <w:r w:rsidRPr="00323B53">
        <w:rPr>
          <w:rFonts w:cs="Times New Roman"/>
        </w:rPr>
        <w:t xml:space="preserve">HSRs for foods in most categories are calculated using the HSR Calculator, which analyses the agreed food components: energy, saturated fat, total sugars, sodium, protein, dietary </w:t>
      </w:r>
      <w:proofErr w:type="spellStart"/>
      <w:r w:rsidRPr="00323B53">
        <w:rPr>
          <w:rFonts w:cs="Times New Roman"/>
        </w:rPr>
        <w:t>fibre</w:t>
      </w:r>
      <w:proofErr w:type="spellEnd"/>
      <w:r w:rsidRPr="00323B53">
        <w:rPr>
          <w:rFonts w:cs="Times New Roman"/>
        </w:rPr>
        <w:t>, and fruit/vegetable/nut/legume (FVNL) content</w:t>
      </w:r>
      <w:r w:rsidR="00E62BFB" w:rsidRPr="00323B53">
        <w:rPr>
          <w:rFonts w:cs="Times New Roman"/>
        </w:rPr>
        <w:t>,</w:t>
      </w:r>
      <w:r w:rsidRPr="00323B53">
        <w:rPr>
          <w:rFonts w:cs="Times New Roman"/>
        </w:rPr>
        <w:t xml:space="preserve"> to calculate a star rating.</w:t>
      </w:r>
    </w:p>
    <w:p w14:paraId="0F1BF53D" w14:textId="77777777" w:rsidR="000554D7" w:rsidRPr="00323B53" w:rsidRDefault="000554D7" w:rsidP="008A6601">
      <w:pPr>
        <w:pStyle w:val="BodyText"/>
        <w:numPr>
          <w:ilvl w:val="0"/>
          <w:numId w:val="10"/>
        </w:numPr>
        <w:tabs>
          <w:tab w:val="left" w:pos="851"/>
        </w:tabs>
        <w:rPr>
          <w:rFonts w:cs="Times New Roman"/>
        </w:rPr>
      </w:pPr>
      <w:r w:rsidRPr="00323B53">
        <w:rPr>
          <w:rFonts w:cs="Times New Roman"/>
        </w:rPr>
        <w:t xml:space="preserve">Category 1 – </w:t>
      </w:r>
      <w:r w:rsidRPr="00323B53">
        <w:rPr>
          <w:rFonts w:cs="Times New Roman"/>
          <w:i/>
          <w:iCs/>
        </w:rPr>
        <w:t>Non-Dairy Beverages</w:t>
      </w:r>
      <w:r w:rsidRPr="00323B53">
        <w:rPr>
          <w:rFonts w:cs="Times New Roman"/>
        </w:rPr>
        <w:t xml:space="preserve"> are the exception, these are calculated under a separate calculator which only considers: energy, total sugars and FVNL content.</w:t>
      </w:r>
    </w:p>
    <w:p w14:paraId="3E9BE7FF" w14:textId="77777777" w:rsidR="000554D7" w:rsidRPr="00323B53" w:rsidRDefault="000554D7" w:rsidP="008A6601">
      <w:pPr>
        <w:pStyle w:val="BodyText"/>
        <w:numPr>
          <w:ilvl w:val="0"/>
          <w:numId w:val="10"/>
        </w:numPr>
        <w:tabs>
          <w:tab w:val="left" w:pos="851"/>
        </w:tabs>
        <w:rPr>
          <w:rFonts w:cs="Times New Roman"/>
        </w:rPr>
      </w:pPr>
      <w:r w:rsidRPr="00323B53">
        <w:rPr>
          <w:rFonts w:cs="Times New Roman"/>
        </w:rPr>
        <w:t xml:space="preserve">The HSR is intended to interpret the balance of agreed food components and guide consumer choice based on the product’s nutritional qualities. It is not intended to guide the portions or volumes consumed. </w:t>
      </w:r>
    </w:p>
    <w:p w14:paraId="2C21C771" w14:textId="5835CE7E" w:rsidR="000554D7" w:rsidRPr="00323B53" w:rsidRDefault="000554D7" w:rsidP="008A6601">
      <w:pPr>
        <w:pStyle w:val="BodyText"/>
        <w:numPr>
          <w:ilvl w:val="0"/>
          <w:numId w:val="10"/>
        </w:numPr>
        <w:tabs>
          <w:tab w:val="left" w:pos="851"/>
        </w:tabs>
        <w:ind w:left="714" w:hanging="357"/>
        <w:rPr>
          <w:rFonts w:cs="Times New Roman"/>
        </w:rPr>
      </w:pPr>
      <w:r w:rsidRPr="00323B53">
        <w:rPr>
          <w:rFonts w:cs="Times New Roman"/>
        </w:rPr>
        <w:t>Following an independent review of the HSR system in 2019, several changes were implemented in relation to the HSR Governance, HSR Calculators and display requirements. A two-year transition period for all food manufacturers and retailers to make the required changes finished on 14 November 2022, with a further 12-month stock-in-trade provision.</w:t>
      </w:r>
    </w:p>
    <w:p w14:paraId="3EF59F82" w14:textId="5B06AB95" w:rsidR="000554D7" w:rsidRPr="00323B53" w:rsidRDefault="008340D0" w:rsidP="00314C6E">
      <w:pPr>
        <w:pStyle w:val="BodyText"/>
        <w:spacing w:line="274" w:lineRule="exact"/>
        <w:ind w:left="0"/>
        <w:contextualSpacing/>
        <w:rPr>
          <w:rFonts w:cs="Times New Roman"/>
        </w:rPr>
      </w:pPr>
      <w:r w:rsidRPr="00323B53">
        <w:rPr>
          <w:rFonts w:cs="Times New Roman"/>
        </w:rPr>
        <w:t>Under the</w:t>
      </w:r>
      <w:r w:rsidR="000554D7" w:rsidRPr="00323B53">
        <w:rPr>
          <w:rFonts w:cs="Times New Roman"/>
        </w:rPr>
        <w:t xml:space="preserve"> HSR system</w:t>
      </w:r>
      <w:r w:rsidRPr="00323B53">
        <w:rPr>
          <w:rFonts w:cs="Times New Roman"/>
        </w:rPr>
        <w:t>, star ratings</w:t>
      </w:r>
      <w:r w:rsidR="000554D7" w:rsidRPr="00323B53">
        <w:rPr>
          <w:rFonts w:cs="Times New Roman"/>
          <w:spacing w:val="-2"/>
        </w:rPr>
        <w:t xml:space="preserve"> </w:t>
      </w:r>
      <w:r w:rsidR="000554D7" w:rsidRPr="00323B53">
        <w:rPr>
          <w:rFonts w:cs="Times New Roman"/>
        </w:rPr>
        <w:t>should:</w:t>
      </w:r>
    </w:p>
    <w:p w14:paraId="6FF5204E" w14:textId="631EF8D9" w:rsidR="000554D7" w:rsidRPr="00323B53" w:rsidRDefault="000554D7" w:rsidP="00314C6E">
      <w:pPr>
        <w:pStyle w:val="BodyText"/>
        <w:numPr>
          <w:ilvl w:val="0"/>
          <w:numId w:val="9"/>
        </w:numPr>
        <w:contextualSpacing/>
        <w:rPr>
          <w:rFonts w:cs="Times New Roman"/>
        </w:rPr>
      </w:pPr>
      <w:r w:rsidRPr="00323B53">
        <w:rPr>
          <w:rFonts w:cs="Times New Roman"/>
        </w:rPr>
        <w:t xml:space="preserve">be consistent with the </w:t>
      </w:r>
      <w:r w:rsidR="008F0E1E" w:rsidRPr="00323B53">
        <w:rPr>
          <w:rFonts w:cs="Times New Roman"/>
        </w:rPr>
        <w:t>ADGs or NZEAGs</w:t>
      </w:r>
      <w:r w:rsidR="008A6601" w:rsidRPr="00323B53">
        <w:rPr>
          <w:rFonts w:cs="Times New Roman"/>
        </w:rPr>
        <w:t xml:space="preserve"> (the dietary guidelines)</w:t>
      </w:r>
      <w:r w:rsidR="008F0E1E" w:rsidRPr="00323B53">
        <w:rPr>
          <w:rFonts w:cs="Times New Roman"/>
        </w:rPr>
        <w:t>;</w:t>
      </w:r>
      <w:r w:rsidR="006714F1">
        <w:rPr>
          <w:rFonts w:cs="Times New Roman"/>
        </w:rPr>
        <w:t xml:space="preserve"> and</w:t>
      </w:r>
    </w:p>
    <w:p w14:paraId="1D8463D0" w14:textId="77777777" w:rsidR="00C35C41" w:rsidRDefault="000554D7" w:rsidP="00314C6E">
      <w:pPr>
        <w:pStyle w:val="BodyText"/>
        <w:numPr>
          <w:ilvl w:val="0"/>
          <w:numId w:val="9"/>
        </w:numPr>
        <w:contextualSpacing/>
        <w:rPr>
          <w:rFonts w:cs="Times New Roman"/>
        </w:rPr>
      </w:pPr>
      <w:r w:rsidRPr="00323B53">
        <w:rPr>
          <w:rFonts w:cs="Times New Roman"/>
        </w:rPr>
        <w:t xml:space="preserve">enable valid comparisons between foods based on agreed food components (energy, saturated fat, total sugars, sodium, protein, dietary </w:t>
      </w:r>
      <w:proofErr w:type="spellStart"/>
      <w:r w:rsidRPr="00323B53">
        <w:rPr>
          <w:rFonts w:cs="Times New Roman"/>
        </w:rPr>
        <w:t>fibre</w:t>
      </w:r>
      <w:proofErr w:type="spellEnd"/>
      <w:r w:rsidRPr="00323B53">
        <w:rPr>
          <w:rFonts w:cs="Times New Roman"/>
        </w:rPr>
        <w:t xml:space="preserve"> and FVNL)</w:t>
      </w:r>
      <w:r w:rsidR="006714F1">
        <w:rPr>
          <w:rFonts w:cs="Times New Roman"/>
        </w:rPr>
        <w:t>.</w:t>
      </w:r>
    </w:p>
    <w:p w14:paraId="29E547A0" w14:textId="7A049992" w:rsidR="000554D7" w:rsidRPr="00323B53" w:rsidRDefault="006714F1" w:rsidP="00C35C41">
      <w:pPr>
        <w:pStyle w:val="BodyText"/>
        <w:ind w:left="0"/>
        <w:contextualSpacing/>
        <w:rPr>
          <w:rFonts w:cs="Times New Roman"/>
        </w:rPr>
      </w:pPr>
      <w:r>
        <w:rPr>
          <w:rFonts w:cs="Times New Roman"/>
        </w:rPr>
        <w:br/>
      </w:r>
    </w:p>
    <w:p w14:paraId="37359FFD" w14:textId="222FCA0C" w:rsidR="001A49F2" w:rsidRPr="00323B53" w:rsidRDefault="001A49F2" w:rsidP="00314C6E">
      <w:pPr>
        <w:pStyle w:val="Heading3"/>
        <w:spacing w:before="0"/>
        <w:contextualSpacing/>
        <w:rPr>
          <w:rFonts w:ascii="Times New Roman" w:hAnsi="Times New Roman" w:cs="Times New Roman"/>
          <w:b/>
          <w:bCs/>
          <w:color w:val="000000" w:themeColor="text1"/>
        </w:rPr>
      </w:pPr>
      <w:r w:rsidRPr="00323B53">
        <w:rPr>
          <w:rFonts w:ascii="Times New Roman" w:hAnsi="Times New Roman" w:cs="Times New Roman"/>
          <w:b/>
          <w:bCs/>
          <w:color w:val="000000" w:themeColor="text1"/>
        </w:rPr>
        <w:t>Anomaly examples</w:t>
      </w:r>
    </w:p>
    <w:p w14:paraId="798C5316" w14:textId="087A322A" w:rsidR="00C35C41" w:rsidRDefault="00C35C41" w:rsidP="00314C6E">
      <w:pPr>
        <w:pStyle w:val="BodyText"/>
        <w:tabs>
          <w:tab w:val="left" w:pos="426"/>
        </w:tabs>
        <w:spacing w:after="120" w:line="294" w:lineRule="exact"/>
        <w:ind w:left="0"/>
        <w:rPr>
          <w:rFonts w:cs="Times New Roman"/>
        </w:rPr>
      </w:pPr>
      <w:r>
        <w:rPr>
          <w:rFonts w:cs="Times New Roman"/>
        </w:rPr>
        <w:t xml:space="preserve"> </w:t>
      </w:r>
    </w:p>
    <w:p w14:paraId="76E6B9C8" w14:textId="1D1963AC" w:rsidR="00A2426E" w:rsidRPr="00323B53" w:rsidRDefault="00C35C41" w:rsidP="00C35C41">
      <w:pPr>
        <w:pStyle w:val="BodyText"/>
        <w:tabs>
          <w:tab w:val="left" w:pos="426"/>
        </w:tabs>
        <w:spacing w:after="120" w:line="294" w:lineRule="exact"/>
        <w:ind w:left="0"/>
        <w:rPr>
          <w:rFonts w:cs="Times New Roman"/>
        </w:rPr>
      </w:pPr>
      <w:r>
        <w:rPr>
          <w:rFonts w:cs="Times New Roman"/>
        </w:rPr>
        <w:lastRenderedPageBreak/>
        <w:t xml:space="preserve">An anomaly may exist if the HSR Calculator does not produce an appropriate rating. For example, if the composition of plain water is entered into the calculator, it returns a rating of 3.5, due to its lack of nutrients. This does not reflect the advice </w:t>
      </w:r>
      <w:r w:rsidR="008A6601" w:rsidRPr="00323B53">
        <w:rPr>
          <w:rFonts w:cs="Times New Roman"/>
        </w:rPr>
        <w:t xml:space="preserve">in the dietary guidelines </w:t>
      </w:r>
      <w:r w:rsidR="00CD1EAB" w:rsidRPr="00323B53">
        <w:rPr>
          <w:rFonts w:cs="Times New Roman"/>
        </w:rPr>
        <w:t>to drink plenty of water as the first beverage of choice</w:t>
      </w:r>
      <w:r w:rsidR="00191D94" w:rsidRPr="00323B53">
        <w:rPr>
          <w:rFonts w:cs="Times New Roman"/>
        </w:rPr>
        <w:t xml:space="preserve">. </w:t>
      </w:r>
      <w:r>
        <w:rPr>
          <w:rFonts w:cs="Times New Roman"/>
        </w:rPr>
        <w:t xml:space="preserve">Because of this, a decision has been made to automatically award plain water a </w:t>
      </w:r>
      <w:proofErr w:type="gramStart"/>
      <w:r>
        <w:rPr>
          <w:rFonts w:cs="Times New Roman"/>
        </w:rPr>
        <w:t>5 star</w:t>
      </w:r>
      <w:proofErr w:type="gramEnd"/>
      <w:r>
        <w:rPr>
          <w:rFonts w:cs="Times New Roman"/>
        </w:rPr>
        <w:t xml:space="preserve"> rating, avoiding the anomaly that would otherwise occur. </w:t>
      </w:r>
    </w:p>
    <w:p w14:paraId="645ECB92" w14:textId="77777777" w:rsidR="002A6C35" w:rsidRPr="00323B53" w:rsidRDefault="002A6C35" w:rsidP="00314C6E">
      <w:pPr>
        <w:pStyle w:val="BodyText"/>
        <w:tabs>
          <w:tab w:val="left" w:pos="426"/>
        </w:tabs>
        <w:spacing w:after="120" w:line="294" w:lineRule="exact"/>
        <w:ind w:left="0"/>
        <w:rPr>
          <w:rFonts w:cs="Times New Roman"/>
        </w:rPr>
      </w:pPr>
    </w:p>
    <w:p w14:paraId="26020946" w14:textId="4B556D17" w:rsidR="000554D7" w:rsidRPr="00323B53" w:rsidRDefault="00EF2D20" w:rsidP="00314C6E">
      <w:pPr>
        <w:pStyle w:val="Heading2"/>
        <w:spacing w:before="0"/>
        <w:ind w:left="0"/>
        <w:contextualSpacing/>
        <w:rPr>
          <w:rFonts w:eastAsiaTheme="majorEastAsia" w:cs="Times New Roman"/>
          <w:lang w:val="en-AU"/>
        </w:rPr>
      </w:pPr>
      <w:r w:rsidRPr="00323B53">
        <w:rPr>
          <w:rFonts w:cs="Times New Roman"/>
          <w:color w:val="2F5496" w:themeColor="accent1" w:themeShade="BF"/>
          <w:sz w:val="28"/>
          <w:szCs w:val="28"/>
        </w:rPr>
        <w:t>Anomaly process</w:t>
      </w:r>
    </w:p>
    <w:p w14:paraId="2A161BAE" w14:textId="73B90336" w:rsidR="00387473" w:rsidRPr="00323B53" w:rsidRDefault="00255D07" w:rsidP="00CB7015">
      <w:pPr>
        <w:pStyle w:val="Heading3"/>
        <w:spacing w:before="0"/>
        <w:contextualSpacing/>
        <w:rPr>
          <w:rFonts w:ascii="Times New Roman" w:hAnsi="Times New Roman" w:cs="Times New Roman"/>
          <w:b/>
          <w:bCs/>
          <w:color w:val="auto"/>
        </w:rPr>
      </w:pPr>
      <w:r w:rsidRPr="00323B53">
        <w:rPr>
          <w:rFonts w:ascii="Times New Roman" w:hAnsi="Times New Roman" w:cs="Times New Roman"/>
          <w:b/>
          <w:bCs/>
          <w:color w:val="auto"/>
        </w:rPr>
        <w:t>Submission</w:t>
      </w:r>
      <w:r w:rsidR="00F35ECF" w:rsidRPr="00323B53">
        <w:rPr>
          <w:rFonts w:ascii="Times New Roman" w:hAnsi="Times New Roman" w:cs="Times New Roman"/>
          <w:b/>
          <w:bCs/>
          <w:color w:val="auto"/>
        </w:rPr>
        <w:br/>
      </w:r>
      <w:r w:rsidR="008E35EC" w:rsidRPr="00323B53">
        <w:rPr>
          <w:rFonts w:ascii="Times New Roman" w:hAnsi="Times New Roman" w:cs="Times New Roman"/>
          <w:iCs/>
          <w:color w:val="auto"/>
          <w:spacing w:val="-1"/>
        </w:rPr>
        <w:t>Submissions will not be considered unless</w:t>
      </w:r>
      <w:r w:rsidR="00AA0A23" w:rsidRPr="00323B53">
        <w:rPr>
          <w:rFonts w:ascii="Times New Roman" w:hAnsi="Times New Roman" w:cs="Times New Roman"/>
          <w:iCs/>
          <w:color w:val="auto"/>
          <w:spacing w:val="-1"/>
        </w:rPr>
        <w:t>:</w:t>
      </w:r>
    </w:p>
    <w:p w14:paraId="607EDD74" w14:textId="54C596E3" w:rsidR="00387473" w:rsidRPr="00323B53" w:rsidRDefault="00E17B3B" w:rsidP="00314C6E">
      <w:pPr>
        <w:pStyle w:val="BodyText"/>
        <w:numPr>
          <w:ilvl w:val="0"/>
          <w:numId w:val="2"/>
        </w:numPr>
        <w:spacing w:line="276" w:lineRule="auto"/>
        <w:ind w:left="714" w:right="346" w:hanging="357"/>
        <w:contextualSpacing/>
        <w:rPr>
          <w:rFonts w:cs="Times New Roman"/>
          <w:iCs/>
          <w:spacing w:val="-1"/>
        </w:rPr>
      </w:pPr>
      <w:r w:rsidRPr="00323B53">
        <w:rPr>
          <w:rFonts w:cs="Times New Roman"/>
          <w:iCs/>
          <w:spacing w:val="-1"/>
        </w:rPr>
        <w:t xml:space="preserve">it is evident that </w:t>
      </w:r>
      <w:r w:rsidR="008E35EC" w:rsidRPr="00323B53">
        <w:rPr>
          <w:rFonts w:cs="Times New Roman"/>
          <w:iCs/>
          <w:spacing w:val="-1"/>
        </w:rPr>
        <w:t xml:space="preserve">the submitter has </w:t>
      </w:r>
      <w:r w:rsidR="00A76CC0" w:rsidRPr="00323B53">
        <w:rPr>
          <w:rFonts w:cs="Times New Roman"/>
          <w:iCs/>
          <w:spacing w:val="-1"/>
        </w:rPr>
        <w:t>considered</w:t>
      </w:r>
      <w:r w:rsidR="008E35EC" w:rsidRPr="00323B53">
        <w:rPr>
          <w:rFonts w:cs="Times New Roman"/>
          <w:iCs/>
          <w:spacing w:val="-1"/>
        </w:rPr>
        <w:t xml:space="preserve"> their application/product</w:t>
      </w:r>
      <w:r w:rsidR="00387473" w:rsidRPr="00323B53">
        <w:rPr>
          <w:rFonts w:cs="Times New Roman"/>
          <w:iCs/>
          <w:spacing w:val="-1"/>
        </w:rPr>
        <w:t xml:space="preserve"> </w:t>
      </w:r>
      <w:r w:rsidR="002732B3" w:rsidRPr="00323B53">
        <w:rPr>
          <w:rFonts w:cs="Times New Roman"/>
          <w:iCs/>
          <w:spacing w:val="-1"/>
        </w:rPr>
        <w:t xml:space="preserve">within the context of the HSR system, above, and </w:t>
      </w:r>
    </w:p>
    <w:p w14:paraId="317164DA" w14:textId="6DF7D8E4" w:rsidR="001D7719" w:rsidRPr="00323B53" w:rsidRDefault="00E17B3B" w:rsidP="00314C6E">
      <w:pPr>
        <w:pStyle w:val="BodyText"/>
        <w:numPr>
          <w:ilvl w:val="0"/>
          <w:numId w:val="2"/>
        </w:numPr>
        <w:spacing w:line="276" w:lineRule="auto"/>
        <w:ind w:left="714" w:right="346" w:hanging="357"/>
        <w:contextualSpacing/>
        <w:rPr>
          <w:rFonts w:cs="Times New Roman"/>
          <w:iCs/>
          <w:spacing w:val="-1"/>
        </w:rPr>
      </w:pPr>
      <w:r w:rsidRPr="00323B53">
        <w:rPr>
          <w:rFonts w:cs="Times New Roman"/>
          <w:iCs/>
          <w:spacing w:val="-1"/>
        </w:rPr>
        <w:t xml:space="preserve">the submission </w:t>
      </w:r>
      <w:r w:rsidR="00387473" w:rsidRPr="00323B53">
        <w:rPr>
          <w:rFonts w:cs="Times New Roman"/>
          <w:iCs/>
          <w:spacing w:val="-1"/>
        </w:rPr>
        <w:t>demonstrat</w:t>
      </w:r>
      <w:r w:rsidRPr="00323B53">
        <w:rPr>
          <w:rFonts w:cs="Times New Roman"/>
          <w:iCs/>
          <w:spacing w:val="-1"/>
        </w:rPr>
        <w:t>es</w:t>
      </w:r>
      <w:r w:rsidR="00387473" w:rsidRPr="00323B53">
        <w:rPr>
          <w:rFonts w:cs="Times New Roman"/>
          <w:iCs/>
          <w:spacing w:val="-1"/>
        </w:rPr>
        <w:t xml:space="preserve"> that </w:t>
      </w:r>
      <w:r w:rsidR="002732B3" w:rsidRPr="00323B53">
        <w:rPr>
          <w:rFonts w:cs="Times New Roman"/>
          <w:iCs/>
          <w:spacing w:val="-1"/>
        </w:rPr>
        <w:t xml:space="preserve">the </w:t>
      </w:r>
      <w:r w:rsidR="00A76CC0" w:rsidRPr="00323B53">
        <w:rPr>
          <w:rFonts w:cs="Times New Roman"/>
          <w:iCs/>
          <w:spacing w:val="-1"/>
        </w:rPr>
        <w:t>potential anomaly meets</w:t>
      </w:r>
      <w:r w:rsidR="001D7719" w:rsidRPr="00323B53">
        <w:rPr>
          <w:rFonts w:cs="Times New Roman"/>
          <w:spacing w:val="-1"/>
        </w:rPr>
        <w:t xml:space="preserve"> the above </w:t>
      </w:r>
      <w:r w:rsidR="002732B3" w:rsidRPr="00323B53">
        <w:rPr>
          <w:rFonts w:cs="Times New Roman"/>
          <w:spacing w:val="-1"/>
        </w:rPr>
        <w:t xml:space="preserve">anomaly </w:t>
      </w:r>
      <w:r w:rsidR="001D7719" w:rsidRPr="00323B53">
        <w:rPr>
          <w:rFonts w:cs="Times New Roman"/>
          <w:spacing w:val="-1"/>
        </w:rPr>
        <w:t>criteria</w:t>
      </w:r>
      <w:r w:rsidR="002732B3" w:rsidRPr="00323B53">
        <w:rPr>
          <w:rFonts w:cs="Times New Roman"/>
          <w:spacing w:val="-1"/>
        </w:rPr>
        <w:t>.</w:t>
      </w:r>
    </w:p>
    <w:p w14:paraId="643DE73B" w14:textId="404449FE" w:rsidR="000554D7" w:rsidRPr="00323B53" w:rsidRDefault="000554D7" w:rsidP="00506E94">
      <w:pPr>
        <w:pStyle w:val="BodyText"/>
        <w:spacing w:after="120" w:line="276" w:lineRule="auto"/>
        <w:ind w:left="0" w:right="346"/>
        <w:rPr>
          <w:rFonts w:cs="Times New Roman"/>
          <w:spacing w:val="-1"/>
        </w:rPr>
      </w:pPr>
      <w:r w:rsidRPr="00323B53">
        <w:rPr>
          <w:rFonts w:cs="Times New Roman"/>
          <w:spacing w:val="-1"/>
        </w:rPr>
        <w:t xml:space="preserve">Anomalies should be submitted to the </w:t>
      </w:r>
      <w:r w:rsidR="00FC7ED1" w:rsidRPr="00323B53">
        <w:rPr>
          <w:rFonts w:cs="Times New Roman"/>
          <w:spacing w:val="-1"/>
        </w:rPr>
        <w:t>HSR</w:t>
      </w:r>
      <w:r w:rsidRPr="00323B53">
        <w:rPr>
          <w:rFonts w:cs="Times New Roman"/>
          <w:spacing w:val="-1"/>
        </w:rPr>
        <w:t xml:space="preserve"> Unit</w:t>
      </w:r>
      <w:r w:rsidR="00C84E16" w:rsidRPr="00323B53">
        <w:rPr>
          <w:rFonts w:cs="Times New Roman"/>
          <w:spacing w:val="-1"/>
        </w:rPr>
        <w:t xml:space="preserve">, </w:t>
      </w:r>
      <w:hyperlink r:id="rId7" w:history="1">
        <w:r w:rsidR="00D04BB7" w:rsidRPr="00323B53">
          <w:rPr>
            <w:rStyle w:val="Hyperlink"/>
            <w:rFonts w:cs="Times New Roman"/>
            <w:spacing w:val="-1"/>
          </w:rPr>
          <w:t>hsr@health.gov.au</w:t>
        </w:r>
      </w:hyperlink>
      <w:r w:rsidR="003C7089">
        <w:rPr>
          <w:rStyle w:val="Hyperlink"/>
          <w:rFonts w:cs="Times New Roman"/>
          <w:spacing w:val="-1"/>
        </w:rPr>
        <w:t>,</w:t>
      </w:r>
      <w:r w:rsidR="00C84E16" w:rsidRPr="00323B53">
        <w:rPr>
          <w:rFonts w:cs="Times New Roman"/>
          <w:spacing w:val="-1"/>
        </w:rPr>
        <w:t xml:space="preserve"> </w:t>
      </w:r>
      <w:r w:rsidRPr="00323B53">
        <w:rPr>
          <w:rFonts w:cs="Times New Roman"/>
          <w:spacing w:val="-1"/>
        </w:rPr>
        <w:t>includ</w:t>
      </w:r>
      <w:r w:rsidR="003C7089">
        <w:rPr>
          <w:rFonts w:cs="Times New Roman"/>
          <w:spacing w:val="-1"/>
        </w:rPr>
        <w:t>ing</w:t>
      </w:r>
      <w:r w:rsidRPr="00323B53">
        <w:rPr>
          <w:rFonts w:cs="Times New Roman"/>
          <w:spacing w:val="-1"/>
        </w:rPr>
        <w:t xml:space="preserve"> an outline of supporting evidence. </w:t>
      </w:r>
    </w:p>
    <w:p w14:paraId="7EBF6B73" w14:textId="77777777" w:rsidR="00C84E16" w:rsidRPr="00323B53" w:rsidRDefault="00C84E16" w:rsidP="009E01EA">
      <w:pPr>
        <w:pStyle w:val="Heading3"/>
        <w:spacing w:before="0"/>
        <w:contextualSpacing/>
        <w:rPr>
          <w:rFonts w:ascii="Times New Roman" w:hAnsi="Times New Roman" w:cs="Times New Roman"/>
          <w:b/>
          <w:bCs/>
          <w:spacing w:val="-1"/>
        </w:rPr>
      </w:pPr>
      <w:r w:rsidRPr="00323B53">
        <w:rPr>
          <w:rFonts w:ascii="Times New Roman" w:hAnsi="Times New Roman" w:cs="Times New Roman"/>
          <w:b/>
          <w:bCs/>
          <w:color w:val="auto"/>
        </w:rPr>
        <w:t xml:space="preserve">Consideration </w:t>
      </w:r>
    </w:p>
    <w:p w14:paraId="73D5195A" w14:textId="7C308177" w:rsidR="00FC7ED1" w:rsidRPr="00323B53" w:rsidRDefault="000554D7" w:rsidP="008A6601">
      <w:pPr>
        <w:pStyle w:val="BodyText"/>
        <w:spacing w:after="120"/>
        <w:ind w:left="0" w:right="346"/>
        <w:rPr>
          <w:rFonts w:cs="Times New Roman"/>
          <w:spacing w:val="-1"/>
        </w:rPr>
      </w:pPr>
      <w:r w:rsidRPr="00323B53">
        <w:rPr>
          <w:rFonts w:cs="Times New Roman"/>
          <w:spacing w:val="-1"/>
        </w:rPr>
        <w:t>The HSR Unit will review the submission</w:t>
      </w:r>
      <w:r w:rsidR="001F7F3A" w:rsidRPr="00323B53">
        <w:rPr>
          <w:rFonts w:cs="Times New Roman"/>
          <w:spacing w:val="-1"/>
        </w:rPr>
        <w:t xml:space="preserve">. </w:t>
      </w:r>
      <w:r w:rsidRPr="00323B53">
        <w:rPr>
          <w:rFonts w:cs="Times New Roman"/>
          <w:spacing w:val="-1"/>
        </w:rPr>
        <w:t xml:space="preserve">The HSR Unit may </w:t>
      </w:r>
      <w:proofErr w:type="gramStart"/>
      <w:r w:rsidRPr="00323B53">
        <w:rPr>
          <w:rFonts w:cs="Times New Roman"/>
          <w:spacing w:val="-1"/>
        </w:rPr>
        <w:t>make a decision</w:t>
      </w:r>
      <w:proofErr w:type="gramEnd"/>
      <w:r w:rsidRPr="00323B53">
        <w:rPr>
          <w:rFonts w:cs="Times New Roman"/>
          <w:spacing w:val="-1"/>
        </w:rPr>
        <w:t xml:space="preserve"> to reject the submission</w:t>
      </w:r>
      <w:r w:rsidR="007C3FF1" w:rsidRPr="00323B53">
        <w:rPr>
          <w:rFonts w:cs="Times New Roman"/>
          <w:spacing w:val="-1"/>
        </w:rPr>
        <w:t>, with or without further consultation</w:t>
      </w:r>
      <w:r w:rsidRPr="00323B53">
        <w:rPr>
          <w:rFonts w:cs="Times New Roman"/>
          <w:spacing w:val="-1"/>
        </w:rPr>
        <w:t xml:space="preserve">. </w:t>
      </w:r>
    </w:p>
    <w:p w14:paraId="59343E72" w14:textId="513F6265" w:rsidR="000554D7" w:rsidRPr="00323B53" w:rsidRDefault="000554D7" w:rsidP="008A6601">
      <w:pPr>
        <w:pStyle w:val="BodyText"/>
        <w:spacing w:after="120"/>
        <w:ind w:left="0" w:right="346"/>
        <w:rPr>
          <w:rFonts w:cs="Times New Roman"/>
          <w:spacing w:val="-1"/>
        </w:rPr>
      </w:pPr>
      <w:r w:rsidRPr="00323B53">
        <w:rPr>
          <w:rFonts w:cs="Times New Roman"/>
          <w:spacing w:val="-1"/>
        </w:rPr>
        <w:t>If the HSR Unit considers the</w:t>
      </w:r>
      <w:r w:rsidR="007C3FF1" w:rsidRPr="00323B53">
        <w:rPr>
          <w:rFonts w:cs="Times New Roman"/>
          <w:spacing w:val="-1"/>
        </w:rPr>
        <w:t xml:space="preserve">re may be merit in an anomaly submission, it will work to develop a resolution, in consultation with </w:t>
      </w:r>
      <w:r w:rsidR="008A3FB9" w:rsidRPr="00323B53">
        <w:rPr>
          <w:rFonts w:cs="Times New Roman"/>
          <w:spacing w:val="-1"/>
        </w:rPr>
        <w:t>Food Standards Australia New Zealand (FSANZ), the Health Star Rating Advisory Committee (HSRAC), and/or food regulation officials</w:t>
      </w:r>
      <w:r w:rsidR="001F7F3A" w:rsidRPr="00323B53">
        <w:rPr>
          <w:rFonts w:cs="Times New Roman"/>
          <w:spacing w:val="-1"/>
        </w:rPr>
        <w:t xml:space="preserve"> as required</w:t>
      </w:r>
      <w:r w:rsidR="00E62812" w:rsidRPr="00323B53">
        <w:rPr>
          <w:rFonts w:cs="Times New Roman"/>
          <w:spacing w:val="-1"/>
        </w:rPr>
        <w:t>.</w:t>
      </w:r>
    </w:p>
    <w:p w14:paraId="58C97C0E" w14:textId="6F5018F8" w:rsidR="007C3FF1" w:rsidRPr="00323B53" w:rsidRDefault="007C3FF1" w:rsidP="008A6601">
      <w:pPr>
        <w:pStyle w:val="BodyText"/>
        <w:spacing w:after="120"/>
        <w:ind w:left="0" w:right="346"/>
        <w:rPr>
          <w:rFonts w:cs="Times New Roman"/>
          <w:spacing w:val="-1"/>
        </w:rPr>
      </w:pPr>
      <w:r w:rsidRPr="00323B53">
        <w:rPr>
          <w:rFonts w:cs="Times New Roman"/>
          <w:spacing w:val="-1"/>
        </w:rPr>
        <w:t xml:space="preserve">Any proposed resolution to the anomaly will be considered by the Food Regulation Standing Committee (FRSC), and at their recommendation, the </w:t>
      </w:r>
      <w:r w:rsidR="001C7F4B" w:rsidRPr="00323B53">
        <w:rPr>
          <w:rFonts w:cs="Times New Roman"/>
          <w:spacing w:val="-1"/>
        </w:rPr>
        <w:t>FMM</w:t>
      </w:r>
      <w:r w:rsidRPr="00323B53">
        <w:rPr>
          <w:rFonts w:cs="Times New Roman"/>
          <w:spacing w:val="-1"/>
        </w:rPr>
        <w:t>.</w:t>
      </w:r>
    </w:p>
    <w:p w14:paraId="22A6BE48" w14:textId="08AD43B3" w:rsidR="007C3FF1" w:rsidRPr="00323B53" w:rsidRDefault="007C3FF1" w:rsidP="008A6601">
      <w:pPr>
        <w:pStyle w:val="BodyText"/>
        <w:spacing w:after="120"/>
        <w:ind w:left="0" w:right="346"/>
        <w:rPr>
          <w:rFonts w:cs="Times New Roman"/>
          <w:spacing w:val="-1"/>
        </w:rPr>
      </w:pPr>
      <w:r w:rsidRPr="00323B53">
        <w:rPr>
          <w:rFonts w:cs="Times New Roman"/>
          <w:spacing w:val="-1"/>
        </w:rPr>
        <w:t>The submitter of an anomaly will be informed of the outcomes of their submission, including reasons for the decision.</w:t>
      </w:r>
    </w:p>
    <w:p w14:paraId="5E00E35F" w14:textId="6FE7743F" w:rsidR="007F28EA" w:rsidRPr="00323B53" w:rsidRDefault="007C3FF1" w:rsidP="008A6601">
      <w:pPr>
        <w:pStyle w:val="BodyText"/>
        <w:spacing w:after="120"/>
        <w:ind w:left="0" w:right="346"/>
        <w:rPr>
          <w:rFonts w:cs="Times New Roman"/>
          <w:spacing w:val="-1"/>
        </w:rPr>
      </w:pPr>
      <w:r w:rsidRPr="00323B53">
        <w:rPr>
          <w:rFonts w:cs="Times New Roman"/>
          <w:spacing w:val="-1"/>
        </w:rPr>
        <w:t xml:space="preserve">A public register of (de-identified) anomaly submissions and their outcomes will be kept on the </w:t>
      </w:r>
      <w:r w:rsidR="001C0523" w:rsidRPr="00323B53">
        <w:rPr>
          <w:rFonts w:cs="Times New Roman"/>
          <w:spacing w:val="-1"/>
        </w:rPr>
        <w:t>HSR</w:t>
      </w:r>
      <w:r w:rsidRPr="00323B53">
        <w:rPr>
          <w:rFonts w:cs="Times New Roman"/>
          <w:spacing w:val="-1"/>
        </w:rPr>
        <w:t xml:space="preserve"> website.</w:t>
      </w:r>
    </w:p>
    <w:p w14:paraId="0DB7E36C" w14:textId="77777777" w:rsidR="00283EDE" w:rsidRPr="00323B53" w:rsidRDefault="00283EDE" w:rsidP="00283EDE">
      <w:pPr>
        <w:pStyle w:val="BodyText"/>
        <w:spacing w:after="120" w:line="276" w:lineRule="auto"/>
        <w:ind w:left="0" w:right="346"/>
        <w:rPr>
          <w:rFonts w:cs="Times New Roman"/>
          <w:spacing w:val="-1"/>
        </w:rPr>
      </w:pPr>
    </w:p>
    <w:p w14:paraId="6954A2A3" w14:textId="77777777" w:rsidR="00EA51EC" w:rsidRPr="00323B53" w:rsidRDefault="001A1DFD" w:rsidP="00CB7015">
      <w:pPr>
        <w:pStyle w:val="Heading2"/>
        <w:spacing w:before="0"/>
        <w:ind w:left="0"/>
        <w:contextualSpacing/>
        <w:rPr>
          <w:rFonts w:cs="Times New Roman"/>
          <w:color w:val="2F5496" w:themeColor="accent1" w:themeShade="BF"/>
          <w:sz w:val="28"/>
          <w:szCs w:val="28"/>
        </w:rPr>
      </w:pPr>
      <w:r w:rsidRPr="00323B53">
        <w:rPr>
          <w:rFonts w:cs="Times New Roman"/>
          <w:color w:val="2F5496" w:themeColor="accent1" w:themeShade="BF"/>
          <w:sz w:val="28"/>
          <w:szCs w:val="28"/>
        </w:rPr>
        <w:t>Background</w:t>
      </w:r>
    </w:p>
    <w:p w14:paraId="68275682" w14:textId="04120121" w:rsidR="005D642D" w:rsidRPr="00323B53" w:rsidRDefault="001A1DFD" w:rsidP="008A6601">
      <w:pPr>
        <w:pStyle w:val="Heading2"/>
        <w:spacing w:before="0"/>
        <w:ind w:left="0"/>
        <w:contextualSpacing/>
        <w:rPr>
          <w:rFonts w:cs="Times New Roman"/>
        </w:rPr>
      </w:pPr>
      <w:r w:rsidRPr="00323B53">
        <w:rPr>
          <w:rFonts w:cs="Times New Roman"/>
          <w:b w:val="0"/>
          <w:bCs w:val="0"/>
        </w:rPr>
        <w:t>The develo</w:t>
      </w:r>
      <w:r w:rsidRPr="00323B53">
        <w:rPr>
          <w:rFonts w:cs="Times New Roman"/>
          <w:b w:val="0"/>
          <w:bCs w:val="0"/>
          <w:spacing w:val="-2"/>
        </w:rPr>
        <w:t>pm</w:t>
      </w:r>
      <w:r w:rsidRPr="00323B53">
        <w:rPr>
          <w:rFonts w:cs="Times New Roman"/>
          <w:b w:val="0"/>
          <w:bCs w:val="0"/>
        </w:rPr>
        <w:t>ent of</w:t>
      </w:r>
      <w:r w:rsidRPr="00323B53">
        <w:rPr>
          <w:rFonts w:cs="Times New Roman"/>
          <w:b w:val="0"/>
          <w:bCs w:val="0"/>
          <w:spacing w:val="-1"/>
        </w:rPr>
        <w:t xml:space="preserve"> </w:t>
      </w:r>
      <w:r w:rsidRPr="00323B53">
        <w:rPr>
          <w:rFonts w:cs="Times New Roman"/>
          <w:b w:val="0"/>
          <w:bCs w:val="0"/>
        </w:rPr>
        <w:t>the HSR system</w:t>
      </w:r>
      <w:r w:rsidRPr="00323B53">
        <w:rPr>
          <w:rFonts w:cs="Times New Roman"/>
          <w:b w:val="0"/>
          <w:bCs w:val="0"/>
          <w:spacing w:val="-2"/>
        </w:rPr>
        <w:t xml:space="preserve"> </w:t>
      </w:r>
      <w:r w:rsidRPr="00323B53">
        <w:rPr>
          <w:rFonts w:cs="Times New Roman"/>
          <w:b w:val="0"/>
          <w:bCs w:val="0"/>
        </w:rPr>
        <w:t>was guided by the Australia and New Zealand Food Regulation Ministerial Cou</w:t>
      </w:r>
      <w:r w:rsidRPr="00323B53">
        <w:rPr>
          <w:rFonts w:cs="Times New Roman"/>
          <w:b w:val="0"/>
          <w:bCs w:val="0"/>
          <w:spacing w:val="-3"/>
        </w:rPr>
        <w:t>n</w:t>
      </w:r>
      <w:r w:rsidRPr="00323B53">
        <w:rPr>
          <w:rFonts w:cs="Times New Roman"/>
          <w:b w:val="0"/>
          <w:bCs w:val="0"/>
        </w:rPr>
        <w:t>cil (now the</w:t>
      </w:r>
      <w:r w:rsidR="000B37F8" w:rsidRPr="00323B53">
        <w:rPr>
          <w:rFonts w:cs="Times New Roman"/>
          <w:b w:val="0"/>
          <w:bCs w:val="0"/>
        </w:rPr>
        <w:t xml:space="preserve"> </w:t>
      </w:r>
      <w:r w:rsidRPr="00323B53">
        <w:rPr>
          <w:rFonts w:cs="Times New Roman"/>
          <w:b w:val="0"/>
          <w:bCs w:val="0"/>
        </w:rPr>
        <w:t>FMM)’s</w:t>
      </w:r>
      <w:r w:rsidRPr="00323B53">
        <w:rPr>
          <w:rFonts w:cs="Times New Roman"/>
          <w:b w:val="0"/>
          <w:bCs w:val="0"/>
          <w:spacing w:val="-1"/>
        </w:rPr>
        <w:t xml:space="preserve"> </w:t>
      </w:r>
      <w:r w:rsidRPr="00323B53">
        <w:rPr>
          <w:rFonts w:cs="Times New Roman"/>
          <w:b w:val="0"/>
          <w:bCs w:val="0"/>
          <w:i/>
        </w:rPr>
        <w:t xml:space="preserve">Front of </w:t>
      </w:r>
      <w:r w:rsidRPr="00323B53">
        <w:rPr>
          <w:rFonts w:cs="Times New Roman"/>
          <w:b w:val="0"/>
          <w:bCs w:val="0"/>
          <w:i/>
          <w:spacing w:val="-2"/>
        </w:rPr>
        <w:t>P</w:t>
      </w:r>
      <w:r w:rsidRPr="00323B53">
        <w:rPr>
          <w:rFonts w:cs="Times New Roman"/>
          <w:b w:val="0"/>
          <w:bCs w:val="0"/>
          <w:i/>
        </w:rPr>
        <w:t>ack Labelling Policy Statement</w:t>
      </w:r>
      <w:r w:rsidRPr="00323B53">
        <w:rPr>
          <w:rFonts w:cs="Times New Roman"/>
          <w:b w:val="0"/>
          <w:bCs w:val="0"/>
          <w:i/>
          <w:spacing w:val="-1"/>
        </w:rPr>
        <w:t xml:space="preserve"> (2009</w:t>
      </w:r>
      <w:r w:rsidRPr="00323B53">
        <w:rPr>
          <w:rFonts w:cs="Times New Roman"/>
          <w:b w:val="0"/>
          <w:bCs w:val="0"/>
        </w:rPr>
        <w:t>) and the Front-of-Pack Labelling (</w:t>
      </w:r>
      <w:proofErr w:type="spellStart"/>
      <w:r w:rsidRPr="00323B53">
        <w:rPr>
          <w:rFonts w:cs="Times New Roman"/>
          <w:b w:val="0"/>
          <w:bCs w:val="0"/>
        </w:rPr>
        <w:t>FoPL</w:t>
      </w:r>
      <w:proofErr w:type="spellEnd"/>
      <w:r w:rsidRPr="00323B53">
        <w:rPr>
          <w:rFonts w:cs="Times New Roman"/>
          <w:b w:val="0"/>
          <w:bCs w:val="0"/>
        </w:rPr>
        <w:t>) Project Com</w:t>
      </w:r>
      <w:r w:rsidRPr="00323B53">
        <w:rPr>
          <w:rFonts w:cs="Times New Roman"/>
          <w:b w:val="0"/>
          <w:bCs w:val="0"/>
          <w:spacing w:val="-2"/>
        </w:rPr>
        <w:t>m</w:t>
      </w:r>
      <w:r w:rsidRPr="00323B53">
        <w:rPr>
          <w:rFonts w:cs="Times New Roman"/>
          <w:b w:val="0"/>
          <w:bCs w:val="0"/>
        </w:rPr>
        <w:t>ittee’s</w:t>
      </w:r>
      <w:r w:rsidRPr="00323B53">
        <w:rPr>
          <w:rFonts w:cs="Times New Roman"/>
          <w:b w:val="0"/>
          <w:bCs w:val="0"/>
          <w:spacing w:val="-1"/>
        </w:rPr>
        <w:t xml:space="preserve"> </w:t>
      </w:r>
      <w:r w:rsidRPr="00323B53">
        <w:rPr>
          <w:rFonts w:cs="Times New Roman"/>
          <w:b w:val="0"/>
          <w:bCs w:val="0"/>
          <w:i/>
        </w:rPr>
        <w:t>Objectives and Princi</w:t>
      </w:r>
      <w:r w:rsidRPr="00323B53">
        <w:rPr>
          <w:rFonts w:cs="Times New Roman"/>
          <w:b w:val="0"/>
          <w:bCs w:val="0"/>
          <w:i/>
          <w:spacing w:val="-2"/>
        </w:rPr>
        <w:t>p</w:t>
      </w:r>
      <w:r w:rsidRPr="00323B53">
        <w:rPr>
          <w:rFonts w:cs="Times New Roman"/>
          <w:b w:val="0"/>
          <w:bCs w:val="0"/>
          <w:i/>
        </w:rPr>
        <w:t>les for the Development of a</w:t>
      </w:r>
      <w:r w:rsidRPr="00323B53">
        <w:rPr>
          <w:rFonts w:cs="Times New Roman"/>
          <w:b w:val="0"/>
          <w:bCs w:val="0"/>
          <w:i/>
          <w:spacing w:val="-3"/>
        </w:rPr>
        <w:t xml:space="preserve"> </w:t>
      </w:r>
      <w:r w:rsidRPr="00323B53">
        <w:rPr>
          <w:rFonts w:cs="Times New Roman"/>
          <w:b w:val="0"/>
          <w:bCs w:val="0"/>
          <w:i/>
        </w:rPr>
        <w:t xml:space="preserve">front of pack labelling system. </w:t>
      </w:r>
      <w:r w:rsidRPr="00323B53">
        <w:rPr>
          <w:rFonts w:cs="Times New Roman"/>
          <w:b w:val="0"/>
          <w:bCs w:val="0"/>
          <w:spacing w:val="-1"/>
        </w:rPr>
        <w:t>Thes</w:t>
      </w:r>
      <w:r w:rsidRPr="00323B53">
        <w:rPr>
          <w:rFonts w:cs="Times New Roman"/>
          <w:b w:val="0"/>
          <w:bCs w:val="0"/>
        </w:rPr>
        <w:t>e</w:t>
      </w:r>
      <w:r w:rsidRPr="00323B53">
        <w:rPr>
          <w:rFonts w:cs="Times New Roman"/>
          <w:b w:val="0"/>
          <w:bCs w:val="0"/>
          <w:spacing w:val="-1"/>
        </w:rPr>
        <w:t xml:space="preserve"> docu</w:t>
      </w:r>
      <w:r w:rsidRPr="00323B53">
        <w:rPr>
          <w:rFonts w:cs="Times New Roman"/>
          <w:b w:val="0"/>
          <w:bCs w:val="0"/>
          <w:spacing w:val="-2"/>
        </w:rPr>
        <w:t>m</w:t>
      </w:r>
      <w:r w:rsidRPr="00323B53">
        <w:rPr>
          <w:rFonts w:cs="Times New Roman"/>
          <w:b w:val="0"/>
          <w:bCs w:val="0"/>
          <w:spacing w:val="-1"/>
        </w:rPr>
        <w:t xml:space="preserve">ents </w:t>
      </w:r>
      <w:r w:rsidRPr="00323B53">
        <w:rPr>
          <w:rFonts w:cs="Times New Roman"/>
          <w:b w:val="0"/>
          <w:bCs w:val="0"/>
        </w:rPr>
        <w:t>together with FMM</w:t>
      </w:r>
      <w:r w:rsidRPr="00323B53">
        <w:rPr>
          <w:rFonts w:cs="Times New Roman"/>
          <w:b w:val="0"/>
          <w:bCs w:val="0"/>
          <w:spacing w:val="-2"/>
        </w:rPr>
        <w:t xml:space="preserve"> </w:t>
      </w:r>
      <w:r w:rsidRPr="00323B53">
        <w:rPr>
          <w:rFonts w:cs="Times New Roman"/>
          <w:b w:val="0"/>
          <w:bCs w:val="0"/>
        </w:rPr>
        <w:t>po</w:t>
      </w:r>
      <w:r w:rsidRPr="00323B53">
        <w:rPr>
          <w:rFonts w:cs="Times New Roman"/>
          <w:b w:val="0"/>
          <w:bCs w:val="0"/>
          <w:spacing w:val="1"/>
        </w:rPr>
        <w:t>l</w:t>
      </w:r>
      <w:r w:rsidRPr="00323B53">
        <w:rPr>
          <w:rFonts w:cs="Times New Roman"/>
          <w:b w:val="0"/>
          <w:bCs w:val="0"/>
        </w:rPr>
        <w:t xml:space="preserve">icy decisions </w:t>
      </w:r>
      <w:r w:rsidRPr="00323B53">
        <w:rPr>
          <w:rFonts w:cs="Times New Roman"/>
          <w:b w:val="0"/>
          <w:bCs w:val="0"/>
          <w:spacing w:val="-2"/>
        </w:rPr>
        <w:t>m</w:t>
      </w:r>
      <w:r w:rsidRPr="00323B53">
        <w:rPr>
          <w:rFonts w:cs="Times New Roman"/>
          <w:b w:val="0"/>
          <w:bCs w:val="0"/>
        </w:rPr>
        <w:t>ade during the develop</w:t>
      </w:r>
      <w:r w:rsidRPr="00323B53">
        <w:rPr>
          <w:rFonts w:cs="Times New Roman"/>
          <w:b w:val="0"/>
          <w:bCs w:val="0"/>
          <w:spacing w:val="-2"/>
        </w:rPr>
        <w:t>m</w:t>
      </w:r>
      <w:r w:rsidRPr="00323B53">
        <w:rPr>
          <w:rFonts w:cs="Times New Roman"/>
          <w:b w:val="0"/>
          <w:bCs w:val="0"/>
        </w:rPr>
        <w:t>ent of the HSR system provide</w:t>
      </w:r>
      <w:r w:rsidRPr="00323B53">
        <w:rPr>
          <w:rFonts w:cs="Times New Roman"/>
          <w:b w:val="0"/>
          <w:bCs w:val="0"/>
          <w:spacing w:val="-1"/>
        </w:rPr>
        <w:t xml:space="preserve"> </w:t>
      </w:r>
      <w:r w:rsidRPr="00323B53">
        <w:rPr>
          <w:rFonts w:cs="Times New Roman"/>
          <w:b w:val="0"/>
          <w:bCs w:val="0"/>
        </w:rPr>
        <w:t>the</w:t>
      </w:r>
      <w:r w:rsidRPr="00323B53">
        <w:rPr>
          <w:rFonts w:cs="Times New Roman"/>
          <w:b w:val="0"/>
          <w:bCs w:val="0"/>
          <w:spacing w:val="-1"/>
        </w:rPr>
        <w:t xml:space="preserve"> </w:t>
      </w:r>
      <w:r w:rsidRPr="00323B53">
        <w:rPr>
          <w:rFonts w:cs="Times New Roman"/>
          <w:b w:val="0"/>
          <w:bCs w:val="0"/>
        </w:rPr>
        <w:t>basis</w:t>
      </w:r>
      <w:r w:rsidRPr="00323B53">
        <w:rPr>
          <w:rFonts w:cs="Times New Roman"/>
          <w:b w:val="0"/>
          <w:bCs w:val="0"/>
          <w:spacing w:val="-1"/>
        </w:rPr>
        <w:t xml:space="preserve"> </w:t>
      </w:r>
      <w:r w:rsidRPr="00323B53">
        <w:rPr>
          <w:rFonts w:cs="Times New Roman"/>
          <w:b w:val="0"/>
          <w:bCs w:val="0"/>
        </w:rPr>
        <w:t>for</w:t>
      </w:r>
      <w:r w:rsidRPr="00323B53">
        <w:rPr>
          <w:rFonts w:cs="Times New Roman"/>
          <w:b w:val="0"/>
          <w:bCs w:val="0"/>
          <w:spacing w:val="-1"/>
        </w:rPr>
        <w:t xml:space="preserve"> </w:t>
      </w:r>
      <w:r w:rsidRPr="00323B53">
        <w:rPr>
          <w:rFonts w:cs="Times New Roman"/>
          <w:b w:val="0"/>
          <w:bCs w:val="0"/>
        </w:rPr>
        <w:t>ass</w:t>
      </w:r>
      <w:r w:rsidRPr="00323B53">
        <w:rPr>
          <w:rFonts w:cs="Times New Roman"/>
          <w:b w:val="0"/>
          <w:bCs w:val="0"/>
          <w:spacing w:val="1"/>
        </w:rPr>
        <w:t>e</w:t>
      </w:r>
      <w:r w:rsidRPr="00323B53">
        <w:rPr>
          <w:rFonts w:cs="Times New Roman"/>
          <w:b w:val="0"/>
          <w:bCs w:val="0"/>
        </w:rPr>
        <w:t>ssing potential ano</w:t>
      </w:r>
      <w:r w:rsidRPr="00323B53">
        <w:rPr>
          <w:rFonts w:cs="Times New Roman"/>
          <w:b w:val="0"/>
          <w:bCs w:val="0"/>
          <w:spacing w:val="-2"/>
        </w:rPr>
        <w:t>m</w:t>
      </w:r>
      <w:r w:rsidRPr="00323B53">
        <w:rPr>
          <w:rFonts w:cs="Times New Roman"/>
          <w:b w:val="0"/>
          <w:bCs w:val="0"/>
        </w:rPr>
        <w:t>alies.</w:t>
      </w:r>
    </w:p>
    <w:sectPr w:rsidR="005D642D" w:rsidRPr="00323B53" w:rsidSect="003637C7">
      <w:headerReference w:type="even" r:id="rId8"/>
      <w:headerReference w:type="default" r:id="rId9"/>
      <w:footerReference w:type="even" r:id="rId10"/>
      <w:footerReference w:type="default" r:id="rId11"/>
      <w:headerReference w:type="first" r:id="rId12"/>
      <w:footerReference w:type="first" r:id="rId13"/>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CE63E" w14:textId="77777777" w:rsidR="00EB3556" w:rsidRDefault="00EB3556" w:rsidP="00EC2501">
      <w:pPr>
        <w:spacing w:after="0" w:line="240" w:lineRule="auto"/>
      </w:pPr>
      <w:r>
        <w:separator/>
      </w:r>
    </w:p>
  </w:endnote>
  <w:endnote w:type="continuationSeparator" w:id="0">
    <w:p w14:paraId="3E4E887C" w14:textId="77777777" w:rsidR="00EB3556" w:rsidRDefault="00EB3556" w:rsidP="00EC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EA2BE" w14:textId="77777777" w:rsidR="00BB2A57" w:rsidRDefault="00BB2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47A0B" w14:textId="1D28AE92" w:rsidR="00EC2501" w:rsidRPr="00EC2501" w:rsidRDefault="00EC2501" w:rsidP="00EC2501">
    <w:pPr>
      <w:pStyle w:val="Header"/>
      <w:jc w:val="center"/>
      <w:rPr>
        <w:rFonts w:ascii="Times New Roman" w:hAnsi="Times New Roman" w:cs="Times New Roman"/>
        <w:b/>
        <w:color w:val="FF0000"/>
        <w:spacing w:val="-20"/>
        <w:sz w:val="32"/>
        <w:szCs w:val="3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A4CDC" w14:textId="77777777" w:rsidR="00BB2A57" w:rsidRDefault="00BB2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25596" w14:textId="77777777" w:rsidR="00EB3556" w:rsidRDefault="00EB3556" w:rsidP="00EC2501">
      <w:pPr>
        <w:spacing w:after="0" w:line="240" w:lineRule="auto"/>
      </w:pPr>
      <w:r>
        <w:separator/>
      </w:r>
    </w:p>
  </w:footnote>
  <w:footnote w:type="continuationSeparator" w:id="0">
    <w:p w14:paraId="186941A5" w14:textId="77777777" w:rsidR="00EB3556" w:rsidRDefault="00EB3556" w:rsidP="00EC2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49C53" w14:textId="77777777" w:rsidR="00BB2A57" w:rsidRDefault="00BB2A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1CCBB" w14:textId="654DB7F4" w:rsidR="00EC2501" w:rsidRDefault="00EC2501" w:rsidP="00EC2501">
    <w:pPr>
      <w:pStyle w:val="Header"/>
      <w:jc w:val="center"/>
      <w:rPr>
        <w:rFonts w:ascii="Times New Roman" w:hAnsi="Times New Roman" w:cs="Times New Roman"/>
        <w:b/>
        <w:bCs/>
        <w:color w:val="FF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57C0D" w14:textId="77777777" w:rsidR="00BB2A57" w:rsidRDefault="00BB2A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906C7"/>
    <w:multiLevelType w:val="hybridMultilevel"/>
    <w:tmpl w:val="F30E11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C2C432C"/>
    <w:multiLevelType w:val="hybridMultilevel"/>
    <w:tmpl w:val="834452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980179"/>
    <w:multiLevelType w:val="hybridMultilevel"/>
    <w:tmpl w:val="02F4C904"/>
    <w:lvl w:ilvl="0" w:tplc="8348E51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D962E7"/>
    <w:multiLevelType w:val="hybridMultilevel"/>
    <w:tmpl w:val="A2D08D6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35DF784D"/>
    <w:multiLevelType w:val="hybridMultilevel"/>
    <w:tmpl w:val="E9FE4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F8D1B53"/>
    <w:multiLevelType w:val="hybridMultilevel"/>
    <w:tmpl w:val="EBBE73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189412C"/>
    <w:multiLevelType w:val="hybridMultilevel"/>
    <w:tmpl w:val="509ABAA8"/>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63783962"/>
    <w:multiLevelType w:val="hybridMultilevel"/>
    <w:tmpl w:val="4AECC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5595364"/>
    <w:multiLevelType w:val="hybridMultilevel"/>
    <w:tmpl w:val="BE58B194"/>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7E67171B"/>
    <w:multiLevelType w:val="hybridMultilevel"/>
    <w:tmpl w:val="1750A1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1175077">
    <w:abstractNumId w:val="5"/>
  </w:num>
  <w:num w:numId="2" w16cid:durableId="1468278311">
    <w:abstractNumId w:val="0"/>
  </w:num>
  <w:num w:numId="3" w16cid:durableId="1296837375">
    <w:abstractNumId w:val="2"/>
  </w:num>
  <w:num w:numId="4" w16cid:durableId="1641692896">
    <w:abstractNumId w:val="8"/>
  </w:num>
  <w:num w:numId="5" w16cid:durableId="967585259">
    <w:abstractNumId w:val="5"/>
  </w:num>
  <w:num w:numId="6" w16cid:durableId="1656834454">
    <w:abstractNumId w:val="4"/>
  </w:num>
  <w:num w:numId="7" w16cid:durableId="1411926874">
    <w:abstractNumId w:val="9"/>
  </w:num>
  <w:num w:numId="8" w16cid:durableId="1493596505">
    <w:abstractNumId w:val="1"/>
  </w:num>
  <w:num w:numId="9" w16cid:durableId="1890651721">
    <w:abstractNumId w:val="6"/>
  </w:num>
  <w:num w:numId="10" w16cid:durableId="241456692">
    <w:abstractNumId w:val="3"/>
  </w:num>
  <w:num w:numId="11" w16cid:durableId="2032147259">
    <w:abstractNumId w:val="7"/>
  </w:num>
  <w:num w:numId="12" w16cid:durableId="159737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4D7"/>
    <w:rsid w:val="00027D8B"/>
    <w:rsid w:val="000554D7"/>
    <w:rsid w:val="00067714"/>
    <w:rsid w:val="00071170"/>
    <w:rsid w:val="000A3020"/>
    <w:rsid w:val="000B37F8"/>
    <w:rsid w:val="000E10F8"/>
    <w:rsid w:val="000E39A9"/>
    <w:rsid w:val="001031E6"/>
    <w:rsid w:val="0013019C"/>
    <w:rsid w:val="00142E56"/>
    <w:rsid w:val="00145A4C"/>
    <w:rsid w:val="0015027A"/>
    <w:rsid w:val="001823BC"/>
    <w:rsid w:val="00191D94"/>
    <w:rsid w:val="001A1DFD"/>
    <w:rsid w:val="001A49F2"/>
    <w:rsid w:val="001B4189"/>
    <w:rsid w:val="001C0523"/>
    <w:rsid w:val="001C16EC"/>
    <w:rsid w:val="001C7F4B"/>
    <w:rsid w:val="001D25C0"/>
    <w:rsid w:val="001D7719"/>
    <w:rsid w:val="001E7F94"/>
    <w:rsid w:val="001F7F3A"/>
    <w:rsid w:val="00255D07"/>
    <w:rsid w:val="00264060"/>
    <w:rsid w:val="002666AF"/>
    <w:rsid w:val="002732B3"/>
    <w:rsid w:val="00283EDE"/>
    <w:rsid w:val="002A3C61"/>
    <w:rsid w:val="002A6C35"/>
    <w:rsid w:val="002B6B89"/>
    <w:rsid w:val="002E14F6"/>
    <w:rsid w:val="002F479A"/>
    <w:rsid w:val="0030383E"/>
    <w:rsid w:val="00314C6E"/>
    <w:rsid w:val="00323B53"/>
    <w:rsid w:val="003401E5"/>
    <w:rsid w:val="00357C4E"/>
    <w:rsid w:val="003637C7"/>
    <w:rsid w:val="00387473"/>
    <w:rsid w:val="003B3728"/>
    <w:rsid w:val="003C7089"/>
    <w:rsid w:val="003E3BC5"/>
    <w:rsid w:val="00405C59"/>
    <w:rsid w:val="00412DAF"/>
    <w:rsid w:val="00417154"/>
    <w:rsid w:val="004223D7"/>
    <w:rsid w:val="00423AC7"/>
    <w:rsid w:val="00492323"/>
    <w:rsid w:val="004A6FB2"/>
    <w:rsid w:val="004B2EE2"/>
    <w:rsid w:val="004D44E2"/>
    <w:rsid w:val="004F78E6"/>
    <w:rsid w:val="0050320F"/>
    <w:rsid w:val="00506E94"/>
    <w:rsid w:val="0051538B"/>
    <w:rsid w:val="00516841"/>
    <w:rsid w:val="005265F8"/>
    <w:rsid w:val="00552599"/>
    <w:rsid w:val="00573A2A"/>
    <w:rsid w:val="00591768"/>
    <w:rsid w:val="005B7D2E"/>
    <w:rsid w:val="005C2724"/>
    <w:rsid w:val="005C389D"/>
    <w:rsid w:val="005C4390"/>
    <w:rsid w:val="005D4678"/>
    <w:rsid w:val="005D4C78"/>
    <w:rsid w:val="005D642D"/>
    <w:rsid w:val="005E74DD"/>
    <w:rsid w:val="00601E1E"/>
    <w:rsid w:val="00603FA5"/>
    <w:rsid w:val="00642108"/>
    <w:rsid w:val="00664A5C"/>
    <w:rsid w:val="006714F1"/>
    <w:rsid w:val="006729CC"/>
    <w:rsid w:val="006A64AC"/>
    <w:rsid w:val="006F2CCE"/>
    <w:rsid w:val="006F7F63"/>
    <w:rsid w:val="007015CE"/>
    <w:rsid w:val="00705368"/>
    <w:rsid w:val="00713709"/>
    <w:rsid w:val="00743B86"/>
    <w:rsid w:val="007514AE"/>
    <w:rsid w:val="00793F91"/>
    <w:rsid w:val="007B1A0C"/>
    <w:rsid w:val="007C3FF1"/>
    <w:rsid w:val="007D4CEC"/>
    <w:rsid w:val="007F28EA"/>
    <w:rsid w:val="0080713A"/>
    <w:rsid w:val="00815F86"/>
    <w:rsid w:val="00824C28"/>
    <w:rsid w:val="008340D0"/>
    <w:rsid w:val="00844892"/>
    <w:rsid w:val="0084556D"/>
    <w:rsid w:val="00863FED"/>
    <w:rsid w:val="008853F4"/>
    <w:rsid w:val="008942DE"/>
    <w:rsid w:val="008A1362"/>
    <w:rsid w:val="008A3FB9"/>
    <w:rsid w:val="008A6601"/>
    <w:rsid w:val="008C3DC3"/>
    <w:rsid w:val="008E35EC"/>
    <w:rsid w:val="008E5D17"/>
    <w:rsid w:val="008E7049"/>
    <w:rsid w:val="008F0E1E"/>
    <w:rsid w:val="00944DA6"/>
    <w:rsid w:val="00946F47"/>
    <w:rsid w:val="00947423"/>
    <w:rsid w:val="009C0F1D"/>
    <w:rsid w:val="009E01EA"/>
    <w:rsid w:val="009E555D"/>
    <w:rsid w:val="00A04B01"/>
    <w:rsid w:val="00A12B8C"/>
    <w:rsid w:val="00A172FE"/>
    <w:rsid w:val="00A2426E"/>
    <w:rsid w:val="00A506F0"/>
    <w:rsid w:val="00A57583"/>
    <w:rsid w:val="00A60EF5"/>
    <w:rsid w:val="00A67B7B"/>
    <w:rsid w:val="00A76CC0"/>
    <w:rsid w:val="00AA0A23"/>
    <w:rsid w:val="00AD4E66"/>
    <w:rsid w:val="00AE022F"/>
    <w:rsid w:val="00AE69F7"/>
    <w:rsid w:val="00B069FD"/>
    <w:rsid w:val="00B11038"/>
    <w:rsid w:val="00B352A1"/>
    <w:rsid w:val="00B43645"/>
    <w:rsid w:val="00B702BE"/>
    <w:rsid w:val="00B70739"/>
    <w:rsid w:val="00B84105"/>
    <w:rsid w:val="00B91986"/>
    <w:rsid w:val="00BB2A57"/>
    <w:rsid w:val="00BC273A"/>
    <w:rsid w:val="00BD3A9F"/>
    <w:rsid w:val="00BF0AFF"/>
    <w:rsid w:val="00C35C41"/>
    <w:rsid w:val="00C43666"/>
    <w:rsid w:val="00C47846"/>
    <w:rsid w:val="00C84E16"/>
    <w:rsid w:val="00C9020E"/>
    <w:rsid w:val="00CA1359"/>
    <w:rsid w:val="00CA67AA"/>
    <w:rsid w:val="00CB7015"/>
    <w:rsid w:val="00CD1EAB"/>
    <w:rsid w:val="00CD7478"/>
    <w:rsid w:val="00CE494E"/>
    <w:rsid w:val="00CE5290"/>
    <w:rsid w:val="00D04BB7"/>
    <w:rsid w:val="00D05259"/>
    <w:rsid w:val="00D206A5"/>
    <w:rsid w:val="00D25561"/>
    <w:rsid w:val="00D42EC2"/>
    <w:rsid w:val="00D45084"/>
    <w:rsid w:val="00D6362F"/>
    <w:rsid w:val="00D864C1"/>
    <w:rsid w:val="00D91643"/>
    <w:rsid w:val="00DB6225"/>
    <w:rsid w:val="00DC708B"/>
    <w:rsid w:val="00DD3EE9"/>
    <w:rsid w:val="00DE7F71"/>
    <w:rsid w:val="00E17B3B"/>
    <w:rsid w:val="00E62812"/>
    <w:rsid w:val="00E62BFB"/>
    <w:rsid w:val="00E97273"/>
    <w:rsid w:val="00EA51EC"/>
    <w:rsid w:val="00EB12CE"/>
    <w:rsid w:val="00EB3556"/>
    <w:rsid w:val="00EC2501"/>
    <w:rsid w:val="00EC5507"/>
    <w:rsid w:val="00ED71FF"/>
    <w:rsid w:val="00EF2D20"/>
    <w:rsid w:val="00F31EBF"/>
    <w:rsid w:val="00F35ECF"/>
    <w:rsid w:val="00F60594"/>
    <w:rsid w:val="00F63E4E"/>
    <w:rsid w:val="00F77D2A"/>
    <w:rsid w:val="00F83C07"/>
    <w:rsid w:val="00FC7ED1"/>
    <w:rsid w:val="00FD64F3"/>
    <w:rsid w:val="00FE749B"/>
    <w:rsid w:val="00FF5C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93D17"/>
  <w15:chartTrackingRefBased/>
  <w15:docId w15:val="{0AD55651-DD61-4B22-85D7-3D7FAFBC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1EC"/>
    <w:pPr>
      <w:spacing w:after="200" w:line="276" w:lineRule="auto"/>
    </w:pPr>
    <w:rPr>
      <w:kern w:val="0"/>
      <w14:ligatures w14:val="none"/>
    </w:rPr>
  </w:style>
  <w:style w:type="paragraph" w:styleId="Heading1">
    <w:name w:val="heading 1"/>
    <w:basedOn w:val="Normal"/>
    <w:next w:val="Normal"/>
    <w:link w:val="Heading1Char"/>
    <w:uiPriority w:val="9"/>
    <w:qFormat/>
    <w:rsid w:val="000554D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1"/>
    <w:unhideWhenUsed/>
    <w:qFormat/>
    <w:rsid w:val="000554D7"/>
    <w:pPr>
      <w:widowControl w:val="0"/>
      <w:spacing w:before="69" w:after="0" w:line="240" w:lineRule="auto"/>
      <w:ind w:left="220"/>
      <w:outlineLvl w:val="1"/>
    </w:pPr>
    <w:rPr>
      <w:rFonts w:ascii="Times New Roman" w:eastAsia="Times New Roman" w:hAnsi="Times New Roman"/>
      <w:b/>
      <w:bCs/>
      <w:sz w:val="24"/>
      <w:szCs w:val="24"/>
      <w:lang w:val="en-US"/>
    </w:rPr>
  </w:style>
  <w:style w:type="paragraph" w:styleId="Heading3">
    <w:name w:val="heading 3"/>
    <w:basedOn w:val="Normal"/>
    <w:next w:val="Normal"/>
    <w:link w:val="Heading3Char"/>
    <w:uiPriority w:val="9"/>
    <w:unhideWhenUsed/>
    <w:qFormat/>
    <w:rsid w:val="00C84E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4D7"/>
    <w:rPr>
      <w:rFonts w:asciiTheme="majorHAnsi" w:eastAsiaTheme="majorEastAsia" w:hAnsiTheme="majorHAnsi" w:cstheme="majorBidi"/>
      <w:b/>
      <w:bCs/>
      <w:color w:val="2F5496" w:themeColor="accent1" w:themeShade="BF"/>
      <w:kern w:val="0"/>
      <w:sz w:val="28"/>
      <w:szCs w:val="28"/>
      <w14:ligatures w14:val="none"/>
    </w:rPr>
  </w:style>
  <w:style w:type="character" w:customStyle="1" w:styleId="Heading2Char">
    <w:name w:val="Heading 2 Char"/>
    <w:basedOn w:val="DefaultParagraphFont"/>
    <w:link w:val="Heading2"/>
    <w:uiPriority w:val="1"/>
    <w:rsid w:val="000554D7"/>
    <w:rPr>
      <w:rFonts w:ascii="Times New Roman" w:eastAsia="Times New Roman" w:hAnsi="Times New Roman"/>
      <w:b/>
      <w:bCs/>
      <w:kern w:val="0"/>
      <w:sz w:val="24"/>
      <w:szCs w:val="24"/>
      <w:lang w:val="en-US"/>
      <w14:ligatures w14:val="none"/>
    </w:rPr>
  </w:style>
  <w:style w:type="paragraph" w:styleId="BodyText">
    <w:name w:val="Body Text"/>
    <w:basedOn w:val="Normal"/>
    <w:link w:val="BodyTextChar"/>
    <w:uiPriority w:val="1"/>
    <w:unhideWhenUsed/>
    <w:qFormat/>
    <w:rsid w:val="000554D7"/>
    <w:pPr>
      <w:widowControl w:val="0"/>
      <w:spacing w:after="0" w:line="240" w:lineRule="auto"/>
      <w:ind w:left="840"/>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0554D7"/>
    <w:rPr>
      <w:rFonts w:ascii="Times New Roman" w:eastAsia="Times New Roman" w:hAnsi="Times New Roman"/>
      <w:kern w:val="0"/>
      <w:sz w:val="24"/>
      <w:szCs w:val="24"/>
      <w:lang w:val="en-US"/>
      <w14:ligatures w14:val="none"/>
    </w:rPr>
  </w:style>
  <w:style w:type="paragraph" w:customStyle="1" w:styleId="TableParagraph">
    <w:name w:val="Table Paragraph"/>
    <w:basedOn w:val="Normal"/>
    <w:uiPriority w:val="1"/>
    <w:qFormat/>
    <w:rsid w:val="000554D7"/>
    <w:pPr>
      <w:widowControl w:val="0"/>
      <w:spacing w:after="0" w:line="240" w:lineRule="auto"/>
    </w:pPr>
    <w:rPr>
      <w:lang w:val="en-US"/>
    </w:rPr>
  </w:style>
  <w:style w:type="table" w:styleId="TableGrid">
    <w:name w:val="Table Grid"/>
    <w:basedOn w:val="TableNormal"/>
    <w:uiPriority w:val="59"/>
    <w:rsid w:val="000554D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54D7"/>
    <w:pPr>
      <w:spacing w:after="0" w:line="240" w:lineRule="auto"/>
    </w:pPr>
    <w:rPr>
      <w:kern w:val="0"/>
      <w14:ligatures w14:val="none"/>
    </w:rPr>
  </w:style>
  <w:style w:type="character" w:styleId="CommentReference">
    <w:name w:val="annotation reference"/>
    <w:basedOn w:val="DefaultParagraphFont"/>
    <w:uiPriority w:val="99"/>
    <w:semiHidden/>
    <w:unhideWhenUsed/>
    <w:rsid w:val="00071170"/>
    <w:rPr>
      <w:sz w:val="16"/>
      <w:szCs w:val="16"/>
    </w:rPr>
  </w:style>
  <w:style w:type="paragraph" w:styleId="CommentText">
    <w:name w:val="annotation text"/>
    <w:basedOn w:val="Normal"/>
    <w:link w:val="CommentTextChar"/>
    <w:uiPriority w:val="99"/>
    <w:unhideWhenUsed/>
    <w:rsid w:val="00071170"/>
    <w:pPr>
      <w:spacing w:line="240" w:lineRule="auto"/>
    </w:pPr>
    <w:rPr>
      <w:sz w:val="20"/>
      <w:szCs w:val="20"/>
    </w:rPr>
  </w:style>
  <w:style w:type="character" w:customStyle="1" w:styleId="CommentTextChar">
    <w:name w:val="Comment Text Char"/>
    <w:basedOn w:val="DefaultParagraphFont"/>
    <w:link w:val="CommentText"/>
    <w:uiPriority w:val="99"/>
    <w:rsid w:val="0007117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71170"/>
    <w:rPr>
      <w:b/>
      <w:bCs/>
    </w:rPr>
  </w:style>
  <w:style w:type="character" w:customStyle="1" w:styleId="CommentSubjectChar">
    <w:name w:val="Comment Subject Char"/>
    <w:basedOn w:val="CommentTextChar"/>
    <w:link w:val="CommentSubject"/>
    <w:uiPriority w:val="99"/>
    <w:semiHidden/>
    <w:rsid w:val="00071170"/>
    <w:rPr>
      <w:b/>
      <w:bCs/>
      <w:kern w:val="0"/>
      <w:sz w:val="20"/>
      <w:szCs w:val="20"/>
      <w14:ligatures w14:val="none"/>
    </w:rPr>
  </w:style>
  <w:style w:type="character" w:styleId="Hyperlink">
    <w:name w:val="Hyperlink"/>
    <w:basedOn w:val="DefaultParagraphFont"/>
    <w:uiPriority w:val="99"/>
    <w:unhideWhenUsed/>
    <w:rsid w:val="008A1362"/>
    <w:rPr>
      <w:color w:val="0563C1" w:themeColor="hyperlink"/>
      <w:u w:val="single"/>
    </w:rPr>
  </w:style>
  <w:style w:type="character" w:styleId="UnresolvedMention">
    <w:name w:val="Unresolved Mention"/>
    <w:basedOn w:val="DefaultParagraphFont"/>
    <w:uiPriority w:val="99"/>
    <w:semiHidden/>
    <w:unhideWhenUsed/>
    <w:rsid w:val="008A1362"/>
    <w:rPr>
      <w:color w:val="605E5C"/>
      <w:shd w:val="clear" w:color="auto" w:fill="E1DFDD"/>
    </w:rPr>
  </w:style>
  <w:style w:type="character" w:customStyle="1" w:styleId="Heading3Char">
    <w:name w:val="Heading 3 Char"/>
    <w:basedOn w:val="DefaultParagraphFont"/>
    <w:link w:val="Heading3"/>
    <w:uiPriority w:val="9"/>
    <w:rsid w:val="00C84E16"/>
    <w:rPr>
      <w:rFonts w:asciiTheme="majorHAnsi" w:eastAsiaTheme="majorEastAsia" w:hAnsiTheme="majorHAnsi" w:cstheme="majorBidi"/>
      <w:color w:val="1F3763" w:themeColor="accent1" w:themeShade="7F"/>
      <w:kern w:val="0"/>
      <w:sz w:val="24"/>
      <w:szCs w:val="24"/>
      <w14:ligatures w14:val="none"/>
    </w:rPr>
  </w:style>
  <w:style w:type="paragraph" w:styleId="Header">
    <w:name w:val="header"/>
    <w:basedOn w:val="Normal"/>
    <w:link w:val="HeaderChar"/>
    <w:uiPriority w:val="99"/>
    <w:unhideWhenUsed/>
    <w:rsid w:val="00EC25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501"/>
    <w:rPr>
      <w:kern w:val="0"/>
      <w14:ligatures w14:val="none"/>
    </w:rPr>
  </w:style>
  <w:style w:type="paragraph" w:styleId="Footer">
    <w:name w:val="footer"/>
    <w:basedOn w:val="Normal"/>
    <w:link w:val="FooterChar"/>
    <w:uiPriority w:val="99"/>
    <w:unhideWhenUsed/>
    <w:rsid w:val="00EC25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50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97437">
      <w:bodyDiv w:val="1"/>
      <w:marLeft w:val="0"/>
      <w:marRight w:val="0"/>
      <w:marTop w:val="0"/>
      <w:marBottom w:val="0"/>
      <w:divBdr>
        <w:top w:val="none" w:sz="0" w:space="0" w:color="auto"/>
        <w:left w:val="none" w:sz="0" w:space="0" w:color="auto"/>
        <w:bottom w:val="none" w:sz="0" w:space="0" w:color="auto"/>
        <w:right w:val="none" w:sz="0" w:space="0" w:color="auto"/>
      </w:divBdr>
    </w:div>
    <w:div w:id="800806573">
      <w:bodyDiv w:val="1"/>
      <w:marLeft w:val="0"/>
      <w:marRight w:val="0"/>
      <w:marTop w:val="0"/>
      <w:marBottom w:val="0"/>
      <w:divBdr>
        <w:top w:val="none" w:sz="0" w:space="0" w:color="auto"/>
        <w:left w:val="none" w:sz="0" w:space="0" w:color="auto"/>
        <w:bottom w:val="none" w:sz="0" w:space="0" w:color="auto"/>
        <w:right w:val="none" w:sz="0" w:space="0" w:color="auto"/>
      </w:divBdr>
    </w:div>
    <w:div w:id="123948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sr@health.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469</TotalTime>
  <Pages>2</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dc:creator>
  <cp:keywords/>
  <dc:description/>
  <cp:lastModifiedBy>BLADES, Jessica</cp:lastModifiedBy>
  <cp:revision>166</cp:revision>
  <dcterms:created xsi:type="dcterms:W3CDTF">2024-08-09T00:32:00Z</dcterms:created>
  <dcterms:modified xsi:type="dcterms:W3CDTF">2024-11-26T05:04:00Z</dcterms:modified>
</cp:coreProperties>
</file>