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Title_Page"/>
    <w:bookmarkStart w:id="1" w:name="_GoBack"/>
    <w:bookmarkEnd w:id="1"/>
    <w:p w14:paraId="64285713" w14:textId="7FD9D50A" w:rsidR="00C41380" w:rsidRPr="00CC1ADD" w:rsidRDefault="00B33EE3" w:rsidP="005A25A2">
      <w:r w:rsidRPr="00CC1ADD">
        <w:rPr>
          <w:noProof/>
          <w:lang w:eastAsia="en-AU"/>
        </w:rPr>
        <mc:AlternateContent>
          <mc:Choice Requires="wps">
            <w:drawing>
              <wp:anchor distT="0" distB="0" distL="114300" distR="114300" simplePos="0" relativeHeight="251659264" behindDoc="1" locked="0" layoutInCell="1" allowOverlap="1" wp14:anchorId="62CEE661" wp14:editId="5A19B3AE">
                <wp:simplePos x="0" y="0"/>
                <wp:positionH relativeFrom="column">
                  <wp:posOffset>-298450</wp:posOffset>
                </wp:positionH>
                <wp:positionV relativeFrom="paragraph">
                  <wp:posOffset>-541020</wp:posOffset>
                </wp:positionV>
                <wp:extent cx="6782435" cy="9946640"/>
                <wp:effectExtent l="0" t="0" r="0" b="10160"/>
                <wp:wrapNone/>
                <wp:docPr id="1" name="Rounded Rectangle 1">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microsoft.com/office/word/2010/wordprocessingShape">
                    <wps:wsp>
                      <wps:cNvSpPr/>
                      <wps:spPr>
                        <a:xfrm>
                          <a:off x="0" y="0"/>
                          <a:ext cx="6782435" cy="9946640"/>
                        </a:xfrm>
                        <a:prstGeom prst="roundRect">
                          <a:avLst>
                            <a:gd name="adj" fmla="val 4981"/>
                          </a:avLst>
                        </a:prstGeom>
                        <a:solidFill>
                          <a:srgbClr val="516A8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7F4ACFCF" id="Rounded Rectangle 1" o:spid="_x0000_s1026" style="position:absolute;margin-left:-23.5pt;margin-top:-42.6pt;width:534.05pt;height:78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26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" fillcolor="#516a8e" stroked="f" strokeweight="1pt">
                <v:stroke joinstyle="miter"/>
              </v:roundrect>
            </w:pict>
          </mc:Fallback>
        </mc:AlternateContent>
      </w:r>
      <w:bookmarkEnd w:id="0"/>
      <w:r w:rsidR="00C41380" w:rsidRPr="00CC1ADD">
        <w:rPr>
          <w:noProof/>
          <w:lang w:eastAsia="en-AU"/>
        </w:rPr>
        <mc:AlternateContent>
          <mc:Choice Requires="wpg">
            <w:drawing>
              <wp:anchor distT="0" distB="0" distL="114300" distR="114300" simplePos="0" relativeHeight="251655168" behindDoc="0" locked="0" layoutInCell="1" allowOverlap="1" wp14:anchorId="00CCC42C" wp14:editId="33635B1D">
                <wp:simplePos x="0" y="0"/>
                <wp:positionH relativeFrom="column">
                  <wp:posOffset>4629150</wp:posOffset>
                </wp:positionH>
                <wp:positionV relativeFrom="paragraph">
                  <wp:posOffset>-4898390</wp:posOffset>
                </wp:positionV>
                <wp:extent cx="1819275" cy="771525"/>
                <wp:effectExtent l="6350" t="3810" r="3175" b="0"/>
                <wp:wrapNone/>
                <wp:docPr id="18" name="Group 18">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9275" cy="771525"/>
                          <a:chOff x="8895" y="1230"/>
                          <a:chExt cx="2865" cy="1215"/>
                        </a:xfrm>
                      </wpg:grpSpPr>
                      <wps:wsp>
                        <wps:cNvPr id="19" name="Text Box 19"/>
                        <wps:cNvSpPr txBox="1">
                          <a:spLocks noChangeArrowheads="1"/>
                        </wps:cNvSpPr>
                        <wps:spPr bwMode="auto">
                          <a:xfrm>
                            <a:off x="10290" y="1230"/>
                            <a:ext cx="1470"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C31B9" w14:textId="77777777" w:rsidR="00B53139" w:rsidRDefault="00B53139" w:rsidP="00C41380">
                              <w:pPr>
                                <w:rPr>
                                  <w:color w:val="FFFFFF"/>
                                  <w:sz w:val="92"/>
                                  <w:szCs w:val="92"/>
                                </w:rPr>
                              </w:pPr>
                              <w:r>
                                <w:rPr>
                                  <w:color w:val="FFFFFF"/>
                                  <w:sz w:val="92"/>
                                  <w:szCs w:val="92"/>
                                </w:rPr>
                                <w:t>08</w:t>
                              </w:r>
                            </w:p>
                          </w:txbxContent>
                        </wps:txbx>
                        <wps:bodyPr rot="0" vert="horz" wrap="square" lIns="91440" tIns="45720" rIns="91440" bIns="45720" anchor="t" anchorCtr="0" upright="1">
                          <a:noAutofit/>
                        </wps:bodyPr>
                      </wps:wsp>
                      <wps:wsp>
                        <wps:cNvPr id="20" name="AutoShape 6"/>
                        <wps:cNvCnPr>
                          <a:cxnSpLocks noChangeShapeType="1"/>
                        </wps:cNvCnPr>
                        <wps:spPr bwMode="auto">
                          <a:xfrm>
                            <a:off x="10290" y="1590"/>
                            <a:ext cx="0" cy="630"/>
                          </a:xfrm>
                          <a:prstGeom prst="straightConnector1">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21" name="Text Box 21"/>
                        <wps:cNvSpPr txBox="1">
                          <a:spLocks noChangeArrowheads="1"/>
                        </wps:cNvSpPr>
                        <wps:spPr bwMode="auto">
                          <a:xfrm>
                            <a:off x="8895" y="1455"/>
                            <a:ext cx="136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63272" w14:textId="77777777" w:rsidR="00B53139" w:rsidRDefault="00B53139" w:rsidP="00C41380">
                              <w:pPr>
                                <w:jc w:val="right"/>
                                <w:rPr>
                                  <w:rFonts w:ascii="Calibri" w:hAnsi="Calibri"/>
                                  <w:b/>
                                  <w:color w:val="FFFFFF"/>
                                  <w:sz w:val="32"/>
                                  <w:szCs w:val="32"/>
                                </w:rPr>
                              </w:pPr>
                              <w:r>
                                <w:rPr>
                                  <w:rFonts w:ascii="Calibri" w:hAnsi="Calibri"/>
                                  <w:b/>
                                  <w:color w:val="FFFFFF"/>
                                  <w:sz w:val="32"/>
                                  <w:szCs w:val="32"/>
                                </w:rPr>
                                <w:t>Fall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CCC42C" id="Group 18" o:spid="_x0000_s1026" style="position:absolute;margin-left:364.5pt;margin-top:-385.7pt;width:143.25pt;height:60.75pt;z-index:251655168" coordorigin="8895,1230" coordsize="2865,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">
                <v:shapetype id="_x0000_t202" coordsize="21600,21600" o:spt="202" path="m,l,21600r21600,l21600,xe">
                  <v:stroke joinstyle="miter"/>
                  <v:path gradientshapeok="t" o:connecttype="rect"/>
                </v:shapetype>
                <v:shape id="Text Box 19" o:spid="_x0000_s1027" type="#_x0000_t202" style="position:absolute;left:10290;top:1230;width:147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" filled="f" stroked="f">
                  <v:textbox>
                    <w:txbxContent>
                      <w:p w14:paraId="705C31B9" w14:textId="77777777" w:rsidR="00B53139" w:rsidRDefault="00B53139" w:rsidP="00C41380">
                        <w:pPr>
                          <w:rPr>
                            <w:color w:val="FFFFFF"/>
                            <w:sz w:val="92"/>
                            <w:szCs w:val="92"/>
                          </w:rPr>
                        </w:pPr>
                        <w:r>
                          <w:rPr>
                            <w:color w:val="FFFFFF"/>
                            <w:sz w:val="92"/>
                            <w:szCs w:val="92"/>
                          </w:rPr>
                          <w:t>08</w:t>
                        </w:r>
                      </w:p>
                    </w:txbxContent>
                  </v:textbox>
                </v:shape>
                <v:shapetype id="_x0000_t32" coordsize="21600,21600" o:spt="32" o:oned="t" path="m,l21600,21600e" filled="f">
                  <v:path arrowok="t" fillok="f" o:connecttype="none"/>
                  <o:lock v:ext="edit" shapetype="t"/>
                </v:shapetype>
                <v:shape id="AutoShape 6" o:spid="_x0000_s1028" type="#_x0000_t32" style="position:absolute;left:10290;top:1590;width:0;height:6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" strokecolor="white" strokeweight="1.5pt"/>
                <v:shape id="Text Box 21" o:spid="_x0000_s1029" type="#_x0000_t202" style="position:absolute;left:8895;top:1455;width:136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" filled="f" stroked="f">
                  <v:textbox>
                    <w:txbxContent>
                      <w:p w14:paraId="59F63272" w14:textId="77777777" w:rsidR="00B53139" w:rsidRDefault="00B53139" w:rsidP="00C41380">
                        <w:pPr>
                          <w:jc w:val="right"/>
                          <w:rPr>
                            <w:rFonts w:ascii="Calibri" w:hAnsi="Calibri"/>
                            <w:b/>
                            <w:color w:val="FFFFFF"/>
                            <w:sz w:val="32"/>
                            <w:szCs w:val="32"/>
                          </w:rPr>
                        </w:pPr>
                        <w:r>
                          <w:rPr>
                            <w:rFonts w:ascii="Calibri" w:hAnsi="Calibri"/>
                            <w:b/>
                            <w:color w:val="FFFFFF"/>
                            <w:sz w:val="32"/>
                            <w:szCs w:val="32"/>
                          </w:rPr>
                          <w:t>Fall</w:t>
                        </w:r>
                      </w:p>
                    </w:txbxContent>
                  </v:textbox>
                </v:shape>
              </v:group>
            </w:pict>
          </mc:Fallback>
        </mc:AlternateContent>
      </w:r>
    </w:p>
    <w:p w14:paraId="3D65BFA1" w14:textId="14976C79" w:rsidR="001220E4" w:rsidRPr="00CC1ADD" w:rsidRDefault="001220E4" w:rsidP="005A25A2">
      <w:pPr>
        <w:pStyle w:val="mpctitle1"/>
        <w:spacing w:before="1440"/>
        <w:rPr>
          <w:lang w:val="en-AU"/>
        </w:rPr>
      </w:pPr>
      <w:bookmarkStart w:id="2" w:name="_Toc438649428"/>
      <w:r w:rsidRPr="00CC1ADD">
        <w:rPr>
          <w:lang w:val="en-AU"/>
        </w:rPr>
        <w:t>DRAFT</w:t>
      </w:r>
    </w:p>
    <w:p w14:paraId="03754E0C" w14:textId="027DD379" w:rsidR="001220E4" w:rsidRPr="00CC1ADD" w:rsidRDefault="001220E4" w:rsidP="005A25A2">
      <w:pPr>
        <w:pStyle w:val="mpctitle1"/>
        <w:spacing w:before="1440"/>
        <w:rPr>
          <w:b/>
          <w:lang w:val="en-AU"/>
        </w:rPr>
      </w:pPr>
      <w:r w:rsidRPr="00CC1ADD">
        <w:rPr>
          <w:lang w:val="en-AU"/>
        </w:rPr>
        <w:t>Health Star Rating System</w:t>
      </w:r>
    </w:p>
    <w:p w14:paraId="463FCB92" w14:textId="77777777" w:rsidR="001220E4" w:rsidRPr="00CC1ADD" w:rsidRDefault="001220E4" w:rsidP="005A25A2">
      <w:pPr>
        <w:pStyle w:val="mpctitle1"/>
        <w:rPr>
          <w:b/>
          <w:lang w:val="en-AU"/>
        </w:rPr>
      </w:pPr>
      <w:r w:rsidRPr="00CC1ADD">
        <w:rPr>
          <w:lang w:val="en-AU"/>
        </w:rPr>
        <w:t>Five Year Review Report</w:t>
      </w:r>
    </w:p>
    <w:p w14:paraId="18717622" w14:textId="20F47EB1" w:rsidR="001220E4" w:rsidRPr="00CC1ADD" w:rsidRDefault="001220E4" w:rsidP="00B06350">
      <w:pPr>
        <w:pStyle w:val="mpctitle2"/>
        <w:spacing w:line="240" w:lineRule="auto"/>
        <w:rPr>
          <w:lang w:val="en-AU"/>
        </w:rPr>
      </w:pPr>
      <w:r w:rsidRPr="00CC1ADD">
        <w:rPr>
          <w:lang w:val="en-AU"/>
        </w:rPr>
        <w:br/>
      </w:r>
      <w:r w:rsidR="00862FD6" w:rsidRPr="00CC1ADD">
        <w:rPr>
          <w:lang w:val="en-AU"/>
        </w:rPr>
        <w:t xml:space="preserve">February </w:t>
      </w:r>
      <w:bookmarkEnd w:id="2"/>
      <w:r w:rsidR="00CE34EA" w:rsidRPr="00CC1ADD">
        <w:rPr>
          <w:lang w:val="en-AU"/>
        </w:rPr>
        <w:t>2019</w:t>
      </w:r>
    </w:p>
    <w:p w14:paraId="728C35BA" w14:textId="07F62280" w:rsidR="001220E4" w:rsidRPr="00CC1ADD" w:rsidRDefault="001220E4" w:rsidP="005A3631">
      <w:pPr>
        <w:ind w:left="284"/>
        <w:rPr>
          <w:lang w:eastAsia="ja-JP"/>
        </w:rPr>
      </w:pPr>
      <w:r w:rsidRPr="00CC1ADD">
        <w:rPr>
          <w:noProof/>
          <w:lang w:eastAsia="en-AU"/>
        </w:rPr>
        <w:drawing>
          <wp:inline distT="0" distB="0" distL="0" distR="0" wp14:anchorId="08964904" wp14:editId="39964F7B">
            <wp:extent cx="2223135" cy="389652"/>
            <wp:effectExtent l="0" t="0" r="0" b="0"/>
            <wp:docPr id="6" name="Picture 6" descr="mpconsulting 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pc-logo-white.png"/>
                    <pic:cNvPicPr/>
                  </pic:nvPicPr>
                  <pic:blipFill>
                    <a:blip r:embed="rId8" cstate="email">
                      <a:extLst>
                        <a:ext uri="{28A0092B-C50C-407E-A947-70E740481C1C}">
                          <a14:useLocalDpi xmlns:a14="http://schemas.microsoft.com/office/drawing/2010/main"/>
                        </a:ext>
                      </a:extLst>
                    </a:blip>
                    <a:stretch>
                      <a:fillRect/>
                    </a:stretch>
                  </pic:blipFill>
                  <pic:spPr>
                    <a:xfrm>
                      <a:off x="0" y="0"/>
                      <a:ext cx="2223135" cy="389652"/>
                    </a:xfrm>
                    <a:prstGeom prst="rect">
                      <a:avLst/>
                    </a:prstGeom>
                  </pic:spPr>
                </pic:pic>
              </a:graphicData>
            </a:graphic>
          </wp:inline>
        </w:drawing>
      </w:r>
    </w:p>
    <w:p w14:paraId="2A0EB0CE" w14:textId="77777777" w:rsidR="00037EC7" w:rsidRPr="00CC1ADD" w:rsidRDefault="00037EC7" w:rsidP="005A3631"/>
    <w:p w14:paraId="10A19C51" w14:textId="77777777" w:rsidR="00037EC7" w:rsidRPr="00CC1ADD" w:rsidRDefault="00037EC7">
      <w:pPr>
        <w:sectPr w:rsidR="00037EC7" w:rsidRPr="00CC1ADD" w:rsidSect="00A6237D">
          <w:pgSz w:w="11900" w:h="16840"/>
          <w:pgMar w:top="1440" w:right="1080" w:bottom="1440" w:left="1080" w:header="709" w:footer="709" w:gutter="0"/>
          <w:cols w:space="708"/>
          <w:docGrid w:linePitch="360"/>
        </w:sectPr>
      </w:pPr>
    </w:p>
    <w:p w14:paraId="1C637ED7" w14:textId="77777777" w:rsidR="00C41380" w:rsidRPr="00CC1ADD" w:rsidRDefault="00C41380" w:rsidP="00B06350">
      <w:pPr>
        <w:pStyle w:val="mpcheading1"/>
      </w:pPr>
      <w:bookmarkStart w:id="3" w:name="Table_of_Contents"/>
      <w:bookmarkStart w:id="4" w:name="_Toc1746470"/>
      <w:bookmarkEnd w:id="3"/>
      <w:r w:rsidRPr="00CC1ADD">
        <w:lastRenderedPageBreak/>
        <w:t>Table of Contents</w:t>
      </w:r>
      <w:bookmarkEnd w:id="4"/>
    </w:p>
    <w:bookmarkStart w:id="5" w:name="_Toc450649510"/>
    <w:p w14:paraId="7896C133" w14:textId="07EF975A" w:rsidR="00A97C97" w:rsidRDefault="00A27699">
      <w:pPr>
        <w:pStyle w:val="TOC1"/>
        <w:rPr>
          <w:rFonts w:eastAsiaTheme="minorEastAsia"/>
          <w:b w:val="0"/>
          <w:bCs w:val="0"/>
          <w:noProof/>
        </w:rPr>
      </w:pPr>
      <w:r w:rsidRPr="00CC1ADD">
        <w:rPr>
          <w:rFonts w:cstheme="minorHAnsi"/>
          <w:sz w:val="21"/>
        </w:rPr>
        <w:fldChar w:fldCharType="begin"/>
      </w:r>
      <w:r w:rsidRPr="00CC1ADD">
        <w:rPr>
          <w:rFonts w:cstheme="minorHAnsi"/>
          <w:sz w:val="21"/>
        </w:rPr>
        <w:instrText xml:space="preserve"> TOC \t "mpc heading 1,1,mpc heading 2,2</w:instrText>
      </w:r>
      <w:r w:rsidR="005235DE" w:rsidRPr="00CC1ADD">
        <w:rPr>
          <w:rFonts w:cstheme="minorHAnsi"/>
          <w:sz w:val="21"/>
        </w:rPr>
        <w:instrText xml:space="preserve"> </w:instrText>
      </w:r>
      <w:r w:rsidRPr="00CC1ADD">
        <w:rPr>
          <w:rFonts w:cstheme="minorHAnsi"/>
          <w:sz w:val="21"/>
        </w:rPr>
        <w:instrText xml:space="preserve">" </w:instrText>
      </w:r>
      <w:r w:rsidRPr="00CC1ADD">
        <w:rPr>
          <w:rFonts w:cstheme="minorHAnsi"/>
          <w:sz w:val="21"/>
        </w:rPr>
        <w:fldChar w:fldCharType="separate"/>
      </w:r>
      <w:r w:rsidR="00A97C97">
        <w:rPr>
          <w:noProof/>
        </w:rPr>
        <w:t>Table of Contents</w:t>
      </w:r>
      <w:r w:rsidR="00A97C97">
        <w:rPr>
          <w:noProof/>
        </w:rPr>
        <w:tab/>
      </w:r>
      <w:r w:rsidR="00A97C97">
        <w:rPr>
          <w:noProof/>
        </w:rPr>
        <w:fldChar w:fldCharType="begin"/>
      </w:r>
      <w:r w:rsidR="00A97C97">
        <w:rPr>
          <w:noProof/>
        </w:rPr>
        <w:instrText xml:space="preserve"> PAGEREF _Toc1746470 \h </w:instrText>
      </w:r>
      <w:r w:rsidR="00A97C97">
        <w:rPr>
          <w:noProof/>
        </w:rPr>
      </w:r>
      <w:r w:rsidR="00A97C97">
        <w:rPr>
          <w:noProof/>
        </w:rPr>
        <w:fldChar w:fldCharType="separate"/>
      </w:r>
      <w:r w:rsidR="00A97C97">
        <w:rPr>
          <w:noProof/>
        </w:rPr>
        <w:t>2</w:t>
      </w:r>
      <w:r w:rsidR="00A97C97">
        <w:rPr>
          <w:noProof/>
        </w:rPr>
        <w:fldChar w:fldCharType="end"/>
      </w:r>
    </w:p>
    <w:p w14:paraId="4A7EB584" w14:textId="06A1064C" w:rsidR="00A97C97" w:rsidRDefault="00A97C97">
      <w:pPr>
        <w:pStyle w:val="TOC1"/>
        <w:rPr>
          <w:rFonts w:eastAsiaTheme="minorEastAsia"/>
          <w:b w:val="0"/>
          <w:bCs w:val="0"/>
          <w:noProof/>
        </w:rPr>
      </w:pPr>
      <w:r>
        <w:rPr>
          <w:noProof/>
        </w:rPr>
        <w:t>Executive Summary</w:t>
      </w:r>
      <w:r>
        <w:rPr>
          <w:noProof/>
        </w:rPr>
        <w:tab/>
      </w:r>
      <w:r>
        <w:rPr>
          <w:noProof/>
        </w:rPr>
        <w:fldChar w:fldCharType="begin"/>
      </w:r>
      <w:r>
        <w:rPr>
          <w:noProof/>
        </w:rPr>
        <w:instrText xml:space="preserve"> PAGEREF _Toc1746471 \h </w:instrText>
      </w:r>
      <w:r>
        <w:rPr>
          <w:noProof/>
        </w:rPr>
      </w:r>
      <w:r>
        <w:rPr>
          <w:noProof/>
        </w:rPr>
        <w:fldChar w:fldCharType="separate"/>
      </w:r>
      <w:r>
        <w:rPr>
          <w:noProof/>
        </w:rPr>
        <w:t>4</w:t>
      </w:r>
      <w:r>
        <w:rPr>
          <w:noProof/>
        </w:rPr>
        <w:fldChar w:fldCharType="end"/>
      </w:r>
    </w:p>
    <w:p w14:paraId="7A0669AF" w14:textId="2135CB7A" w:rsidR="00A97C97" w:rsidRDefault="00A97C97">
      <w:pPr>
        <w:pStyle w:val="TOC1"/>
        <w:rPr>
          <w:rFonts w:eastAsiaTheme="minorEastAsia"/>
          <w:b w:val="0"/>
          <w:bCs w:val="0"/>
          <w:noProof/>
        </w:rPr>
      </w:pPr>
      <w:r>
        <w:rPr>
          <w:noProof/>
        </w:rPr>
        <w:t>Recommendations</w:t>
      </w:r>
      <w:r>
        <w:rPr>
          <w:noProof/>
        </w:rPr>
        <w:tab/>
      </w:r>
      <w:r>
        <w:rPr>
          <w:noProof/>
        </w:rPr>
        <w:fldChar w:fldCharType="begin"/>
      </w:r>
      <w:r>
        <w:rPr>
          <w:noProof/>
        </w:rPr>
        <w:instrText xml:space="preserve"> PAGEREF _Toc1746472 \h </w:instrText>
      </w:r>
      <w:r>
        <w:rPr>
          <w:noProof/>
        </w:rPr>
      </w:r>
      <w:r>
        <w:rPr>
          <w:noProof/>
        </w:rPr>
        <w:fldChar w:fldCharType="separate"/>
      </w:r>
      <w:r>
        <w:rPr>
          <w:noProof/>
        </w:rPr>
        <w:t>6</w:t>
      </w:r>
      <w:r>
        <w:rPr>
          <w:noProof/>
        </w:rPr>
        <w:fldChar w:fldCharType="end"/>
      </w:r>
    </w:p>
    <w:p w14:paraId="63114B85" w14:textId="29F849A7" w:rsidR="00A97C97" w:rsidRDefault="00A97C97">
      <w:pPr>
        <w:pStyle w:val="TOC1"/>
        <w:rPr>
          <w:rFonts w:eastAsiaTheme="minorEastAsia"/>
          <w:b w:val="0"/>
          <w:bCs w:val="0"/>
          <w:noProof/>
        </w:rPr>
      </w:pPr>
      <w:r>
        <w:rPr>
          <w:noProof/>
        </w:rPr>
        <w:t>Chapter 1 – About the Health Star Rating System</w:t>
      </w:r>
      <w:r>
        <w:rPr>
          <w:noProof/>
        </w:rPr>
        <w:tab/>
      </w:r>
      <w:r>
        <w:rPr>
          <w:noProof/>
        </w:rPr>
        <w:fldChar w:fldCharType="begin"/>
      </w:r>
      <w:r>
        <w:rPr>
          <w:noProof/>
        </w:rPr>
        <w:instrText xml:space="preserve"> PAGEREF _Toc1746473 \h </w:instrText>
      </w:r>
      <w:r>
        <w:rPr>
          <w:noProof/>
        </w:rPr>
      </w:r>
      <w:r>
        <w:rPr>
          <w:noProof/>
        </w:rPr>
        <w:fldChar w:fldCharType="separate"/>
      </w:r>
      <w:r>
        <w:rPr>
          <w:noProof/>
        </w:rPr>
        <w:t>10</w:t>
      </w:r>
      <w:r>
        <w:rPr>
          <w:noProof/>
        </w:rPr>
        <w:fldChar w:fldCharType="end"/>
      </w:r>
    </w:p>
    <w:p w14:paraId="298B0B5A" w14:textId="4D6B15DE" w:rsidR="00A97C97" w:rsidRDefault="00A97C97">
      <w:pPr>
        <w:pStyle w:val="TOC2"/>
        <w:rPr>
          <w:rFonts w:eastAsiaTheme="minorEastAsia" w:cstheme="minorBidi"/>
          <w:bCs w:val="0"/>
          <w:sz w:val="24"/>
          <w:szCs w:val="24"/>
        </w:rPr>
      </w:pPr>
      <w:r w:rsidRPr="006B4330">
        <w:t>Development of the HSR System</w:t>
      </w:r>
      <w:r>
        <w:tab/>
      </w:r>
      <w:r>
        <w:fldChar w:fldCharType="begin"/>
      </w:r>
      <w:r>
        <w:instrText xml:space="preserve"> PAGEREF _Toc1746474 \h </w:instrText>
      </w:r>
      <w:r>
        <w:fldChar w:fldCharType="separate"/>
      </w:r>
      <w:r>
        <w:t>10</w:t>
      </w:r>
      <w:r>
        <w:fldChar w:fldCharType="end"/>
      </w:r>
    </w:p>
    <w:p w14:paraId="563F53F6" w14:textId="0BCE5D95" w:rsidR="00A97C97" w:rsidRDefault="00A97C97">
      <w:pPr>
        <w:pStyle w:val="TOC2"/>
        <w:rPr>
          <w:rFonts w:eastAsiaTheme="minorEastAsia" w:cstheme="minorBidi"/>
          <w:bCs w:val="0"/>
          <w:sz w:val="24"/>
          <w:szCs w:val="24"/>
        </w:rPr>
      </w:pPr>
      <w:r w:rsidRPr="006B4330">
        <w:t>The HSR graphic</w:t>
      </w:r>
      <w:r>
        <w:tab/>
      </w:r>
      <w:r>
        <w:fldChar w:fldCharType="begin"/>
      </w:r>
      <w:r>
        <w:instrText xml:space="preserve"> PAGEREF _Toc1746475 \h </w:instrText>
      </w:r>
      <w:r>
        <w:fldChar w:fldCharType="separate"/>
      </w:r>
      <w:r>
        <w:t>11</w:t>
      </w:r>
      <w:r>
        <w:fldChar w:fldCharType="end"/>
      </w:r>
    </w:p>
    <w:p w14:paraId="5684DD28" w14:textId="5CF55957" w:rsidR="00A97C97" w:rsidRDefault="00A97C97">
      <w:pPr>
        <w:pStyle w:val="TOC2"/>
        <w:rPr>
          <w:rFonts w:eastAsiaTheme="minorEastAsia" w:cstheme="minorBidi"/>
          <w:bCs w:val="0"/>
          <w:sz w:val="24"/>
          <w:szCs w:val="24"/>
        </w:rPr>
      </w:pPr>
      <w:r w:rsidRPr="006B4330">
        <w:t>Calculating the HSR</w:t>
      </w:r>
      <w:r>
        <w:tab/>
      </w:r>
      <w:r>
        <w:fldChar w:fldCharType="begin"/>
      </w:r>
      <w:r>
        <w:instrText xml:space="preserve"> PAGEREF _Toc1746476 \h </w:instrText>
      </w:r>
      <w:r>
        <w:fldChar w:fldCharType="separate"/>
      </w:r>
      <w:r>
        <w:t>11</w:t>
      </w:r>
      <w:r>
        <w:fldChar w:fldCharType="end"/>
      </w:r>
    </w:p>
    <w:p w14:paraId="42252ABD" w14:textId="7F35CE2A" w:rsidR="00A97C97" w:rsidRDefault="00A97C97">
      <w:pPr>
        <w:pStyle w:val="TOC2"/>
        <w:rPr>
          <w:rFonts w:eastAsiaTheme="minorEastAsia" w:cstheme="minorBidi"/>
          <w:bCs w:val="0"/>
          <w:sz w:val="24"/>
          <w:szCs w:val="24"/>
        </w:rPr>
      </w:pPr>
      <w:r w:rsidRPr="006B4330">
        <w:t>Products expected to display the HSR</w:t>
      </w:r>
      <w:r>
        <w:tab/>
      </w:r>
      <w:r>
        <w:fldChar w:fldCharType="begin"/>
      </w:r>
      <w:r>
        <w:instrText xml:space="preserve"> PAGEREF _Toc1746477 \h </w:instrText>
      </w:r>
      <w:r>
        <w:fldChar w:fldCharType="separate"/>
      </w:r>
      <w:r>
        <w:t>13</w:t>
      </w:r>
      <w:r>
        <w:fldChar w:fldCharType="end"/>
      </w:r>
    </w:p>
    <w:p w14:paraId="26E55B05" w14:textId="6E10A81F" w:rsidR="00A97C97" w:rsidRDefault="00A97C97">
      <w:pPr>
        <w:pStyle w:val="TOC2"/>
        <w:rPr>
          <w:rFonts w:eastAsiaTheme="minorEastAsia" w:cstheme="minorBidi"/>
          <w:bCs w:val="0"/>
          <w:sz w:val="24"/>
          <w:szCs w:val="24"/>
        </w:rPr>
      </w:pPr>
      <w:r w:rsidRPr="006B4330">
        <w:t>Governance of the HSR System</w:t>
      </w:r>
      <w:r>
        <w:tab/>
      </w:r>
      <w:r>
        <w:fldChar w:fldCharType="begin"/>
      </w:r>
      <w:r>
        <w:instrText xml:space="preserve"> PAGEREF _Toc1746478 \h </w:instrText>
      </w:r>
      <w:r>
        <w:fldChar w:fldCharType="separate"/>
      </w:r>
      <w:r>
        <w:t>13</w:t>
      </w:r>
      <w:r>
        <w:fldChar w:fldCharType="end"/>
      </w:r>
    </w:p>
    <w:p w14:paraId="47E197CC" w14:textId="41F2B472" w:rsidR="00A97C97" w:rsidRDefault="00A97C97">
      <w:pPr>
        <w:pStyle w:val="TOC2"/>
        <w:rPr>
          <w:rFonts w:eastAsiaTheme="minorEastAsia" w:cstheme="minorBidi"/>
          <w:bCs w:val="0"/>
          <w:sz w:val="24"/>
          <w:szCs w:val="24"/>
        </w:rPr>
      </w:pPr>
      <w:r w:rsidRPr="006B4330">
        <w:t>Monitoring of the HSR System</w:t>
      </w:r>
      <w:r>
        <w:tab/>
      </w:r>
      <w:r>
        <w:fldChar w:fldCharType="begin"/>
      </w:r>
      <w:r>
        <w:instrText xml:space="preserve"> PAGEREF _Toc1746479 \h </w:instrText>
      </w:r>
      <w:r>
        <w:fldChar w:fldCharType="separate"/>
      </w:r>
      <w:r>
        <w:t>16</w:t>
      </w:r>
      <w:r>
        <w:fldChar w:fldCharType="end"/>
      </w:r>
    </w:p>
    <w:p w14:paraId="348943CD" w14:textId="2B094E4A" w:rsidR="00A97C97" w:rsidRDefault="00A97C97">
      <w:pPr>
        <w:pStyle w:val="TOC1"/>
        <w:rPr>
          <w:rFonts w:eastAsiaTheme="minorEastAsia"/>
          <w:b w:val="0"/>
          <w:bCs w:val="0"/>
          <w:noProof/>
        </w:rPr>
      </w:pPr>
      <w:r>
        <w:rPr>
          <w:noProof/>
        </w:rPr>
        <w:t>Chapter 2 – About the Five Year Review</w:t>
      </w:r>
      <w:r>
        <w:rPr>
          <w:noProof/>
        </w:rPr>
        <w:tab/>
      </w:r>
      <w:r>
        <w:rPr>
          <w:noProof/>
        </w:rPr>
        <w:fldChar w:fldCharType="begin"/>
      </w:r>
      <w:r>
        <w:rPr>
          <w:noProof/>
        </w:rPr>
        <w:instrText xml:space="preserve"> PAGEREF _Toc1746480 \h </w:instrText>
      </w:r>
      <w:r>
        <w:rPr>
          <w:noProof/>
        </w:rPr>
      </w:r>
      <w:r>
        <w:rPr>
          <w:noProof/>
        </w:rPr>
        <w:fldChar w:fldCharType="separate"/>
      </w:r>
      <w:r>
        <w:rPr>
          <w:noProof/>
        </w:rPr>
        <w:t>18</w:t>
      </w:r>
      <w:r>
        <w:rPr>
          <w:noProof/>
        </w:rPr>
        <w:fldChar w:fldCharType="end"/>
      </w:r>
    </w:p>
    <w:p w14:paraId="10FAEF62" w14:textId="1D0EC3F3" w:rsidR="00A97C97" w:rsidRDefault="00A97C97">
      <w:pPr>
        <w:pStyle w:val="TOC2"/>
        <w:rPr>
          <w:rFonts w:eastAsiaTheme="minorEastAsia" w:cstheme="minorBidi"/>
          <w:bCs w:val="0"/>
          <w:sz w:val="24"/>
          <w:szCs w:val="24"/>
        </w:rPr>
      </w:pPr>
      <w:r w:rsidRPr="006B4330">
        <w:t>Purpose of the Five Year Review</w:t>
      </w:r>
      <w:r>
        <w:tab/>
      </w:r>
      <w:r>
        <w:fldChar w:fldCharType="begin"/>
      </w:r>
      <w:r>
        <w:instrText xml:space="preserve"> PAGEREF _Toc1746481 \h </w:instrText>
      </w:r>
      <w:r>
        <w:fldChar w:fldCharType="separate"/>
      </w:r>
      <w:r>
        <w:t>18</w:t>
      </w:r>
      <w:r>
        <w:fldChar w:fldCharType="end"/>
      </w:r>
    </w:p>
    <w:p w14:paraId="05BE4943" w14:textId="34A6F683" w:rsidR="00A97C97" w:rsidRDefault="00A97C97">
      <w:pPr>
        <w:pStyle w:val="TOC2"/>
        <w:rPr>
          <w:rFonts w:eastAsiaTheme="minorEastAsia" w:cstheme="minorBidi"/>
          <w:bCs w:val="0"/>
          <w:sz w:val="24"/>
          <w:szCs w:val="24"/>
        </w:rPr>
      </w:pPr>
      <w:r w:rsidRPr="006B4330">
        <w:t>Five Year Review Process</w:t>
      </w:r>
      <w:r>
        <w:tab/>
      </w:r>
      <w:r>
        <w:fldChar w:fldCharType="begin"/>
      </w:r>
      <w:r>
        <w:instrText xml:space="preserve"> PAGEREF _Toc1746482 \h </w:instrText>
      </w:r>
      <w:r>
        <w:fldChar w:fldCharType="separate"/>
      </w:r>
      <w:r>
        <w:t>18</w:t>
      </w:r>
      <w:r>
        <w:fldChar w:fldCharType="end"/>
      </w:r>
    </w:p>
    <w:p w14:paraId="700D4DD4" w14:textId="7A47FC8D" w:rsidR="00A97C97" w:rsidRDefault="00A97C97">
      <w:pPr>
        <w:pStyle w:val="TOC2"/>
        <w:rPr>
          <w:rFonts w:eastAsiaTheme="minorEastAsia" w:cstheme="minorBidi"/>
          <w:bCs w:val="0"/>
          <w:sz w:val="24"/>
          <w:szCs w:val="24"/>
        </w:rPr>
      </w:pPr>
      <w:r w:rsidRPr="006B4330">
        <w:t>Principles guiding the Five Year Review</w:t>
      </w:r>
      <w:r>
        <w:tab/>
      </w:r>
      <w:r>
        <w:fldChar w:fldCharType="begin"/>
      </w:r>
      <w:r>
        <w:instrText xml:space="preserve"> PAGEREF _Toc1746483 \h </w:instrText>
      </w:r>
      <w:r>
        <w:fldChar w:fldCharType="separate"/>
      </w:r>
      <w:r>
        <w:t>19</w:t>
      </w:r>
      <w:r>
        <w:fldChar w:fldCharType="end"/>
      </w:r>
    </w:p>
    <w:p w14:paraId="496FAA96" w14:textId="6513E8BC" w:rsidR="00A97C97" w:rsidRDefault="00A97C97">
      <w:pPr>
        <w:pStyle w:val="TOC2"/>
        <w:rPr>
          <w:rFonts w:eastAsiaTheme="minorEastAsia" w:cstheme="minorBidi"/>
          <w:bCs w:val="0"/>
          <w:sz w:val="24"/>
          <w:szCs w:val="24"/>
        </w:rPr>
      </w:pPr>
      <w:r>
        <w:t>Important note</w:t>
      </w:r>
      <w:r>
        <w:tab/>
      </w:r>
      <w:r>
        <w:fldChar w:fldCharType="begin"/>
      </w:r>
      <w:r>
        <w:instrText xml:space="preserve"> PAGEREF _Toc1746484 \h </w:instrText>
      </w:r>
      <w:r>
        <w:fldChar w:fldCharType="separate"/>
      </w:r>
      <w:r>
        <w:t>20</w:t>
      </w:r>
      <w:r>
        <w:fldChar w:fldCharType="end"/>
      </w:r>
    </w:p>
    <w:p w14:paraId="5BF01DF9" w14:textId="4C571A5E" w:rsidR="00A97C97" w:rsidRDefault="00A97C97">
      <w:pPr>
        <w:pStyle w:val="TOC1"/>
        <w:rPr>
          <w:rFonts w:eastAsiaTheme="minorEastAsia"/>
          <w:b w:val="0"/>
          <w:bCs w:val="0"/>
          <w:noProof/>
        </w:rPr>
      </w:pPr>
      <w:r>
        <w:rPr>
          <w:noProof/>
        </w:rPr>
        <w:t>Chapter 3 – Impact of the Health Star Rating System</w:t>
      </w:r>
      <w:r>
        <w:rPr>
          <w:noProof/>
        </w:rPr>
        <w:tab/>
      </w:r>
      <w:r>
        <w:rPr>
          <w:noProof/>
        </w:rPr>
        <w:fldChar w:fldCharType="begin"/>
      </w:r>
      <w:r>
        <w:rPr>
          <w:noProof/>
        </w:rPr>
        <w:instrText xml:space="preserve"> PAGEREF _Toc1746485 \h </w:instrText>
      </w:r>
      <w:r>
        <w:rPr>
          <w:noProof/>
        </w:rPr>
      </w:r>
      <w:r>
        <w:rPr>
          <w:noProof/>
        </w:rPr>
        <w:fldChar w:fldCharType="separate"/>
      </w:r>
      <w:r>
        <w:rPr>
          <w:noProof/>
        </w:rPr>
        <w:t>21</w:t>
      </w:r>
      <w:r>
        <w:rPr>
          <w:noProof/>
        </w:rPr>
        <w:fldChar w:fldCharType="end"/>
      </w:r>
    </w:p>
    <w:p w14:paraId="25BABF5D" w14:textId="44E7A178" w:rsidR="00A97C97" w:rsidRDefault="00A97C97">
      <w:pPr>
        <w:pStyle w:val="TOC2"/>
        <w:rPr>
          <w:rFonts w:eastAsiaTheme="minorEastAsia" w:cstheme="minorBidi"/>
          <w:bCs w:val="0"/>
          <w:sz w:val="24"/>
          <w:szCs w:val="24"/>
        </w:rPr>
      </w:pPr>
      <w:r>
        <w:t>Summary</w:t>
      </w:r>
      <w:r>
        <w:tab/>
      </w:r>
      <w:r>
        <w:fldChar w:fldCharType="begin"/>
      </w:r>
      <w:r>
        <w:instrText xml:space="preserve"> PAGEREF _Toc1746486 \h </w:instrText>
      </w:r>
      <w:r>
        <w:fldChar w:fldCharType="separate"/>
      </w:r>
      <w:r>
        <w:t>21</w:t>
      </w:r>
      <w:r>
        <w:fldChar w:fldCharType="end"/>
      </w:r>
    </w:p>
    <w:p w14:paraId="084C0777" w14:textId="17C7AFBE" w:rsidR="00A97C97" w:rsidRDefault="00A97C97">
      <w:pPr>
        <w:pStyle w:val="TOC2"/>
        <w:rPr>
          <w:rFonts w:eastAsiaTheme="minorEastAsia" w:cstheme="minorBidi"/>
          <w:bCs w:val="0"/>
          <w:sz w:val="24"/>
          <w:szCs w:val="24"/>
        </w:rPr>
      </w:pPr>
      <w:r>
        <w:t>Uptake of the HSR and consistency with the HSR System guidance</w:t>
      </w:r>
      <w:r>
        <w:tab/>
      </w:r>
      <w:r>
        <w:fldChar w:fldCharType="begin"/>
      </w:r>
      <w:r>
        <w:instrText xml:space="preserve"> PAGEREF _Toc1746487 \h </w:instrText>
      </w:r>
      <w:r>
        <w:fldChar w:fldCharType="separate"/>
      </w:r>
      <w:r>
        <w:t>23</w:t>
      </w:r>
      <w:r>
        <w:fldChar w:fldCharType="end"/>
      </w:r>
    </w:p>
    <w:p w14:paraId="67C707F1" w14:textId="39602CF0" w:rsidR="00A97C97" w:rsidRDefault="00A97C97">
      <w:pPr>
        <w:pStyle w:val="TOC2"/>
        <w:rPr>
          <w:rFonts w:eastAsiaTheme="minorEastAsia" w:cstheme="minorBidi"/>
          <w:bCs w:val="0"/>
          <w:sz w:val="24"/>
          <w:szCs w:val="24"/>
        </w:rPr>
      </w:pPr>
      <w:r w:rsidRPr="006B4330">
        <w:t>Consumer awareness and ability to use the HSR System correctly</w:t>
      </w:r>
      <w:r>
        <w:tab/>
      </w:r>
      <w:r>
        <w:fldChar w:fldCharType="begin"/>
      </w:r>
      <w:r>
        <w:instrText xml:space="preserve"> PAGEREF _Toc1746488 \h </w:instrText>
      </w:r>
      <w:r>
        <w:fldChar w:fldCharType="separate"/>
      </w:r>
      <w:r>
        <w:t>25</w:t>
      </w:r>
      <w:r>
        <w:fldChar w:fldCharType="end"/>
      </w:r>
    </w:p>
    <w:p w14:paraId="59888CBB" w14:textId="293D4C0C" w:rsidR="00A97C97" w:rsidRDefault="00A97C97">
      <w:pPr>
        <w:pStyle w:val="TOC2"/>
        <w:rPr>
          <w:rFonts w:eastAsiaTheme="minorEastAsia" w:cstheme="minorBidi"/>
          <w:bCs w:val="0"/>
          <w:sz w:val="24"/>
          <w:szCs w:val="24"/>
        </w:rPr>
      </w:pPr>
      <w:r w:rsidRPr="006B4330">
        <w:t>Reformulation</w:t>
      </w:r>
      <w:r>
        <w:tab/>
      </w:r>
      <w:r>
        <w:fldChar w:fldCharType="begin"/>
      </w:r>
      <w:r>
        <w:instrText xml:space="preserve"> PAGEREF _Toc1746489 \h </w:instrText>
      </w:r>
      <w:r>
        <w:fldChar w:fldCharType="separate"/>
      </w:r>
      <w:r>
        <w:t>28</w:t>
      </w:r>
      <w:r>
        <w:fldChar w:fldCharType="end"/>
      </w:r>
    </w:p>
    <w:p w14:paraId="668BB627" w14:textId="3BEC694D" w:rsidR="00A97C97" w:rsidRDefault="00A97C97">
      <w:pPr>
        <w:pStyle w:val="TOC2"/>
        <w:rPr>
          <w:rFonts w:eastAsiaTheme="minorEastAsia" w:cstheme="minorBidi"/>
          <w:bCs w:val="0"/>
          <w:sz w:val="24"/>
          <w:szCs w:val="24"/>
        </w:rPr>
      </w:pPr>
      <w:r w:rsidRPr="006B4330">
        <w:t>Alignment with Dietary Guidelines</w:t>
      </w:r>
      <w:r>
        <w:tab/>
      </w:r>
      <w:r>
        <w:fldChar w:fldCharType="begin"/>
      </w:r>
      <w:r>
        <w:instrText xml:space="preserve"> PAGEREF _Toc1746490 \h </w:instrText>
      </w:r>
      <w:r>
        <w:fldChar w:fldCharType="separate"/>
      </w:r>
      <w:r>
        <w:t>29</w:t>
      </w:r>
      <w:r>
        <w:fldChar w:fldCharType="end"/>
      </w:r>
    </w:p>
    <w:p w14:paraId="18D7D64E" w14:textId="4B68F807" w:rsidR="00A97C97" w:rsidRDefault="00A97C97">
      <w:pPr>
        <w:pStyle w:val="TOC2"/>
        <w:rPr>
          <w:rFonts w:eastAsiaTheme="minorEastAsia" w:cstheme="minorBidi"/>
          <w:bCs w:val="0"/>
          <w:sz w:val="24"/>
          <w:szCs w:val="24"/>
        </w:rPr>
      </w:pPr>
      <w:r>
        <w:t>HSR System graphics</w:t>
      </w:r>
      <w:r>
        <w:tab/>
      </w:r>
      <w:r>
        <w:fldChar w:fldCharType="begin"/>
      </w:r>
      <w:r>
        <w:instrText xml:space="preserve"> PAGEREF _Toc1746491 \h </w:instrText>
      </w:r>
      <w:r>
        <w:fldChar w:fldCharType="separate"/>
      </w:r>
      <w:r>
        <w:t>31</w:t>
      </w:r>
      <w:r>
        <w:fldChar w:fldCharType="end"/>
      </w:r>
    </w:p>
    <w:p w14:paraId="2B452389" w14:textId="733E44C0" w:rsidR="00A97C97" w:rsidRDefault="00A97C97">
      <w:pPr>
        <w:pStyle w:val="TOC1"/>
        <w:rPr>
          <w:rFonts w:eastAsiaTheme="minorEastAsia"/>
          <w:b w:val="0"/>
          <w:bCs w:val="0"/>
          <w:noProof/>
        </w:rPr>
      </w:pPr>
      <w:r>
        <w:rPr>
          <w:noProof/>
        </w:rPr>
        <w:t>Chapter 4 – Promotion of the Health Star Rating System</w:t>
      </w:r>
      <w:r>
        <w:rPr>
          <w:noProof/>
        </w:rPr>
        <w:tab/>
      </w:r>
      <w:r>
        <w:rPr>
          <w:noProof/>
        </w:rPr>
        <w:fldChar w:fldCharType="begin"/>
      </w:r>
      <w:r>
        <w:rPr>
          <w:noProof/>
        </w:rPr>
        <w:instrText xml:space="preserve"> PAGEREF _Toc1746492 \h </w:instrText>
      </w:r>
      <w:r>
        <w:rPr>
          <w:noProof/>
        </w:rPr>
      </w:r>
      <w:r>
        <w:rPr>
          <w:noProof/>
        </w:rPr>
        <w:fldChar w:fldCharType="separate"/>
      </w:r>
      <w:r>
        <w:rPr>
          <w:noProof/>
        </w:rPr>
        <w:t>36</w:t>
      </w:r>
      <w:r>
        <w:rPr>
          <w:noProof/>
        </w:rPr>
        <w:fldChar w:fldCharType="end"/>
      </w:r>
    </w:p>
    <w:p w14:paraId="16711743" w14:textId="4DD44B16" w:rsidR="00A97C97" w:rsidRDefault="00A97C97">
      <w:pPr>
        <w:pStyle w:val="TOC2"/>
        <w:rPr>
          <w:rFonts w:eastAsiaTheme="minorEastAsia" w:cstheme="minorBidi"/>
          <w:bCs w:val="0"/>
          <w:sz w:val="24"/>
          <w:szCs w:val="24"/>
        </w:rPr>
      </w:pPr>
      <w:r>
        <w:t>Summary</w:t>
      </w:r>
      <w:r>
        <w:tab/>
      </w:r>
      <w:r>
        <w:fldChar w:fldCharType="begin"/>
      </w:r>
      <w:r>
        <w:instrText xml:space="preserve"> PAGEREF _Toc1746493 \h </w:instrText>
      </w:r>
      <w:r>
        <w:fldChar w:fldCharType="separate"/>
      </w:r>
      <w:r>
        <w:t>36</w:t>
      </w:r>
      <w:r>
        <w:fldChar w:fldCharType="end"/>
      </w:r>
    </w:p>
    <w:p w14:paraId="0B962CAD" w14:textId="6B74AC46" w:rsidR="00A97C97" w:rsidRDefault="00A97C97">
      <w:pPr>
        <w:pStyle w:val="TOC2"/>
        <w:rPr>
          <w:rFonts w:eastAsiaTheme="minorEastAsia" w:cstheme="minorBidi"/>
          <w:bCs w:val="0"/>
          <w:sz w:val="24"/>
          <w:szCs w:val="24"/>
        </w:rPr>
      </w:pPr>
      <w:r>
        <w:t>HSR System campaigns</w:t>
      </w:r>
      <w:r>
        <w:tab/>
      </w:r>
      <w:r>
        <w:fldChar w:fldCharType="begin"/>
      </w:r>
      <w:r>
        <w:instrText xml:space="preserve"> PAGEREF _Toc1746494 \h </w:instrText>
      </w:r>
      <w:r>
        <w:fldChar w:fldCharType="separate"/>
      </w:r>
      <w:r>
        <w:t>37</w:t>
      </w:r>
      <w:r>
        <w:fldChar w:fldCharType="end"/>
      </w:r>
    </w:p>
    <w:p w14:paraId="1B3C9954" w14:textId="2E12B99B" w:rsidR="00A97C97" w:rsidRDefault="00A97C97">
      <w:pPr>
        <w:pStyle w:val="TOC2"/>
        <w:rPr>
          <w:rFonts w:eastAsiaTheme="minorEastAsia" w:cstheme="minorBidi"/>
          <w:bCs w:val="0"/>
          <w:sz w:val="24"/>
          <w:szCs w:val="24"/>
        </w:rPr>
      </w:pPr>
      <w:r>
        <w:t>Other promotion of the HSR System</w:t>
      </w:r>
      <w:r>
        <w:tab/>
      </w:r>
      <w:r>
        <w:fldChar w:fldCharType="begin"/>
      </w:r>
      <w:r>
        <w:instrText xml:space="preserve"> PAGEREF _Toc1746495 \h </w:instrText>
      </w:r>
      <w:r>
        <w:fldChar w:fldCharType="separate"/>
      </w:r>
      <w:r>
        <w:t>41</w:t>
      </w:r>
      <w:r>
        <w:fldChar w:fldCharType="end"/>
      </w:r>
    </w:p>
    <w:p w14:paraId="7ED2F2FE" w14:textId="43CC2230" w:rsidR="00A97C97" w:rsidRDefault="00A97C97">
      <w:pPr>
        <w:pStyle w:val="TOC2"/>
        <w:rPr>
          <w:rFonts w:eastAsiaTheme="minorEastAsia" w:cstheme="minorBidi"/>
          <w:bCs w:val="0"/>
          <w:sz w:val="24"/>
          <w:szCs w:val="24"/>
        </w:rPr>
      </w:pPr>
      <w:r>
        <w:t>Complementary initiatives</w:t>
      </w:r>
      <w:r>
        <w:tab/>
      </w:r>
      <w:r>
        <w:fldChar w:fldCharType="begin"/>
      </w:r>
      <w:r>
        <w:instrText xml:space="preserve"> PAGEREF _Toc1746496 \h </w:instrText>
      </w:r>
      <w:r>
        <w:fldChar w:fldCharType="separate"/>
      </w:r>
      <w:r>
        <w:t>41</w:t>
      </w:r>
      <w:r>
        <w:fldChar w:fldCharType="end"/>
      </w:r>
    </w:p>
    <w:p w14:paraId="7DC10569" w14:textId="5C0469FF" w:rsidR="00A97C97" w:rsidRDefault="00A97C97">
      <w:pPr>
        <w:pStyle w:val="TOC2"/>
        <w:rPr>
          <w:rFonts w:eastAsiaTheme="minorEastAsia" w:cstheme="minorBidi"/>
          <w:bCs w:val="0"/>
          <w:sz w:val="24"/>
          <w:szCs w:val="24"/>
        </w:rPr>
      </w:pPr>
      <w:r>
        <w:t>Future promotion</w:t>
      </w:r>
      <w:r>
        <w:tab/>
      </w:r>
      <w:r>
        <w:fldChar w:fldCharType="begin"/>
      </w:r>
      <w:r>
        <w:instrText xml:space="preserve"> PAGEREF _Toc1746497 \h </w:instrText>
      </w:r>
      <w:r>
        <w:fldChar w:fldCharType="separate"/>
      </w:r>
      <w:r>
        <w:t>42</w:t>
      </w:r>
      <w:r>
        <w:fldChar w:fldCharType="end"/>
      </w:r>
    </w:p>
    <w:p w14:paraId="70F9992F" w14:textId="469A217D" w:rsidR="00A97C97" w:rsidRDefault="00A97C97">
      <w:pPr>
        <w:pStyle w:val="TOC1"/>
        <w:rPr>
          <w:rFonts w:eastAsiaTheme="minorEastAsia"/>
          <w:b w:val="0"/>
          <w:bCs w:val="0"/>
          <w:noProof/>
        </w:rPr>
      </w:pPr>
      <w:r>
        <w:rPr>
          <w:noProof/>
        </w:rPr>
        <w:t>Chapter 5 – The Health Star Rating Calculator</w:t>
      </w:r>
      <w:r>
        <w:rPr>
          <w:noProof/>
        </w:rPr>
        <w:tab/>
      </w:r>
      <w:r>
        <w:rPr>
          <w:noProof/>
        </w:rPr>
        <w:fldChar w:fldCharType="begin"/>
      </w:r>
      <w:r>
        <w:rPr>
          <w:noProof/>
        </w:rPr>
        <w:instrText xml:space="preserve"> PAGEREF _Toc1746498 \h </w:instrText>
      </w:r>
      <w:r>
        <w:rPr>
          <w:noProof/>
        </w:rPr>
      </w:r>
      <w:r>
        <w:rPr>
          <w:noProof/>
        </w:rPr>
        <w:fldChar w:fldCharType="separate"/>
      </w:r>
      <w:r>
        <w:rPr>
          <w:noProof/>
        </w:rPr>
        <w:t>44</w:t>
      </w:r>
      <w:r>
        <w:rPr>
          <w:noProof/>
        </w:rPr>
        <w:fldChar w:fldCharType="end"/>
      </w:r>
    </w:p>
    <w:p w14:paraId="32768CA5" w14:textId="716AE939" w:rsidR="00A97C97" w:rsidRDefault="00A97C97">
      <w:pPr>
        <w:pStyle w:val="TOC2"/>
        <w:rPr>
          <w:rFonts w:eastAsiaTheme="minorEastAsia" w:cstheme="minorBidi"/>
          <w:bCs w:val="0"/>
          <w:sz w:val="24"/>
          <w:szCs w:val="24"/>
        </w:rPr>
      </w:pPr>
      <w:r>
        <w:t>Summary</w:t>
      </w:r>
      <w:r>
        <w:tab/>
      </w:r>
      <w:r>
        <w:fldChar w:fldCharType="begin"/>
      </w:r>
      <w:r>
        <w:instrText xml:space="preserve"> PAGEREF _Toc1746499 \h </w:instrText>
      </w:r>
      <w:r>
        <w:fldChar w:fldCharType="separate"/>
      </w:r>
      <w:r>
        <w:t>44</w:t>
      </w:r>
      <w:r>
        <w:fldChar w:fldCharType="end"/>
      </w:r>
    </w:p>
    <w:p w14:paraId="08FE776D" w14:textId="1C55D36F" w:rsidR="00A97C97" w:rsidRDefault="00A97C97">
      <w:pPr>
        <w:pStyle w:val="TOC2"/>
        <w:rPr>
          <w:rFonts w:eastAsiaTheme="minorEastAsia" w:cstheme="minorBidi"/>
          <w:bCs w:val="0"/>
          <w:sz w:val="24"/>
          <w:szCs w:val="24"/>
        </w:rPr>
      </w:pPr>
      <w:r>
        <w:t>The HSR Calculator</w:t>
      </w:r>
      <w:r>
        <w:tab/>
      </w:r>
      <w:r>
        <w:fldChar w:fldCharType="begin"/>
      </w:r>
      <w:r>
        <w:instrText xml:space="preserve"> PAGEREF _Toc1746500 \h </w:instrText>
      </w:r>
      <w:r>
        <w:fldChar w:fldCharType="separate"/>
      </w:r>
      <w:r>
        <w:t>46</w:t>
      </w:r>
      <w:r>
        <w:fldChar w:fldCharType="end"/>
      </w:r>
    </w:p>
    <w:p w14:paraId="25385024" w14:textId="0395E9C7" w:rsidR="00A97C97" w:rsidRDefault="00A97C97">
      <w:pPr>
        <w:pStyle w:val="TOC2"/>
        <w:rPr>
          <w:rFonts w:eastAsiaTheme="minorEastAsia" w:cstheme="minorBidi"/>
          <w:bCs w:val="0"/>
          <w:sz w:val="24"/>
          <w:szCs w:val="24"/>
        </w:rPr>
      </w:pPr>
      <w:r>
        <w:t>Proposed HSR System enhancements</w:t>
      </w:r>
      <w:r>
        <w:tab/>
      </w:r>
      <w:r>
        <w:fldChar w:fldCharType="begin"/>
      </w:r>
      <w:r>
        <w:instrText xml:space="preserve"> PAGEREF _Toc1746501 \h </w:instrText>
      </w:r>
      <w:r>
        <w:fldChar w:fldCharType="separate"/>
      </w:r>
      <w:r>
        <w:t>50</w:t>
      </w:r>
      <w:r>
        <w:fldChar w:fldCharType="end"/>
      </w:r>
    </w:p>
    <w:p w14:paraId="7C6729C0" w14:textId="1DFF5032" w:rsidR="00A97C97" w:rsidRDefault="00A97C97">
      <w:pPr>
        <w:pStyle w:val="TOC2"/>
        <w:rPr>
          <w:rFonts w:eastAsiaTheme="minorEastAsia" w:cstheme="minorBidi"/>
          <w:bCs w:val="0"/>
          <w:sz w:val="24"/>
          <w:szCs w:val="24"/>
        </w:rPr>
      </w:pPr>
      <w:r>
        <w:t>Impact of proposed changes</w:t>
      </w:r>
      <w:r>
        <w:tab/>
      </w:r>
      <w:r>
        <w:fldChar w:fldCharType="begin"/>
      </w:r>
      <w:r>
        <w:instrText xml:space="preserve"> PAGEREF _Toc1746502 \h </w:instrText>
      </w:r>
      <w:r>
        <w:fldChar w:fldCharType="separate"/>
      </w:r>
      <w:r>
        <w:t>62</w:t>
      </w:r>
      <w:r>
        <w:fldChar w:fldCharType="end"/>
      </w:r>
    </w:p>
    <w:p w14:paraId="1CB99F31" w14:textId="57F3C1CF" w:rsidR="00A97C97" w:rsidRDefault="00A97C97">
      <w:pPr>
        <w:pStyle w:val="TOC2"/>
        <w:rPr>
          <w:rFonts w:eastAsiaTheme="minorEastAsia" w:cstheme="minorBidi"/>
          <w:bCs w:val="0"/>
          <w:sz w:val="24"/>
          <w:szCs w:val="24"/>
        </w:rPr>
      </w:pPr>
      <w:r>
        <w:t>Non-dairy beverages</w:t>
      </w:r>
      <w:r>
        <w:tab/>
      </w:r>
      <w:r>
        <w:fldChar w:fldCharType="begin"/>
      </w:r>
      <w:r>
        <w:instrText xml:space="preserve"> PAGEREF _Toc1746503 \h </w:instrText>
      </w:r>
      <w:r>
        <w:fldChar w:fldCharType="separate"/>
      </w:r>
      <w:r>
        <w:t>63</w:t>
      </w:r>
      <w:r>
        <w:fldChar w:fldCharType="end"/>
      </w:r>
    </w:p>
    <w:p w14:paraId="181CD8C5" w14:textId="07B0517A" w:rsidR="00A97C97" w:rsidRDefault="00A97C97">
      <w:pPr>
        <w:pStyle w:val="TOC2"/>
        <w:rPr>
          <w:rFonts w:eastAsiaTheme="minorEastAsia" w:cstheme="minorBidi"/>
          <w:bCs w:val="0"/>
          <w:sz w:val="24"/>
          <w:szCs w:val="24"/>
        </w:rPr>
      </w:pPr>
      <w:r>
        <w:t>Transition period</w:t>
      </w:r>
      <w:r>
        <w:tab/>
      </w:r>
      <w:r>
        <w:fldChar w:fldCharType="begin"/>
      </w:r>
      <w:r>
        <w:instrText xml:space="preserve"> PAGEREF _Toc1746504 \h </w:instrText>
      </w:r>
      <w:r>
        <w:fldChar w:fldCharType="separate"/>
      </w:r>
      <w:r>
        <w:t>67</w:t>
      </w:r>
      <w:r>
        <w:fldChar w:fldCharType="end"/>
      </w:r>
    </w:p>
    <w:p w14:paraId="25B4B95C" w14:textId="4F9675AD" w:rsidR="00A97C97" w:rsidRDefault="00A97C97">
      <w:pPr>
        <w:pStyle w:val="TOC1"/>
        <w:rPr>
          <w:rFonts w:eastAsiaTheme="minorEastAsia"/>
          <w:b w:val="0"/>
          <w:bCs w:val="0"/>
          <w:noProof/>
        </w:rPr>
      </w:pPr>
      <w:r>
        <w:rPr>
          <w:noProof/>
        </w:rPr>
        <w:t>Chapter 6 – Management of the Health Star Rating System</w:t>
      </w:r>
      <w:r>
        <w:rPr>
          <w:noProof/>
        </w:rPr>
        <w:tab/>
      </w:r>
      <w:r>
        <w:rPr>
          <w:noProof/>
        </w:rPr>
        <w:fldChar w:fldCharType="begin"/>
      </w:r>
      <w:r>
        <w:rPr>
          <w:noProof/>
        </w:rPr>
        <w:instrText xml:space="preserve"> PAGEREF _Toc1746505 \h </w:instrText>
      </w:r>
      <w:r>
        <w:rPr>
          <w:noProof/>
        </w:rPr>
      </w:r>
      <w:r>
        <w:rPr>
          <w:noProof/>
        </w:rPr>
        <w:fldChar w:fldCharType="separate"/>
      </w:r>
      <w:r>
        <w:rPr>
          <w:noProof/>
        </w:rPr>
        <w:t>68</w:t>
      </w:r>
      <w:r>
        <w:rPr>
          <w:noProof/>
        </w:rPr>
        <w:fldChar w:fldCharType="end"/>
      </w:r>
    </w:p>
    <w:p w14:paraId="2137D651" w14:textId="2B2FF823" w:rsidR="00A97C97" w:rsidRDefault="00A97C97">
      <w:pPr>
        <w:pStyle w:val="TOC2"/>
        <w:rPr>
          <w:rFonts w:eastAsiaTheme="minorEastAsia" w:cstheme="minorBidi"/>
          <w:bCs w:val="0"/>
          <w:sz w:val="24"/>
          <w:szCs w:val="24"/>
        </w:rPr>
      </w:pPr>
      <w:r>
        <w:rPr>
          <w:lang w:eastAsia="en-GB"/>
        </w:rPr>
        <w:t>Summary</w:t>
      </w:r>
      <w:r>
        <w:tab/>
      </w:r>
      <w:r>
        <w:fldChar w:fldCharType="begin"/>
      </w:r>
      <w:r>
        <w:instrText xml:space="preserve"> PAGEREF _Toc1746506 \h </w:instrText>
      </w:r>
      <w:r>
        <w:fldChar w:fldCharType="separate"/>
      </w:r>
      <w:r>
        <w:t>68</w:t>
      </w:r>
      <w:r>
        <w:fldChar w:fldCharType="end"/>
      </w:r>
    </w:p>
    <w:p w14:paraId="7625975F" w14:textId="70D427B1" w:rsidR="00A97C97" w:rsidRDefault="00A97C97">
      <w:pPr>
        <w:pStyle w:val="TOC2"/>
        <w:rPr>
          <w:rFonts w:eastAsiaTheme="minorEastAsia" w:cstheme="minorBidi"/>
          <w:bCs w:val="0"/>
          <w:sz w:val="24"/>
          <w:szCs w:val="24"/>
        </w:rPr>
      </w:pPr>
      <w:r>
        <w:rPr>
          <w:lang w:eastAsia="en-GB"/>
        </w:rPr>
        <w:t>HSR System Funding</w:t>
      </w:r>
      <w:r>
        <w:tab/>
      </w:r>
      <w:r>
        <w:fldChar w:fldCharType="begin"/>
      </w:r>
      <w:r>
        <w:instrText xml:space="preserve"> PAGEREF _Toc1746507 \h </w:instrText>
      </w:r>
      <w:r>
        <w:fldChar w:fldCharType="separate"/>
      </w:r>
      <w:r>
        <w:t>69</w:t>
      </w:r>
      <w:r>
        <w:fldChar w:fldCharType="end"/>
      </w:r>
    </w:p>
    <w:p w14:paraId="1B2D0F53" w14:textId="0622AF99" w:rsidR="00A97C97" w:rsidRDefault="00A97C97">
      <w:pPr>
        <w:pStyle w:val="TOC2"/>
        <w:rPr>
          <w:rFonts w:eastAsiaTheme="minorEastAsia" w:cstheme="minorBidi"/>
          <w:bCs w:val="0"/>
          <w:sz w:val="24"/>
          <w:szCs w:val="24"/>
        </w:rPr>
      </w:pPr>
      <w:r>
        <w:rPr>
          <w:lang w:eastAsia="en-GB"/>
        </w:rPr>
        <w:t>Governance arrangements</w:t>
      </w:r>
      <w:r>
        <w:tab/>
      </w:r>
      <w:r>
        <w:fldChar w:fldCharType="begin"/>
      </w:r>
      <w:r>
        <w:instrText xml:space="preserve"> PAGEREF _Toc1746508 \h </w:instrText>
      </w:r>
      <w:r>
        <w:fldChar w:fldCharType="separate"/>
      </w:r>
      <w:r>
        <w:t>71</w:t>
      </w:r>
      <w:r>
        <w:fldChar w:fldCharType="end"/>
      </w:r>
    </w:p>
    <w:p w14:paraId="2AB1A7B7" w14:textId="0409E86E" w:rsidR="00A97C97" w:rsidRDefault="00A97C97">
      <w:pPr>
        <w:pStyle w:val="TOC2"/>
        <w:rPr>
          <w:rFonts w:eastAsiaTheme="minorEastAsia" w:cstheme="minorBidi"/>
          <w:bCs w:val="0"/>
          <w:sz w:val="24"/>
          <w:szCs w:val="24"/>
        </w:rPr>
      </w:pPr>
      <w:r>
        <w:rPr>
          <w:lang w:eastAsia="en-GB"/>
        </w:rPr>
        <w:t>Critical public health infrastructure to support the HSR System</w:t>
      </w:r>
      <w:r>
        <w:tab/>
      </w:r>
      <w:r>
        <w:fldChar w:fldCharType="begin"/>
      </w:r>
      <w:r>
        <w:instrText xml:space="preserve"> PAGEREF _Toc1746509 \h </w:instrText>
      </w:r>
      <w:r>
        <w:fldChar w:fldCharType="separate"/>
      </w:r>
      <w:r>
        <w:t>76</w:t>
      </w:r>
      <w:r>
        <w:fldChar w:fldCharType="end"/>
      </w:r>
    </w:p>
    <w:p w14:paraId="7C7BD2AC" w14:textId="657E82AA" w:rsidR="00A97C97" w:rsidRDefault="00A97C97">
      <w:pPr>
        <w:pStyle w:val="TOC1"/>
        <w:rPr>
          <w:rFonts w:eastAsiaTheme="minorEastAsia"/>
          <w:b w:val="0"/>
          <w:bCs w:val="0"/>
          <w:noProof/>
        </w:rPr>
      </w:pPr>
      <w:r>
        <w:rPr>
          <w:noProof/>
        </w:rPr>
        <w:t>Chapter 7 – Optimising uptake of the Health Star Rating System</w:t>
      </w:r>
      <w:r>
        <w:rPr>
          <w:noProof/>
        </w:rPr>
        <w:tab/>
      </w:r>
      <w:r>
        <w:rPr>
          <w:noProof/>
        </w:rPr>
        <w:fldChar w:fldCharType="begin"/>
      </w:r>
      <w:r>
        <w:rPr>
          <w:noProof/>
        </w:rPr>
        <w:instrText xml:space="preserve"> PAGEREF _Toc1746510 \h </w:instrText>
      </w:r>
      <w:r>
        <w:rPr>
          <w:noProof/>
        </w:rPr>
      </w:r>
      <w:r>
        <w:rPr>
          <w:noProof/>
        </w:rPr>
        <w:fldChar w:fldCharType="separate"/>
      </w:r>
      <w:r>
        <w:rPr>
          <w:noProof/>
        </w:rPr>
        <w:t>79</w:t>
      </w:r>
      <w:r>
        <w:rPr>
          <w:noProof/>
        </w:rPr>
        <w:fldChar w:fldCharType="end"/>
      </w:r>
    </w:p>
    <w:p w14:paraId="354DFD5B" w14:textId="25739C46" w:rsidR="00A97C97" w:rsidRDefault="00A97C97">
      <w:pPr>
        <w:pStyle w:val="TOC2"/>
        <w:rPr>
          <w:rFonts w:eastAsiaTheme="minorEastAsia" w:cstheme="minorBidi"/>
          <w:bCs w:val="0"/>
          <w:sz w:val="24"/>
          <w:szCs w:val="24"/>
        </w:rPr>
      </w:pPr>
      <w:r>
        <w:rPr>
          <w:lang w:eastAsia="en-GB"/>
        </w:rPr>
        <w:t>Summary</w:t>
      </w:r>
      <w:r>
        <w:tab/>
      </w:r>
      <w:r>
        <w:fldChar w:fldCharType="begin"/>
      </w:r>
      <w:r>
        <w:instrText xml:space="preserve"> PAGEREF _Toc1746511 \h </w:instrText>
      </w:r>
      <w:r>
        <w:fldChar w:fldCharType="separate"/>
      </w:r>
      <w:r>
        <w:t>79</w:t>
      </w:r>
      <w:r>
        <w:fldChar w:fldCharType="end"/>
      </w:r>
    </w:p>
    <w:p w14:paraId="0BFD630E" w14:textId="468DAC3D" w:rsidR="00A97C97" w:rsidRDefault="00A97C97">
      <w:pPr>
        <w:pStyle w:val="TOC2"/>
        <w:rPr>
          <w:rFonts w:eastAsiaTheme="minorEastAsia" w:cstheme="minorBidi"/>
          <w:bCs w:val="0"/>
          <w:sz w:val="24"/>
          <w:szCs w:val="24"/>
        </w:rPr>
      </w:pPr>
      <w:r>
        <w:rPr>
          <w:lang w:eastAsia="en-GB"/>
        </w:rPr>
        <w:t>Best practice regulation</w:t>
      </w:r>
      <w:r>
        <w:tab/>
      </w:r>
      <w:r>
        <w:fldChar w:fldCharType="begin"/>
      </w:r>
      <w:r>
        <w:instrText xml:space="preserve"> PAGEREF _Toc1746512 \h </w:instrText>
      </w:r>
      <w:r>
        <w:fldChar w:fldCharType="separate"/>
      </w:r>
      <w:r>
        <w:t>80</w:t>
      </w:r>
      <w:r>
        <w:fldChar w:fldCharType="end"/>
      </w:r>
    </w:p>
    <w:p w14:paraId="12CDBF25" w14:textId="59356BD7" w:rsidR="00A97C97" w:rsidRDefault="00A97C97">
      <w:pPr>
        <w:pStyle w:val="TOC2"/>
        <w:rPr>
          <w:rFonts w:eastAsiaTheme="minorEastAsia" w:cstheme="minorBidi"/>
          <w:bCs w:val="0"/>
          <w:sz w:val="24"/>
          <w:szCs w:val="24"/>
        </w:rPr>
      </w:pPr>
      <w:r>
        <w:rPr>
          <w:lang w:eastAsia="en-GB"/>
        </w:rPr>
        <w:t>International experience and trade implications</w:t>
      </w:r>
      <w:r>
        <w:tab/>
      </w:r>
      <w:r>
        <w:fldChar w:fldCharType="begin"/>
      </w:r>
      <w:r>
        <w:instrText xml:space="preserve"> PAGEREF _Toc1746513 \h </w:instrText>
      </w:r>
      <w:r>
        <w:fldChar w:fldCharType="separate"/>
      </w:r>
      <w:r>
        <w:t>82</w:t>
      </w:r>
      <w:r>
        <w:fldChar w:fldCharType="end"/>
      </w:r>
    </w:p>
    <w:p w14:paraId="7A2AA49D" w14:textId="661478C0" w:rsidR="00A97C97" w:rsidRDefault="00A97C97">
      <w:pPr>
        <w:pStyle w:val="TOC2"/>
        <w:rPr>
          <w:rFonts w:eastAsiaTheme="minorEastAsia" w:cstheme="minorBidi"/>
          <w:bCs w:val="0"/>
          <w:sz w:val="24"/>
          <w:szCs w:val="24"/>
        </w:rPr>
      </w:pPr>
      <w:r>
        <w:rPr>
          <w:lang w:eastAsia="en-GB"/>
        </w:rPr>
        <w:t>Removing barriers to uptake of the HSR System</w:t>
      </w:r>
      <w:r>
        <w:tab/>
      </w:r>
      <w:r>
        <w:fldChar w:fldCharType="begin"/>
      </w:r>
      <w:r>
        <w:instrText xml:space="preserve"> PAGEREF _Toc1746514 \h </w:instrText>
      </w:r>
      <w:r>
        <w:fldChar w:fldCharType="separate"/>
      </w:r>
      <w:r>
        <w:t>83</w:t>
      </w:r>
      <w:r>
        <w:fldChar w:fldCharType="end"/>
      </w:r>
    </w:p>
    <w:p w14:paraId="50FA0163" w14:textId="6C4D9D18" w:rsidR="00A97C97" w:rsidRDefault="00A97C97">
      <w:pPr>
        <w:pStyle w:val="TOC2"/>
        <w:rPr>
          <w:rFonts w:eastAsiaTheme="minorEastAsia" w:cstheme="minorBidi"/>
          <w:bCs w:val="0"/>
          <w:sz w:val="24"/>
          <w:szCs w:val="24"/>
        </w:rPr>
      </w:pPr>
      <w:r>
        <w:rPr>
          <w:lang w:eastAsia="en-GB"/>
        </w:rPr>
        <w:t>Factors influencing increasing uptake of the HSR System</w:t>
      </w:r>
      <w:r>
        <w:tab/>
      </w:r>
      <w:r>
        <w:fldChar w:fldCharType="begin"/>
      </w:r>
      <w:r>
        <w:instrText xml:space="preserve"> PAGEREF _Toc1746515 \h </w:instrText>
      </w:r>
      <w:r>
        <w:fldChar w:fldCharType="separate"/>
      </w:r>
      <w:r>
        <w:t>84</w:t>
      </w:r>
      <w:r>
        <w:fldChar w:fldCharType="end"/>
      </w:r>
    </w:p>
    <w:p w14:paraId="2214119A" w14:textId="5DCF363B" w:rsidR="00A97C97" w:rsidRDefault="00A97C97">
      <w:pPr>
        <w:pStyle w:val="TOC2"/>
        <w:rPr>
          <w:rFonts w:eastAsiaTheme="minorEastAsia" w:cstheme="minorBidi"/>
          <w:bCs w:val="0"/>
          <w:sz w:val="24"/>
          <w:szCs w:val="24"/>
        </w:rPr>
      </w:pPr>
      <w:r>
        <w:rPr>
          <w:lang w:eastAsia="en-GB"/>
        </w:rPr>
        <w:lastRenderedPageBreak/>
        <w:t>Further incentivising uptake of the HSR System</w:t>
      </w:r>
      <w:r>
        <w:tab/>
      </w:r>
      <w:r>
        <w:fldChar w:fldCharType="begin"/>
      </w:r>
      <w:r>
        <w:instrText xml:space="preserve"> PAGEREF _Toc1746516 \h </w:instrText>
      </w:r>
      <w:r>
        <w:fldChar w:fldCharType="separate"/>
      </w:r>
      <w:r>
        <w:t>86</w:t>
      </w:r>
      <w:r>
        <w:fldChar w:fldCharType="end"/>
      </w:r>
    </w:p>
    <w:p w14:paraId="76F4043A" w14:textId="136F8357" w:rsidR="00A97C97" w:rsidRDefault="00A97C97">
      <w:pPr>
        <w:pStyle w:val="TOC2"/>
        <w:rPr>
          <w:rFonts w:eastAsiaTheme="minorEastAsia" w:cstheme="minorBidi"/>
          <w:bCs w:val="0"/>
          <w:sz w:val="24"/>
          <w:szCs w:val="24"/>
        </w:rPr>
      </w:pPr>
      <w:r>
        <w:rPr>
          <w:lang w:eastAsia="en-GB"/>
        </w:rPr>
        <w:t>Rationale for uptake targets</w:t>
      </w:r>
      <w:r>
        <w:tab/>
      </w:r>
      <w:r>
        <w:fldChar w:fldCharType="begin"/>
      </w:r>
      <w:r>
        <w:instrText xml:space="preserve"> PAGEREF _Toc1746517 \h </w:instrText>
      </w:r>
      <w:r>
        <w:fldChar w:fldCharType="separate"/>
      </w:r>
      <w:r>
        <w:t>87</w:t>
      </w:r>
      <w:r>
        <w:fldChar w:fldCharType="end"/>
      </w:r>
    </w:p>
    <w:p w14:paraId="0A53299F" w14:textId="581DD944" w:rsidR="00A97C97" w:rsidRDefault="00A97C97">
      <w:pPr>
        <w:pStyle w:val="TOC2"/>
        <w:rPr>
          <w:rFonts w:eastAsiaTheme="minorEastAsia" w:cstheme="minorBidi"/>
          <w:bCs w:val="0"/>
          <w:sz w:val="24"/>
          <w:szCs w:val="24"/>
        </w:rPr>
      </w:pPr>
      <w:r>
        <w:t>HSR System Industry guidance</w:t>
      </w:r>
      <w:r>
        <w:tab/>
      </w:r>
      <w:r>
        <w:fldChar w:fldCharType="begin"/>
      </w:r>
      <w:r>
        <w:instrText xml:space="preserve"> PAGEREF _Toc1746518 \h </w:instrText>
      </w:r>
      <w:r>
        <w:fldChar w:fldCharType="separate"/>
      </w:r>
      <w:r>
        <w:t>88</w:t>
      </w:r>
      <w:r>
        <w:fldChar w:fldCharType="end"/>
      </w:r>
    </w:p>
    <w:p w14:paraId="337078AD" w14:textId="0BDF1D6B" w:rsidR="00A97C97" w:rsidRDefault="00A97C97">
      <w:pPr>
        <w:pStyle w:val="TOC1"/>
        <w:rPr>
          <w:rFonts w:eastAsiaTheme="minorEastAsia"/>
          <w:b w:val="0"/>
          <w:bCs w:val="0"/>
          <w:noProof/>
        </w:rPr>
      </w:pPr>
      <w:r>
        <w:rPr>
          <w:noProof/>
        </w:rPr>
        <w:t>Chapter 8: Next Steps</w:t>
      </w:r>
      <w:r>
        <w:rPr>
          <w:noProof/>
        </w:rPr>
        <w:tab/>
      </w:r>
      <w:r>
        <w:rPr>
          <w:noProof/>
        </w:rPr>
        <w:fldChar w:fldCharType="begin"/>
      </w:r>
      <w:r>
        <w:rPr>
          <w:noProof/>
        </w:rPr>
        <w:instrText xml:space="preserve"> PAGEREF _Toc1746519 \h </w:instrText>
      </w:r>
      <w:r>
        <w:rPr>
          <w:noProof/>
        </w:rPr>
      </w:r>
      <w:r>
        <w:rPr>
          <w:noProof/>
        </w:rPr>
        <w:fldChar w:fldCharType="separate"/>
      </w:r>
      <w:r>
        <w:rPr>
          <w:noProof/>
        </w:rPr>
        <w:t>89</w:t>
      </w:r>
      <w:r>
        <w:rPr>
          <w:noProof/>
        </w:rPr>
        <w:fldChar w:fldCharType="end"/>
      </w:r>
    </w:p>
    <w:p w14:paraId="7CD25C5C" w14:textId="070EECA1" w:rsidR="00A97C97" w:rsidRDefault="00A97C97">
      <w:pPr>
        <w:pStyle w:val="TOC1"/>
        <w:rPr>
          <w:rFonts w:eastAsiaTheme="minorEastAsia"/>
          <w:b w:val="0"/>
          <w:bCs w:val="0"/>
          <w:noProof/>
        </w:rPr>
      </w:pPr>
      <w:r>
        <w:rPr>
          <w:noProof/>
        </w:rPr>
        <w:t>Appendix A: About the Health Star Rating Calculator</w:t>
      </w:r>
      <w:r>
        <w:rPr>
          <w:noProof/>
        </w:rPr>
        <w:tab/>
      </w:r>
      <w:r>
        <w:rPr>
          <w:noProof/>
        </w:rPr>
        <w:fldChar w:fldCharType="begin"/>
      </w:r>
      <w:r>
        <w:rPr>
          <w:noProof/>
        </w:rPr>
        <w:instrText xml:space="preserve"> PAGEREF _Toc1746520 \h </w:instrText>
      </w:r>
      <w:r>
        <w:rPr>
          <w:noProof/>
        </w:rPr>
      </w:r>
      <w:r>
        <w:rPr>
          <w:noProof/>
        </w:rPr>
        <w:fldChar w:fldCharType="separate"/>
      </w:r>
      <w:r>
        <w:rPr>
          <w:noProof/>
        </w:rPr>
        <w:t>90</w:t>
      </w:r>
      <w:r>
        <w:rPr>
          <w:noProof/>
        </w:rPr>
        <w:fldChar w:fldCharType="end"/>
      </w:r>
    </w:p>
    <w:p w14:paraId="2D2E3B9F" w14:textId="535CB322" w:rsidR="00A97C97" w:rsidRDefault="00A97C97">
      <w:pPr>
        <w:pStyle w:val="TOC2"/>
        <w:rPr>
          <w:rFonts w:eastAsiaTheme="minorEastAsia" w:cstheme="minorBidi"/>
          <w:bCs w:val="0"/>
          <w:sz w:val="24"/>
          <w:szCs w:val="24"/>
        </w:rPr>
      </w:pPr>
      <w:r>
        <w:t>Overview</w:t>
      </w:r>
      <w:r>
        <w:tab/>
      </w:r>
      <w:r>
        <w:fldChar w:fldCharType="begin"/>
      </w:r>
      <w:r>
        <w:instrText xml:space="preserve"> PAGEREF _Toc1746521 \h </w:instrText>
      </w:r>
      <w:r>
        <w:fldChar w:fldCharType="separate"/>
      </w:r>
      <w:r>
        <w:t>90</w:t>
      </w:r>
      <w:r>
        <w:fldChar w:fldCharType="end"/>
      </w:r>
    </w:p>
    <w:p w14:paraId="61B20286" w14:textId="6601D7F4" w:rsidR="00A97C97" w:rsidRDefault="00A97C97">
      <w:pPr>
        <w:pStyle w:val="TOC2"/>
        <w:rPr>
          <w:rFonts w:eastAsiaTheme="minorEastAsia" w:cstheme="minorBidi"/>
          <w:bCs w:val="0"/>
          <w:sz w:val="24"/>
          <w:szCs w:val="24"/>
        </w:rPr>
      </w:pPr>
      <w:r>
        <w:t>How the HSR Calculator works</w:t>
      </w:r>
      <w:r>
        <w:tab/>
      </w:r>
      <w:r>
        <w:fldChar w:fldCharType="begin"/>
      </w:r>
      <w:r>
        <w:instrText xml:space="preserve"> PAGEREF _Toc1746522 \h </w:instrText>
      </w:r>
      <w:r>
        <w:fldChar w:fldCharType="separate"/>
      </w:r>
      <w:r>
        <w:t>90</w:t>
      </w:r>
      <w:r>
        <w:fldChar w:fldCharType="end"/>
      </w:r>
    </w:p>
    <w:p w14:paraId="0517BEA0" w14:textId="563E0572" w:rsidR="00A97C97" w:rsidRDefault="00A97C97">
      <w:pPr>
        <w:pStyle w:val="TOC1"/>
        <w:rPr>
          <w:rFonts w:eastAsiaTheme="minorEastAsia"/>
          <w:b w:val="0"/>
          <w:bCs w:val="0"/>
          <w:noProof/>
        </w:rPr>
      </w:pPr>
      <w:r>
        <w:rPr>
          <w:noProof/>
        </w:rPr>
        <w:t>Appendix B: Impact of the Health Star Rating System</w:t>
      </w:r>
      <w:r>
        <w:rPr>
          <w:noProof/>
        </w:rPr>
        <w:tab/>
      </w:r>
      <w:r>
        <w:rPr>
          <w:noProof/>
        </w:rPr>
        <w:fldChar w:fldCharType="begin"/>
      </w:r>
      <w:r>
        <w:rPr>
          <w:noProof/>
        </w:rPr>
        <w:instrText xml:space="preserve"> PAGEREF _Toc1746523 \h </w:instrText>
      </w:r>
      <w:r>
        <w:rPr>
          <w:noProof/>
        </w:rPr>
      </w:r>
      <w:r>
        <w:rPr>
          <w:noProof/>
        </w:rPr>
        <w:fldChar w:fldCharType="separate"/>
      </w:r>
      <w:r>
        <w:rPr>
          <w:noProof/>
        </w:rPr>
        <w:t>93</w:t>
      </w:r>
      <w:r>
        <w:rPr>
          <w:noProof/>
        </w:rPr>
        <w:fldChar w:fldCharType="end"/>
      </w:r>
    </w:p>
    <w:p w14:paraId="7AF8C1D5" w14:textId="79A9234C" w:rsidR="00A97C97" w:rsidRDefault="00A97C97">
      <w:pPr>
        <w:pStyle w:val="TOC2"/>
        <w:rPr>
          <w:rFonts w:eastAsiaTheme="minorEastAsia" w:cstheme="minorBidi"/>
          <w:bCs w:val="0"/>
          <w:sz w:val="24"/>
          <w:szCs w:val="24"/>
        </w:rPr>
      </w:pPr>
      <w:r>
        <w:t>Key statistics</w:t>
      </w:r>
      <w:r>
        <w:tab/>
      </w:r>
      <w:r>
        <w:fldChar w:fldCharType="begin"/>
      </w:r>
      <w:r>
        <w:instrText xml:space="preserve"> PAGEREF _Toc1746524 \h </w:instrText>
      </w:r>
      <w:r>
        <w:fldChar w:fldCharType="separate"/>
      </w:r>
      <w:r>
        <w:t>93</w:t>
      </w:r>
      <w:r>
        <w:fldChar w:fldCharType="end"/>
      </w:r>
    </w:p>
    <w:p w14:paraId="3431140C" w14:textId="51442CF7" w:rsidR="00A97C97" w:rsidRDefault="00A97C97">
      <w:pPr>
        <w:pStyle w:val="TOC1"/>
        <w:rPr>
          <w:rFonts w:eastAsiaTheme="minorEastAsia"/>
          <w:b w:val="0"/>
          <w:bCs w:val="0"/>
          <w:noProof/>
        </w:rPr>
      </w:pPr>
      <w:r>
        <w:rPr>
          <w:noProof/>
        </w:rPr>
        <w:t>Appendix C: Health Star Rating System use, promotion and complementary healthy eating initiatives</w:t>
      </w:r>
      <w:r>
        <w:rPr>
          <w:noProof/>
        </w:rPr>
        <w:tab/>
      </w:r>
      <w:r>
        <w:rPr>
          <w:noProof/>
        </w:rPr>
        <w:fldChar w:fldCharType="begin"/>
      </w:r>
      <w:r>
        <w:rPr>
          <w:noProof/>
        </w:rPr>
        <w:instrText xml:space="preserve"> PAGEREF _Toc1746525 \h </w:instrText>
      </w:r>
      <w:r>
        <w:rPr>
          <w:noProof/>
        </w:rPr>
      </w:r>
      <w:r>
        <w:rPr>
          <w:noProof/>
        </w:rPr>
        <w:fldChar w:fldCharType="separate"/>
      </w:r>
      <w:r>
        <w:rPr>
          <w:noProof/>
        </w:rPr>
        <w:t>95</w:t>
      </w:r>
      <w:r>
        <w:rPr>
          <w:noProof/>
        </w:rPr>
        <w:fldChar w:fldCharType="end"/>
      </w:r>
    </w:p>
    <w:p w14:paraId="59DADA03" w14:textId="5B30FC00" w:rsidR="00A97C97" w:rsidRDefault="00A97C97">
      <w:pPr>
        <w:pStyle w:val="TOC2"/>
        <w:rPr>
          <w:rFonts w:eastAsiaTheme="minorEastAsia" w:cstheme="minorBidi"/>
          <w:bCs w:val="0"/>
          <w:sz w:val="24"/>
          <w:szCs w:val="24"/>
        </w:rPr>
      </w:pPr>
      <w:r>
        <w:t>HSR System use in other government initiatives</w:t>
      </w:r>
      <w:r>
        <w:tab/>
      </w:r>
      <w:r>
        <w:fldChar w:fldCharType="begin"/>
      </w:r>
      <w:r>
        <w:instrText xml:space="preserve"> PAGEREF _Toc1746526 \h </w:instrText>
      </w:r>
      <w:r>
        <w:fldChar w:fldCharType="separate"/>
      </w:r>
      <w:r>
        <w:t>95</w:t>
      </w:r>
      <w:r>
        <w:fldChar w:fldCharType="end"/>
      </w:r>
    </w:p>
    <w:p w14:paraId="3BEA9422" w14:textId="43F7C824" w:rsidR="00A97C97" w:rsidRDefault="00A97C97">
      <w:pPr>
        <w:pStyle w:val="TOC2"/>
        <w:rPr>
          <w:rFonts w:eastAsiaTheme="minorEastAsia" w:cstheme="minorBidi"/>
          <w:bCs w:val="0"/>
          <w:sz w:val="24"/>
          <w:szCs w:val="24"/>
        </w:rPr>
      </w:pPr>
      <w:r>
        <w:t>Industry promotion of the HSR System</w:t>
      </w:r>
      <w:r>
        <w:tab/>
      </w:r>
      <w:r>
        <w:fldChar w:fldCharType="begin"/>
      </w:r>
      <w:r>
        <w:instrText xml:space="preserve"> PAGEREF _Toc1746527 \h </w:instrText>
      </w:r>
      <w:r>
        <w:fldChar w:fldCharType="separate"/>
      </w:r>
      <w:r>
        <w:t>95</w:t>
      </w:r>
      <w:r>
        <w:fldChar w:fldCharType="end"/>
      </w:r>
    </w:p>
    <w:p w14:paraId="3141BD89" w14:textId="42B017BF" w:rsidR="00A97C97" w:rsidRDefault="00A97C97">
      <w:pPr>
        <w:pStyle w:val="TOC2"/>
        <w:rPr>
          <w:rFonts w:eastAsiaTheme="minorEastAsia" w:cstheme="minorBidi"/>
          <w:bCs w:val="0"/>
          <w:sz w:val="24"/>
          <w:szCs w:val="24"/>
        </w:rPr>
      </w:pPr>
      <w:r>
        <w:t>Public health and others’ promotion of the HSR System</w:t>
      </w:r>
      <w:r>
        <w:tab/>
      </w:r>
      <w:r>
        <w:fldChar w:fldCharType="begin"/>
      </w:r>
      <w:r>
        <w:instrText xml:space="preserve"> PAGEREF _Toc1746528 \h </w:instrText>
      </w:r>
      <w:r>
        <w:fldChar w:fldCharType="separate"/>
      </w:r>
      <w:r>
        <w:t>97</w:t>
      </w:r>
      <w:r>
        <w:fldChar w:fldCharType="end"/>
      </w:r>
    </w:p>
    <w:p w14:paraId="4210FACD" w14:textId="7BE2B296" w:rsidR="00A97C97" w:rsidRDefault="00A97C97">
      <w:pPr>
        <w:pStyle w:val="TOC2"/>
        <w:rPr>
          <w:rFonts w:eastAsiaTheme="minorEastAsia" w:cstheme="minorBidi"/>
          <w:bCs w:val="0"/>
          <w:sz w:val="24"/>
          <w:szCs w:val="24"/>
        </w:rPr>
      </w:pPr>
      <w:r>
        <w:t>Complementary healthy eating initiatives</w:t>
      </w:r>
      <w:r>
        <w:tab/>
      </w:r>
      <w:r>
        <w:fldChar w:fldCharType="begin"/>
      </w:r>
      <w:r>
        <w:instrText xml:space="preserve"> PAGEREF _Toc1746529 \h </w:instrText>
      </w:r>
      <w:r>
        <w:fldChar w:fldCharType="separate"/>
      </w:r>
      <w:r>
        <w:t>98</w:t>
      </w:r>
      <w:r>
        <w:fldChar w:fldCharType="end"/>
      </w:r>
    </w:p>
    <w:p w14:paraId="20724FA2" w14:textId="74B92BF2" w:rsidR="00A97C97" w:rsidRDefault="00A97C97">
      <w:pPr>
        <w:pStyle w:val="TOC1"/>
        <w:rPr>
          <w:rFonts w:eastAsiaTheme="minorEastAsia"/>
          <w:b w:val="0"/>
          <w:bCs w:val="0"/>
          <w:noProof/>
        </w:rPr>
      </w:pPr>
      <w:r>
        <w:rPr>
          <w:noProof/>
        </w:rPr>
        <w:t>Appendix D: Additional option for sodium</w:t>
      </w:r>
      <w:r>
        <w:rPr>
          <w:noProof/>
        </w:rPr>
        <w:tab/>
      </w:r>
      <w:r>
        <w:rPr>
          <w:noProof/>
        </w:rPr>
        <w:fldChar w:fldCharType="begin"/>
      </w:r>
      <w:r>
        <w:rPr>
          <w:noProof/>
        </w:rPr>
        <w:instrText xml:space="preserve"> PAGEREF _Toc1746530 \h </w:instrText>
      </w:r>
      <w:r>
        <w:rPr>
          <w:noProof/>
        </w:rPr>
      </w:r>
      <w:r>
        <w:rPr>
          <w:noProof/>
        </w:rPr>
        <w:fldChar w:fldCharType="separate"/>
      </w:r>
      <w:r>
        <w:rPr>
          <w:noProof/>
        </w:rPr>
        <w:t>102</w:t>
      </w:r>
      <w:r>
        <w:rPr>
          <w:noProof/>
        </w:rPr>
        <w:fldChar w:fldCharType="end"/>
      </w:r>
    </w:p>
    <w:p w14:paraId="5C65C66D" w14:textId="0D0B1AF6" w:rsidR="00A97C97" w:rsidRDefault="00A97C97">
      <w:pPr>
        <w:pStyle w:val="TOC1"/>
        <w:rPr>
          <w:rFonts w:eastAsiaTheme="minorEastAsia"/>
          <w:b w:val="0"/>
          <w:bCs w:val="0"/>
          <w:noProof/>
        </w:rPr>
      </w:pPr>
      <w:r>
        <w:rPr>
          <w:noProof/>
        </w:rPr>
        <w:t>Appendix E: Revised policy and points tables for non-dairy beverages</w:t>
      </w:r>
      <w:r>
        <w:rPr>
          <w:noProof/>
        </w:rPr>
        <w:tab/>
      </w:r>
      <w:r>
        <w:rPr>
          <w:noProof/>
        </w:rPr>
        <w:fldChar w:fldCharType="begin"/>
      </w:r>
      <w:r>
        <w:rPr>
          <w:noProof/>
        </w:rPr>
        <w:instrText xml:space="preserve"> PAGEREF _Toc1746531 \h </w:instrText>
      </w:r>
      <w:r>
        <w:rPr>
          <w:noProof/>
        </w:rPr>
      </w:r>
      <w:r>
        <w:rPr>
          <w:noProof/>
        </w:rPr>
        <w:fldChar w:fldCharType="separate"/>
      </w:r>
      <w:r>
        <w:rPr>
          <w:noProof/>
        </w:rPr>
        <w:t>103</w:t>
      </w:r>
      <w:r>
        <w:rPr>
          <w:noProof/>
        </w:rPr>
        <w:fldChar w:fldCharType="end"/>
      </w:r>
    </w:p>
    <w:p w14:paraId="477A35DD" w14:textId="2EDB3F52" w:rsidR="00A97C97" w:rsidRDefault="00A97C97">
      <w:pPr>
        <w:pStyle w:val="TOC1"/>
        <w:rPr>
          <w:rFonts w:eastAsiaTheme="minorEastAsia"/>
          <w:b w:val="0"/>
          <w:bCs w:val="0"/>
          <w:noProof/>
        </w:rPr>
      </w:pPr>
      <w:r>
        <w:rPr>
          <w:noProof/>
        </w:rPr>
        <w:t>Appendix F: Non-dairy beverages – products and impacts</w:t>
      </w:r>
      <w:r>
        <w:rPr>
          <w:noProof/>
        </w:rPr>
        <w:tab/>
      </w:r>
      <w:r>
        <w:rPr>
          <w:noProof/>
        </w:rPr>
        <w:fldChar w:fldCharType="begin"/>
      </w:r>
      <w:r>
        <w:rPr>
          <w:noProof/>
        </w:rPr>
        <w:instrText xml:space="preserve"> PAGEREF _Toc1746532 \h </w:instrText>
      </w:r>
      <w:r>
        <w:rPr>
          <w:noProof/>
        </w:rPr>
      </w:r>
      <w:r>
        <w:rPr>
          <w:noProof/>
        </w:rPr>
        <w:fldChar w:fldCharType="separate"/>
      </w:r>
      <w:r>
        <w:rPr>
          <w:noProof/>
        </w:rPr>
        <w:t>104</w:t>
      </w:r>
      <w:r>
        <w:rPr>
          <w:noProof/>
        </w:rPr>
        <w:fldChar w:fldCharType="end"/>
      </w:r>
    </w:p>
    <w:p w14:paraId="36713933" w14:textId="77669AE0" w:rsidR="00A97C97" w:rsidRDefault="00A97C97">
      <w:pPr>
        <w:pStyle w:val="TOC1"/>
        <w:rPr>
          <w:rFonts w:eastAsiaTheme="minorEastAsia"/>
          <w:b w:val="0"/>
          <w:bCs w:val="0"/>
          <w:noProof/>
        </w:rPr>
      </w:pPr>
      <w:r>
        <w:rPr>
          <w:noProof/>
        </w:rPr>
        <w:t>Appendix G: Responses to other issues raised through consultations</w:t>
      </w:r>
      <w:r>
        <w:rPr>
          <w:noProof/>
        </w:rPr>
        <w:tab/>
      </w:r>
      <w:r>
        <w:rPr>
          <w:noProof/>
        </w:rPr>
        <w:fldChar w:fldCharType="begin"/>
      </w:r>
      <w:r>
        <w:rPr>
          <w:noProof/>
        </w:rPr>
        <w:instrText xml:space="preserve"> PAGEREF _Toc1746533 \h </w:instrText>
      </w:r>
      <w:r>
        <w:rPr>
          <w:noProof/>
        </w:rPr>
      </w:r>
      <w:r>
        <w:rPr>
          <w:noProof/>
        </w:rPr>
        <w:fldChar w:fldCharType="separate"/>
      </w:r>
      <w:r>
        <w:rPr>
          <w:noProof/>
        </w:rPr>
        <w:t>105</w:t>
      </w:r>
      <w:r>
        <w:rPr>
          <w:noProof/>
        </w:rPr>
        <w:fldChar w:fldCharType="end"/>
      </w:r>
    </w:p>
    <w:p w14:paraId="30AC322B" w14:textId="1ED3F1F4" w:rsidR="00A97C97" w:rsidRDefault="00A97C97">
      <w:pPr>
        <w:pStyle w:val="TOC2"/>
        <w:rPr>
          <w:rFonts w:eastAsiaTheme="minorEastAsia" w:cstheme="minorBidi"/>
          <w:bCs w:val="0"/>
          <w:sz w:val="24"/>
          <w:szCs w:val="24"/>
        </w:rPr>
      </w:pPr>
      <w:r>
        <w:t>HSR System</w:t>
      </w:r>
      <w:r>
        <w:tab/>
      </w:r>
      <w:r>
        <w:fldChar w:fldCharType="begin"/>
      </w:r>
      <w:r>
        <w:instrText xml:space="preserve"> PAGEREF _Toc1746534 \h </w:instrText>
      </w:r>
      <w:r>
        <w:fldChar w:fldCharType="separate"/>
      </w:r>
      <w:r>
        <w:t>105</w:t>
      </w:r>
      <w:r>
        <w:fldChar w:fldCharType="end"/>
      </w:r>
    </w:p>
    <w:p w14:paraId="590D70E3" w14:textId="02E0C06B" w:rsidR="00A97C97" w:rsidRDefault="00A97C97">
      <w:pPr>
        <w:pStyle w:val="TOC2"/>
        <w:rPr>
          <w:rFonts w:eastAsiaTheme="minorEastAsia" w:cstheme="minorBidi"/>
          <w:bCs w:val="0"/>
          <w:sz w:val="24"/>
          <w:szCs w:val="24"/>
        </w:rPr>
      </w:pPr>
      <w:r>
        <w:t>Positive components</w:t>
      </w:r>
      <w:r>
        <w:tab/>
      </w:r>
      <w:r>
        <w:fldChar w:fldCharType="begin"/>
      </w:r>
      <w:r>
        <w:instrText xml:space="preserve"> PAGEREF _Toc1746535 \h </w:instrText>
      </w:r>
      <w:r>
        <w:fldChar w:fldCharType="separate"/>
      </w:r>
      <w:r>
        <w:t>106</w:t>
      </w:r>
      <w:r>
        <w:fldChar w:fldCharType="end"/>
      </w:r>
    </w:p>
    <w:p w14:paraId="73B0A96D" w14:textId="29A90E8C" w:rsidR="00A97C97" w:rsidRDefault="00A97C97">
      <w:pPr>
        <w:pStyle w:val="TOC2"/>
        <w:rPr>
          <w:rFonts w:eastAsiaTheme="minorEastAsia" w:cstheme="minorBidi"/>
          <w:bCs w:val="0"/>
          <w:sz w:val="24"/>
          <w:szCs w:val="24"/>
        </w:rPr>
      </w:pPr>
      <w:r>
        <w:t>Negative components</w:t>
      </w:r>
      <w:r>
        <w:tab/>
      </w:r>
      <w:r>
        <w:fldChar w:fldCharType="begin"/>
      </w:r>
      <w:r>
        <w:instrText xml:space="preserve"> PAGEREF _Toc1746536 \h </w:instrText>
      </w:r>
      <w:r>
        <w:fldChar w:fldCharType="separate"/>
      </w:r>
      <w:r>
        <w:t>106</w:t>
      </w:r>
      <w:r>
        <w:fldChar w:fldCharType="end"/>
      </w:r>
    </w:p>
    <w:p w14:paraId="5B60A931" w14:textId="4D2ECABD" w:rsidR="00A97C97" w:rsidRDefault="00A97C97">
      <w:pPr>
        <w:pStyle w:val="TOC1"/>
        <w:rPr>
          <w:rFonts w:eastAsiaTheme="minorEastAsia"/>
          <w:b w:val="0"/>
          <w:bCs w:val="0"/>
          <w:noProof/>
        </w:rPr>
      </w:pPr>
      <w:r>
        <w:rPr>
          <w:noProof/>
        </w:rPr>
        <w:t>Glossary</w:t>
      </w:r>
      <w:r>
        <w:rPr>
          <w:noProof/>
        </w:rPr>
        <w:tab/>
      </w:r>
      <w:r>
        <w:rPr>
          <w:noProof/>
        </w:rPr>
        <w:fldChar w:fldCharType="begin"/>
      </w:r>
      <w:r>
        <w:rPr>
          <w:noProof/>
        </w:rPr>
        <w:instrText xml:space="preserve"> PAGEREF _Toc1746537 \h </w:instrText>
      </w:r>
      <w:r>
        <w:rPr>
          <w:noProof/>
        </w:rPr>
      </w:r>
      <w:r>
        <w:rPr>
          <w:noProof/>
        </w:rPr>
        <w:fldChar w:fldCharType="separate"/>
      </w:r>
      <w:r>
        <w:rPr>
          <w:noProof/>
        </w:rPr>
        <w:t>108</w:t>
      </w:r>
      <w:r>
        <w:rPr>
          <w:noProof/>
        </w:rPr>
        <w:fldChar w:fldCharType="end"/>
      </w:r>
    </w:p>
    <w:p w14:paraId="26479A8A" w14:textId="5BA647C1" w:rsidR="00A97C97" w:rsidRDefault="00A97C97">
      <w:pPr>
        <w:pStyle w:val="TOC1"/>
        <w:rPr>
          <w:rFonts w:eastAsiaTheme="minorEastAsia"/>
          <w:b w:val="0"/>
          <w:bCs w:val="0"/>
          <w:noProof/>
        </w:rPr>
      </w:pPr>
      <w:r>
        <w:rPr>
          <w:noProof/>
        </w:rPr>
        <w:t>Bibliography</w:t>
      </w:r>
      <w:r>
        <w:rPr>
          <w:noProof/>
        </w:rPr>
        <w:tab/>
      </w:r>
      <w:r>
        <w:rPr>
          <w:noProof/>
        </w:rPr>
        <w:fldChar w:fldCharType="begin"/>
      </w:r>
      <w:r>
        <w:rPr>
          <w:noProof/>
        </w:rPr>
        <w:instrText xml:space="preserve"> PAGEREF _Toc1746538 \h </w:instrText>
      </w:r>
      <w:r>
        <w:rPr>
          <w:noProof/>
        </w:rPr>
      </w:r>
      <w:r>
        <w:rPr>
          <w:noProof/>
        </w:rPr>
        <w:fldChar w:fldCharType="separate"/>
      </w:r>
      <w:r>
        <w:rPr>
          <w:noProof/>
        </w:rPr>
        <w:t>113</w:t>
      </w:r>
      <w:r>
        <w:rPr>
          <w:noProof/>
        </w:rPr>
        <w:fldChar w:fldCharType="end"/>
      </w:r>
    </w:p>
    <w:p w14:paraId="2E604B05" w14:textId="2699E299" w:rsidR="00C41380" w:rsidRPr="00CC1ADD" w:rsidRDefault="00A27699">
      <w:pPr>
        <w:pStyle w:val="TOC9"/>
        <w:rPr>
          <w:rFonts w:cstheme="minorHAnsi"/>
          <w:sz w:val="21"/>
        </w:rPr>
      </w:pPr>
      <w:r w:rsidRPr="00CC1ADD">
        <w:rPr>
          <w:rFonts w:cstheme="minorHAnsi"/>
          <w:sz w:val="20"/>
        </w:rPr>
        <w:fldChar w:fldCharType="end"/>
      </w:r>
    </w:p>
    <w:p w14:paraId="4AA38D74" w14:textId="385EF817" w:rsidR="00B76A4B" w:rsidRPr="00CC1ADD" w:rsidRDefault="00B76A4B">
      <w:pPr>
        <w:sectPr w:rsidR="00B76A4B" w:rsidRPr="00CC1ADD" w:rsidSect="00B36208">
          <w:headerReference w:type="default" r:id="rId9"/>
          <w:footerReference w:type="default" r:id="rId10"/>
          <w:pgSz w:w="11900" w:h="16840"/>
          <w:pgMar w:top="1304" w:right="1077" w:bottom="1304" w:left="1077" w:header="709" w:footer="709" w:gutter="0"/>
          <w:cols w:space="708"/>
          <w:docGrid w:linePitch="360"/>
        </w:sectPr>
      </w:pPr>
    </w:p>
    <w:p w14:paraId="2C6E8F62" w14:textId="77777777" w:rsidR="00C14D9F" w:rsidRPr="00CC1ADD" w:rsidRDefault="00C14D9F">
      <w:pPr>
        <w:pStyle w:val="mpcheading1"/>
        <w:spacing w:after="0"/>
      </w:pPr>
      <w:bookmarkStart w:id="6" w:name="Executive_Summary"/>
      <w:bookmarkStart w:id="7" w:name="_Toc523141413"/>
      <w:bookmarkStart w:id="8" w:name="_Toc1746471"/>
      <w:bookmarkStart w:id="9" w:name="_Toc450649511"/>
      <w:bookmarkEnd w:id="5"/>
      <w:bookmarkEnd w:id="6"/>
      <w:r w:rsidRPr="00CC1ADD">
        <w:lastRenderedPageBreak/>
        <w:t>Executive Summary</w:t>
      </w:r>
      <w:bookmarkEnd w:id="7"/>
      <w:bookmarkEnd w:id="8"/>
    </w:p>
    <w:p w14:paraId="287F667D" w14:textId="77777777" w:rsidR="00C14D9F" w:rsidRPr="00CC1ADD" w:rsidRDefault="00C14D9F" w:rsidP="00B06350">
      <w:pPr>
        <w:pStyle w:val="mpcNormal"/>
        <w:keepNext w:val="0"/>
      </w:pPr>
    </w:p>
    <w:p w14:paraId="3A8B929E" w14:textId="6D9EB6F6" w:rsidR="00C14D9F" w:rsidRPr="00CC1ADD" w:rsidRDefault="00C14D9F" w:rsidP="0013165D">
      <w:pPr>
        <w:pStyle w:val="mpcNormal"/>
        <w:keepNext w:val="0"/>
      </w:pPr>
      <w:r w:rsidRPr="00CC1ADD">
        <w:t>Food systems are changing rapidly, with pre-packaged foods and beverages more readily available in all parts of the world.</w:t>
      </w:r>
      <w:r w:rsidRPr="00CC1ADD">
        <w:rPr>
          <w:rStyle w:val="FootnoteReference"/>
          <w:sz w:val="22"/>
        </w:rPr>
        <w:footnoteReference w:id="1"/>
      </w:r>
      <w:r w:rsidRPr="00CC1ADD">
        <w:t xml:space="preserve"> </w:t>
      </w:r>
      <w:r w:rsidR="00750858">
        <w:t>Governments worldwide are grappling with the impact of these changing food systems and the increasing consumption of packaged foods and beverages. In Australia and New Zealand, c</w:t>
      </w:r>
      <w:r w:rsidRPr="00CC1ADD">
        <w:t>onsumers have a wide range of food and beverage choices. Th</w:t>
      </w:r>
      <w:r w:rsidR="00750858">
        <w:t>ese</w:t>
      </w:r>
      <w:r w:rsidRPr="00CC1ADD">
        <w:t xml:space="preserve"> choice</w:t>
      </w:r>
      <w:r w:rsidR="00750858">
        <w:t>s</w:t>
      </w:r>
      <w:r w:rsidRPr="00CC1ADD">
        <w:t xml:space="preserve"> can be influenced by price, access and convenience, as well as personal circumstances, dietary needs</w:t>
      </w:r>
      <w:r w:rsidR="00D9417D">
        <w:t>, cultural values</w:t>
      </w:r>
      <w:r w:rsidRPr="00CC1ADD">
        <w:t xml:space="preserve"> and perceptions of quality and healthiness.  </w:t>
      </w:r>
    </w:p>
    <w:p w14:paraId="17847CA3" w14:textId="77777777" w:rsidR="00C14D9F" w:rsidRPr="00CC1ADD" w:rsidRDefault="00C14D9F" w:rsidP="0013165D">
      <w:pPr>
        <w:pStyle w:val="mpcNormal"/>
        <w:keepNext w:val="0"/>
      </w:pPr>
    </w:p>
    <w:p w14:paraId="6C5B5734" w14:textId="42458B9D" w:rsidR="00C14D9F" w:rsidRPr="00CC1ADD" w:rsidRDefault="00C05BF5" w:rsidP="0013165D">
      <w:pPr>
        <w:pStyle w:val="mpcNormal"/>
        <w:keepNext w:val="0"/>
      </w:pPr>
      <w:r>
        <w:t>In 2014, fo</w:t>
      </w:r>
      <w:r w:rsidR="00C14D9F" w:rsidRPr="00CC1ADD">
        <w:t xml:space="preserve">llowing </w:t>
      </w:r>
      <w:r w:rsidR="00C14D9F" w:rsidRPr="00CC1ADD">
        <w:rPr>
          <w:rFonts w:eastAsiaTheme="minorEastAsia"/>
          <w:lang w:eastAsia="en-AU"/>
        </w:rPr>
        <w:t xml:space="preserve">a comprehensive independent review of food labelling law and policy, </w:t>
      </w:r>
      <w:r w:rsidR="00C14D9F" w:rsidRPr="00CC1ADD">
        <w:t>the Health Star Rating (HSR) System was introduced in Australia and New Zealand</w:t>
      </w:r>
      <w:r>
        <w:t xml:space="preserve">. </w:t>
      </w:r>
      <w:r w:rsidR="00C14D9F" w:rsidRPr="00CC1ADD">
        <w:t xml:space="preserve">The HSR System is a voluntary </w:t>
      </w:r>
      <w:r w:rsidR="0055696F" w:rsidRPr="00CC1ADD">
        <w:t>front</w:t>
      </w:r>
      <w:r>
        <w:noBreakHyphen/>
      </w:r>
      <w:r w:rsidR="0055696F" w:rsidRPr="00CC1ADD">
        <w:t>of</w:t>
      </w:r>
      <w:r>
        <w:noBreakHyphen/>
      </w:r>
      <w:r w:rsidR="0055696F" w:rsidRPr="00CC1ADD">
        <w:t>pack labelling (FoPL)</w:t>
      </w:r>
      <w:r w:rsidR="00C14D9F" w:rsidRPr="00CC1ADD">
        <w:t xml:space="preserve"> scheme that rates the overall nutritional profile of packaged food and assigns it a</w:t>
      </w:r>
      <w:r w:rsidR="0055696F" w:rsidRPr="00CC1ADD">
        <w:t>n interpretive</w:t>
      </w:r>
      <w:r w:rsidR="00C14D9F" w:rsidRPr="00CC1ADD">
        <w:t xml:space="preserve"> rating from 0.5 to 5 stars</w:t>
      </w:r>
      <w:r>
        <w:t xml:space="preserve"> – the higher the stars, the healthier the product.</w:t>
      </w:r>
      <w:r w:rsidR="00C14D9F" w:rsidRPr="00CC1ADD">
        <w:t xml:space="preserve"> </w:t>
      </w:r>
      <w:r w:rsidR="00336DB3">
        <w:t>T</w:t>
      </w:r>
      <w:r w:rsidR="00C14D9F" w:rsidRPr="00CC1ADD">
        <w:t>he objective of the HSR System is to provide convenient, relevant and readily understood nutrition guidance to assist consumers to make informed food purchases and healthier eating choices.</w:t>
      </w:r>
    </w:p>
    <w:p w14:paraId="072D5CBB" w14:textId="77777777" w:rsidR="00C14D9F" w:rsidRPr="00CC1ADD" w:rsidRDefault="00C14D9F" w:rsidP="0013165D">
      <w:pPr>
        <w:pStyle w:val="mpcNormal"/>
        <w:keepNext w:val="0"/>
      </w:pPr>
    </w:p>
    <w:p w14:paraId="724B28B4" w14:textId="6413FAE8" w:rsidR="00C14D9F" w:rsidRPr="00CC1ADD" w:rsidRDefault="00C14D9F" w:rsidP="0013165D">
      <w:pPr>
        <w:pStyle w:val="mpcNormal"/>
        <w:keepNext w:val="0"/>
      </w:pPr>
      <w:r w:rsidRPr="00CC1ADD">
        <w:t xml:space="preserve">As detailed in this </w:t>
      </w:r>
      <w:r w:rsidR="0055696F" w:rsidRPr="00CC1ADD">
        <w:t>R</w:t>
      </w:r>
      <w:r w:rsidRPr="00CC1ADD">
        <w:t xml:space="preserve">eport, mpconsulting has undertaken an extensive review of the HSR System to examine the impact of the System, the extent to which the objectives of the System have been met and to identify how the System could be improved. </w:t>
      </w:r>
    </w:p>
    <w:p w14:paraId="48657920" w14:textId="77777777" w:rsidR="00C14D9F" w:rsidRPr="00CC1ADD" w:rsidRDefault="00C14D9F" w:rsidP="0013165D">
      <w:pPr>
        <w:pStyle w:val="mpcNormal"/>
        <w:keepNext w:val="0"/>
      </w:pPr>
    </w:p>
    <w:p w14:paraId="77E4A4A7" w14:textId="33656941" w:rsidR="00C14D9F" w:rsidRPr="00CC1ADD" w:rsidRDefault="00C14D9F" w:rsidP="0013165D">
      <w:pPr>
        <w:pStyle w:val="mpcNormal"/>
        <w:keepNext w:val="0"/>
      </w:pPr>
      <w:r w:rsidRPr="00CC1ADD">
        <w:t>We have consulted widely and have comprehensively reviewed stakeholder submissions, expert studies, evidence about food technology, nutrition science</w:t>
      </w:r>
      <w:r w:rsidR="00B33DA3">
        <w:t xml:space="preserve"> and</w:t>
      </w:r>
      <w:r w:rsidRPr="00CC1ADD">
        <w:t xml:space="preserve"> the influence of diet on population health and the </w:t>
      </w:r>
      <w:r w:rsidR="00B33DA3">
        <w:t xml:space="preserve">monitoring data regarding </w:t>
      </w:r>
      <w:r w:rsidRPr="00CC1ADD">
        <w:t xml:space="preserve">performance of the HSR System. We have considered comparable </w:t>
      </w:r>
      <w:r w:rsidR="004D2427">
        <w:t>FoPL schemes</w:t>
      </w:r>
      <w:r w:rsidR="004D2427" w:rsidRPr="00CC1ADD">
        <w:t xml:space="preserve"> </w:t>
      </w:r>
      <w:r w:rsidRPr="00CC1ADD">
        <w:t xml:space="preserve">around the world and spoken with a range of experts. </w:t>
      </w:r>
    </w:p>
    <w:p w14:paraId="198D8751" w14:textId="77777777" w:rsidR="00C14D9F" w:rsidRPr="00CC1ADD" w:rsidRDefault="00C14D9F" w:rsidP="0013165D">
      <w:pPr>
        <w:pStyle w:val="mpcNormal"/>
        <w:keepNext w:val="0"/>
      </w:pPr>
    </w:p>
    <w:p w14:paraId="658CF096" w14:textId="2C2ED2AD" w:rsidR="00C14D9F" w:rsidRPr="00CC1ADD" w:rsidRDefault="00C14D9F" w:rsidP="0013165D">
      <w:pPr>
        <w:pStyle w:val="mpcNormal"/>
        <w:keepNext w:val="0"/>
      </w:pPr>
      <w:r w:rsidRPr="00CC1ADD">
        <w:t>Throughout this process</w:t>
      </w:r>
      <w:r w:rsidR="0055696F" w:rsidRPr="00CC1ADD">
        <w:t>,</w:t>
      </w:r>
      <w:r w:rsidRPr="00CC1ADD">
        <w:t xml:space="preserve"> we have been mindful that expert opinions</w:t>
      </w:r>
      <w:r w:rsidR="0055696F" w:rsidRPr="00CC1ADD">
        <w:t xml:space="preserve"> on food and nutrition</w:t>
      </w:r>
      <w:r w:rsidRPr="00CC1ADD">
        <w:t xml:space="preserve"> differ, evidence is contested and there are limitations </w:t>
      </w:r>
      <w:r w:rsidR="00750858">
        <w:t>o</w:t>
      </w:r>
      <w:r w:rsidRPr="00CC1ADD">
        <w:t>n</w:t>
      </w:r>
      <w:r w:rsidR="0055696F" w:rsidRPr="00CC1ADD">
        <w:t xml:space="preserve"> the available</w:t>
      </w:r>
      <w:r w:rsidRPr="00CC1ADD">
        <w:t xml:space="preserve"> data. </w:t>
      </w:r>
      <w:r w:rsidR="00750858">
        <w:t>P</w:t>
      </w:r>
      <w:r w:rsidRPr="00CC1ADD">
        <w:t xml:space="preserve">eople </w:t>
      </w:r>
      <w:r w:rsidR="00750858">
        <w:t>are</w:t>
      </w:r>
      <w:r w:rsidRPr="00CC1ADD">
        <w:t xml:space="preserve"> passionate about food and</w:t>
      </w:r>
      <w:r w:rsidR="0055696F" w:rsidRPr="00CC1ADD">
        <w:t xml:space="preserve"> </w:t>
      </w:r>
      <w:r w:rsidR="00D9417D">
        <w:t xml:space="preserve">some </w:t>
      </w:r>
      <w:r w:rsidRPr="00CC1ADD">
        <w:t>stakeholder opinions are informed by personal views about what the population should be eating</w:t>
      </w:r>
      <w:r w:rsidR="0055696F" w:rsidRPr="00CC1ADD">
        <w:t xml:space="preserve">, </w:t>
      </w:r>
      <w:r w:rsidRPr="00CC1ADD">
        <w:t xml:space="preserve">what </w:t>
      </w:r>
      <w:r w:rsidR="0055696F" w:rsidRPr="00CC1ADD">
        <w:t>they consider</w:t>
      </w:r>
      <w:r w:rsidRPr="00CC1ADD">
        <w:t xml:space="preserve"> </w:t>
      </w:r>
      <w:r w:rsidR="0055696F" w:rsidRPr="00CC1ADD">
        <w:t>‘</w:t>
      </w:r>
      <w:r w:rsidRPr="00CC1ADD">
        <w:t>healthy</w:t>
      </w:r>
      <w:r w:rsidR="0055696F" w:rsidRPr="00CC1ADD">
        <w:t>’</w:t>
      </w:r>
      <w:r w:rsidRPr="00CC1ADD">
        <w:t xml:space="preserve"> versus </w:t>
      </w:r>
      <w:r w:rsidR="0055696F" w:rsidRPr="00CC1ADD">
        <w:t>‘</w:t>
      </w:r>
      <w:r w:rsidRPr="00CC1ADD">
        <w:t>unhealthy</w:t>
      </w:r>
      <w:r w:rsidR="0055696F" w:rsidRPr="00CC1ADD">
        <w:t xml:space="preserve">’ </w:t>
      </w:r>
      <w:r w:rsidRPr="00CC1ADD">
        <w:t>and individual preferences rather than a detailed understanding of nutrition science, the HSR Calculator or the Dietary Guidelines.</w:t>
      </w:r>
    </w:p>
    <w:p w14:paraId="6AF6933D" w14:textId="0BF4C4A3" w:rsidR="00C14D9F" w:rsidRDefault="00C14D9F" w:rsidP="005A25A2">
      <w:pPr>
        <w:pStyle w:val="mpcNormal"/>
        <w:keepNext w:val="0"/>
      </w:pPr>
    </w:p>
    <w:p w14:paraId="4828682C" w14:textId="49AE5C0A" w:rsidR="004D2427" w:rsidRDefault="004D2427" w:rsidP="0013165D">
      <w:pPr>
        <w:pStyle w:val="mpcheading4"/>
      </w:pPr>
      <w:r>
        <w:t>Key findings</w:t>
      </w:r>
    </w:p>
    <w:p w14:paraId="6898446B" w14:textId="77777777" w:rsidR="004D2427" w:rsidRPr="00CC1ADD" w:rsidRDefault="004D2427" w:rsidP="0013165D">
      <w:pPr>
        <w:pStyle w:val="mpcNormal"/>
        <w:keepNext w:val="0"/>
      </w:pPr>
    </w:p>
    <w:p w14:paraId="107B88D1" w14:textId="5C8583F3" w:rsidR="00C14D9F" w:rsidRPr="00CC1ADD" w:rsidRDefault="004D2427" w:rsidP="0013165D">
      <w:pPr>
        <w:pStyle w:val="mpcNormal"/>
        <w:keepNext w:val="0"/>
      </w:pPr>
      <w:r>
        <w:t>T</w:t>
      </w:r>
      <w:r w:rsidR="00C14D9F" w:rsidRPr="00CC1ADD">
        <w:t>he Review recommends that the HSR System should be continued</w:t>
      </w:r>
      <w:r w:rsidR="00D9417D">
        <w:t xml:space="preserve"> as a voluntary </w:t>
      </w:r>
      <w:r w:rsidR="00030E35">
        <w:t xml:space="preserve">FoPL </w:t>
      </w:r>
      <w:r>
        <w:t>scheme</w:t>
      </w:r>
      <w:r w:rsidR="00C14D9F" w:rsidRPr="00CC1ADD">
        <w:t xml:space="preserve">.  </w:t>
      </w:r>
    </w:p>
    <w:p w14:paraId="6E3C84ED" w14:textId="77777777" w:rsidR="00C14D9F" w:rsidRPr="00CC1ADD" w:rsidRDefault="00C14D9F" w:rsidP="0013165D">
      <w:pPr>
        <w:pStyle w:val="mpcNormal"/>
        <w:keepNext w:val="0"/>
      </w:pPr>
    </w:p>
    <w:p w14:paraId="52DA1AE9" w14:textId="7CCDD221" w:rsidR="00FE54AF" w:rsidRPr="00CC1ADD" w:rsidRDefault="00FE54AF" w:rsidP="0013165D">
      <w:pPr>
        <w:pStyle w:val="mpcNormal"/>
        <w:keepNext w:val="0"/>
      </w:pPr>
      <w:r w:rsidRPr="00CC1ADD">
        <w:t xml:space="preserve">Monitoring data strongly indicates that, despite some challenges in measuring the public health impact of the </w:t>
      </w:r>
      <w:r w:rsidR="00C82D90">
        <w:t xml:space="preserve">HSR </w:t>
      </w:r>
      <w:r w:rsidRPr="00CC1ADD">
        <w:t xml:space="preserve">System, the System is generally well used, recognised, reliable and has the potential to be a successful public health intervention by assisting consumers to make healthier choices when </w:t>
      </w:r>
      <w:r w:rsidR="0055696F" w:rsidRPr="00CC1ADD">
        <w:t>purchasing</w:t>
      </w:r>
      <w:r w:rsidRPr="00CC1ADD">
        <w:t xml:space="preserve"> packaged foods</w:t>
      </w:r>
      <w:r w:rsidR="0055696F" w:rsidRPr="00CC1ADD">
        <w:t xml:space="preserve"> and beverages</w:t>
      </w:r>
      <w:r w:rsidRPr="00CC1ADD">
        <w:t xml:space="preserve">. </w:t>
      </w:r>
    </w:p>
    <w:p w14:paraId="14473284" w14:textId="77777777" w:rsidR="00FE54AF" w:rsidRPr="00CC1ADD" w:rsidRDefault="00FE54AF" w:rsidP="0013165D">
      <w:pPr>
        <w:pStyle w:val="mpcNormal"/>
        <w:keepNext w:val="0"/>
      </w:pPr>
    </w:p>
    <w:p w14:paraId="16DC1E47" w14:textId="3ACC8368" w:rsidR="009374A6" w:rsidRPr="00275BD2" w:rsidRDefault="00FE54AF" w:rsidP="009374A6">
      <w:pPr>
        <w:pStyle w:val="mpcNormal"/>
        <w:keepNext w:val="0"/>
        <w:rPr>
          <w:lang w:bidi="ar-DZ"/>
        </w:rPr>
      </w:pPr>
      <w:r w:rsidRPr="004A22EE">
        <w:t xml:space="preserve">Of particular note is recent Australian survey data </w:t>
      </w:r>
      <w:r w:rsidR="0055696F" w:rsidRPr="004A22EE">
        <w:t>which</w:t>
      </w:r>
      <w:r w:rsidRPr="004A22EE">
        <w:t xml:space="preserve"> shows that </w:t>
      </w:r>
      <w:r w:rsidR="009374A6" w:rsidRPr="004A22EE">
        <w:t xml:space="preserve">of consumers purchasing a product </w:t>
      </w:r>
      <w:r w:rsidRPr="004A22EE">
        <w:t>displaying the HSR</w:t>
      </w:r>
      <w:r w:rsidR="009374A6" w:rsidRPr="004A22EE">
        <w:t xml:space="preserve"> in the last three months,</w:t>
      </w:r>
      <w:r w:rsidR="008C5CBA">
        <w:t xml:space="preserve"> almost</w:t>
      </w:r>
      <w:r w:rsidR="009374A6" w:rsidRPr="004A22EE">
        <w:t xml:space="preserve"> </w:t>
      </w:r>
      <w:r w:rsidR="004A22EE" w:rsidRPr="004A22EE">
        <w:t xml:space="preserve">two thirds stated </w:t>
      </w:r>
      <w:r w:rsidR="008C5CBA">
        <w:t xml:space="preserve">that </w:t>
      </w:r>
      <w:r w:rsidR="004A22EE" w:rsidRPr="004A22EE">
        <w:t>the HSR influenced their decision</w:t>
      </w:r>
      <w:r w:rsidR="008C5CBA">
        <w:t xml:space="preserve"> and one</w:t>
      </w:r>
      <w:r w:rsidR="004A22EE" w:rsidRPr="004A22EE">
        <w:t xml:space="preserve"> third </w:t>
      </w:r>
      <w:r w:rsidR="009374A6" w:rsidRPr="004A22EE">
        <w:rPr>
          <w:lang w:bidi="ar-DZ"/>
        </w:rPr>
        <w:t>were influenced to purchase a product with more stars. This equates to 23% of all consumers being influenced by the HSR to change their purchasing behaviour to purchase a product with more stars.</w:t>
      </w:r>
      <w:r w:rsidR="009374A6" w:rsidRPr="00275BD2">
        <w:rPr>
          <w:lang w:bidi="ar-DZ"/>
        </w:rPr>
        <w:t xml:space="preserve">  </w:t>
      </w:r>
    </w:p>
    <w:p w14:paraId="4E6209B5" w14:textId="77777777" w:rsidR="00C14D9F" w:rsidRPr="00CC1ADD" w:rsidRDefault="00C14D9F" w:rsidP="0013165D">
      <w:pPr>
        <w:pStyle w:val="mpcNormal"/>
        <w:keepNext w:val="0"/>
      </w:pPr>
    </w:p>
    <w:p w14:paraId="221B56B9" w14:textId="0B8270A1" w:rsidR="00C14D9F" w:rsidRPr="00CC1ADD" w:rsidRDefault="00C14D9F" w:rsidP="0013165D">
      <w:pPr>
        <w:pStyle w:val="mpcNormal"/>
        <w:keepNext w:val="0"/>
      </w:pPr>
      <w:r w:rsidRPr="00CC1ADD">
        <w:t>This is</w:t>
      </w:r>
      <w:r w:rsidR="002439E8" w:rsidRPr="00CC1ADD">
        <w:t xml:space="preserve"> in</w:t>
      </w:r>
      <w:r w:rsidRPr="00CC1ADD">
        <w:t xml:space="preserve"> line with other research </w:t>
      </w:r>
      <w:r w:rsidR="00B33DA3">
        <w:t>that</w:t>
      </w:r>
      <w:r w:rsidR="00B33DA3" w:rsidRPr="00CC1ADD">
        <w:t xml:space="preserve"> </w:t>
      </w:r>
      <w:r w:rsidRPr="00CC1ADD">
        <w:t xml:space="preserve">found more than three in five Australians who bought a product </w:t>
      </w:r>
      <w:r w:rsidR="00FC782A">
        <w:t>displaying</w:t>
      </w:r>
      <w:r w:rsidRPr="00CC1ADD">
        <w:t xml:space="preserve"> the HSR reported that it had influenced their product choice. One in two purchased a product they would not normally buy due to the presence of the HSR and close to nine in 10 of these shoppers said they would continue to buy the product.</w:t>
      </w:r>
    </w:p>
    <w:p w14:paraId="0DDAB540" w14:textId="77777777" w:rsidR="00C14D9F" w:rsidRPr="00CC1ADD" w:rsidRDefault="00C14D9F" w:rsidP="009374A6">
      <w:pPr>
        <w:pStyle w:val="mpcNormal"/>
        <w:keepNext w:val="0"/>
      </w:pPr>
    </w:p>
    <w:p w14:paraId="1A681B04" w14:textId="281ECEF3" w:rsidR="00C14D9F" w:rsidRDefault="00C14D9F" w:rsidP="009374A6">
      <w:pPr>
        <w:pStyle w:val="mpcNormal"/>
        <w:keepNext w:val="0"/>
      </w:pPr>
      <w:r w:rsidRPr="00CC1ADD">
        <w:t>In New Zealand</w:t>
      </w:r>
      <w:r w:rsidR="002439E8" w:rsidRPr="00CC1ADD">
        <w:t>,</w:t>
      </w:r>
      <w:r w:rsidRPr="00CC1ADD">
        <w:t xml:space="preserve"> 28% of consumers report using the HSR to help choose packaged food, with 88% choosing the product with more stars.</w:t>
      </w:r>
    </w:p>
    <w:p w14:paraId="40F61433" w14:textId="3B71ACCA" w:rsidR="00AF3738" w:rsidRDefault="00AF3738" w:rsidP="009374A6">
      <w:pPr>
        <w:pStyle w:val="mpcNormal"/>
        <w:keepNext w:val="0"/>
      </w:pPr>
    </w:p>
    <w:p w14:paraId="79C652A9" w14:textId="42235DA4" w:rsidR="00091684" w:rsidRDefault="00AF3738" w:rsidP="009374A6">
      <w:pPr>
        <w:pStyle w:val="mpcNormal"/>
        <w:keepNext w:val="0"/>
      </w:pPr>
      <w:r>
        <w:t xml:space="preserve">It is also clear that the HSR System is encouraging positive reformulation, with industry providing </w:t>
      </w:r>
      <w:r w:rsidR="000C64AF">
        <w:t xml:space="preserve">examples of products that have been reformulated to increase </w:t>
      </w:r>
      <w:r w:rsidR="000C64AF" w:rsidRPr="004A22EE">
        <w:t>their HSR. This is supported by research</w:t>
      </w:r>
      <w:r w:rsidR="009374A6" w:rsidRPr="004A22EE">
        <w:t>:</w:t>
      </w:r>
      <w:r w:rsidR="000C64AF" w:rsidRPr="004A22EE">
        <w:t xml:space="preserve"> in</w:t>
      </w:r>
      <w:r w:rsidR="00091684" w:rsidRPr="004A22EE">
        <w:t xml:space="preserve"> </w:t>
      </w:r>
      <w:r w:rsidR="009374A6" w:rsidRPr="004A22EE">
        <w:t>New Zealand, which found that 79% of products displaying the HSR had reformulated si</w:t>
      </w:r>
      <w:r w:rsidR="00175CE9" w:rsidRPr="004A22EE">
        <w:t>n</w:t>
      </w:r>
      <w:r w:rsidR="009374A6" w:rsidRPr="004A22EE">
        <w:t>ce 2014</w:t>
      </w:r>
      <w:r w:rsidR="00175CE9" w:rsidRPr="004A22EE">
        <w:t xml:space="preserve"> to change at least one key nutrient by a minimum of 5%; and in </w:t>
      </w:r>
      <w:r w:rsidR="00091684" w:rsidRPr="004A22EE">
        <w:t>Australia</w:t>
      </w:r>
      <w:r w:rsidR="00175CE9" w:rsidRPr="004A22EE">
        <w:t>, which found</w:t>
      </w:r>
      <w:r w:rsidR="00091684" w:rsidRPr="004A22EE">
        <w:t xml:space="preserve"> statistically significant reductions in energy and saturated fat content </w:t>
      </w:r>
      <w:r w:rsidR="00175CE9" w:rsidRPr="004A22EE">
        <w:t xml:space="preserve">in products displaying the HSR </w:t>
      </w:r>
      <w:r w:rsidR="00091684" w:rsidRPr="004A22EE">
        <w:t>over the four years since the System was introduced compared to those not displaying the HSR.</w:t>
      </w:r>
    </w:p>
    <w:p w14:paraId="2DA059DE" w14:textId="7BA4615A" w:rsidR="0033730F" w:rsidRDefault="0033730F" w:rsidP="005A25A2">
      <w:pPr>
        <w:pStyle w:val="mpcNormal"/>
        <w:keepNext w:val="0"/>
      </w:pPr>
    </w:p>
    <w:p w14:paraId="6C37B360" w14:textId="2F728BE0" w:rsidR="0033730F" w:rsidRPr="00AF3738" w:rsidRDefault="0033730F" w:rsidP="0013165D">
      <w:pPr>
        <w:pStyle w:val="mpcheading4"/>
      </w:pPr>
      <w:r>
        <w:t>Opportunities for improvement</w:t>
      </w:r>
    </w:p>
    <w:p w14:paraId="26E115DD" w14:textId="77777777" w:rsidR="00C14D9F" w:rsidRPr="00CC1ADD" w:rsidRDefault="00C14D9F" w:rsidP="0013165D">
      <w:pPr>
        <w:pStyle w:val="mpcNormal"/>
        <w:keepNext w:val="0"/>
      </w:pPr>
    </w:p>
    <w:p w14:paraId="186956D4" w14:textId="14C8B4BF" w:rsidR="00C14D9F" w:rsidRPr="00CC1ADD" w:rsidRDefault="00C14D9F" w:rsidP="0013165D">
      <w:pPr>
        <w:pStyle w:val="mpcNormal"/>
        <w:keepNext w:val="0"/>
      </w:pPr>
      <w:r w:rsidRPr="00CC1ADD">
        <w:t xml:space="preserve">Acknowledging that overall the HSR System is performing well, the recommendations of the Review focus on changes to improve the </w:t>
      </w:r>
      <w:r w:rsidR="0033730F">
        <w:t xml:space="preserve">operation, uptake and management of the </w:t>
      </w:r>
      <w:r w:rsidRPr="00CC1ADD">
        <w:t>System</w:t>
      </w:r>
      <w:r w:rsidR="002439E8" w:rsidRPr="00CC1ADD">
        <w:t>, including:</w:t>
      </w:r>
    </w:p>
    <w:p w14:paraId="1C34B91E" w14:textId="77777777" w:rsidR="00C14D9F" w:rsidRPr="00CC1ADD" w:rsidRDefault="00C14D9F" w:rsidP="0013165D">
      <w:pPr>
        <w:pStyle w:val="mpcNormal"/>
        <w:keepNext w:val="0"/>
      </w:pPr>
    </w:p>
    <w:p w14:paraId="4504D2BF" w14:textId="2C725D9D" w:rsidR="00E07CA7" w:rsidRPr="00CC1ADD" w:rsidRDefault="006C6A0E" w:rsidP="00F720A0">
      <w:pPr>
        <w:pStyle w:val="mpcbullets1"/>
      </w:pPr>
      <w:r>
        <w:t xml:space="preserve">a </w:t>
      </w:r>
      <w:r w:rsidR="004A22EE">
        <w:t>package</w:t>
      </w:r>
      <w:r>
        <w:t xml:space="preserve"> of </w:t>
      </w:r>
      <w:r w:rsidR="0033730F">
        <w:t>adjustments</w:t>
      </w:r>
      <w:r w:rsidR="0033730F" w:rsidRPr="00CC1ADD">
        <w:t xml:space="preserve"> </w:t>
      </w:r>
      <w:r w:rsidR="00C14D9F" w:rsidRPr="00CC1ADD">
        <w:t>to the HSR Calculator to better align with Dietary Guidelines</w:t>
      </w:r>
      <w:r w:rsidR="0033730F">
        <w:t>;</w:t>
      </w:r>
      <w:r w:rsidR="00C14D9F" w:rsidRPr="00CC1ADD">
        <w:t xml:space="preserve"> reflect emerging evidence</w:t>
      </w:r>
      <w:r w:rsidR="0033730F">
        <w:t>;</w:t>
      </w:r>
      <w:r w:rsidR="00C14D9F" w:rsidRPr="00CC1ADD">
        <w:t xml:space="preserve"> address consumer concerns</w:t>
      </w:r>
      <w:r w:rsidR="0033730F">
        <w:t>;</w:t>
      </w:r>
      <w:r w:rsidR="00C14D9F" w:rsidRPr="00CC1ADD">
        <w:t xml:space="preserve"> and encourage positive </w:t>
      </w:r>
      <w:r w:rsidR="00FE54AF" w:rsidRPr="00CC1ADD">
        <w:t>reformulation</w:t>
      </w:r>
    </w:p>
    <w:p w14:paraId="48BA2CE2" w14:textId="6FCF3BC0" w:rsidR="00FE54AF" w:rsidRPr="00CC1ADD" w:rsidRDefault="00FE54AF" w:rsidP="0013165D">
      <w:pPr>
        <w:pStyle w:val="mpcbullets2"/>
        <w:keepNext w:val="0"/>
      </w:pPr>
      <w:r w:rsidRPr="00CC1ADD">
        <w:t>The</w:t>
      </w:r>
      <w:r w:rsidR="0033730F">
        <w:t xml:space="preserve">se </w:t>
      </w:r>
      <w:r w:rsidRPr="00CC1ADD">
        <w:t>changes would see decreases to th</w:t>
      </w:r>
      <w:r w:rsidR="00E07CA7" w:rsidRPr="00CC1ADD">
        <w:t xml:space="preserve">e </w:t>
      </w:r>
      <w:r w:rsidRPr="00CC1ADD">
        <w:t>HSR</w:t>
      </w:r>
      <w:r w:rsidR="002439E8" w:rsidRPr="00CC1ADD">
        <w:t>s</w:t>
      </w:r>
      <w:r w:rsidRPr="00CC1ADD">
        <w:t xml:space="preserve"> of approxima</w:t>
      </w:r>
      <w:r w:rsidR="00E07CA7" w:rsidRPr="00CC1ADD">
        <w:t>tely 8</w:t>
      </w:r>
      <w:r w:rsidRPr="00CC1ADD">
        <w:t xml:space="preserve">% of products </w:t>
      </w:r>
      <w:r w:rsidR="00E07CA7" w:rsidRPr="00CC1ADD">
        <w:t>(mostly</w:t>
      </w:r>
      <w:r w:rsidR="002439E8" w:rsidRPr="00CC1ADD">
        <w:t xml:space="preserve"> </w:t>
      </w:r>
      <w:r w:rsidR="00E07CA7" w:rsidRPr="00CC1ADD">
        <w:t xml:space="preserve">discretionary foods) </w:t>
      </w:r>
      <w:r w:rsidRPr="00CC1ADD">
        <w:t>and increases to th</w:t>
      </w:r>
      <w:r w:rsidR="00E07CA7" w:rsidRPr="00CC1ADD">
        <w:t>e</w:t>
      </w:r>
      <w:r w:rsidRPr="00CC1ADD">
        <w:t xml:space="preserve"> HSR</w:t>
      </w:r>
      <w:r w:rsidR="002439E8" w:rsidRPr="00CC1ADD">
        <w:t>s</w:t>
      </w:r>
      <w:r w:rsidRPr="00CC1ADD">
        <w:t xml:space="preserve"> of approximately </w:t>
      </w:r>
      <w:r w:rsidR="00E07CA7" w:rsidRPr="00CC1ADD">
        <w:t xml:space="preserve">15% of products (mostly </w:t>
      </w:r>
      <w:r w:rsidR="00744408">
        <w:t>Four/Five Food Group (</w:t>
      </w:r>
      <w:r w:rsidR="002439E8" w:rsidRPr="00CC1ADD">
        <w:t>FFG</w:t>
      </w:r>
      <w:r w:rsidR="00744408">
        <w:t>)</w:t>
      </w:r>
      <w:r w:rsidR="00E07CA7" w:rsidRPr="00CC1ADD">
        <w:t xml:space="preserve"> foods such as </w:t>
      </w:r>
      <w:r w:rsidR="002439E8" w:rsidRPr="00CC1ADD">
        <w:t xml:space="preserve">fruits and vegetables, </w:t>
      </w:r>
      <w:r w:rsidR="00E07CA7" w:rsidRPr="00CC1ADD">
        <w:t>yoghurts</w:t>
      </w:r>
      <w:r w:rsidR="0033730F">
        <w:t xml:space="preserve"> and</w:t>
      </w:r>
      <w:r w:rsidR="00E07CA7" w:rsidRPr="00CC1ADD">
        <w:t xml:space="preserve"> che</w:t>
      </w:r>
      <w:r w:rsidR="002439E8" w:rsidRPr="00CC1ADD">
        <w:t>e</w:t>
      </w:r>
      <w:r w:rsidR="00E07CA7" w:rsidRPr="00CC1ADD">
        <w:t>ses).</w:t>
      </w:r>
    </w:p>
    <w:p w14:paraId="57103328" w14:textId="3337D76F" w:rsidR="00C14D9F" w:rsidRPr="00CC1ADD" w:rsidRDefault="00C14D9F" w:rsidP="00C3403E">
      <w:pPr>
        <w:pStyle w:val="mpcNormal"/>
        <w:keepNext w:val="0"/>
        <w:numPr>
          <w:ilvl w:val="0"/>
          <w:numId w:val="28"/>
        </w:numPr>
      </w:pPr>
      <w:r w:rsidRPr="00CC1ADD">
        <w:t>improving the management and monitoring of the HSR System</w:t>
      </w:r>
    </w:p>
    <w:p w14:paraId="0B14723D" w14:textId="6DC2B2A9" w:rsidR="00E07CA7" w:rsidRPr="00CC1ADD" w:rsidRDefault="00E07CA7" w:rsidP="0013165D">
      <w:pPr>
        <w:pStyle w:val="mpcbullets2"/>
        <w:keepNext w:val="0"/>
      </w:pPr>
      <w:r w:rsidRPr="00CC1ADD">
        <w:t>The proposed changes are designed to ensure that the critical infrastructure is in place to monitor the System (as well as food composition and consumption more broadly) and the System is responsive to industry queries and consumer concerns.</w:t>
      </w:r>
    </w:p>
    <w:p w14:paraId="13594AD4" w14:textId="46D9F925" w:rsidR="00FC782A" w:rsidRPr="00CC1ADD" w:rsidRDefault="00FC782A" w:rsidP="00FC782A">
      <w:pPr>
        <w:pStyle w:val="mpcNormal"/>
        <w:keepNext w:val="0"/>
        <w:numPr>
          <w:ilvl w:val="0"/>
          <w:numId w:val="4"/>
        </w:numPr>
      </w:pPr>
      <w:r>
        <w:t>optimising</w:t>
      </w:r>
      <w:r w:rsidRPr="00CC1ADD">
        <w:t xml:space="preserve"> uptake of the HSR System, including through setting uptake targets</w:t>
      </w:r>
      <w:r>
        <w:t>.</w:t>
      </w:r>
    </w:p>
    <w:p w14:paraId="639857DE" w14:textId="77777777" w:rsidR="00FC782A" w:rsidRPr="00CC1ADD" w:rsidRDefault="00FC782A" w:rsidP="00FC782A">
      <w:pPr>
        <w:pStyle w:val="mpcbullets2"/>
      </w:pPr>
      <w:r w:rsidRPr="00CC1ADD">
        <w:t>In 2018, the HSR was displayed on 3</w:t>
      </w:r>
      <w:r>
        <w:t>1</w:t>
      </w:r>
      <w:r w:rsidRPr="00CC1ADD">
        <w:t>% of eligible foods in Australia and 21% of eligible foods in New Zealand. Given the promising impact of the HSR System to date, a key focus for the coming years is increasing uptake of the HSR System and continuing to educate consumers about its use.</w:t>
      </w:r>
    </w:p>
    <w:p w14:paraId="23876F7B" w14:textId="77777777" w:rsidR="00C14D9F" w:rsidRPr="00CC1ADD" w:rsidRDefault="00C14D9F" w:rsidP="00175CE9">
      <w:pPr>
        <w:pStyle w:val="mpcNormal"/>
        <w:keepNext w:val="0"/>
      </w:pPr>
    </w:p>
    <w:tbl>
      <w:tblPr>
        <w:tblStyle w:val="TableGrid"/>
        <w:tblW w:w="0" w:type="auto"/>
        <w:tblLook w:val="04A0" w:firstRow="1" w:lastRow="0" w:firstColumn="1" w:lastColumn="0" w:noHBand="0" w:noVBand="1"/>
      </w:tblPr>
      <w:tblGrid>
        <w:gridCol w:w="9736"/>
      </w:tblGrid>
      <w:tr w:rsidR="00FE54AF" w:rsidRPr="00CC1ADD" w14:paraId="2D0DA76C" w14:textId="77777777" w:rsidTr="00FE54AF">
        <w:trPr>
          <w:trHeight w:val="1721"/>
        </w:trPr>
        <w:tc>
          <w:tcPr>
            <w:tcW w:w="9736" w:type="dxa"/>
            <w:shd w:val="clear" w:color="auto" w:fill="D9E2F3" w:themeFill="accent1" w:themeFillTint="33"/>
            <w:vAlign w:val="center"/>
          </w:tcPr>
          <w:p w14:paraId="1992BA9C" w14:textId="4CF84409" w:rsidR="00FE54AF" w:rsidRPr="00CC1ADD" w:rsidRDefault="00FE54AF" w:rsidP="00175CE9">
            <w:pPr>
              <w:pStyle w:val="mpcNormal"/>
              <w:keepNext w:val="0"/>
              <w:jc w:val="center"/>
            </w:pPr>
            <w:r w:rsidRPr="00CC1ADD">
              <w:t>We sincerely thank the wide range of academics, consumers, nutritionists and representatives from government, public health and industry who have shared their experiences and expertise and provided valuable information to inform the Review. We also extend our gratitude to the HSR Secretariat, Health Star Rating Advisory Committee (HSRAC) and the Technical Advisory Group (TAG) for their significant contribution to the Review.</w:t>
            </w:r>
          </w:p>
        </w:tc>
      </w:tr>
    </w:tbl>
    <w:p w14:paraId="7FDCAF46" w14:textId="77777777" w:rsidR="00FE54AF" w:rsidRPr="00CC1ADD" w:rsidRDefault="00FE54AF" w:rsidP="00175CE9">
      <w:pPr>
        <w:pStyle w:val="mpcNormal"/>
        <w:keepNext w:val="0"/>
      </w:pPr>
    </w:p>
    <w:p w14:paraId="1011E534" w14:textId="77777777" w:rsidR="00FE54AF" w:rsidRPr="00CC1ADD" w:rsidRDefault="00FE54AF" w:rsidP="00175CE9">
      <w:pPr>
        <w:pStyle w:val="mpcNormal"/>
        <w:keepNext w:val="0"/>
      </w:pPr>
    </w:p>
    <w:p w14:paraId="3A25775F" w14:textId="77777777" w:rsidR="00F43B13" w:rsidRPr="00CC1ADD" w:rsidRDefault="00F43B13" w:rsidP="00175CE9">
      <w:pPr>
        <w:pStyle w:val="mpcNormal"/>
        <w:keepNext w:val="0"/>
      </w:pPr>
    </w:p>
    <w:p w14:paraId="410ED982" w14:textId="77777777" w:rsidR="00C34CE7" w:rsidRPr="00CC1ADD" w:rsidRDefault="00F43B13">
      <w:pPr>
        <w:pStyle w:val="mpcheading1"/>
        <w:spacing w:after="0"/>
      </w:pPr>
      <w:r w:rsidRPr="00CC1ADD">
        <w:br w:type="column"/>
      </w:r>
      <w:bookmarkStart w:id="10" w:name="Recommendations"/>
      <w:bookmarkStart w:id="11" w:name="_Toc523141414"/>
      <w:bookmarkStart w:id="12" w:name="_Toc1746472"/>
      <w:bookmarkEnd w:id="9"/>
      <w:bookmarkEnd w:id="10"/>
      <w:r w:rsidR="00C34CE7" w:rsidRPr="00CC1ADD">
        <w:t>Recommendations</w:t>
      </w:r>
      <w:bookmarkEnd w:id="11"/>
      <w:bookmarkEnd w:id="12"/>
    </w:p>
    <w:p w14:paraId="71BB2AD0" w14:textId="628934E5" w:rsidR="00C34CE7" w:rsidRDefault="00C34CE7" w:rsidP="00175CE9">
      <w:pPr>
        <w:pStyle w:val="mpcNormal"/>
        <w:keepNext w:val="0"/>
      </w:pPr>
    </w:p>
    <w:p w14:paraId="1A934842" w14:textId="77777777" w:rsidR="00372E4A" w:rsidRPr="00AC4A48" w:rsidRDefault="00372E4A" w:rsidP="00A25D38">
      <w:pPr>
        <w:pStyle w:val="mpcNormal"/>
        <w:pBdr>
          <w:top w:val="single" w:sz="2" w:space="1" w:color="auto"/>
          <w:left w:val="single" w:sz="2" w:space="4" w:color="auto"/>
          <w:bottom w:val="single" w:sz="2" w:space="1" w:color="auto"/>
          <w:right w:val="single" w:sz="2" w:space="4" w:color="auto"/>
        </w:pBdr>
        <w:shd w:val="clear" w:color="auto" w:fill="4CB99B"/>
        <w:rPr>
          <w:b/>
          <w:color w:val="FFFFFF" w:themeColor="background1"/>
          <w:sz w:val="24"/>
          <w:lang w:eastAsia="en-GB"/>
        </w:rPr>
      </w:pPr>
      <w:bookmarkStart w:id="13" w:name="_Toc536717029"/>
      <w:bookmarkStart w:id="14" w:name="_Toc536718412"/>
      <w:bookmarkStart w:id="15" w:name="_Toc536808327"/>
      <w:bookmarkStart w:id="16" w:name="_Toc536809145"/>
      <w:bookmarkStart w:id="17" w:name="_Toc1554117"/>
      <w:r w:rsidRPr="00AC4A48">
        <w:rPr>
          <w:b/>
          <w:color w:val="FFFFFF" w:themeColor="background1"/>
          <w:sz w:val="24"/>
          <w:lang w:eastAsia="en-GB"/>
        </w:rPr>
        <w:t>HSR System impact (Chapter 3)</w:t>
      </w:r>
      <w:bookmarkEnd w:id="13"/>
      <w:bookmarkEnd w:id="14"/>
      <w:bookmarkEnd w:id="15"/>
      <w:bookmarkEnd w:id="16"/>
      <w:bookmarkEnd w:id="17"/>
    </w:p>
    <w:p w14:paraId="1F47C84C" w14:textId="77777777" w:rsidR="00372E4A" w:rsidRPr="00CC1ADD" w:rsidRDefault="00372E4A" w:rsidP="00372E4A">
      <w:pPr>
        <w:pStyle w:val="mpcNormal"/>
        <w:keepNext w:val="0"/>
      </w:pPr>
    </w:p>
    <w:tbl>
      <w:tblPr>
        <w:tblStyle w:val="TableGrid"/>
        <w:tblW w:w="0" w:type="auto"/>
        <w:tblLook w:val="04A0" w:firstRow="1" w:lastRow="0" w:firstColumn="1" w:lastColumn="0" w:noHBand="0" w:noVBand="1"/>
      </w:tblPr>
      <w:tblGrid>
        <w:gridCol w:w="9736"/>
      </w:tblGrid>
      <w:tr w:rsidR="00372E4A" w:rsidRPr="00CC1ADD" w14:paraId="28378CCD" w14:textId="77777777" w:rsidTr="008C5CBA">
        <w:trPr>
          <w:trHeight w:val="3678"/>
        </w:trPr>
        <w:tc>
          <w:tcPr>
            <w:tcW w:w="9736" w:type="dxa"/>
            <w:shd w:val="clear" w:color="auto" w:fill="D9E2F3" w:themeFill="accent1" w:themeFillTint="33"/>
            <w:vAlign w:val="center"/>
          </w:tcPr>
          <w:p w14:paraId="1FDBC78E" w14:textId="434092E4" w:rsidR="00372E4A" w:rsidRPr="00F01046" w:rsidRDefault="00372E4A" w:rsidP="00372E4A">
            <w:pPr>
              <w:rPr>
                <w:b/>
                <w:sz w:val="22"/>
                <w:szCs w:val="22"/>
              </w:rPr>
            </w:pPr>
            <w:r w:rsidRPr="00F01046">
              <w:rPr>
                <w:b/>
                <w:sz w:val="22"/>
                <w:szCs w:val="22"/>
              </w:rPr>
              <w:t xml:space="preserve">Recommendation 1: </w:t>
            </w:r>
            <w:r w:rsidRPr="00F01046">
              <w:rPr>
                <w:b/>
                <w:sz w:val="22"/>
                <w:szCs w:val="22"/>
              </w:rPr>
              <w:tab/>
              <w:t xml:space="preserve">The </w:t>
            </w:r>
            <w:r w:rsidR="00A26FC9">
              <w:rPr>
                <w:b/>
                <w:sz w:val="22"/>
                <w:szCs w:val="22"/>
              </w:rPr>
              <w:t>HSR</w:t>
            </w:r>
            <w:r w:rsidRPr="00F01046">
              <w:rPr>
                <w:b/>
                <w:sz w:val="22"/>
                <w:szCs w:val="22"/>
              </w:rPr>
              <w:t xml:space="preserve"> System be continued.</w:t>
            </w:r>
          </w:p>
          <w:p w14:paraId="4D83520D" w14:textId="77777777" w:rsidR="00372E4A" w:rsidRPr="00F01046" w:rsidRDefault="00372E4A" w:rsidP="00372E4A">
            <w:pPr>
              <w:pStyle w:val="mpcNormal"/>
              <w:keepNext w:val="0"/>
            </w:pPr>
          </w:p>
          <w:p w14:paraId="0D9F3D14" w14:textId="77777777" w:rsidR="008C5CBA" w:rsidRDefault="00372E4A" w:rsidP="00372E4A">
            <w:pPr>
              <w:pStyle w:val="mpcNormal"/>
              <w:keepNext w:val="0"/>
              <w:rPr>
                <w:i/>
              </w:rPr>
            </w:pPr>
            <w:r w:rsidRPr="00F01046">
              <w:rPr>
                <w:i/>
              </w:rPr>
              <w:t xml:space="preserve">The System is generally well used, recognised, reliable and is already assisting consumers to make healthier choices when purchasing packaged foods and beverages. </w:t>
            </w:r>
          </w:p>
          <w:p w14:paraId="516FACD3" w14:textId="77777777" w:rsidR="00313A51" w:rsidRPr="00F01046" w:rsidRDefault="00313A51" w:rsidP="00313A51">
            <w:pPr>
              <w:pStyle w:val="mpcNormal"/>
              <w:keepNext w:val="0"/>
              <w:rPr>
                <w:i/>
              </w:rPr>
            </w:pPr>
          </w:p>
          <w:p w14:paraId="0CABB36B" w14:textId="4BBE4C10" w:rsidR="008C5CBA" w:rsidRDefault="00313A51" w:rsidP="00313A51">
            <w:pPr>
              <w:pStyle w:val="mpcNormal"/>
              <w:keepNext w:val="0"/>
              <w:rPr>
                <w:i/>
              </w:rPr>
            </w:pPr>
            <w:r w:rsidRPr="00F01046">
              <w:rPr>
                <w:i/>
              </w:rPr>
              <w:t>Most Australian and New Zealand consumers view the HSR as easy to understand (77% in Australia and 63% in New Zealand), easy to use (70% in Australia) and making it easier to decide which packaged foods are healthier (61% in New Zealand).</w:t>
            </w:r>
          </w:p>
          <w:p w14:paraId="5E78F02E" w14:textId="77777777" w:rsidR="00313A51" w:rsidRDefault="00313A51" w:rsidP="00313A51">
            <w:pPr>
              <w:pStyle w:val="mpcNormal"/>
              <w:keepNext w:val="0"/>
              <w:rPr>
                <w:i/>
              </w:rPr>
            </w:pPr>
          </w:p>
          <w:p w14:paraId="775C3A5A" w14:textId="60A303E7" w:rsidR="00372E4A" w:rsidRPr="00313A51" w:rsidRDefault="008C5CBA" w:rsidP="00372E4A">
            <w:pPr>
              <w:pStyle w:val="mpcNormal"/>
              <w:keepNext w:val="0"/>
              <w:rPr>
                <w:i/>
                <w:lang w:bidi="ar-DZ"/>
              </w:rPr>
            </w:pPr>
            <w:r w:rsidRPr="008C5CBA">
              <w:rPr>
                <w:i/>
              </w:rPr>
              <w:t>Of Australian consumers purchasing a product displaying the HSR in the last three months, almost two thirds stated that the HSR influenced their decision</w:t>
            </w:r>
            <w:r>
              <w:rPr>
                <w:i/>
              </w:rPr>
              <w:t xml:space="preserve"> and o</w:t>
            </w:r>
            <w:r w:rsidRPr="008C5CBA">
              <w:rPr>
                <w:i/>
              </w:rPr>
              <w:t xml:space="preserve">ne third </w:t>
            </w:r>
            <w:r w:rsidRPr="008C5CBA">
              <w:rPr>
                <w:i/>
                <w:lang w:bidi="ar-DZ"/>
              </w:rPr>
              <w:t xml:space="preserve">were influenced to purchase a product with more stars. This equates to 23% of all consumers being influenced by the HSR to change their purchasing behaviour to purchase a product with more stars.  </w:t>
            </w:r>
          </w:p>
        </w:tc>
      </w:tr>
    </w:tbl>
    <w:p w14:paraId="762162EB" w14:textId="1D5B672E" w:rsidR="00372E4A" w:rsidRDefault="00372E4A" w:rsidP="00372E4A">
      <w:pPr>
        <w:rPr>
          <w:b/>
          <w:sz w:val="22"/>
          <w:szCs w:val="22"/>
        </w:rPr>
      </w:pPr>
    </w:p>
    <w:tbl>
      <w:tblPr>
        <w:tblStyle w:val="TableGrid"/>
        <w:tblW w:w="0" w:type="auto"/>
        <w:tblLook w:val="04A0" w:firstRow="1" w:lastRow="0" w:firstColumn="1" w:lastColumn="0" w:noHBand="0" w:noVBand="1"/>
      </w:tblPr>
      <w:tblGrid>
        <w:gridCol w:w="9736"/>
      </w:tblGrid>
      <w:tr w:rsidR="00372E4A" w:rsidRPr="00CC1ADD" w14:paraId="6A897543" w14:textId="77777777" w:rsidTr="00A26FC9">
        <w:trPr>
          <w:trHeight w:val="2949"/>
        </w:trPr>
        <w:tc>
          <w:tcPr>
            <w:tcW w:w="9736" w:type="dxa"/>
            <w:shd w:val="clear" w:color="auto" w:fill="D9E2F3" w:themeFill="accent1" w:themeFillTint="33"/>
            <w:vAlign w:val="center"/>
          </w:tcPr>
          <w:p w14:paraId="65AAE409" w14:textId="3F2C1D87" w:rsidR="00372E4A" w:rsidRPr="00CC1ADD" w:rsidRDefault="00372E4A" w:rsidP="00372E4A">
            <w:pPr>
              <w:ind w:left="2160" w:hanging="2160"/>
              <w:rPr>
                <w:b/>
                <w:sz w:val="22"/>
                <w:szCs w:val="22"/>
              </w:rPr>
            </w:pPr>
            <w:r w:rsidRPr="00CC1ADD">
              <w:rPr>
                <w:b/>
                <w:sz w:val="22"/>
                <w:szCs w:val="22"/>
              </w:rPr>
              <w:t xml:space="preserve">Recommendation 2: </w:t>
            </w:r>
            <w:r w:rsidRPr="00CC1ADD">
              <w:rPr>
                <w:b/>
                <w:sz w:val="22"/>
                <w:szCs w:val="22"/>
              </w:rPr>
              <w:tab/>
            </w:r>
            <w:r>
              <w:rPr>
                <w:b/>
                <w:sz w:val="22"/>
                <w:szCs w:val="22"/>
              </w:rPr>
              <w:t xml:space="preserve">Option 5, the energy icon be removed from the </w:t>
            </w:r>
            <w:r w:rsidR="00A26FC9">
              <w:rPr>
                <w:b/>
                <w:sz w:val="22"/>
                <w:szCs w:val="22"/>
              </w:rPr>
              <w:t>HSR</w:t>
            </w:r>
            <w:r>
              <w:rPr>
                <w:b/>
                <w:sz w:val="22"/>
                <w:szCs w:val="22"/>
              </w:rPr>
              <w:t xml:space="preserve"> graphic options.</w:t>
            </w:r>
          </w:p>
          <w:p w14:paraId="28665A75" w14:textId="77777777" w:rsidR="00372E4A" w:rsidRPr="003A051A" w:rsidRDefault="00372E4A" w:rsidP="00372E4A">
            <w:pPr>
              <w:pStyle w:val="mpcNormal"/>
              <w:keepNext w:val="0"/>
            </w:pPr>
          </w:p>
          <w:p w14:paraId="79A90428" w14:textId="77777777" w:rsidR="00372E4A" w:rsidRPr="000A22C3" w:rsidRDefault="00372E4A" w:rsidP="00372E4A">
            <w:pPr>
              <w:pStyle w:val="mpcNormal"/>
              <w:keepNext w:val="0"/>
              <w:rPr>
                <w:i/>
              </w:rPr>
            </w:pPr>
            <w:r w:rsidRPr="000A22C3">
              <w:rPr>
                <w:i/>
              </w:rPr>
              <w:t xml:space="preserve">The energy icon is not well understood by consumers and does not provide sufficient information to support choice. </w:t>
            </w:r>
          </w:p>
          <w:p w14:paraId="64116193" w14:textId="77777777" w:rsidR="00372E4A" w:rsidRPr="000A22C3" w:rsidRDefault="00372E4A" w:rsidP="00372E4A">
            <w:pPr>
              <w:pStyle w:val="mpcNormal"/>
              <w:keepNext w:val="0"/>
              <w:rPr>
                <w:i/>
              </w:rPr>
            </w:pPr>
          </w:p>
          <w:p w14:paraId="09D925BD" w14:textId="67FB156B" w:rsidR="00372E4A" w:rsidRPr="00CC1ADD" w:rsidRDefault="00372E4A" w:rsidP="00372E4A">
            <w:pPr>
              <w:pStyle w:val="mpcNormal"/>
              <w:keepNext w:val="0"/>
            </w:pPr>
            <w:r w:rsidRPr="000A22C3">
              <w:rPr>
                <w:i/>
              </w:rPr>
              <w:t>Of products displaying the HSR, 14.8% of products in Australia and 16% in New Zealand display the energy icon rather than the stars. The energy icon is most commonly used on non-dairy beverages and confectionary. In each of these categories, stars are also used, making it difficult for consumers to compare like products. In the non-dairy beverage category, stars are used more commonly for 5 star products (94.2% displayed an HSR of 5) and the energy icon for lower scoring products.</w:t>
            </w:r>
          </w:p>
        </w:tc>
      </w:tr>
    </w:tbl>
    <w:p w14:paraId="36646E9F" w14:textId="77777777" w:rsidR="00372E4A" w:rsidRPr="00CC1ADD" w:rsidRDefault="00372E4A" w:rsidP="00372E4A">
      <w:pPr>
        <w:rPr>
          <w:b/>
          <w:sz w:val="22"/>
          <w:szCs w:val="22"/>
        </w:rPr>
      </w:pPr>
    </w:p>
    <w:p w14:paraId="45F49716" w14:textId="77777777" w:rsidR="00372E4A" w:rsidRPr="00AC4A48" w:rsidRDefault="00372E4A" w:rsidP="00A25D38">
      <w:pPr>
        <w:pStyle w:val="mpcNormal"/>
        <w:pBdr>
          <w:top w:val="single" w:sz="2" w:space="1" w:color="auto"/>
          <w:left w:val="single" w:sz="2" w:space="4" w:color="auto"/>
          <w:bottom w:val="single" w:sz="2" w:space="1" w:color="auto"/>
          <w:right w:val="single" w:sz="2" w:space="4" w:color="auto"/>
        </w:pBdr>
        <w:shd w:val="clear" w:color="auto" w:fill="4CB99B"/>
        <w:rPr>
          <w:b/>
          <w:color w:val="FFFFFF" w:themeColor="background1"/>
          <w:sz w:val="24"/>
          <w:lang w:eastAsia="en-GB"/>
        </w:rPr>
      </w:pPr>
      <w:bookmarkStart w:id="18" w:name="_Toc536717030"/>
      <w:bookmarkStart w:id="19" w:name="_Toc536718413"/>
      <w:bookmarkStart w:id="20" w:name="_Toc536808328"/>
      <w:bookmarkStart w:id="21" w:name="_Toc536809146"/>
      <w:bookmarkStart w:id="22" w:name="_Toc1554118"/>
      <w:r w:rsidRPr="00AC4A48">
        <w:rPr>
          <w:b/>
          <w:color w:val="FFFFFF" w:themeColor="background1"/>
          <w:sz w:val="24"/>
          <w:lang w:eastAsia="en-GB"/>
        </w:rPr>
        <w:t>HSR System promotion (Chapter 4)</w:t>
      </w:r>
      <w:bookmarkEnd w:id="18"/>
      <w:bookmarkEnd w:id="19"/>
      <w:bookmarkEnd w:id="20"/>
      <w:bookmarkEnd w:id="21"/>
      <w:bookmarkEnd w:id="22"/>
    </w:p>
    <w:p w14:paraId="53551237" w14:textId="77777777" w:rsidR="00372E4A" w:rsidRPr="00CC1ADD" w:rsidRDefault="00372E4A" w:rsidP="00372E4A">
      <w:pPr>
        <w:pStyle w:val="mpcNormal"/>
        <w:keepNext w:val="0"/>
      </w:pPr>
    </w:p>
    <w:tbl>
      <w:tblPr>
        <w:tblStyle w:val="TableGrid"/>
        <w:tblW w:w="0" w:type="auto"/>
        <w:tblLook w:val="04A0" w:firstRow="1" w:lastRow="0" w:firstColumn="1" w:lastColumn="0" w:noHBand="0" w:noVBand="1"/>
      </w:tblPr>
      <w:tblGrid>
        <w:gridCol w:w="9736"/>
      </w:tblGrid>
      <w:tr w:rsidR="00372E4A" w:rsidRPr="00CC1ADD" w14:paraId="31575F9B" w14:textId="77777777" w:rsidTr="00A26FC9">
        <w:trPr>
          <w:trHeight w:val="3174"/>
        </w:trPr>
        <w:tc>
          <w:tcPr>
            <w:tcW w:w="9736" w:type="dxa"/>
            <w:shd w:val="clear" w:color="auto" w:fill="D9E2F3" w:themeFill="accent1" w:themeFillTint="33"/>
            <w:vAlign w:val="center"/>
          </w:tcPr>
          <w:p w14:paraId="01A89F0D" w14:textId="4570A966" w:rsidR="00372E4A" w:rsidRPr="00B30698" w:rsidRDefault="00372E4A" w:rsidP="00372E4A">
            <w:pPr>
              <w:pStyle w:val="Default"/>
              <w:ind w:left="2160" w:hanging="2160"/>
              <w:rPr>
                <w:rFonts w:asciiTheme="minorHAnsi" w:hAnsiTheme="minorHAnsi" w:cstheme="minorBidi"/>
                <w:b/>
                <w:color w:val="auto"/>
                <w:sz w:val="22"/>
                <w:szCs w:val="22"/>
                <w:lang w:val="en-AU"/>
              </w:rPr>
            </w:pPr>
            <w:r w:rsidRPr="00B30698">
              <w:rPr>
                <w:rFonts w:asciiTheme="minorHAnsi" w:hAnsiTheme="minorHAnsi" w:cstheme="minorBidi"/>
                <w:b/>
                <w:color w:val="auto"/>
                <w:sz w:val="22"/>
                <w:szCs w:val="22"/>
                <w:lang w:val="en-AU"/>
              </w:rPr>
              <w:t xml:space="preserve">Recommendation 3: </w:t>
            </w:r>
            <w:r w:rsidRPr="00B30698">
              <w:rPr>
                <w:rFonts w:asciiTheme="minorHAnsi" w:hAnsiTheme="minorHAnsi" w:cstheme="minorBidi"/>
                <w:b/>
                <w:color w:val="auto"/>
                <w:sz w:val="22"/>
                <w:szCs w:val="22"/>
                <w:lang w:val="en-AU"/>
              </w:rPr>
              <w:tab/>
              <w:t>Governments, industry, public health and consumer bodies continue to promote the HSR System. Government promotion over the next two years should:</w:t>
            </w:r>
          </w:p>
          <w:p w14:paraId="3CEA6BBF" w14:textId="77777777" w:rsidR="00372E4A" w:rsidRPr="00B30698" w:rsidRDefault="00372E4A" w:rsidP="00372E4A">
            <w:pPr>
              <w:rPr>
                <w:b/>
                <w:sz w:val="22"/>
                <w:szCs w:val="22"/>
              </w:rPr>
            </w:pPr>
          </w:p>
          <w:p w14:paraId="083456CF" w14:textId="77777777" w:rsidR="00372E4A" w:rsidRPr="00B30698" w:rsidRDefault="00372E4A" w:rsidP="00C3403E">
            <w:pPr>
              <w:pStyle w:val="ListParagraph"/>
              <w:numPr>
                <w:ilvl w:val="0"/>
                <w:numId w:val="36"/>
              </w:numPr>
              <w:rPr>
                <w:b/>
                <w:sz w:val="22"/>
                <w:szCs w:val="22"/>
              </w:rPr>
            </w:pPr>
            <w:r w:rsidRPr="00B30698">
              <w:rPr>
                <w:b/>
                <w:sz w:val="22"/>
                <w:szCs w:val="22"/>
              </w:rPr>
              <w:t>communicate the reason for the changes to the HSR System</w:t>
            </w:r>
          </w:p>
          <w:p w14:paraId="5AF2E8A9" w14:textId="77777777" w:rsidR="00372E4A" w:rsidRPr="00B30698" w:rsidRDefault="00372E4A" w:rsidP="00C3403E">
            <w:pPr>
              <w:pStyle w:val="ListParagraph"/>
              <w:numPr>
                <w:ilvl w:val="0"/>
                <w:numId w:val="36"/>
              </w:numPr>
              <w:rPr>
                <w:b/>
                <w:sz w:val="22"/>
                <w:szCs w:val="22"/>
              </w:rPr>
            </w:pPr>
            <w:r w:rsidRPr="00B30698">
              <w:rPr>
                <w:b/>
                <w:sz w:val="22"/>
                <w:szCs w:val="22"/>
              </w:rPr>
              <w:t xml:space="preserve">target specific areas of consumer misunderstanding or gaps in awareness </w:t>
            </w:r>
          </w:p>
          <w:p w14:paraId="33D494B4" w14:textId="77777777" w:rsidR="00372E4A" w:rsidRPr="00B30698" w:rsidRDefault="00372E4A" w:rsidP="00C3403E">
            <w:pPr>
              <w:pStyle w:val="ListParagraph"/>
              <w:numPr>
                <w:ilvl w:val="0"/>
                <w:numId w:val="36"/>
              </w:numPr>
              <w:rPr>
                <w:b/>
                <w:sz w:val="22"/>
                <w:szCs w:val="22"/>
              </w:rPr>
            </w:pPr>
            <w:r w:rsidRPr="00B30698">
              <w:rPr>
                <w:b/>
                <w:sz w:val="22"/>
                <w:szCs w:val="22"/>
              </w:rPr>
              <w:t>highlight government endorsement of the HSR System</w:t>
            </w:r>
          </w:p>
          <w:p w14:paraId="7D599A26" w14:textId="77777777" w:rsidR="00372E4A" w:rsidRPr="00B30698" w:rsidRDefault="00372E4A" w:rsidP="00C3403E">
            <w:pPr>
              <w:pStyle w:val="mpcNormal"/>
              <w:keepNext w:val="0"/>
              <w:numPr>
                <w:ilvl w:val="0"/>
                <w:numId w:val="36"/>
              </w:numPr>
              <w:rPr>
                <w:i/>
              </w:rPr>
            </w:pPr>
            <w:r w:rsidRPr="00B30698">
              <w:rPr>
                <w:b/>
              </w:rPr>
              <w:t xml:space="preserve">position </w:t>
            </w:r>
            <w:r>
              <w:rPr>
                <w:b/>
              </w:rPr>
              <w:t>t</w:t>
            </w:r>
            <w:r w:rsidRPr="00B30698">
              <w:rPr>
                <w:b/>
              </w:rPr>
              <w:t>he HSR System in the context of bro</w:t>
            </w:r>
            <w:r>
              <w:rPr>
                <w:b/>
              </w:rPr>
              <w:t>a</w:t>
            </w:r>
            <w:r w:rsidRPr="00B30698">
              <w:rPr>
                <w:b/>
              </w:rPr>
              <w:t>der healthy eating messages.</w:t>
            </w:r>
          </w:p>
          <w:p w14:paraId="717B9F0F" w14:textId="77777777" w:rsidR="00372E4A" w:rsidRDefault="00372E4A" w:rsidP="00372E4A">
            <w:pPr>
              <w:pStyle w:val="mpcNormal"/>
              <w:keepNext w:val="0"/>
              <w:rPr>
                <w:b/>
              </w:rPr>
            </w:pPr>
          </w:p>
          <w:p w14:paraId="2E91FB03" w14:textId="36D1720C" w:rsidR="00372E4A" w:rsidRPr="00CB2709" w:rsidRDefault="00A26FC9" w:rsidP="00372E4A">
            <w:pPr>
              <w:pStyle w:val="Default"/>
              <w:rPr>
                <w:i/>
              </w:rPr>
            </w:pPr>
            <w:r>
              <w:rPr>
                <w:rFonts w:asciiTheme="minorHAnsi" w:hAnsiTheme="minorHAnsi" w:cstheme="minorBidi"/>
                <w:i/>
                <w:color w:val="auto"/>
                <w:sz w:val="22"/>
                <w:szCs w:val="22"/>
                <w:lang w:val="en-AU"/>
              </w:rPr>
              <w:t xml:space="preserve">Continued </w:t>
            </w:r>
            <w:r w:rsidR="00372E4A" w:rsidRPr="00CB2709">
              <w:rPr>
                <w:rFonts w:asciiTheme="minorHAnsi" w:hAnsiTheme="minorHAnsi" w:cstheme="minorBidi"/>
                <w:i/>
                <w:color w:val="auto"/>
                <w:sz w:val="22"/>
                <w:szCs w:val="22"/>
                <w:lang w:val="en-AU"/>
              </w:rPr>
              <w:t xml:space="preserve">HSR System promotion is warranted over the next two years in order to support the transition, communicate changes to the System and address misunderstandings. Once the System is further embedded, the HSR will not require discrete </w:t>
            </w:r>
            <w:r w:rsidR="00372E4A">
              <w:rPr>
                <w:rFonts w:asciiTheme="minorHAnsi" w:hAnsiTheme="minorHAnsi" w:cstheme="minorBidi"/>
                <w:i/>
                <w:color w:val="auto"/>
                <w:sz w:val="22"/>
                <w:szCs w:val="22"/>
                <w:lang w:val="en-AU"/>
              </w:rPr>
              <w:t xml:space="preserve">government-funded </w:t>
            </w:r>
            <w:r w:rsidR="00372E4A" w:rsidRPr="00CB2709">
              <w:rPr>
                <w:rFonts w:asciiTheme="minorHAnsi" w:hAnsiTheme="minorHAnsi" w:cstheme="minorBidi"/>
                <w:i/>
                <w:color w:val="auto"/>
                <w:sz w:val="22"/>
                <w:szCs w:val="22"/>
                <w:lang w:val="en-AU"/>
              </w:rPr>
              <w:t>promotion</w:t>
            </w:r>
            <w:r w:rsidR="00372E4A">
              <w:rPr>
                <w:rFonts w:asciiTheme="minorHAnsi" w:hAnsiTheme="minorHAnsi" w:cstheme="minorBidi"/>
                <w:i/>
                <w:color w:val="auto"/>
                <w:sz w:val="22"/>
                <w:szCs w:val="22"/>
                <w:lang w:val="en-AU"/>
              </w:rPr>
              <w:t>.</w:t>
            </w:r>
          </w:p>
        </w:tc>
      </w:tr>
    </w:tbl>
    <w:p w14:paraId="7FFB9C04" w14:textId="77777777" w:rsidR="00372E4A" w:rsidRPr="00CC1ADD" w:rsidRDefault="00372E4A" w:rsidP="00372E4A">
      <w:pPr>
        <w:rPr>
          <w:b/>
          <w:sz w:val="22"/>
          <w:szCs w:val="22"/>
        </w:rPr>
      </w:pPr>
    </w:p>
    <w:p w14:paraId="729D3611" w14:textId="77777777" w:rsidR="00372E4A" w:rsidRPr="008C5CBA" w:rsidRDefault="00372E4A" w:rsidP="00A25D38">
      <w:pPr>
        <w:pStyle w:val="mpcNormal"/>
        <w:pBdr>
          <w:top w:val="single" w:sz="2" w:space="1" w:color="auto"/>
          <w:left w:val="single" w:sz="2" w:space="4" w:color="auto"/>
          <w:bottom w:val="single" w:sz="2" w:space="1" w:color="auto"/>
          <w:right w:val="single" w:sz="2" w:space="4" w:color="auto"/>
        </w:pBdr>
        <w:shd w:val="clear" w:color="auto" w:fill="4CB99B"/>
        <w:rPr>
          <w:b/>
          <w:color w:val="FFFFFF" w:themeColor="background1"/>
          <w:sz w:val="24"/>
          <w:lang w:eastAsia="en-GB"/>
        </w:rPr>
      </w:pPr>
      <w:bookmarkStart w:id="23" w:name="_Toc536717031"/>
      <w:bookmarkStart w:id="24" w:name="_Toc536718414"/>
      <w:bookmarkStart w:id="25" w:name="_Toc536808329"/>
      <w:bookmarkStart w:id="26" w:name="_Toc536809147"/>
      <w:bookmarkStart w:id="27" w:name="_Toc1554119"/>
      <w:r w:rsidRPr="008C5CBA">
        <w:rPr>
          <w:b/>
          <w:color w:val="FFFFFF" w:themeColor="background1"/>
          <w:sz w:val="24"/>
          <w:lang w:eastAsia="en-GB"/>
        </w:rPr>
        <w:t>HSR System enhancements (Chapter 5)</w:t>
      </w:r>
      <w:bookmarkEnd w:id="23"/>
      <w:bookmarkEnd w:id="24"/>
      <w:bookmarkEnd w:id="25"/>
      <w:bookmarkEnd w:id="26"/>
      <w:bookmarkEnd w:id="27"/>
    </w:p>
    <w:p w14:paraId="14302AAE" w14:textId="77777777" w:rsidR="00372E4A" w:rsidRPr="00CC1ADD" w:rsidRDefault="00372E4A" w:rsidP="00372E4A">
      <w:pPr>
        <w:keepNext/>
        <w:rPr>
          <w:b/>
          <w:sz w:val="22"/>
          <w:szCs w:val="22"/>
        </w:rPr>
      </w:pPr>
    </w:p>
    <w:tbl>
      <w:tblPr>
        <w:tblStyle w:val="TableGrid"/>
        <w:tblW w:w="0" w:type="auto"/>
        <w:tblLook w:val="04A0" w:firstRow="1" w:lastRow="0" w:firstColumn="1" w:lastColumn="0" w:noHBand="0" w:noVBand="1"/>
      </w:tblPr>
      <w:tblGrid>
        <w:gridCol w:w="9736"/>
      </w:tblGrid>
      <w:tr w:rsidR="00372E4A" w:rsidRPr="00CC1ADD" w14:paraId="34E3A2C0" w14:textId="77777777" w:rsidTr="00372E4A">
        <w:trPr>
          <w:trHeight w:val="6196"/>
        </w:trPr>
        <w:tc>
          <w:tcPr>
            <w:tcW w:w="9736" w:type="dxa"/>
            <w:shd w:val="clear" w:color="auto" w:fill="D9E2F3" w:themeFill="accent1" w:themeFillTint="33"/>
            <w:vAlign w:val="center"/>
          </w:tcPr>
          <w:p w14:paraId="16E21C78" w14:textId="5BC78C35" w:rsidR="00372E4A" w:rsidRPr="00CC1ADD" w:rsidRDefault="00372E4A" w:rsidP="00372E4A">
            <w:pPr>
              <w:keepNext/>
              <w:ind w:left="2160" w:hanging="2160"/>
              <w:rPr>
                <w:b/>
                <w:sz w:val="22"/>
                <w:szCs w:val="22"/>
              </w:rPr>
            </w:pPr>
            <w:r w:rsidRPr="00CC1ADD">
              <w:rPr>
                <w:b/>
                <w:sz w:val="22"/>
                <w:szCs w:val="22"/>
              </w:rPr>
              <w:t xml:space="preserve">Recommendation 4: </w:t>
            </w:r>
            <w:r w:rsidRPr="00CC1ADD">
              <w:rPr>
                <w:b/>
                <w:sz w:val="22"/>
                <w:szCs w:val="22"/>
              </w:rPr>
              <w:tab/>
            </w:r>
            <w:r>
              <w:rPr>
                <w:b/>
                <w:sz w:val="22"/>
                <w:szCs w:val="22"/>
              </w:rPr>
              <w:t xml:space="preserve">A package of </w:t>
            </w:r>
            <w:r w:rsidRPr="00CC1ADD">
              <w:rPr>
                <w:b/>
                <w:sz w:val="22"/>
                <w:szCs w:val="22"/>
              </w:rPr>
              <w:t xml:space="preserve">changes be made to the way the </w:t>
            </w:r>
            <w:r w:rsidR="00A26FC9">
              <w:rPr>
                <w:b/>
                <w:sz w:val="22"/>
                <w:szCs w:val="22"/>
              </w:rPr>
              <w:t>HSR</w:t>
            </w:r>
            <w:r w:rsidRPr="00CC1ADD">
              <w:rPr>
                <w:b/>
                <w:sz w:val="22"/>
                <w:szCs w:val="22"/>
              </w:rPr>
              <w:t xml:space="preserve"> is calculated </w:t>
            </w:r>
            <w:r>
              <w:rPr>
                <w:b/>
                <w:sz w:val="22"/>
                <w:szCs w:val="22"/>
              </w:rPr>
              <w:t xml:space="preserve">for foods </w:t>
            </w:r>
            <w:r w:rsidRPr="00CC1ADD">
              <w:rPr>
                <w:b/>
                <w:sz w:val="22"/>
                <w:szCs w:val="22"/>
              </w:rPr>
              <w:t>to better align with Dietary Guidelines</w:t>
            </w:r>
            <w:r>
              <w:rPr>
                <w:b/>
                <w:sz w:val="22"/>
                <w:szCs w:val="22"/>
              </w:rPr>
              <w:t>;</w:t>
            </w:r>
            <w:r w:rsidRPr="00CC1ADD">
              <w:rPr>
                <w:b/>
                <w:sz w:val="22"/>
                <w:szCs w:val="22"/>
              </w:rPr>
              <w:t xml:space="preserve"> reflect emerging evidence</w:t>
            </w:r>
            <w:r>
              <w:rPr>
                <w:b/>
                <w:sz w:val="22"/>
                <w:szCs w:val="22"/>
              </w:rPr>
              <w:t>;</w:t>
            </w:r>
            <w:r w:rsidRPr="00CC1ADD">
              <w:rPr>
                <w:b/>
                <w:sz w:val="22"/>
                <w:szCs w:val="22"/>
              </w:rPr>
              <w:t xml:space="preserve"> address consumer concerns and encourage positive reformulation.</w:t>
            </w:r>
          </w:p>
          <w:p w14:paraId="7B6AF777" w14:textId="77777777" w:rsidR="00372E4A" w:rsidRPr="00CC1ADD" w:rsidRDefault="00372E4A" w:rsidP="00372E4A">
            <w:pPr>
              <w:keepNext/>
              <w:rPr>
                <w:b/>
                <w:sz w:val="22"/>
                <w:szCs w:val="22"/>
              </w:rPr>
            </w:pPr>
          </w:p>
          <w:p w14:paraId="51A48232" w14:textId="77777777" w:rsidR="00372E4A" w:rsidRPr="00CC1ADD" w:rsidRDefault="00372E4A" w:rsidP="00372E4A">
            <w:pPr>
              <w:keepNext/>
              <w:rPr>
                <w:i/>
                <w:sz w:val="22"/>
                <w:szCs w:val="22"/>
              </w:rPr>
            </w:pPr>
            <w:r w:rsidRPr="00CC1ADD">
              <w:rPr>
                <w:i/>
                <w:sz w:val="22"/>
                <w:szCs w:val="22"/>
              </w:rPr>
              <w:t xml:space="preserve">The following </w:t>
            </w:r>
            <w:r>
              <w:rPr>
                <w:i/>
                <w:sz w:val="22"/>
                <w:szCs w:val="22"/>
              </w:rPr>
              <w:t xml:space="preserve">package of interrelated </w:t>
            </w:r>
            <w:r w:rsidRPr="00CC1ADD">
              <w:rPr>
                <w:i/>
                <w:sz w:val="22"/>
                <w:szCs w:val="22"/>
              </w:rPr>
              <w:t>changes are proposed:</w:t>
            </w:r>
          </w:p>
          <w:p w14:paraId="2F239CA5" w14:textId="77777777" w:rsidR="00372E4A" w:rsidRPr="00CC1ADD" w:rsidRDefault="00372E4A" w:rsidP="00372E4A">
            <w:pPr>
              <w:keepNext/>
              <w:rPr>
                <w:i/>
                <w:sz w:val="22"/>
                <w:szCs w:val="22"/>
              </w:rPr>
            </w:pPr>
          </w:p>
          <w:p w14:paraId="043D2FAD" w14:textId="77777777" w:rsidR="00372E4A" w:rsidRPr="00CC1ADD" w:rsidRDefault="00372E4A" w:rsidP="00C3403E">
            <w:pPr>
              <w:pStyle w:val="ListParagraph"/>
              <w:keepNext/>
              <w:numPr>
                <w:ilvl w:val="0"/>
                <w:numId w:val="41"/>
              </w:numPr>
              <w:rPr>
                <w:i/>
                <w:sz w:val="22"/>
                <w:szCs w:val="22"/>
              </w:rPr>
            </w:pPr>
            <w:r w:rsidRPr="00CC1ADD">
              <w:rPr>
                <w:i/>
                <w:sz w:val="22"/>
                <w:szCs w:val="22"/>
              </w:rPr>
              <w:t xml:space="preserve">fruits and vegetables that are fresh, frozen or canned </w:t>
            </w:r>
            <w:r>
              <w:rPr>
                <w:i/>
                <w:sz w:val="22"/>
                <w:szCs w:val="22"/>
              </w:rPr>
              <w:t>(</w:t>
            </w:r>
            <w:r w:rsidRPr="00CC1ADD">
              <w:rPr>
                <w:i/>
                <w:sz w:val="22"/>
                <w:szCs w:val="22"/>
              </w:rPr>
              <w:t>with no additions of sugar, salt or fat) should automatically receive an HSR of 5</w:t>
            </w:r>
          </w:p>
          <w:p w14:paraId="3A5AA922" w14:textId="77777777" w:rsidR="00372E4A" w:rsidRPr="00CC1ADD" w:rsidRDefault="00372E4A" w:rsidP="00C3403E">
            <w:pPr>
              <w:pStyle w:val="ListParagraph"/>
              <w:keepNext/>
              <w:numPr>
                <w:ilvl w:val="0"/>
                <w:numId w:val="41"/>
              </w:numPr>
              <w:rPr>
                <w:i/>
                <w:sz w:val="22"/>
                <w:szCs w:val="22"/>
              </w:rPr>
            </w:pPr>
            <w:r>
              <w:rPr>
                <w:i/>
                <w:sz w:val="22"/>
                <w:szCs w:val="22"/>
              </w:rPr>
              <w:t>t</w:t>
            </w:r>
            <w:r w:rsidRPr="00CC1ADD">
              <w:rPr>
                <w:i/>
                <w:sz w:val="22"/>
                <w:szCs w:val="22"/>
              </w:rPr>
              <w:t>otal sugars should be more strongly penalised, lowering the HSRs of 5% of products (including breakfast cereals, snack bars, sweetened milks, ice creams and sugar-based confectionery)</w:t>
            </w:r>
          </w:p>
          <w:p w14:paraId="43175A6A" w14:textId="77777777" w:rsidR="00372E4A" w:rsidRPr="00CC1ADD" w:rsidRDefault="00372E4A" w:rsidP="00C3403E">
            <w:pPr>
              <w:pStyle w:val="ListParagraph"/>
              <w:keepNext/>
              <w:numPr>
                <w:ilvl w:val="0"/>
                <w:numId w:val="41"/>
              </w:numPr>
              <w:rPr>
                <w:i/>
                <w:sz w:val="22"/>
                <w:szCs w:val="22"/>
              </w:rPr>
            </w:pPr>
            <w:r>
              <w:rPr>
                <w:i/>
                <w:sz w:val="22"/>
                <w:szCs w:val="22"/>
              </w:rPr>
              <w:t>s</w:t>
            </w:r>
            <w:r w:rsidRPr="00CC1ADD">
              <w:rPr>
                <w:i/>
                <w:sz w:val="22"/>
                <w:szCs w:val="22"/>
              </w:rPr>
              <w:t xml:space="preserve">odium sensitivity should be improved for products high in sodium, reducing the HSR of 1% of products </w:t>
            </w:r>
            <w:r>
              <w:rPr>
                <w:i/>
                <w:sz w:val="22"/>
                <w:szCs w:val="22"/>
              </w:rPr>
              <w:t xml:space="preserve">(all </w:t>
            </w:r>
            <w:r w:rsidRPr="00CC1ADD">
              <w:rPr>
                <w:i/>
                <w:sz w:val="22"/>
                <w:szCs w:val="22"/>
              </w:rPr>
              <w:t>with sodium in excess of 900mg/100g</w:t>
            </w:r>
            <w:r>
              <w:rPr>
                <w:i/>
                <w:sz w:val="22"/>
                <w:szCs w:val="22"/>
              </w:rPr>
              <w:t>)</w:t>
            </w:r>
          </w:p>
          <w:p w14:paraId="71F45EE9" w14:textId="77777777" w:rsidR="00372E4A" w:rsidRPr="00CC1ADD" w:rsidRDefault="00372E4A" w:rsidP="00C3403E">
            <w:pPr>
              <w:pStyle w:val="ListParagraph"/>
              <w:keepNext/>
              <w:numPr>
                <w:ilvl w:val="0"/>
                <w:numId w:val="41"/>
              </w:numPr>
              <w:rPr>
                <w:i/>
                <w:sz w:val="22"/>
                <w:szCs w:val="22"/>
              </w:rPr>
            </w:pPr>
            <w:r>
              <w:rPr>
                <w:i/>
                <w:sz w:val="22"/>
                <w:szCs w:val="22"/>
              </w:rPr>
              <w:t>d</w:t>
            </w:r>
            <w:r w:rsidRPr="00CC1ADD">
              <w:rPr>
                <w:i/>
                <w:sz w:val="22"/>
                <w:szCs w:val="22"/>
              </w:rPr>
              <w:t xml:space="preserve">airy </w:t>
            </w:r>
            <w:r>
              <w:rPr>
                <w:i/>
                <w:sz w:val="22"/>
                <w:szCs w:val="22"/>
              </w:rPr>
              <w:t>c</w:t>
            </w:r>
            <w:r w:rsidRPr="00CC1ADD">
              <w:rPr>
                <w:i/>
                <w:sz w:val="22"/>
                <w:szCs w:val="22"/>
              </w:rPr>
              <w:t>ategories should be redefined to increase the HSRs of FFG dairy foods (such as cheeses and yoghurts) and decrease the HSRs of some dairy desserts</w:t>
            </w:r>
            <w:r>
              <w:rPr>
                <w:i/>
                <w:sz w:val="22"/>
                <w:szCs w:val="22"/>
              </w:rPr>
              <w:t xml:space="preserve"> and other chilled dairy products</w:t>
            </w:r>
            <w:r w:rsidRPr="00CC1ADD">
              <w:rPr>
                <w:i/>
                <w:sz w:val="22"/>
                <w:szCs w:val="22"/>
              </w:rPr>
              <w:t>, improving comparability between dairy products</w:t>
            </w:r>
          </w:p>
          <w:p w14:paraId="46E9F8A5" w14:textId="77777777" w:rsidR="00372E4A" w:rsidRPr="00CC1ADD" w:rsidRDefault="00372E4A" w:rsidP="00C3403E">
            <w:pPr>
              <w:pStyle w:val="ListParagraph"/>
              <w:keepNext/>
              <w:numPr>
                <w:ilvl w:val="0"/>
                <w:numId w:val="41"/>
              </w:numPr>
              <w:rPr>
                <w:i/>
                <w:sz w:val="22"/>
                <w:szCs w:val="22"/>
              </w:rPr>
            </w:pPr>
            <w:r>
              <w:rPr>
                <w:i/>
                <w:sz w:val="22"/>
                <w:szCs w:val="22"/>
              </w:rPr>
              <w:t>t</w:t>
            </w:r>
            <w:r w:rsidRPr="00CC1ADD">
              <w:rPr>
                <w:i/>
                <w:sz w:val="22"/>
                <w:szCs w:val="22"/>
              </w:rPr>
              <w:t xml:space="preserve">he HSRs for healthier oils and oil-based </w:t>
            </w:r>
            <w:r>
              <w:rPr>
                <w:i/>
                <w:sz w:val="22"/>
                <w:szCs w:val="22"/>
              </w:rPr>
              <w:t xml:space="preserve">spreads </w:t>
            </w:r>
            <w:r w:rsidRPr="00CC1ADD">
              <w:rPr>
                <w:i/>
                <w:sz w:val="22"/>
                <w:szCs w:val="22"/>
              </w:rPr>
              <w:t>should be increased and range narrowed to enable better discernment from products higher in saturated fats</w:t>
            </w:r>
          </w:p>
          <w:p w14:paraId="18F4B047" w14:textId="77777777" w:rsidR="00372E4A" w:rsidRPr="00CC1ADD" w:rsidRDefault="00372E4A" w:rsidP="00C3403E">
            <w:pPr>
              <w:pStyle w:val="ListParagraph"/>
              <w:keepNext/>
              <w:numPr>
                <w:ilvl w:val="0"/>
                <w:numId w:val="41"/>
              </w:numPr>
              <w:rPr>
                <w:i/>
                <w:sz w:val="22"/>
                <w:szCs w:val="22"/>
              </w:rPr>
            </w:pPr>
            <w:r>
              <w:rPr>
                <w:i/>
                <w:sz w:val="22"/>
                <w:szCs w:val="22"/>
              </w:rPr>
              <w:t>j</w:t>
            </w:r>
            <w:r w:rsidRPr="00CC1ADD">
              <w:rPr>
                <w:i/>
                <w:sz w:val="22"/>
                <w:szCs w:val="22"/>
              </w:rPr>
              <w:t>ellies and water-based ice confections should be recategorised to decrease their HSRs</w:t>
            </w:r>
            <w:r>
              <w:rPr>
                <w:i/>
                <w:sz w:val="22"/>
                <w:szCs w:val="22"/>
              </w:rPr>
              <w:t>.</w:t>
            </w:r>
          </w:p>
          <w:p w14:paraId="7E1B6191" w14:textId="77777777" w:rsidR="00372E4A" w:rsidRPr="00CC1ADD" w:rsidRDefault="00372E4A" w:rsidP="00372E4A">
            <w:pPr>
              <w:keepNext/>
              <w:rPr>
                <w:i/>
                <w:sz w:val="22"/>
                <w:szCs w:val="22"/>
              </w:rPr>
            </w:pPr>
          </w:p>
          <w:p w14:paraId="7B7AE657" w14:textId="77777777" w:rsidR="00372E4A" w:rsidRPr="00CC1ADD" w:rsidRDefault="00372E4A" w:rsidP="00372E4A">
            <w:pPr>
              <w:keepNext/>
              <w:rPr>
                <w:i/>
                <w:sz w:val="22"/>
                <w:szCs w:val="22"/>
              </w:rPr>
            </w:pPr>
            <w:r w:rsidRPr="00CC1ADD">
              <w:rPr>
                <w:i/>
                <w:sz w:val="22"/>
                <w:szCs w:val="22"/>
              </w:rPr>
              <w:t>Based on modelling, these changes are expected to decrease the HSR</w:t>
            </w:r>
            <w:r>
              <w:rPr>
                <w:i/>
                <w:sz w:val="22"/>
                <w:szCs w:val="22"/>
              </w:rPr>
              <w:t>s</w:t>
            </w:r>
            <w:r w:rsidRPr="00CC1ADD">
              <w:rPr>
                <w:i/>
                <w:sz w:val="22"/>
                <w:szCs w:val="22"/>
              </w:rPr>
              <w:t xml:space="preserve"> of </w:t>
            </w:r>
            <w:r>
              <w:rPr>
                <w:i/>
                <w:sz w:val="22"/>
                <w:szCs w:val="22"/>
              </w:rPr>
              <w:t>8</w:t>
            </w:r>
            <w:r w:rsidRPr="00CC1ADD">
              <w:rPr>
                <w:i/>
                <w:sz w:val="22"/>
                <w:szCs w:val="22"/>
              </w:rPr>
              <w:t>%</w:t>
            </w:r>
            <w:r>
              <w:rPr>
                <w:i/>
                <w:sz w:val="22"/>
                <w:szCs w:val="22"/>
              </w:rPr>
              <w:t xml:space="preserve"> of</w:t>
            </w:r>
            <w:r w:rsidRPr="00CC1ADD">
              <w:rPr>
                <w:i/>
                <w:sz w:val="22"/>
                <w:szCs w:val="22"/>
              </w:rPr>
              <w:t xml:space="preserve"> products (mostly discretionary foods) and increase the HSR</w:t>
            </w:r>
            <w:r>
              <w:rPr>
                <w:i/>
                <w:sz w:val="22"/>
                <w:szCs w:val="22"/>
              </w:rPr>
              <w:t>s</w:t>
            </w:r>
            <w:r w:rsidRPr="00CC1ADD">
              <w:rPr>
                <w:i/>
                <w:sz w:val="22"/>
                <w:szCs w:val="22"/>
              </w:rPr>
              <w:t xml:space="preserve"> of </w:t>
            </w:r>
            <w:r>
              <w:rPr>
                <w:i/>
                <w:sz w:val="22"/>
                <w:szCs w:val="22"/>
              </w:rPr>
              <w:t>15</w:t>
            </w:r>
            <w:r w:rsidRPr="00CC1ADD">
              <w:rPr>
                <w:i/>
                <w:sz w:val="22"/>
                <w:szCs w:val="22"/>
              </w:rPr>
              <w:t xml:space="preserve">% products (mostly </w:t>
            </w:r>
            <w:r>
              <w:rPr>
                <w:i/>
                <w:sz w:val="22"/>
                <w:szCs w:val="22"/>
              </w:rPr>
              <w:t>Four/Five Food Group</w:t>
            </w:r>
            <w:r w:rsidRPr="00CC1ADD">
              <w:rPr>
                <w:i/>
                <w:sz w:val="22"/>
                <w:szCs w:val="22"/>
              </w:rPr>
              <w:t xml:space="preserve"> foods such as fruits and vegetables, yoghurts</w:t>
            </w:r>
            <w:r>
              <w:rPr>
                <w:i/>
                <w:sz w:val="22"/>
                <w:szCs w:val="22"/>
              </w:rPr>
              <w:t xml:space="preserve"> and</w:t>
            </w:r>
            <w:r w:rsidRPr="00CC1ADD">
              <w:rPr>
                <w:i/>
                <w:sz w:val="22"/>
                <w:szCs w:val="22"/>
              </w:rPr>
              <w:t xml:space="preserve"> cheeses).</w:t>
            </w:r>
            <w:r w:rsidRPr="00CC1ADD">
              <w:t xml:space="preserve"> </w:t>
            </w:r>
          </w:p>
        </w:tc>
      </w:tr>
    </w:tbl>
    <w:p w14:paraId="1BE75F11" w14:textId="77777777" w:rsidR="00372E4A" w:rsidRPr="00CC1ADD" w:rsidRDefault="00372E4A" w:rsidP="00372E4A">
      <w:pPr>
        <w:rPr>
          <w:b/>
          <w:sz w:val="22"/>
          <w:szCs w:val="22"/>
        </w:rPr>
      </w:pPr>
    </w:p>
    <w:tbl>
      <w:tblPr>
        <w:tblStyle w:val="TableGrid"/>
        <w:tblW w:w="0" w:type="auto"/>
        <w:tblLook w:val="04A0" w:firstRow="1" w:lastRow="0" w:firstColumn="1" w:lastColumn="0" w:noHBand="0" w:noVBand="1"/>
      </w:tblPr>
      <w:tblGrid>
        <w:gridCol w:w="9736"/>
      </w:tblGrid>
      <w:tr w:rsidR="00372E4A" w:rsidRPr="00CC1ADD" w14:paraId="44FCC12F" w14:textId="77777777" w:rsidTr="00A26FC9">
        <w:trPr>
          <w:trHeight w:val="4015"/>
        </w:trPr>
        <w:tc>
          <w:tcPr>
            <w:tcW w:w="9736" w:type="dxa"/>
            <w:shd w:val="clear" w:color="auto" w:fill="D9E2F3" w:themeFill="accent1" w:themeFillTint="33"/>
            <w:vAlign w:val="center"/>
          </w:tcPr>
          <w:p w14:paraId="1636D550" w14:textId="02FA190C" w:rsidR="00372E4A" w:rsidRPr="00CC1ADD" w:rsidRDefault="00372E4A" w:rsidP="00372E4A">
            <w:pPr>
              <w:ind w:left="2160" w:hanging="2160"/>
              <w:rPr>
                <w:b/>
                <w:sz w:val="22"/>
                <w:szCs w:val="22"/>
              </w:rPr>
            </w:pPr>
            <w:r w:rsidRPr="00CC1ADD">
              <w:rPr>
                <w:b/>
                <w:sz w:val="22"/>
                <w:szCs w:val="22"/>
              </w:rPr>
              <w:t xml:space="preserve">Recommendation 5: </w:t>
            </w:r>
            <w:r w:rsidRPr="00CC1ADD">
              <w:rPr>
                <w:b/>
                <w:sz w:val="22"/>
                <w:szCs w:val="22"/>
              </w:rPr>
              <w:tab/>
              <w:t xml:space="preserve">Changes be made to the way the </w:t>
            </w:r>
            <w:r w:rsidR="00A26FC9">
              <w:rPr>
                <w:b/>
                <w:sz w:val="22"/>
                <w:szCs w:val="22"/>
              </w:rPr>
              <w:t>HSR</w:t>
            </w:r>
            <w:r w:rsidRPr="00CC1ADD">
              <w:rPr>
                <w:b/>
                <w:sz w:val="22"/>
                <w:szCs w:val="22"/>
              </w:rPr>
              <w:t xml:space="preserve"> is calculated for non-dairy beverages</w:t>
            </w:r>
            <w:r>
              <w:rPr>
                <w:b/>
                <w:sz w:val="22"/>
                <w:szCs w:val="22"/>
              </w:rPr>
              <w:t>, based on adjusted sugars, energy and FVNL points,</w:t>
            </w:r>
            <w:r w:rsidRPr="00CC1ADD">
              <w:rPr>
                <w:b/>
                <w:sz w:val="22"/>
                <w:szCs w:val="22"/>
              </w:rPr>
              <w:t xml:space="preserve"> to better discern water (and drinks similar in nutritional profile to water) from high energy drinks.</w:t>
            </w:r>
          </w:p>
          <w:p w14:paraId="50A21223" w14:textId="77777777" w:rsidR="00372E4A" w:rsidRPr="00CC1ADD" w:rsidRDefault="00372E4A" w:rsidP="00372E4A">
            <w:pPr>
              <w:rPr>
                <w:i/>
                <w:sz w:val="22"/>
                <w:szCs w:val="22"/>
              </w:rPr>
            </w:pPr>
          </w:p>
          <w:p w14:paraId="749EABC4" w14:textId="77777777" w:rsidR="00372E4A" w:rsidRPr="00CC1ADD" w:rsidRDefault="00372E4A" w:rsidP="00372E4A">
            <w:pPr>
              <w:rPr>
                <w:i/>
                <w:sz w:val="22"/>
                <w:szCs w:val="22"/>
              </w:rPr>
            </w:pPr>
            <w:r w:rsidRPr="00CC1ADD">
              <w:rPr>
                <w:i/>
                <w:sz w:val="22"/>
                <w:szCs w:val="22"/>
              </w:rPr>
              <w:t>Non-dairy beverages contribute 2</w:t>
            </w:r>
            <w:r>
              <w:rPr>
                <w:i/>
                <w:sz w:val="22"/>
                <w:szCs w:val="22"/>
              </w:rPr>
              <w:t>7</w:t>
            </w:r>
            <w:r w:rsidRPr="00CC1ADD">
              <w:rPr>
                <w:i/>
                <w:sz w:val="22"/>
                <w:szCs w:val="22"/>
              </w:rPr>
              <w:t>% of total sugars in Australian diets and 17% of total sugars in New Zealand</w:t>
            </w:r>
            <w:r>
              <w:rPr>
                <w:i/>
                <w:sz w:val="22"/>
                <w:szCs w:val="22"/>
              </w:rPr>
              <w:t>er</w:t>
            </w:r>
            <w:r w:rsidRPr="00CC1ADD">
              <w:rPr>
                <w:i/>
                <w:sz w:val="22"/>
                <w:szCs w:val="22"/>
              </w:rPr>
              <w:t xml:space="preserve"> diets. While the HSRs for sugar</w:t>
            </w:r>
            <w:r>
              <w:rPr>
                <w:i/>
                <w:sz w:val="22"/>
                <w:szCs w:val="22"/>
              </w:rPr>
              <w:t>-</w:t>
            </w:r>
            <w:r w:rsidRPr="00CC1ADD">
              <w:rPr>
                <w:i/>
                <w:sz w:val="22"/>
                <w:szCs w:val="22"/>
              </w:rPr>
              <w:t>sweetened soft drinks tend to appropriately reflect their limited nutritional value, the HSR System does not encourage consumption of low or sugar free flavoured waters or other drinks that are closer in nutritional value to water.</w:t>
            </w:r>
            <w:r>
              <w:rPr>
                <w:i/>
                <w:sz w:val="22"/>
                <w:szCs w:val="22"/>
              </w:rPr>
              <w:t xml:space="preserve"> For example, fruit juices with relatively high total sugars content generally receive HSRs of 4 to 5 while unsweetened flavoured waters generally receive HSRs of around 2, despite having no sugars and being close in nutritional profile to plain water.</w:t>
            </w:r>
          </w:p>
          <w:p w14:paraId="0630835B" w14:textId="77777777" w:rsidR="00372E4A" w:rsidRPr="00CC1ADD" w:rsidRDefault="00372E4A" w:rsidP="00372E4A">
            <w:pPr>
              <w:rPr>
                <w:i/>
                <w:sz w:val="22"/>
                <w:szCs w:val="22"/>
              </w:rPr>
            </w:pPr>
          </w:p>
          <w:p w14:paraId="0E2BE4FF" w14:textId="77777777" w:rsidR="00372E4A" w:rsidRPr="00CC1ADD" w:rsidRDefault="00372E4A" w:rsidP="00372E4A">
            <w:pPr>
              <w:rPr>
                <w:i/>
                <w:sz w:val="22"/>
                <w:szCs w:val="22"/>
              </w:rPr>
            </w:pPr>
            <w:r w:rsidRPr="00CC1ADD">
              <w:rPr>
                <w:i/>
                <w:sz w:val="22"/>
                <w:szCs w:val="22"/>
              </w:rPr>
              <w:t xml:space="preserve">The changes mean that </w:t>
            </w:r>
            <w:r>
              <w:rPr>
                <w:i/>
                <w:sz w:val="22"/>
                <w:szCs w:val="22"/>
              </w:rPr>
              <w:t xml:space="preserve">plain </w:t>
            </w:r>
            <w:r w:rsidRPr="00CC1ADD">
              <w:rPr>
                <w:i/>
                <w:sz w:val="22"/>
                <w:szCs w:val="22"/>
              </w:rPr>
              <w:t>water</w:t>
            </w:r>
            <w:r>
              <w:rPr>
                <w:i/>
                <w:sz w:val="22"/>
                <w:szCs w:val="22"/>
              </w:rPr>
              <w:t>s</w:t>
            </w:r>
            <w:r w:rsidRPr="00CC1ADD">
              <w:rPr>
                <w:i/>
                <w:sz w:val="22"/>
                <w:szCs w:val="22"/>
              </w:rPr>
              <w:t xml:space="preserve"> will </w:t>
            </w:r>
            <w:r>
              <w:rPr>
                <w:i/>
                <w:sz w:val="22"/>
                <w:szCs w:val="22"/>
              </w:rPr>
              <w:t>have an HSR of</w:t>
            </w:r>
            <w:r w:rsidRPr="00CC1ADD">
              <w:rPr>
                <w:i/>
                <w:sz w:val="22"/>
                <w:szCs w:val="22"/>
              </w:rPr>
              <w:t xml:space="preserve"> 5, </w:t>
            </w:r>
            <w:r>
              <w:rPr>
                <w:i/>
                <w:sz w:val="22"/>
                <w:szCs w:val="22"/>
              </w:rPr>
              <w:t xml:space="preserve">unsweetened </w:t>
            </w:r>
            <w:r w:rsidRPr="00CC1ADD">
              <w:rPr>
                <w:i/>
                <w:sz w:val="22"/>
                <w:szCs w:val="22"/>
              </w:rPr>
              <w:t>flavoured waters</w:t>
            </w:r>
            <w:r>
              <w:rPr>
                <w:i/>
                <w:sz w:val="22"/>
                <w:szCs w:val="22"/>
              </w:rPr>
              <w:t xml:space="preserve"> </w:t>
            </w:r>
            <w:r w:rsidRPr="00CC1ADD">
              <w:rPr>
                <w:i/>
                <w:sz w:val="22"/>
                <w:szCs w:val="22"/>
              </w:rPr>
              <w:t>4</w:t>
            </w:r>
            <w:r>
              <w:rPr>
                <w:i/>
                <w:sz w:val="22"/>
                <w:szCs w:val="22"/>
              </w:rPr>
              <w:t>.</w:t>
            </w:r>
            <w:r w:rsidRPr="00CC1ADD">
              <w:rPr>
                <w:i/>
                <w:sz w:val="22"/>
                <w:szCs w:val="22"/>
              </w:rPr>
              <w:t>5, 100% fruit and vegetable juices between</w:t>
            </w:r>
            <w:r>
              <w:rPr>
                <w:i/>
                <w:sz w:val="22"/>
                <w:szCs w:val="22"/>
              </w:rPr>
              <w:t xml:space="preserve"> 2.5</w:t>
            </w:r>
            <w:r w:rsidRPr="00CC1ADD">
              <w:rPr>
                <w:i/>
                <w:sz w:val="22"/>
                <w:szCs w:val="22"/>
              </w:rPr>
              <w:t xml:space="preserve"> and </w:t>
            </w:r>
            <w:r>
              <w:rPr>
                <w:i/>
                <w:sz w:val="22"/>
                <w:szCs w:val="22"/>
              </w:rPr>
              <w:t>4</w:t>
            </w:r>
            <w:r w:rsidRPr="00CC1ADD">
              <w:rPr>
                <w:i/>
                <w:sz w:val="22"/>
                <w:szCs w:val="22"/>
              </w:rPr>
              <w:t xml:space="preserve"> </w:t>
            </w:r>
            <w:r>
              <w:rPr>
                <w:i/>
                <w:sz w:val="22"/>
                <w:szCs w:val="22"/>
              </w:rPr>
              <w:t>(</w:t>
            </w:r>
            <w:r w:rsidRPr="00CC1ADD">
              <w:rPr>
                <w:i/>
                <w:sz w:val="22"/>
                <w:szCs w:val="22"/>
              </w:rPr>
              <w:t>based on</w:t>
            </w:r>
            <w:r>
              <w:rPr>
                <w:i/>
                <w:sz w:val="22"/>
                <w:szCs w:val="22"/>
              </w:rPr>
              <w:t xml:space="preserve"> their sugars and </w:t>
            </w:r>
            <w:r w:rsidRPr="00CC1ADD">
              <w:rPr>
                <w:i/>
                <w:sz w:val="22"/>
                <w:szCs w:val="22"/>
              </w:rPr>
              <w:t>energy</w:t>
            </w:r>
            <w:r>
              <w:rPr>
                <w:i/>
                <w:sz w:val="22"/>
                <w:szCs w:val="22"/>
              </w:rPr>
              <w:t xml:space="preserve"> content)</w:t>
            </w:r>
            <w:r w:rsidRPr="00CC1ADD">
              <w:rPr>
                <w:i/>
                <w:sz w:val="22"/>
                <w:szCs w:val="22"/>
              </w:rPr>
              <w:t>, diet drinks no</w:t>
            </w:r>
            <w:r>
              <w:rPr>
                <w:i/>
                <w:sz w:val="22"/>
                <w:szCs w:val="22"/>
              </w:rPr>
              <w:t xml:space="preserve"> </w:t>
            </w:r>
            <w:r w:rsidRPr="00CC1ADD">
              <w:rPr>
                <w:i/>
                <w:sz w:val="22"/>
                <w:szCs w:val="22"/>
              </w:rPr>
              <w:t xml:space="preserve">more than 3.5 and </w:t>
            </w:r>
            <w:r>
              <w:rPr>
                <w:i/>
                <w:sz w:val="22"/>
                <w:szCs w:val="22"/>
              </w:rPr>
              <w:t>sugary soft drinks</w:t>
            </w:r>
            <w:r w:rsidRPr="00CC1ADD">
              <w:rPr>
                <w:i/>
                <w:sz w:val="22"/>
                <w:szCs w:val="22"/>
              </w:rPr>
              <w:t xml:space="preserve"> between</w:t>
            </w:r>
            <w:r>
              <w:rPr>
                <w:i/>
                <w:sz w:val="22"/>
                <w:szCs w:val="22"/>
              </w:rPr>
              <w:t xml:space="preserve"> 0.5 and</w:t>
            </w:r>
            <w:r w:rsidRPr="00CC1ADD">
              <w:rPr>
                <w:i/>
                <w:sz w:val="22"/>
                <w:szCs w:val="22"/>
              </w:rPr>
              <w:t xml:space="preserve"> </w:t>
            </w:r>
            <w:r>
              <w:rPr>
                <w:i/>
                <w:sz w:val="22"/>
                <w:szCs w:val="22"/>
              </w:rPr>
              <w:t>2 (</w:t>
            </w:r>
            <w:r w:rsidRPr="00CC1ADD">
              <w:rPr>
                <w:i/>
                <w:sz w:val="22"/>
                <w:szCs w:val="22"/>
              </w:rPr>
              <w:t>based on their</w:t>
            </w:r>
            <w:r>
              <w:rPr>
                <w:i/>
                <w:sz w:val="22"/>
                <w:szCs w:val="22"/>
              </w:rPr>
              <w:t xml:space="preserve"> sugars and</w:t>
            </w:r>
            <w:r w:rsidRPr="00CC1ADD">
              <w:rPr>
                <w:i/>
                <w:sz w:val="22"/>
                <w:szCs w:val="22"/>
              </w:rPr>
              <w:t xml:space="preserve"> energy content</w:t>
            </w:r>
            <w:r>
              <w:rPr>
                <w:i/>
                <w:sz w:val="22"/>
                <w:szCs w:val="22"/>
              </w:rPr>
              <w:t>)</w:t>
            </w:r>
            <w:r w:rsidRPr="00CC1ADD">
              <w:rPr>
                <w:i/>
                <w:sz w:val="22"/>
                <w:szCs w:val="22"/>
              </w:rPr>
              <w:t>.</w:t>
            </w:r>
          </w:p>
        </w:tc>
      </w:tr>
    </w:tbl>
    <w:p w14:paraId="2F8C0AE8" w14:textId="77777777" w:rsidR="00372E4A" w:rsidRPr="00CC1ADD" w:rsidRDefault="00372E4A" w:rsidP="00372E4A">
      <w:pPr>
        <w:rPr>
          <w:sz w:val="22"/>
          <w:szCs w:val="22"/>
        </w:rPr>
      </w:pPr>
    </w:p>
    <w:p w14:paraId="2A8B302A" w14:textId="77777777" w:rsidR="00372E4A" w:rsidRPr="00A25D38" w:rsidRDefault="00372E4A" w:rsidP="00A25D38">
      <w:pPr>
        <w:pStyle w:val="mpcNormal"/>
        <w:pBdr>
          <w:top w:val="single" w:sz="2" w:space="1" w:color="auto"/>
          <w:left w:val="single" w:sz="2" w:space="4" w:color="auto"/>
          <w:bottom w:val="single" w:sz="2" w:space="1" w:color="auto"/>
          <w:right w:val="single" w:sz="2" w:space="4" w:color="auto"/>
        </w:pBdr>
        <w:shd w:val="clear" w:color="auto" w:fill="4CB99B"/>
        <w:rPr>
          <w:b/>
          <w:color w:val="FFFFFF" w:themeColor="background1"/>
          <w:sz w:val="24"/>
          <w:lang w:eastAsia="en-GB"/>
        </w:rPr>
      </w:pPr>
      <w:bookmarkStart w:id="28" w:name="_Toc536717032"/>
      <w:bookmarkStart w:id="29" w:name="_Toc536718415"/>
      <w:bookmarkStart w:id="30" w:name="_Toc536808330"/>
      <w:bookmarkStart w:id="31" w:name="_Toc536809148"/>
      <w:bookmarkStart w:id="32" w:name="_Toc1554120"/>
      <w:r w:rsidRPr="00A25D38">
        <w:rPr>
          <w:b/>
          <w:color w:val="FFFFFF" w:themeColor="background1"/>
          <w:sz w:val="24"/>
          <w:lang w:eastAsia="en-GB"/>
        </w:rPr>
        <w:t>HSR System management (Chapter 6)</w:t>
      </w:r>
      <w:bookmarkEnd w:id="28"/>
      <w:bookmarkEnd w:id="29"/>
      <w:bookmarkEnd w:id="30"/>
      <w:bookmarkEnd w:id="31"/>
      <w:bookmarkEnd w:id="32"/>
    </w:p>
    <w:p w14:paraId="38C3727B" w14:textId="77777777" w:rsidR="00372E4A" w:rsidRPr="00CC1ADD" w:rsidRDefault="00372E4A" w:rsidP="00372E4A">
      <w:pPr>
        <w:keepNext/>
        <w:rPr>
          <w:sz w:val="22"/>
          <w:szCs w:val="22"/>
        </w:rPr>
      </w:pPr>
    </w:p>
    <w:tbl>
      <w:tblPr>
        <w:tblStyle w:val="TableGrid"/>
        <w:tblW w:w="0" w:type="auto"/>
        <w:tblLook w:val="04A0" w:firstRow="1" w:lastRow="0" w:firstColumn="1" w:lastColumn="0" w:noHBand="0" w:noVBand="1"/>
      </w:tblPr>
      <w:tblGrid>
        <w:gridCol w:w="9736"/>
      </w:tblGrid>
      <w:tr w:rsidR="00372E4A" w:rsidRPr="00CC1ADD" w14:paraId="629B2053" w14:textId="77777777" w:rsidTr="00A26FC9">
        <w:trPr>
          <w:trHeight w:val="3129"/>
        </w:trPr>
        <w:tc>
          <w:tcPr>
            <w:tcW w:w="9736" w:type="dxa"/>
            <w:shd w:val="clear" w:color="auto" w:fill="D9E2F3" w:themeFill="accent1" w:themeFillTint="33"/>
            <w:vAlign w:val="center"/>
          </w:tcPr>
          <w:p w14:paraId="3D0BAD81" w14:textId="3755C824" w:rsidR="00372E4A" w:rsidRPr="00C82D90" w:rsidRDefault="00372E4A" w:rsidP="00372E4A">
            <w:pPr>
              <w:keepNext/>
              <w:ind w:left="2160" w:hanging="2160"/>
              <w:rPr>
                <w:b/>
                <w:sz w:val="22"/>
                <w:szCs w:val="22"/>
              </w:rPr>
            </w:pPr>
            <w:r w:rsidRPr="00CC1ADD">
              <w:rPr>
                <w:b/>
                <w:sz w:val="22"/>
                <w:szCs w:val="22"/>
              </w:rPr>
              <w:t xml:space="preserve">Recommendation 6: </w:t>
            </w:r>
            <w:r w:rsidRPr="00CC1ADD">
              <w:rPr>
                <w:b/>
                <w:sz w:val="22"/>
                <w:szCs w:val="22"/>
              </w:rPr>
              <w:tab/>
            </w:r>
            <w:r w:rsidR="00A26FC9">
              <w:rPr>
                <w:b/>
                <w:sz w:val="22"/>
                <w:szCs w:val="22"/>
              </w:rPr>
              <w:t>HSR</w:t>
            </w:r>
            <w:r w:rsidRPr="00CC1ADD">
              <w:rPr>
                <w:b/>
                <w:sz w:val="22"/>
                <w:szCs w:val="22"/>
              </w:rPr>
              <w:t xml:space="preserve"> System implementation</w:t>
            </w:r>
            <w:r>
              <w:rPr>
                <w:b/>
                <w:sz w:val="22"/>
                <w:szCs w:val="22"/>
              </w:rPr>
              <w:t xml:space="preserve"> </w:t>
            </w:r>
            <w:r w:rsidRPr="00CC1ADD">
              <w:rPr>
                <w:b/>
                <w:sz w:val="22"/>
                <w:szCs w:val="22"/>
              </w:rPr>
              <w:t>continue to be jointly funded by Australia</w:t>
            </w:r>
            <w:r>
              <w:rPr>
                <w:b/>
                <w:sz w:val="22"/>
                <w:szCs w:val="22"/>
              </w:rPr>
              <w:t>n</w:t>
            </w:r>
            <w:r w:rsidRPr="00CC1ADD">
              <w:rPr>
                <w:b/>
                <w:sz w:val="22"/>
                <w:szCs w:val="22"/>
              </w:rPr>
              <w:t>, State and Territory and New Zeala</w:t>
            </w:r>
            <w:r w:rsidRPr="006B0997">
              <w:rPr>
                <w:b/>
                <w:sz w:val="22"/>
                <w:szCs w:val="22"/>
              </w:rPr>
              <w:t xml:space="preserve">nd </w:t>
            </w:r>
            <w:r>
              <w:rPr>
                <w:b/>
                <w:sz w:val="22"/>
                <w:szCs w:val="22"/>
              </w:rPr>
              <w:t>governments for a further four years.</w:t>
            </w:r>
          </w:p>
          <w:p w14:paraId="040BF905" w14:textId="77777777" w:rsidR="00372E4A" w:rsidRPr="003A051A" w:rsidRDefault="00372E4A" w:rsidP="00372E4A">
            <w:pPr>
              <w:pStyle w:val="mpcNormal"/>
            </w:pPr>
          </w:p>
          <w:p w14:paraId="5A5CEF69" w14:textId="147988E2" w:rsidR="00372E4A" w:rsidRPr="00D41046" w:rsidRDefault="00372E4A" w:rsidP="00372E4A">
            <w:pPr>
              <w:pStyle w:val="mpcNormal"/>
              <w:rPr>
                <w:i/>
              </w:rPr>
            </w:pPr>
            <w:r w:rsidRPr="00D41046">
              <w:rPr>
                <w:i/>
              </w:rPr>
              <w:t>The next f</w:t>
            </w:r>
            <w:r>
              <w:rPr>
                <w:i/>
              </w:rPr>
              <w:t>ew</w:t>
            </w:r>
            <w:r w:rsidRPr="00D41046">
              <w:rPr>
                <w:i/>
              </w:rPr>
              <w:t xml:space="preserve"> years will be critical to the HSR System</w:t>
            </w:r>
            <w:r>
              <w:rPr>
                <w:i/>
              </w:rPr>
              <w:t xml:space="preserve"> </w:t>
            </w:r>
            <w:r w:rsidR="00A26FC9">
              <w:rPr>
                <w:i/>
              </w:rPr>
              <w:t>–</w:t>
            </w:r>
            <w:r>
              <w:rPr>
                <w:i/>
              </w:rPr>
              <w:t xml:space="preserve"> </w:t>
            </w:r>
            <w:r w:rsidRPr="00D41046">
              <w:rPr>
                <w:i/>
              </w:rPr>
              <w:t>changes</w:t>
            </w:r>
            <w:r w:rsidR="00A26FC9">
              <w:rPr>
                <w:i/>
              </w:rPr>
              <w:t xml:space="preserve"> </w:t>
            </w:r>
            <w:r w:rsidRPr="00D41046">
              <w:rPr>
                <w:i/>
              </w:rPr>
              <w:t xml:space="preserve">will be implemented to better align with Dietary Guidelines and address consumer concerns, and uptake by industry </w:t>
            </w:r>
            <w:r w:rsidR="00BC22AC">
              <w:rPr>
                <w:i/>
              </w:rPr>
              <w:t>is</w:t>
            </w:r>
            <w:r w:rsidRPr="00D41046">
              <w:rPr>
                <w:i/>
              </w:rPr>
              <w:t xml:space="preserve"> expected to increase considerably. Funding is necessary to support the governance arrangements during this period, educate consumers about the changes and monitor consumer response and industry uptake. </w:t>
            </w:r>
          </w:p>
          <w:p w14:paraId="3A596AA2" w14:textId="77777777" w:rsidR="00372E4A" w:rsidRPr="00D41046" w:rsidRDefault="00372E4A" w:rsidP="00372E4A">
            <w:pPr>
              <w:pStyle w:val="mpcNormal"/>
              <w:rPr>
                <w:i/>
              </w:rPr>
            </w:pPr>
          </w:p>
          <w:p w14:paraId="135C9A60" w14:textId="77777777" w:rsidR="00372E4A" w:rsidRPr="00D41046" w:rsidRDefault="00372E4A" w:rsidP="00372E4A">
            <w:pPr>
              <w:pStyle w:val="mpcNormal"/>
              <w:rPr>
                <w:i/>
              </w:rPr>
            </w:pPr>
            <w:r>
              <w:rPr>
                <w:i/>
              </w:rPr>
              <w:t>It is acknowledged that c</w:t>
            </w:r>
            <w:r w:rsidRPr="00D41046">
              <w:rPr>
                <w:i/>
              </w:rPr>
              <w:t>onsiderable additional resources (including time, expertise, education, research and promotional materials) have also been contributed by a range of stakeholders including industry, public health</w:t>
            </w:r>
            <w:r>
              <w:rPr>
                <w:i/>
              </w:rPr>
              <w:t xml:space="preserve"> and </w:t>
            </w:r>
            <w:r w:rsidRPr="00D41046">
              <w:rPr>
                <w:i/>
              </w:rPr>
              <w:t>consumer groups.</w:t>
            </w:r>
          </w:p>
        </w:tc>
      </w:tr>
    </w:tbl>
    <w:p w14:paraId="68C83D43" w14:textId="64E32574" w:rsidR="00043D4E" w:rsidRDefault="00043D4E" w:rsidP="00372E4A">
      <w:pPr>
        <w:rPr>
          <w:sz w:val="22"/>
          <w:szCs w:val="22"/>
        </w:rPr>
      </w:pPr>
    </w:p>
    <w:tbl>
      <w:tblPr>
        <w:tblStyle w:val="TableGrid"/>
        <w:tblW w:w="0" w:type="auto"/>
        <w:tblLook w:val="04A0" w:firstRow="1" w:lastRow="0" w:firstColumn="1" w:lastColumn="0" w:noHBand="0" w:noVBand="1"/>
      </w:tblPr>
      <w:tblGrid>
        <w:gridCol w:w="9736"/>
      </w:tblGrid>
      <w:tr w:rsidR="00043D4E" w14:paraId="7A7A5EF0" w14:textId="77777777" w:rsidTr="00043D4E">
        <w:trPr>
          <w:trHeight w:val="3821"/>
        </w:trPr>
        <w:tc>
          <w:tcPr>
            <w:tcW w:w="9736" w:type="dxa"/>
            <w:shd w:val="clear" w:color="auto" w:fill="D9E2F3" w:themeFill="accent1" w:themeFillTint="33"/>
            <w:vAlign w:val="center"/>
          </w:tcPr>
          <w:p w14:paraId="712E3A02" w14:textId="77777777" w:rsidR="00043D4E" w:rsidRPr="00043D4E" w:rsidRDefault="00043D4E" w:rsidP="00043D4E">
            <w:pPr>
              <w:pStyle w:val="mpcNormal"/>
              <w:rPr>
                <w:b/>
              </w:rPr>
            </w:pPr>
            <w:r w:rsidRPr="00043D4E">
              <w:rPr>
                <w:b/>
              </w:rPr>
              <w:t xml:space="preserve">Recommendation 7: </w:t>
            </w:r>
            <w:r w:rsidRPr="00043D4E">
              <w:rPr>
                <w:b/>
              </w:rPr>
              <w:tab/>
              <w:t>Minor changes be made to the governance of the HSR System to:</w:t>
            </w:r>
          </w:p>
          <w:p w14:paraId="157448FA" w14:textId="77777777" w:rsidR="00043D4E" w:rsidRPr="00043D4E" w:rsidRDefault="00043D4E" w:rsidP="00043D4E">
            <w:pPr>
              <w:pStyle w:val="mpcNormal"/>
              <w:rPr>
                <w:b/>
              </w:rPr>
            </w:pPr>
          </w:p>
          <w:p w14:paraId="2920682D" w14:textId="77777777" w:rsidR="00043D4E" w:rsidRPr="00043D4E" w:rsidRDefault="00043D4E" w:rsidP="00C3403E">
            <w:pPr>
              <w:pStyle w:val="ListParagraph"/>
              <w:numPr>
                <w:ilvl w:val="0"/>
                <w:numId w:val="36"/>
              </w:numPr>
              <w:rPr>
                <w:b/>
                <w:sz w:val="22"/>
                <w:szCs w:val="22"/>
              </w:rPr>
            </w:pPr>
            <w:r w:rsidRPr="00043D4E">
              <w:rPr>
                <w:b/>
                <w:sz w:val="22"/>
                <w:szCs w:val="22"/>
              </w:rPr>
              <w:t>support greater consumer confidence in the System by transferring management of the HSR Calculator and TAG database to FSANZ</w:t>
            </w:r>
          </w:p>
          <w:p w14:paraId="5B495984" w14:textId="77777777" w:rsidR="00043D4E" w:rsidRPr="00043D4E" w:rsidRDefault="00043D4E" w:rsidP="00C3403E">
            <w:pPr>
              <w:pStyle w:val="ListParagraph"/>
              <w:numPr>
                <w:ilvl w:val="0"/>
                <w:numId w:val="36"/>
              </w:numPr>
              <w:rPr>
                <w:b/>
                <w:sz w:val="22"/>
                <w:szCs w:val="22"/>
              </w:rPr>
            </w:pPr>
            <w:r w:rsidRPr="00043D4E">
              <w:rPr>
                <w:b/>
                <w:sz w:val="22"/>
                <w:szCs w:val="22"/>
              </w:rPr>
              <w:t xml:space="preserve">clarify the role of the committees </w:t>
            </w:r>
          </w:p>
          <w:p w14:paraId="27FC0E9F" w14:textId="13E89727" w:rsidR="00043D4E" w:rsidRPr="00043D4E" w:rsidRDefault="00043D4E" w:rsidP="00C3403E">
            <w:pPr>
              <w:pStyle w:val="ListParagraph"/>
              <w:numPr>
                <w:ilvl w:val="0"/>
                <w:numId w:val="36"/>
              </w:numPr>
              <w:rPr>
                <w:b/>
                <w:sz w:val="22"/>
                <w:szCs w:val="22"/>
              </w:rPr>
            </w:pPr>
            <w:r w:rsidRPr="00043D4E">
              <w:rPr>
                <w:b/>
                <w:sz w:val="22"/>
                <w:szCs w:val="22"/>
              </w:rPr>
              <w:t>increase transparency</w:t>
            </w:r>
            <w:r w:rsidR="00B53139">
              <w:rPr>
                <w:b/>
                <w:sz w:val="22"/>
                <w:szCs w:val="22"/>
              </w:rPr>
              <w:t xml:space="preserve"> of the System</w:t>
            </w:r>
          </w:p>
          <w:p w14:paraId="0BC9B24C" w14:textId="77777777" w:rsidR="00043D4E" w:rsidRPr="00043D4E" w:rsidRDefault="00043D4E" w:rsidP="00C3403E">
            <w:pPr>
              <w:pStyle w:val="ListParagraph"/>
              <w:numPr>
                <w:ilvl w:val="0"/>
                <w:numId w:val="36"/>
              </w:numPr>
              <w:rPr>
                <w:b/>
                <w:sz w:val="22"/>
                <w:szCs w:val="22"/>
              </w:rPr>
            </w:pPr>
            <w:r w:rsidRPr="00043D4E">
              <w:rPr>
                <w:b/>
                <w:sz w:val="22"/>
                <w:szCs w:val="22"/>
              </w:rPr>
              <w:t>improve monitoring, enabling the System to be more responsive.</w:t>
            </w:r>
          </w:p>
          <w:p w14:paraId="53C9BA7E" w14:textId="77777777" w:rsidR="00043D4E" w:rsidRPr="00043D4E" w:rsidRDefault="00043D4E" w:rsidP="00F720A0">
            <w:pPr>
              <w:pStyle w:val="mpcbullets1"/>
              <w:numPr>
                <w:ilvl w:val="0"/>
                <w:numId w:val="0"/>
              </w:numPr>
            </w:pPr>
          </w:p>
          <w:p w14:paraId="0041E1A6" w14:textId="7D04460B" w:rsidR="00043D4E" w:rsidRDefault="00043D4E" w:rsidP="00043D4E">
            <w:pPr>
              <w:rPr>
                <w:sz w:val="22"/>
                <w:szCs w:val="22"/>
              </w:rPr>
            </w:pPr>
            <w:r w:rsidRPr="00043D4E">
              <w:rPr>
                <w:i/>
                <w:sz w:val="22"/>
                <w:szCs w:val="22"/>
              </w:rPr>
              <w:t>As the HSR System moves into the next stage of implementation, a number of adjustments to the governance arrangements are recommended to support greater consumer confidence; enable more effective monitoring; provide greater transparency; and improve responsiveness. Recommended changes include adjustments to the composition and role of the HSRAC and independent custodianship (by FSANZ) of the HSR Calculator and TAG database.</w:t>
            </w:r>
          </w:p>
        </w:tc>
      </w:tr>
    </w:tbl>
    <w:p w14:paraId="7920C57A" w14:textId="27FFFEC5" w:rsidR="00043D4E" w:rsidRDefault="00043D4E" w:rsidP="00372E4A">
      <w:pPr>
        <w:rPr>
          <w:sz w:val="22"/>
          <w:szCs w:val="22"/>
        </w:rPr>
      </w:pPr>
    </w:p>
    <w:tbl>
      <w:tblPr>
        <w:tblStyle w:val="TableGrid"/>
        <w:tblW w:w="0" w:type="auto"/>
        <w:tblLook w:val="04A0" w:firstRow="1" w:lastRow="0" w:firstColumn="1" w:lastColumn="0" w:noHBand="0" w:noVBand="1"/>
      </w:tblPr>
      <w:tblGrid>
        <w:gridCol w:w="9736"/>
      </w:tblGrid>
      <w:tr w:rsidR="00043D4E" w14:paraId="54010601" w14:textId="77777777" w:rsidTr="00BC22AC">
        <w:trPr>
          <w:trHeight w:val="3151"/>
        </w:trPr>
        <w:tc>
          <w:tcPr>
            <w:tcW w:w="9736" w:type="dxa"/>
            <w:shd w:val="clear" w:color="auto" w:fill="D9E2F3" w:themeFill="accent1" w:themeFillTint="33"/>
            <w:vAlign w:val="center"/>
          </w:tcPr>
          <w:p w14:paraId="1E6DACFD" w14:textId="77777777" w:rsidR="00043D4E" w:rsidRPr="00043D4E" w:rsidRDefault="00043D4E" w:rsidP="00043D4E">
            <w:pPr>
              <w:pStyle w:val="mpcNormal"/>
              <w:ind w:left="2160" w:hanging="2160"/>
              <w:rPr>
                <w:b/>
              </w:rPr>
            </w:pPr>
            <w:r w:rsidRPr="00043D4E">
              <w:rPr>
                <w:b/>
              </w:rPr>
              <w:t xml:space="preserve">Recommendation 8: </w:t>
            </w:r>
            <w:r w:rsidRPr="00043D4E">
              <w:rPr>
                <w:b/>
              </w:rPr>
              <w:tab/>
              <w:t>Enhance the critical infrastructure to support implementation and evaluation of food and nutrition</w:t>
            </w:r>
            <w:r w:rsidRPr="00043D4E">
              <w:rPr>
                <w:b/>
              </w:rPr>
              <w:noBreakHyphen/>
              <w:t>related public health initiatives, including the HSR System, through regular updates to Dietary Guidelines and national health and nutrition surveys and the establishment of a comprehensive, dataset of branded food products</w:t>
            </w:r>
          </w:p>
          <w:p w14:paraId="70921BB5" w14:textId="77777777" w:rsidR="00043D4E" w:rsidRPr="00043D4E" w:rsidRDefault="00043D4E" w:rsidP="00F720A0">
            <w:pPr>
              <w:pStyle w:val="mpcbullets1"/>
              <w:numPr>
                <w:ilvl w:val="0"/>
                <w:numId w:val="0"/>
              </w:numPr>
              <w:ind w:left="360"/>
            </w:pPr>
          </w:p>
          <w:p w14:paraId="7703487E" w14:textId="4FAC654A" w:rsidR="00043D4E" w:rsidRPr="00043D4E" w:rsidRDefault="00043D4E" w:rsidP="00043D4E">
            <w:pPr>
              <w:rPr>
                <w:i/>
                <w:sz w:val="22"/>
                <w:szCs w:val="22"/>
              </w:rPr>
            </w:pPr>
            <w:r w:rsidRPr="00043D4E">
              <w:rPr>
                <w:i/>
                <w:sz w:val="22"/>
                <w:szCs w:val="22"/>
              </w:rPr>
              <w:t>Expansion of FSANZ’s existing data management system to enable the automated upload, validation, storage and public reporting of branded food data including the HSR will: support public and industry confidence in the HSR System; enable automated validation of the HSR displayed on a product; track longitudinal reformulation of products; and support development of food and nutrition policy, surveys and regulation.</w:t>
            </w:r>
          </w:p>
        </w:tc>
      </w:tr>
    </w:tbl>
    <w:p w14:paraId="22DD9F43" w14:textId="77777777" w:rsidR="00043D4E" w:rsidRDefault="00043D4E" w:rsidP="00372E4A">
      <w:pPr>
        <w:rPr>
          <w:sz w:val="22"/>
          <w:szCs w:val="22"/>
        </w:rPr>
      </w:pPr>
    </w:p>
    <w:p w14:paraId="03335DB0" w14:textId="77777777" w:rsidR="00372E4A" w:rsidRPr="00A25D38" w:rsidRDefault="00372E4A" w:rsidP="00A25D38">
      <w:pPr>
        <w:pStyle w:val="mpcNormal"/>
        <w:pBdr>
          <w:top w:val="single" w:sz="2" w:space="1" w:color="auto"/>
          <w:left w:val="single" w:sz="2" w:space="4" w:color="auto"/>
          <w:bottom w:val="single" w:sz="2" w:space="1" w:color="auto"/>
          <w:right w:val="single" w:sz="2" w:space="4" w:color="auto"/>
        </w:pBdr>
        <w:shd w:val="clear" w:color="auto" w:fill="4CB99B"/>
        <w:rPr>
          <w:b/>
          <w:color w:val="FFFFFF" w:themeColor="background1"/>
          <w:sz w:val="24"/>
          <w:lang w:eastAsia="en-GB"/>
        </w:rPr>
      </w:pPr>
      <w:bookmarkStart w:id="33" w:name="_Toc536717033"/>
      <w:bookmarkStart w:id="34" w:name="_Toc536718416"/>
      <w:bookmarkStart w:id="35" w:name="_Toc536808331"/>
      <w:bookmarkStart w:id="36" w:name="_Toc536809149"/>
      <w:bookmarkStart w:id="37" w:name="_Toc1554121"/>
      <w:r w:rsidRPr="00A25D38">
        <w:rPr>
          <w:b/>
          <w:color w:val="FFFFFF" w:themeColor="background1"/>
          <w:sz w:val="24"/>
          <w:lang w:eastAsia="en-GB"/>
        </w:rPr>
        <w:t>Optimising uptake of the HSR System (Chapter 7)</w:t>
      </w:r>
      <w:bookmarkEnd w:id="33"/>
      <w:bookmarkEnd w:id="34"/>
      <w:bookmarkEnd w:id="35"/>
      <w:bookmarkEnd w:id="36"/>
      <w:bookmarkEnd w:id="37"/>
    </w:p>
    <w:p w14:paraId="649DD9F0" w14:textId="60294857" w:rsidR="00372E4A" w:rsidRDefault="00372E4A" w:rsidP="00043D4E">
      <w:pPr>
        <w:keepNext/>
        <w:rPr>
          <w:b/>
          <w:sz w:val="22"/>
          <w:szCs w:val="22"/>
        </w:rPr>
      </w:pPr>
    </w:p>
    <w:tbl>
      <w:tblPr>
        <w:tblStyle w:val="TableGrid"/>
        <w:tblW w:w="0" w:type="auto"/>
        <w:tblLook w:val="04A0" w:firstRow="1" w:lastRow="0" w:firstColumn="1" w:lastColumn="0" w:noHBand="0" w:noVBand="1"/>
      </w:tblPr>
      <w:tblGrid>
        <w:gridCol w:w="9736"/>
      </w:tblGrid>
      <w:tr w:rsidR="00372E4A" w:rsidRPr="00CC1ADD" w14:paraId="529B2FC8" w14:textId="77777777" w:rsidTr="00372E4A">
        <w:trPr>
          <w:trHeight w:val="3488"/>
        </w:trPr>
        <w:tc>
          <w:tcPr>
            <w:tcW w:w="9736" w:type="dxa"/>
            <w:shd w:val="clear" w:color="auto" w:fill="D9E2F3" w:themeFill="accent1" w:themeFillTint="33"/>
            <w:vAlign w:val="center"/>
          </w:tcPr>
          <w:p w14:paraId="0ABFF31D" w14:textId="232D7DF6" w:rsidR="00043D4E" w:rsidRPr="00C071BB" w:rsidRDefault="00043D4E" w:rsidP="00043D4E">
            <w:pPr>
              <w:pStyle w:val="mpcNormal"/>
              <w:ind w:left="2160" w:hanging="2160"/>
              <w:rPr>
                <w:b/>
              </w:rPr>
            </w:pPr>
            <w:r w:rsidRPr="00C071BB">
              <w:rPr>
                <w:b/>
              </w:rPr>
              <w:t xml:space="preserve">Recommendation 9: </w:t>
            </w:r>
            <w:r w:rsidRPr="00C071BB">
              <w:rPr>
                <w:b/>
              </w:rPr>
              <w:tab/>
              <w:t xml:space="preserve">The </w:t>
            </w:r>
            <w:r w:rsidR="00C97B3A">
              <w:rPr>
                <w:b/>
              </w:rPr>
              <w:t>HSR</w:t>
            </w:r>
            <w:r w:rsidRPr="00C071BB">
              <w:rPr>
                <w:b/>
              </w:rPr>
              <w:t xml:space="preserve"> System remain voluntary, but </w:t>
            </w:r>
            <w:r>
              <w:rPr>
                <w:b/>
              </w:rPr>
              <w:t xml:space="preserve">with clear </w:t>
            </w:r>
            <w:r w:rsidRPr="00C071BB">
              <w:rPr>
                <w:b/>
              </w:rPr>
              <w:t xml:space="preserve">uptake </w:t>
            </w:r>
            <w:r>
              <w:rPr>
                <w:b/>
              </w:rPr>
              <w:t>targets set by governments (the HSR must be displayed on 70% of target products by end 2023) and all stakeholders working together to drive uptake.</w:t>
            </w:r>
          </w:p>
          <w:p w14:paraId="2F834EB6" w14:textId="77777777" w:rsidR="00372E4A" w:rsidRPr="00CC1ADD" w:rsidRDefault="00372E4A" w:rsidP="00043D4E">
            <w:pPr>
              <w:pStyle w:val="mpcNormal"/>
            </w:pPr>
          </w:p>
          <w:p w14:paraId="5B6F7B46" w14:textId="77777777" w:rsidR="00372E4A" w:rsidRDefault="00372E4A" w:rsidP="00043D4E">
            <w:pPr>
              <w:pStyle w:val="mpcNormal"/>
              <w:rPr>
                <w:i/>
              </w:rPr>
            </w:pPr>
            <w:r w:rsidRPr="00767B1E">
              <w:rPr>
                <w:i/>
              </w:rPr>
              <w:t xml:space="preserve">Consistent and widespread adoption of the HSR is required for the System to have a significant public health impact. The Review closely considered whether improved uptake should be achieved through mandating the System. On balance, the Review considers that attention should first be focused on improving the System, setting clear uptake targets and continuing to incentivise uptake. </w:t>
            </w:r>
          </w:p>
          <w:p w14:paraId="5ED9207E" w14:textId="77777777" w:rsidR="00372E4A" w:rsidRDefault="00372E4A" w:rsidP="00043D4E">
            <w:pPr>
              <w:pStyle w:val="mpcNormal"/>
              <w:rPr>
                <w:i/>
              </w:rPr>
            </w:pPr>
          </w:p>
          <w:p w14:paraId="4AC06979" w14:textId="77777777" w:rsidR="00372E4A" w:rsidRPr="00767B1E" w:rsidRDefault="00372E4A" w:rsidP="00043D4E">
            <w:pPr>
              <w:pStyle w:val="mpcNormal"/>
              <w:rPr>
                <w:i/>
              </w:rPr>
            </w:pPr>
            <w:r w:rsidRPr="00767B1E">
              <w:rPr>
                <w:i/>
              </w:rPr>
              <w:t>This approach continues to build on the significant investment and goodwill of industry and others</w:t>
            </w:r>
            <w:r>
              <w:rPr>
                <w:i/>
              </w:rPr>
              <w:t xml:space="preserve">; </w:t>
            </w:r>
            <w:r w:rsidRPr="00767B1E">
              <w:rPr>
                <w:i/>
              </w:rPr>
              <w:t>is consistent with the principles of best practice regulation</w:t>
            </w:r>
            <w:r>
              <w:rPr>
                <w:i/>
              </w:rPr>
              <w:t>;</w:t>
            </w:r>
            <w:r w:rsidRPr="00767B1E">
              <w:rPr>
                <w:i/>
              </w:rPr>
              <w:t xml:space="preserve"> and </w:t>
            </w:r>
            <w:r>
              <w:rPr>
                <w:i/>
              </w:rPr>
              <w:t xml:space="preserve">reflects </w:t>
            </w:r>
            <w:r w:rsidRPr="00767B1E">
              <w:rPr>
                <w:i/>
              </w:rPr>
              <w:t xml:space="preserve">international experience (where the majority of interpretive </w:t>
            </w:r>
            <w:r>
              <w:rPr>
                <w:i/>
              </w:rPr>
              <w:t>front of pack labelling</w:t>
            </w:r>
            <w:r w:rsidRPr="00767B1E">
              <w:rPr>
                <w:i/>
              </w:rPr>
              <w:t xml:space="preserve"> schemes have been implemented on a voluntary basis).</w:t>
            </w:r>
          </w:p>
        </w:tc>
      </w:tr>
    </w:tbl>
    <w:p w14:paraId="2684E9EB" w14:textId="77777777" w:rsidR="00372E4A" w:rsidRDefault="00372E4A" w:rsidP="00372E4A">
      <w:pPr>
        <w:pStyle w:val="mpcNormal"/>
        <w:keepNext w:val="0"/>
      </w:pPr>
    </w:p>
    <w:tbl>
      <w:tblPr>
        <w:tblStyle w:val="TableGrid"/>
        <w:tblW w:w="0" w:type="auto"/>
        <w:tblLook w:val="04A0" w:firstRow="1" w:lastRow="0" w:firstColumn="1" w:lastColumn="0" w:noHBand="0" w:noVBand="1"/>
      </w:tblPr>
      <w:tblGrid>
        <w:gridCol w:w="9736"/>
      </w:tblGrid>
      <w:tr w:rsidR="00372E4A" w:rsidRPr="00CC1ADD" w14:paraId="699B6726" w14:textId="77777777" w:rsidTr="00B53139">
        <w:trPr>
          <w:trHeight w:val="2368"/>
        </w:trPr>
        <w:tc>
          <w:tcPr>
            <w:tcW w:w="9736" w:type="dxa"/>
            <w:tcBorders>
              <w:bottom w:val="single" w:sz="2" w:space="0" w:color="auto"/>
            </w:tcBorders>
            <w:shd w:val="clear" w:color="auto" w:fill="D9E2F3" w:themeFill="accent1" w:themeFillTint="33"/>
            <w:vAlign w:val="center"/>
          </w:tcPr>
          <w:p w14:paraId="540EA32D" w14:textId="77777777" w:rsidR="00372E4A" w:rsidRPr="006130FD" w:rsidRDefault="00372E4A" w:rsidP="00372E4A">
            <w:pPr>
              <w:pStyle w:val="mpcNormal"/>
              <w:keepNext w:val="0"/>
              <w:ind w:left="2160" w:hanging="2160"/>
              <w:rPr>
                <w:b/>
              </w:rPr>
            </w:pPr>
            <w:r w:rsidRPr="006130FD">
              <w:rPr>
                <w:b/>
              </w:rPr>
              <w:t xml:space="preserve">Recommendation </w:t>
            </w:r>
            <w:r>
              <w:rPr>
                <w:b/>
              </w:rPr>
              <w:t>10</w:t>
            </w:r>
            <w:r w:rsidRPr="006130FD">
              <w:rPr>
                <w:b/>
              </w:rPr>
              <w:t xml:space="preserve">: </w:t>
            </w:r>
            <w:r w:rsidRPr="006130FD">
              <w:rPr>
                <w:b/>
              </w:rPr>
              <w:tab/>
              <w:t xml:space="preserve">The existing </w:t>
            </w:r>
            <w:r w:rsidRPr="000A22C3">
              <w:rPr>
                <w:b/>
                <w:i/>
              </w:rPr>
              <w:t>Guide for Industry to the Health Star Rating Calculator</w:t>
            </w:r>
            <w:r w:rsidRPr="006130FD">
              <w:rPr>
                <w:b/>
              </w:rPr>
              <w:t xml:space="preserve"> and the </w:t>
            </w:r>
            <w:r w:rsidRPr="000A22C3">
              <w:rPr>
                <w:b/>
                <w:i/>
              </w:rPr>
              <w:t>Health Star Rating System Style Guide</w:t>
            </w:r>
            <w:r w:rsidRPr="006130FD">
              <w:rPr>
                <w:b/>
              </w:rPr>
              <w:t xml:space="preserve"> be combined, revised and strengthened, providing greater certainty for stakeholders.</w:t>
            </w:r>
          </w:p>
          <w:p w14:paraId="5096E823" w14:textId="77777777" w:rsidR="00372E4A" w:rsidRPr="00CC1ADD" w:rsidRDefault="00372E4A" w:rsidP="00372E4A">
            <w:pPr>
              <w:pStyle w:val="mpcNormal"/>
              <w:keepNext w:val="0"/>
            </w:pPr>
          </w:p>
          <w:p w14:paraId="48546B0B" w14:textId="77777777" w:rsidR="00372E4A" w:rsidRPr="006B0997" w:rsidRDefault="00372E4A" w:rsidP="00372E4A">
            <w:pPr>
              <w:pStyle w:val="mpcNormal"/>
              <w:keepNext w:val="0"/>
              <w:rPr>
                <w:i/>
              </w:rPr>
            </w:pPr>
            <w:r w:rsidRPr="000A22C3">
              <w:rPr>
                <w:i/>
              </w:rPr>
              <w:t>Changes will be required to the Guide for Industry to the HSR Calculator and HSR System Style Guide. The opportunity should be taken to combine, improve and strengthen these documents such that there is a single resource (similar to a Code of Practice) that describes the HSR System, its objectives and industry obligations.</w:t>
            </w:r>
          </w:p>
        </w:tc>
      </w:tr>
    </w:tbl>
    <w:p w14:paraId="09D11B10" w14:textId="77777777" w:rsidR="00372E4A" w:rsidRPr="00CC1ADD" w:rsidRDefault="00372E4A" w:rsidP="00372E4A">
      <w:pPr>
        <w:pStyle w:val="mpcNormal"/>
        <w:keepNext w:val="0"/>
      </w:pPr>
    </w:p>
    <w:p w14:paraId="20B34EE0" w14:textId="3A4B212B" w:rsidR="00372E4A" w:rsidRDefault="00372E4A" w:rsidP="00372E4A"/>
    <w:p w14:paraId="4716951A" w14:textId="1D9E4A02" w:rsidR="00372E4A" w:rsidRDefault="00372E4A" w:rsidP="00175CE9">
      <w:pPr>
        <w:pStyle w:val="mpcNormal"/>
        <w:keepNext w:val="0"/>
      </w:pPr>
    </w:p>
    <w:p w14:paraId="1E77A37F" w14:textId="43E7D7EF" w:rsidR="00F43B13" w:rsidRPr="00CC1ADD" w:rsidRDefault="00372E4A">
      <w:pPr>
        <w:pStyle w:val="mpcheading1"/>
      </w:pPr>
      <w:bookmarkStart w:id="38" w:name="_Toc493777383"/>
      <w:r>
        <w:br w:type="column"/>
      </w:r>
      <w:bookmarkStart w:id="39" w:name="Chapter1"/>
      <w:bookmarkStart w:id="40" w:name="_Toc1746473"/>
      <w:bookmarkEnd w:id="39"/>
      <w:r w:rsidR="00F43B13" w:rsidRPr="00CC1ADD">
        <w:t>Chapter 1 – About the Health Star Rating System</w:t>
      </w:r>
      <w:bookmarkEnd w:id="38"/>
      <w:bookmarkEnd w:id="40"/>
    </w:p>
    <w:p w14:paraId="100D650B" w14:textId="77777777" w:rsidR="00F43B13" w:rsidRPr="00CC1ADD" w:rsidRDefault="00F43B13">
      <w:pPr>
        <w:pStyle w:val="mpcheading2"/>
        <w:spacing w:after="0"/>
        <w:rPr>
          <w:rFonts w:cstheme="minorHAnsi"/>
        </w:rPr>
      </w:pPr>
      <w:bookmarkStart w:id="41" w:name="Development"/>
      <w:bookmarkStart w:id="42" w:name="_Toc1746474"/>
      <w:bookmarkEnd w:id="41"/>
      <w:r w:rsidRPr="00CC1ADD">
        <w:rPr>
          <w:rFonts w:cstheme="minorHAnsi"/>
        </w:rPr>
        <w:t>Development of the HSR System</w:t>
      </w:r>
      <w:bookmarkEnd w:id="42"/>
    </w:p>
    <w:p w14:paraId="6CEA1243" w14:textId="77777777" w:rsidR="00F43B13" w:rsidRPr="00CC1ADD" w:rsidRDefault="00F43B13">
      <w:pPr>
        <w:pStyle w:val="ms-rteelement-p"/>
        <w:spacing w:before="0" w:beforeAutospacing="0" w:after="0" w:afterAutospacing="0"/>
        <w:rPr>
          <w:rFonts w:asciiTheme="minorHAnsi" w:eastAsiaTheme="minorEastAsia" w:hAnsiTheme="minorHAnsi" w:cstheme="minorHAnsi"/>
          <w:sz w:val="22"/>
          <w:szCs w:val="22"/>
          <w:lang w:eastAsia="en-AU"/>
        </w:rPr>
      </w:pPr>
    </w:p>
    <w:p w14:paraId="6ACB882D" w14:textId="7CC7FA09" w:rsidR="00F43B13" w:rsidRPr="00CC1ADD" w:rsidRDefault="00F43B13">
      <w:pPr>
        <w:pStyle w:val="ms-rteelement-p"/>
        <w:spacing w:before="0" w:beforeAutospacing="0" w:after="0" w:afterAutospacing="0"/>
        <w:rPr>
          <w:rFonts w:asciiTheme="minorHAnsi" w:eastAsiaTheme="minorEastAsia" w:hAnsiTheme="minorHAnsi" w:cstheme="minorHAnsi"/>
          <w:sz w:val="22"/>
          <w:szCs w:val="22"/>
          <w:lang w:eastAsia="en-AU"/>
        </w:rPr>
      </w:pPr>
      <w:r w:rsidRPr="00CC1ADD">
        <w:rPr>
          <w:rFonts w:asciiTheme="minorHAnsi" w:eastAsiaTheme="minorEastAsia" w:hAnsiTheme="minorHAnsi" w:cstheme="minorHAnsi"/>
          <w:sz w:val="22"/>
          <w:szCs w:val="22"/>
          <w:lang w:eastAsia="en-AU"/>
        </w:rPr>
        <w:t>In 2009, Australian and New Zealand food regulation Ministers agreed to a comprehensive independent review of food labelling law and policy. An expert panel, chaired by Dr Neal Blewett, AC, undertook the review and the panel’s final report, </w:t>
      </w:r>
      <w:r w:rsidRPr="00CC1ADD">
        <w:rPr>
          <w:rFonts w:asciiTheme="minorHAnsi" w:eastAsiaTheme="minorEastAsia" w:hAnsiTheme="minorHAnsi" w:cstheme="minorHAnsi"/>
          <w:i/>
          <w:iCs/>
          <w:sz w:val="22"/>
          <w:szCs w:val="22"/>
          <w:lang w:eastAsia="en-AU"/>
        </w:rPr>
        <w:t>Labelling Logic</w:t>
      </w:r>
      <w:r w:rsidR="00C82D90" w:rsidRPr="00CC1ADD">
        <w:rPr>
          <w:rStyle w:val="FootnoteReference"/>
          <w:rFonts w:eastAsiaTheme="minorEastAsia" w:cstheme="minorHAnsi"/>
          <w:sz w:val="22"/>
          <w:szCs w:val="22"/>
          <w:lang w:eastAsia="en-AU"/>
        </w:rPr>
        <w:footnoteReference w:id="2"/>
      </w:r>
      <w:r w:rsidRPr="00CC1ADD">
        <w:rPr>
          <w:rFonts w:asciiTheme="minorHAnsi" w:eastAsiaTheme="minorEastAsia" w:hAnsiTheme="minorHAnsi" w:cstheme="minorHAnsi"/>
          <w:sz w:val="22"/>
          <w:szCs w:val="22"/>
          <w:lang w:eastAsia="en-AU"/>
        </w:rPr>
        <w:t>, was publicly released on 28 January 2011.</w:t>
      </w:r>
    </w:p>
    <w:p w14:paraId="1D341FA9" w14:textId="77777777" w:rsidR="00F43B13" w:rsidRPr="00CC1ADD" w:rsidRDefault="00F43B13">
      <w:pPr>
        <w:autoSpaceDE w:val="0"/>
        <w:autoSpaceDN w:val="0"/>
        <w:adjustRightInd w:val="0"/>
        <w:rPr>
          <w:rFonts w:cstheme="minorHAnsi"/>
          <w:sz w:val="22"/>
          <w:szCs w:val="22"/>
        </w:rPr>
      </w:pPr>
    </w:p>
    <w:p w14:paraId="73AF4CDD" w14:textId="77777777" w:rsidR="00F43B13" w:rsidRPr="00CC1ADD" w:rsidRDefault="00F43B13">
      <w:pPr>
        <w:autoSpaceDE w:val="0"/>
        <w:autoSpaceDN w:val="0"/>
        <w:adjustRightInd w:val="0"/>
        <w:rPr>
          <w:rFonts w:cstheme="minorHAnsi"/>
          <w:sz w:val="22"/>
          <w:szCs w:val="22"/>
        </w:rPr>
      </w:pPr>
      <w:r w:rsidRPr="00CC1ADD">
        <w:rPr>
          <w:rFonts w:cstheme="minorHAnsi"/>
          <w:sz w:val="22"/>
          <w:szCs w:val="22"/>
        </w:rPr>
        <w:t>One of the recommendations of this report was that an interpretive FoPL scheme should be developed, as one of several preventative health initiatives designed to contribute to improving dietary intakes in line with a comprehensive nutrition policy. The intent was to help people to make better informed, healthier choices quickly and easily when comparing similar types of packaged foods. It was not intended to guide the portions or volumes consumed.</w:t>
      </w:r>
    </w:p>
    <w:p w14:paraId="2724BC83" w14:textId="77777777" w:rsidR="00F43B13" w:rsidRPr="00CC1ADD" w:rsidRDefault="00F43B13">
      <w:pPr>
        <w:rPr>
          <w:rFonts w:cstheme="minorHAnsi"/>
          <w:sz w:val="22"/>
          <w:szCs w:val="22"/>
        </w:rPr>
      </w:pPr>
    </w:p>
    <w:p w14:paraId="4760BBBD" w14:textId="715F89E3" w:rsidR="00F43B13" w:rsidRPr="00CC1ADD" w:rsidRDefault="00F43B13">
      <w:pPr>
        <w:rPr>
          <w:rFonts w:cstheme="minorHAnsi"/>
          <w:sz w:val="22"/>
          <w:szCs w:val="22"/>
        </w:rPr>
      </w:pPr>
      <w:r w:rsidRPr="00CC1ADD">
        <w:rPr>
          <w:rFonts w:cstheme="minorHAnsi"/>
          <w:sz w:val="22"/>
          <w:szCs w:val="22"/>
        </w:rPr>
        <w:t>In December 2011, Australian and New Zealand Ministers responsible for the regulation of food and beverages agreed to the need for an easily understood, interpretive F</w:t>
      </w:r>
      <w:r w:rsidR="00FE54AF" w:rsidRPr="00CC1ADD">
        <w:rPr>
          <w:rFonts w:cstheme="minorHAnsi"/>
          <w:sz w:val="22"/>
          <w:szCs w:val="22"/>
        </w:rPr>
        <w:t>o</w:t>
      </w:r>
      <w:r w:rsidRPr="00CC1ADD">
        <w:rPr>
          <w:rFonts w:cstheme="minorHAnsi"/>
          <w:sz w:val="22"/>
          <w:szCs w:val="22"/>
        </w:rPr>
        <w:t xml:space="preserve">PL </w:t>
      </w:r>
      <w:r w:rsidR="00C82D90">
        <w:rPr>
          <w:rFonts w:cstheme="minorHAnsi"/>
          <w:sz w:val="22"/>
          <w:szCs w:val="22"/>
        </w:rPr>
        <w:t>scheme</w:t>
      </w:r>
      <w:r w:rsidRPr="00CC1ADD">
        <w:rPr>
          <w:rFonts w:cstheme="minorHAnsi"/>
          <w:sz w:val="22"/>
          <w:szCs w:val="22"/>
        </w:rPr>
        <w:t xml:space="preserve"> for packaged foods. The stated aim of the FoPL scheme was to guide consumer choice towards healthier food options by: </w:t>
      </w:r>
    </w:p>
    <w:p w14:paraId="650F2CCE" w14:textId="77777777" w:rsidR="00F43B13" w:rsidRPr="00CC1ADD" w:rsidRDefault="00F43B13">
      <w:pPr>
        <w:rPr>
          <w:rFonts w:cstheme="minorHAnsi"/>
          <w:sz w:val="22"/>
          <w:szCs w:val="22"/>
        </w:rPr>
      </w:pPr>
    </w:p>
    <w:p w14:paraId="1236D14D" w14:textId="66D114BC" w:rsidR="00F43B13" w:rsidRPr="00CC1ADD" w:rsidRDefault="00F43B13" w:rsidP="00F720A0">
      <w:pPr>
        <w:pStyle w:val="mpcbullets1"/>
      </w:pPr>
      <w:r w:rsidRPr="00CC1ADD">
        <w:t>enabling direct comparison between individual foods that, within the overall diet, may contribute to the risk factors of various diet</w:t>
      </w:r>
      <w:r w:rsidR="00B33DA3">
        <w:t>-</w:t>
      </w:r>
      <w:r w:rsidRPr="00CC1ADD">
        <w:t xml:space="preserve">related chronic diseases </w:t>
      </w:r>
    </w:p>
    <w:p w14:paraId="5C08311E" w14:textId="77777777" w:rsidR="00F43B13" w:rsidRPr="00CC1ADD" w:rsidRDefault="00F43B13" w:rsidP="00F720A0">
      <w:pPr>
        <w:pStyle w:val="mpcbullets1"/>
      </w:pPr>
      <w:r w:rsidRPr="00CC1ADD">
        <w:t>being readily understandable and meaningful across socio-economic groups, culturally and linguistically diverse groups and low literacy/numeracy groups</w:t>
      </w:r>
    </w:p>
    <w:p w14:paraId="415123F0" w14:textId="7E156841" w:rsidR="00F43B13" w:rsidRPr="00CC1ADD" w:rsidRDefault="00F43B13" w:rsidP="00F720A0">
      <w:pPr>
        <w:pStyle w:val="mpcbullets1"/>
      </w:pPr>
      <w:r w:rsidRPr="00CC1ADD">
        <w:t>increasing awareness of foods that, within the overall diet, may contribute positively or negatively to the risk factors of diet</w:t>
      </w:r>
      <w:r w:rsidR="00B33DA3">
        <w:t>-</w:t>
      </w:r>
      <w:r w:rsidRPr="00CC1ADD">
        <w:t>related chronic diseases.</w:t>
      </w:r>
      <w:r w:rsidRPr="00CC1ADD">
        <w:rPr>
          <w:rStyle w:val="FootnoteReference"/>
          <w:sz w:val="22"/>
        </w:rPr>
        <w:footnoteReference w:id="3"/>
      </w:r>
    </w:p>
    <w:p w14:paraId="60DC986F" w14:textId="77777777" w:rsidR="00F43B13" w:rsidRPr="00CC1ADD" w:rsidRDefault="00F43B13">
      <w:pPr>
        <w:rPr>
          <w:rFonts w:cstheme="minorHAnsi"/>
          <w:sz w:val="22"/>
          <w:szCs w:val="22"/>
        </w:rPr>
      </w:pPr>
    </w:p>
    <w:p w14:paraId="09D0C9E5" w14:textId="52C00BAC" w:rsidR="00F43B13" w:rsidRPr="00CC1ADD" w:rsidRDefault="00F43B13">
      <w:pPr>
        <w:rPr>
          <w:rFonts w:cstheme="minorHAnsi"/>
          <w:sz w:val="22"/>
          <w:szCs w:val="22"/>
        </w:rPr>
      </w:pPr>
      <w:r w:rsidRPr="00CC1ADD">
        <w:rPr>
          <w:rFonts w:cstheme="minorHAnsi"/>
          <w:sz w:val="22"/>
          <w:szCs w:val="22"/>
        </w:rPr>
        <w:t>In early 2012, the Food Regulation Secretariat (in the Australian Department of Health) established a FoPL Steering Committee (comprising Australian</w:t>
      </w:r>
      <w:r w:rsidR="00672D99">
        <w:rPr>
          <w:rFonts w:cstheme="minorHAnsi"/>
          <w:sz w:val="22"/>
          <w:szCs w:val="22"/>
        </w:rPr>
        <w:t>,</w:t>
      </w:r>
      <w:r w:rsidRPr="00CC1ADD">
        <w:rPr>
          <w:rFonts w:cstheme="minorHAnsi"/>
          <w:sz w:val="22"/>
          <w:szCs w:val="22"/>
        </w:rPr>
        <w:t xml:space="preserve"> </w:t>
      </w:r>
      <w:r w:rsidR="00672D99">
        <w:rPr>
          <w:rFonts w:cstheme="minorHAnsi"/>
          <w:sz w:val="22"/>
          <w:szCs w:val="22"/>
        </w:rPr>
        <w:t>S</w:t>
      </w:r>
      <w:r w:rsidRPr="00CC1ADD">
        <w:rPr>
          <w:rFonts w:cstheme="minorHAnsi"/>
          <w:sz w:val="22"/>
          <w:szCs w:val="22"/>
        </w:rPr>
        <w:t xml:space="preserve">tate and </w:t>
      </w:r>
      <w:r w:rsidR="00672D99">
        <w:rPr>
          <w:rFonts w:cstheme="minorHAnsi"/>
          <w:sz w:val="22"/>
          <w:szCs w:val="22"/>
        </w:rPr>
        <w:t>T</w:t>
      </w:r>
      <w:r w:rsidRPr="00CC1ADD">
        <w:rPr>
          <w:rFonts w:cstheme="minorHAnsi"/>
          <w:sz w:val="22"/>
          <w:szCs w:val="22"/>
        </w:rPr>
        <w:t>erritory and New Zealand government officials</w:t>
      </w:r>
      <w:r w:rsidR="00672D99">
        <w:rPr>
          <w:rFonts w:cstheme="minorHAnsi"/>
          <w:sz w:val="22"/>
          <w:szCs w:val="22"/>
        </w:rPr>
        <w:t>)</w:t>
      </w:r>
      <w:r w:rsidRPr="00CC1ADD">
        <w:rPr>
          <w:rFonts w:cstheme="minorHAnsi"/>
          <w:sz w:val="22"/>
          <w:szCs w:val="22"/>
        </w:rPr>
        <w:t xml:space="preserve"> and a FoPL Project Committee (comprising consumers and representatives from government, industry and public health) to develop a FoPL scheme. A Technical Design Working Group (TDWG) was established to work directly with FSANZ to research and develop the technical aspects of the FoPL scheme. An Implementation Working Group was also established to consider implementation options and frameworks for social marketing, monitoring and evaluation.</w:t>
      </w:r>
    </w:p>
    <w:p w14:paraId="29DE1B6D" w14:textId="77777777" w:rsidR="00F43B13" w:rsidRPr="00CC1ADD" w:rsidRDefault="00F43B13">
      <w:pPr>
        <w:rPr>
          <w:rFonts w:cstheme="minorHAnsi"/>
          <w:sz w:val="22"/>
          <w:szCs w:val="22"/>
        </w:rPr>
      </w:pPr>
    </w:p>
    <w:p w14:paraId="48CEF824" w14:textId="49F3E58C" w:rsidR="00F43B13" w:rsidRPr="00CC1ADD" w:rsidRDefault="00F43B13">
      <w:pPr>
        <w:rPr>
          <w:rFonts w:cstheme="minorHAnsi"/>
          <w:sz w:val="22"/>
          <w:szCs w:val="22"/>
        </w:rPr>
      </w:pPr>
      <w:r w:rsidRPr="00CC1ADD">
        <w:rPr>
          <w:rFonts w:cstheme="minorHAnsi"/>
          <w:sz w:val="22"/>
          <w:szCs w:val="22"/>
        </w:rPr>
        <w:t xml:space="preserve">In investigating possible models for a single FoPL symbol that would provide convenient, readily understood nutritional guidance on food packs, </w:t>
      </w:r>
      <w:r w:rsidR="008C60AC">
        <w:rPr>
          <w:rFonts w:cstheme="minorHAnsi"/>
          <w:sz w:val="22"/>
          <w:szCs w:val="22"/>
        </w:rPr>
        <w:t xml:space="preserve">the FSANZ and the </w:t>
      </w:r>
      <w:r w:rsidR="008C60AC" w:rsidRPr="00CC1ADD">
        <w:rPr>
          <w:rFonts w:cstheme="minorHAnsi"/>
          <w:sz w:val="22"/>
          <w:szCs w:val="22"/>
        </w:rPr>
        <w:t xml:space="preserve">TDWG </w:t>
      </w:r>
      <w:r w:rsidRPr="00CC1ADD">
        <w:rPr>
          <w:rFonts w:cstheme="minorHAnsi"/>
          <w:sz w:val="22"/>
          <w:szCs w:val="22"/>
        </w:rPr>
        <w:t>considered:</w:t>
      </w:r>
    </w:p>
    <w:p w14:paraId="47126B39" w14:textId="77777777" w:rsidR="00F43B13" w:rsidRPr="00CC1ADD" w:rsidRDefault="00F43B13">
      <w:pPr>
        <w:rPr>
          <w:rFonts w:cstheme="minorHAnsi"/>
          <w:sz w:val="22"/>
          <w:szCs w:val="22"/>
        </w:rPr>
      </w:pPr>
    </w:p>
    <w:p w14:paraId="28A843FF" w14:textId="3FD4100D" w:rsidR="00F43B13" w:rsidRPr="00CC1ADD" w:rsidRDefault="00F43B13" w:rsidP="00F720A0">
      <w:pPr>
        <w:pStyle w:val="mpcbullets1"/>
      </w:pPr>
      <w:r w:rsidRPr="00CC1ADD">
        <w:t xml:space="preserve">research previously undertaken by the </w:t>
      </w:r>
      <w:r w:rsidR="002F0EC0">
        <w:t>United Kingdom (UK)</w:t>
      </w:r>
      <w:r w:rsidRPr="00CC1ADD">
        <w:t xml:space="preserve"> government for a nutrient </w:t>
      </w:r>
      <w:r w:rsidR="00672D99">
        <w:t>profiling</w:t>
      </w:r>
      <w:r w:rsidRPr="00CC1ADD">
        <w:t xml:space="preserve"> system for identifying individual foods eligible to carry media advertising for children</w:t>
      </w:r>
    </w:p>
    <w:p w14:paraId="5A4562C1" w14:textId="26FC1C9C" w:rsidR="00F43B13" w:rsidRPr="00CC1ADD" w:rsidRDefault="00F43B13" w:rsidP="00F720A0">
      <w:pPr>
        <w:pStyle w:val="mpcbullets1"/>
      </w:pPr>
      <w:r w:rsidRPr="00CC1ADD">
        <w:t xml:space="preserve">research undertaken in </w:t>
      </w:r>
      <w:r w:rsidR="004D0A24">
        <w:t>developing</w:t>
      </w:r>
      <w:r w:rsidR="004D0A24" w:rsidRPr="00CC1ADD">
        <w:t xml:space="preserve"> </w:t>
      </w:r>
      <w:hyperlink r:id="rId11" w:history="1">
        <w:r w:rsidRPr="00A35EB9">
          <w:rPr>
            <w:rStyle w:val="Hyperlink"/>
            <w:i/>
            <w:iCs/>
          </w:rPr>
          <w:t>Standard 1.2.7 Nutrition</w:t>
        </w:r>
        <w:r w:rsidR="00677D90">
          <w:rPr>
            <w:rStyle w:val="Hyperlink"/>
            <w:i/>
            <w:iCs/>
          </w:rPr>
          <w:t>, health and related</w:t>
        </w:r>
        <w:r w:rsidRPr="00A35EB9">
          <w:rPr>
            <w:rStyle w:val="Hyperlink"/>
            <w:i/>
            <w:iCs/>
          </w:rPr>
          <w:t xml:space="preserve"> claims</w:t>
        </w:r>
      </w:hyperlink>
      <w:r w:rsidRPr="00CC1ADD">
        <w:t xml:space="preserve"> </w:t>
      </w:r>
      <w:r w:rsidR="002F0EC0">
        <w:t xml:space="preserve">of the </w:t>
      </w:r>
      <w:r w:rsidR="002F0EC0">
        <w:rPr>
          <w:lang w:eastAsia="en-GB"/>
        </w:rPr>
        <w:t>Australia</w:t>
      </w:r>
      <w:r w:rsidR="00677D90">
        <w:rPr>
          <w:lang w:eastAsia="en-GB"/>
        </w:rPr>
        <w:t xml:space="preserve"> </w:t>
      </w:r>
      <w:r w:rsidR="002F0EC0">
        <w:rPr>
          <w:lang w:eastAsia="en-GB"/>
        </w:rPr>
        <w:t xml:space="preserve">New Zealand </w:t>
      </w:r>
      <w:r w:rsidR="002F0EC0" w:rsidRPr="00CC1ADD">
        <w:rPr>
          <w:lang w:eastAsia="en-GB"/>
        </w:rPr>
        <w:t>Food Standards Code</w:t>
      </w:r>
      <w:r w:rsidR="002F0EC0">
        <w:rPr>
          <w:lang w:eastAsia="en-GB"/>
        </w:rPr>
        <w:t xml:space="preserve"> (the Code) </w:t>
      </w:r>
      <w:r w:rsidRPr="00CC1ADD">
        <w:t xml:space="preserve">and developing the </w:t>
      </w:r>
      <w:hyperlink r:id="rId12" w:history="1">
        <w:r w:rsidRPr="00A35EB9">
          <w:rPr>
            <w:rStyle w:val="Hyperlink"/>
          </w:rPr>
          <w:t>Nutrient Profiling Scoring Criterion</w:t>
        </w:r>
      </w:hyperlink>
      <w:r w:rsidRPr="00CC1ADD">
        <w:t xml:space="preserve"> (NPSC)</w:t>
      </w:r>
    </w:p>
    <w:p w14:paraId="32EA6D24" w14:textId="1C22E6AB" w:rsidR="00F43B13" w:rsidRPr="00CC1ADD" w:rsidRDefault="00F43B13" w:rsidP="00F720A0">
      <w:pPr>
        <w:pStyle w:val="mpcbullets1"/>
      </w:pPr>
      <w:r w:rsidRPr="00CC1ADD">
        <w:t>research undertaken in developing the Australian Dietary Guidelines (ADG)</w:t>
      </w:r>
    </w:p>
    <w:p w14:paraId="6669CE8D" w14:textId="77777777" w:rsidR="00F43B13" w:rsidRPr="00CC1ADD" w:rsidRDefault="00F43B13" w:rsidP="00F720A0">
      <w:pPr>
        <w:pStyle w:val="mpcbullets1"/>
      </w:pPr>
      <w:r w:rsidRPr="00CC1ADD">
        <w:t>input provided by a range of stakeholders.</w:t>
      </w:r>
    </w:p>
    <w:p w14:paraId="0425D436" w14:textId="77777777" w:rsidR="00F43B13" w:rsidRPr="00CC1ADD" w:rsidRDefault="00F43B13">
      <w:pPr>
        <w:rPr>
          <w:rFonts w:cstheme="minorHAnsi"/>
          <w:sz w:val="22"/>
          <w:szCs w:val="22"/>
        </w:rPr>
      </w:pPr>
    </w:p>
    <w:p w14:paraId="3A4ADF0E" w14:textId="130D1715" w:rsidR="00F43B13" w:rsidRPr="00CC1ADD" w:rsidRDefault="00F43B13">
      <w:pPr>
        <w:rPr>
          <w:rFonts w:eastAsia="Times New Roman" w:cstheme="minorHAnsi"/>
          <w:sz w:val="22"/>
          <w:szCs w:val="22"/>
          <w:lang w:eastAsia="en-GB"/>
        </w:rPr>
      </w:pPr>
      <w:r w:rsidRPr="00CC1ADD">
        <w:rPr>
          <w:rFonts w:cstheme="minorHAnsi"/>
          <w:sz w:val="22"/>
          <w:szCs w:val="22"/>
        </w:rPr>
        <w:t xml:space="preserve">The decision was made that a modified NPSC would be the basis for a new, single symbol FoPL </w:t>
      </w:r>
      <w:r w:rsidR="00FC782A">
        <w:rPr>
          <w:rFonts w:cstheme="minorHAnsi"/>
          <w:sz w:val="22"/>
          <w:szCs w:val="22"/>
        </w:rPr>
        <w:t>scheme</w:t>
      </w:r>
      <w:r w:rsidRPr="00CC1ADD">
        <w:rPr>
          <w:rFonts w:cstheme="minorHAnsi"/>
          <w:sz w:val="22"/>
          <w:szCs w:val="22"/>
        </w:rPr>
        <w:t xml:space="preserve">. It was also agreed that the </w:t>
      </w:r>
      <w:r w:rsidRPr="00CC1ADD">
        <w:rPr>
          <w:rFonts w:eastAsia="Times New Roman" w:cstheme="minorHAnsi"/>
          <w:sz w:val="22"/>
          <w:szCs w:val="22"/>
          <w:lang w:eastAsia="en-GB"/>
        </w:rPr>
        <w:t xml:space="preserve">new </w:t>
      </w:r>
      <w:r w:rsidR="00FC782A">
        <w:rPr>
          <w:rFonts w:eastAsia="Times New Roman" w:cstheme="minorHAnsi"/>
          <w:sz w:val="22"/>
          <w:szCs w:val="22"/>
          <w:lang w:eastAsia="en-GB"/>
        </w:rPr>
        <w:t>scheme</w:t>
      </w:r>
      <w:r w:rsidRPr="00CC1ADD">
        <w:rPr>
          <w:rFonts w:eastAsia="Times New Roman" w:cstheme="minorHAnsi"/>
          <w:sz w:val="22"/>
          <w:szCs w:val="22"/>
          <w:lang w:eastAsia="en-GB"/>
        </w:rPr>
        <w:t xml:space="preserve"> would retain relevant labelling conditions and food definitions prescribed in the </w:t>
      </w:r>
      <w:r w:rsidR="00A35EB9">
        <w:rPr>
          <w:rFonts w:eastAsia="Times New Roman" w:cstheme="minorHAnsi"/>
          <w:sz w:val="22"/>
          <w:szCs w:val="22"/>
          <w:lang w:eastAsia="en-GB"/>
        </w:rPr>
        <w:t>Code</w:t>
      </w:r>
      <w:r w:rsidRPr="00CC1ADD">
        <w:rPr>
          <w:rFonts w:eastAsia="Times New Roman" w:cstheme="minorHAnsi"/>
          <w:sz w:val="22"/>
          <w:szCs w:val="22"/>
          <w:lang w:eastAsia="en-GB"/>
        </w:rPr>
        <w:t>, thus providing consistency for food manufacturers and messaging for consumers.</w:t>
      </w:r>
      <w:r w:rsidR="00677D90">
        <w:rPr>
          <w:rFonts w:eastAsia="Times New Roman" w:cstheme="minorHAnsi"/>
          <w:sz w:val="22"/>
          <w:szCs w:val="22"/>
          <w:lang w:eastAsia="en-GB"/>
        </w:rPr>
        <w:t xml:space="preserve"> </w:t>
      </w:r>
    </w:p>
    <w:p w14:paraId="655BE1D8" w14:textId="77777777" w:rsidR="00F43B13" w:rsidRPr="00CC1ADD" w:rsidRDefault="00F43B13">
      <w:pPr>
        <w:rPr>
          <w:rFonts w:eastAsia="Times New Roman" w:cstheme="minorHAnsi"/>
          <w:sz w:val="22"/>
          <w:szCs w:val="22"/>
          <w:lang w:eastAsia="en-GB"/>
        </w:rPr>
      </w:pPr>
    </w:p>
    <w:p w14:paraId="10F3F96F" w14:textId="77777777" w:rsidR="00F43B13" w:rsidRPr="00CC1ADD" w:rsidRDefault="00F43B13">
      <w:pPr>
        <w:rPr>
          <w:rFonts w:cstheme="minorHAnsi"/>
          <w:sz w:val="22"/>
          <w:szCs w:val="22"/>
        </w:rPr>
      </w:pPr>
      <w:r w:rsidRPr="00CC1ADD">
        <w:rPr>
          <w:rFonts w:cstheme="minorHAnsi"/>
          <w:sz w:val="22"/>
          <w:szCs w:val="22"/>
        </w:rPr>
        <w:t>On 27 June 2014, the</w:t>
      </w:r>
      <w:r w:rsidRPr="00CC1ADD">
        <w:t xml:space="preserve"> </w:t>
      </w:r>
      <w:r w:rsidRPr="00CC1ADD">
        <w:rPr>
          <w:rFonts w:cstheme="minorHAnsi"/>
          <w:sz w:val="22"/>
          <w:szCs w:val="22"/>
        </w:rPr>
        <w:t xml:space="preserve">Australia and New Zealand Ministerial Forum on Food Regulation (the Forum) endorsed the HSR System to be voluntarily implemented in Australia and New Zealand for an initial five years. </w:t>
      </w:r>
    </w:p>
    <w:p w14:paraId="7AB4C241" w14:textId="77777777" w:rsidR="00F43B13" w:rsidRPr="00CC1ADD" w:rsidRDefault="00F43B13">
      <w:pPr>
        <w:rPr>
          <w:rFonts w:cstheme="minorHAnsi"/>
          <w:sz w:val="22"/>
          <w:szCs w:val="22"/>
        </w:rPr>
      </w:pPr>
    </w:p>
    <w:p w14:paraId="038D3AE4" w14:textId="77777777" w:rsidR="00F43B13" w:rsidRPr="00CC1ADD" w:rsidRDefault="00F43B13">
      <w:pPr>
        <w:pStyle w:val="mpcheading2"/>
        <w:spacing w:after="0"/>
        <w:rPr>
          <w:rFonts w:cstheme="minorHAnsi"/>
        </w:rPr>
      </w:pPr>
      <w:bookmarkStart w:id="43" w:name="_Toc1746475"/>
      <w:r w:rsidRPr="00CC1ADD">
        <w:rPr>
          <w:rFonts w:cstheme="minorHAnsi"/>
        </w:rPr>
        <w:t>The HSR graphic</w:t>
      </w:r>
      <w:bookmarkEnd w:id="43"/>
      <w:r w:rsidRPr="00CC1ADD">
        <w:rPr>
          <w:rFonts w:cstheme="minorHAnsi"/>
        </w:rPr>
        <w:t xml:space="preserve"> </w:t>
      </w:r>
    </w:p>
    <w:p w14:paraId="5C18F94B" w14:textId="77777777" w:rsidR="00F43B13" w:rsidRPr="00CC1ADD" w:rsidRDefault="00F43B13">
      <w:pPr>
        <w:rPr>
          <w:rFonts w:cstheme="minorHAnsi"/>
          <w:sz w:val="22"/>
          <w:szCs w:val="22"/>
        </w:rPr>
      </w:pPr>
    </w:p>
    <w:p w14:paraId="6E82C451" w14:textId="49B1AE2C" w:rsidR="00F43B13" w:rsidRPr="00CC1ADD" w:rsidRDefault="00672D99">
      <w:pPr>
        <w:rPr>
          <w:sz w:val="22"/>
          <w:szCs w:val="22"/>
        </w:rPr>
      </w:pPr>
      <w:r>
        <w:rPr>
          <w:sz w:val="22"/>
          <w:szCs w:val="22"/>
        </w:rPr>
        <w:t>T</w:t>
      </w:r>
      <w:r w:rsidR="00F43B13" w:rsidRPr="00CC1ADD">
        <w:rPr>
          <w:sz w:val="22"/>
          <w:szCs w:val="22"/>
        </w:rPr>
        <w:t xml:space="preserve">he </w:t>
      </w:r>
      <w:hyperlink r:id="rId13" w:history="1">
        <w:r w:rsidR="002F0EC0" w:rsidRPr="002F0EC0">
          <w:rPr>
            <w:rStyle w:val="Hyperlink"/>
            <w:sz w:val="22"/>
            <w:szCs w:val="22"/>
          </w:rPr>
          <w:t xml:space="preserve">HSR System </w:t>
        </w:r>
        <w:r w:rsidR="00F43B13" w:rsidRPr="002F0EC0">
          <w:rPr>
            <w:rStyle w:val="Hyperlink"/>
            <w:sz w:val="22"/>
            <w:szCs w:val="22"/>
          </w:rPr>
          <w:t>Style Guide</w:t>
        </w:r>
      </w:hyperlink>
      <w:r w:rsidR="00F43B13" w:rsidRPr="00CC1ADD">
        <w:rPr>
          <w:sz w:val="22"/>
          <w:szCs w:val="22"/>
        </w:rPr>
        <w:t xml:space="preserve"> describes a hierarchy of options for the elements to be displayed in the HSR System graphic.</w:t>
      </w:r>
    </w:p>
    <w:p w14:paraId="29B24100" w14:textId="77777777" w:rsidR="00F43B13" w:rsidRPr="00CC1ADD" w:rsidRDefault="00F43B13">
      <w:pPr>
        <w:rPr>
          <w:sz w:val="22"/>
          <w:szCs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4121"/>
      </w:tblGrid>
      <w:tr w:rsidR="00F43B13" w:rsidRPr="00CC1ADD" w14:paraId="4B118666" w14:textId="77777777" w:rsidTr="001017C5">
        <w:trPr>
          <w:jc w:val="center"/>
        </w:trPr>
        <w:tc>
          <w:tcPr>
            <w:tcW w:w="3823" w:type="dxa"/>
          </w:tcPr>
          <w:p w14:paraId="3674744B" w14:textId="77777777" w:rsidR="00F43B13" w:rsidRPr="00CC1ADD" w:rsidRDefault="00F43B13">
            <w:pPr>
              <w:pStyle w:val="ListParagraph"/>
              <w:numPr>
                <w:ilvl w:val="0"/>
                <w:numId w:val="6"/>
              </w:numPr>
              <w:spacing w:before="120"/>
              <w:rPr>
                <w:sz w:val="22"/>
                <w:szCs w:val="22"/>
              </w:rPr>
            </w:pPr>
            <w:r w:rsidRPr="00CC1ADD">
              <w:rPr>
                <w:sz w:val="22"/>
                <w:szCs w:val="22"/>
              </w:rPr>
              <w:t>Health Star Rating (stars) + energy icon + 3 prescribed nutrient icons + 1 optional nutrient icon.</w:t>
            </w:r>
          </w:p>
        </w:tc>
        <w:tc>
          <w:tcPr>
            <w:tcW w:w="4121" w:type="dxa"/>
          </w:tcPr>
          <w:p w14:paraId="2C9E2C2D" w14:textId="77777777" w:rsidR="00F43B13" w:rsidRPr="00CC1ADD" w:rsidRDefault="00F43B13">
            <w:pPr>
              <w:rPr>
                <w:sz w:val="22"/>
                <w:szCs w:val="22"/>
              </w:rPr>
            </w:pPr>
            <w:r w:rsidRPr="00CC1ADD">
              <w:rPr>
                <w:noProof/>
                <w:sz w:val="22"/>
                <w:szCs w:val="22"/>
                <w:lang w:eastAsia="en-AU"/>
              </w:rPr>
              <w:drawing>
                <wp:inline distT="0" distB="0" distL="0" distR="0" wp14:anchorId="59391BC0" wp14:editId="6048783D">
                  <wp:extent cx="2474259" cy="793587"/>
                  <wp:effectExtent l="0" t="0" r="2540" b="0"/>
                  <wp:docPr id="9" name="Picture 9" descr="Health Star Rating graphic Option 1 - stars + energy icon + 3 prescribed nutrient icons + 1 optional nutrien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email">
                            <a:extLst>
                              <a:ext uri="{28A0092B-C50C-407E-A947-70E740481C1C}">
                                <a14:useLocalDpi xmlns:a14="http://schemas.microsoft.com/office/drawing/2010/main"/>
                              </a:ext>
                            </a:extLst>
                          </a:blip>
                          <a:srcRect/>
                          <a:stretch/>
                        </pic:blipFill>
                        <pic:spPr bwMode="auto">
                          <a:xfrm>
                            <a:off x="0" y="0"/>
                            <a:ext cx="2538858" cy="814306"/>
                          </a:xfrm>
                          <a:prstGeom prst="rect">
                            <a:avLst/>
                          </a:prstGeom>
                          <a:ln>
                            <a:noFill/>
                          </a:ln>
                          <a:extLst>
                            <a:ext uri="{53640926-AAD7-44D8-BBD7-CCE9431645EC}">
                              <a14:shadowObscured xmlns:a14="http://schemas.microsoft.com/office/drawing/2010/main"/>
                            </a:ext>
                          </a:extLst>
                        </pic:spPr>
                      </pic:pic>
                    </a:graphicData>
                  </a:graphic>
                </wp:inline>
              </w:drawing>
            </w:r>
          </w:p>
        </w:tc>
      </w:tr>
      <w:tr w:rsidR="00F43B13" w:rsidRPr="00CC1ADD" w14:paraId="0E00FB4F" w14:textId="77777777" w:rsidTr="001017C5">
        <w:trPr>
          <w:jc w:val="center"/>
        </w:trPr>
        <w:tc>
          <w:tcPr>
            <w:tcW w:w="3823" w:type="dxa"/>
          </w:tcPr>
          <w:p w14:paraId="7A5DDEE7" w14:textId="77777777" w:rsidR="00F43B13" w:rsidRPr="00CC1ADD" w:rsidRDefault="00F43B13" w:rsidP="005A3631">
            <w:pPr>
              <w:pStyle w:val="ListParagraph"/>
              <w:numPr>
                <w:ilvl w:val="0"/>
                <w:numId w:val="6"/>
              </w:numPr>
              <w:spacing w:before="120"/>
              <w:rPr>
                <w:sz w:val="22"/>
                <w:szCs w:val="22"/>
              </w:rPr>
            </w:pPr>
            <w:r w:rsidRPr="00CC1ADD">
              <w:rPr>
                <w:sz w:val="22"/>
                <w:szCs w:val="22"/>
              </w:rPr>
              <w:t>Health Star Rating (stars) + energy icon + 3 prescribed nutrient icons.</w:t>
            </w:r>
          </w:p>
        </w:tc>
        <w:tc>
          <w:tcPr>
            <w:tcW w:w="4121" w:type="dxa"/>
          </w:tcPr>
          <w:p w14:paraId="7E3D3AAD" w14:textId="77777777" w:rsidR="00F43B13" w:rsidRPr="00CC1ADD" w:rsidRDefault="00F43B13" w:rsidP="005A3631">
            <w:pPr>
              <w:rPr>
                <w:sz w:val="22"/>
                <w:szCs w:val="22"/>
              </w:rPr>
            </w:pPr>
            <w:r w:rsidRPr="00CC1ADD">
              <w:rPr>
                <w:noProof/>
                <w:sz w:val="22"/>
                <w:szCs w:val="22"/>
                <w:lang w:eastAsia="en-AU"/>
              </w:rPr>
              <w:drawing>
                <wp:inline distT="0" distB="0" distL="0" distR="0" wp14:anchorId="0492B228" wp14:editId="4D10579A">
                  <wp:extent cx="2151279" cy="777411"/>
                  <wp:effectExtent l="0" t="0" r="0" b="0"/>
                  <wp:docPr id="11" name="Picture 11" descr="Health Star Rating graphic Option 2 - stars + energy icon + 3 prescribed nutrient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2277343" cy="822967"/>
                          </a:xfrm>
                          <a:prstGeom prst="rect">
                            <a:avLst/>
                          </a:prstGeom>
                          <a:ln>
                            <a:noFill/>
                          </a:ln>
                          <a:extLst>
                            <a:ext uri="{53640926-AAD7-44D8-BBD7-CCE9431645EC}">
                              <a14:shadowObscured xmlns:a14="http://schemas.microsoft.com/office/drawing/2010/main"/>
                            </a:ext>
                          </a:extLst>
                        </pic:spPr>
                      </pic:pic>
                    </a:graphicData>
                  </a:graphic>
                </wp:inline>
              </w:drawing>
            </w:r>
          </w:p>
        </w:tc>
      </w:tr>
      <w:tr w:rsidR="00F43B13" w:rsidRPr="00CC1ADD" w14:paraId="008A1E9C" w14:textId="77777777" w:rsidTr="001017C5">
        <w:trPr>
          <w:jc w:val="center"/>
        </w:trPr>
        <w:tc>
          <w:tcPr>
            <w:tcW w:w="3823" w:type="dxa"/>
          </w:tcPr>
          <w:p w14:paraId="56B5ADEF" w14:textId="77777777" w:rsidR="00F43B13" w:rsidRPr="00CC1ADD" w:rsidRDefault="00F43B13" w:rsidP="005A3631">
            <w:pPr>
              <w:pStyle w:val="ListParagraph"/>
              <w:numPr>
                <w:ilvl w:val="0"/>
                <w:numId w:val="6"/>
              </w:numPr>
              <w:spacing w:before="120"/>
              <w:rPr>
                <w:sz w:val="22"/>
                <w:szCs w:val="22"/>
              </w:rPr>
            </w:pPr>
            <w:r w:rsidRPr="00CC1ADD">
              <w:rPr>
                <w:sz w:val="22"/>
                <w:szCs w:val="22"/>
              </w:rPr>
              <w:t xml:space="preserve">Health Star Rating (stars) + energy icon. </w:t>
            </w:r>
          </w:p>
        </w:tc>
        <w:tc>
          <w:tcPr>
            <w:tcW w:w="4121" w:type="dxa"/>
          </w:tcPr>
          <w:p w14:paraId="12DE986C" w14:textId="77777777" w:rsidR="00F43B13" w:rsidRPr="00CC1ADD" w:rsidRDefault="00F43B13" w:rsidP="005A3631">
            <w:pPr>
              <w:rPr>
                <w:sz w:val="22"/>
                <w:szCs w:val="22"/>
              </w:rPr>
            </w:pPr>
            <w:r w:rsidRPr="00CC1ADD">
              <w:rPr>
                <w:noProof/>
                <w:sz w:val="22"/>
                <w:szCs w:val="22"/>
                <w:lang w:eastAsia="en-AU"/>
              </w:rPr>
              <w:drawing>
                <wp:inline distT="0" distB="0" distL="0" distR="0" wp14:anchorId="6C316F7F" wp14:editId="3D628D41">
                  <wp:extent cx="1119095" cy="749844"/>
                  <wp:effectExtent l="0" t="0" r="0" b="0"/>
                  <wp:docPr id="12" name="Picture 12" descr="Health Star Rating graphic Option 3 - stars +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1134928" cy="760453"/>
                          </a:xfrm>
                          <a:prstGeom prst="rect">
                            <a:avLst/>
                          </a:prstGeom>
                          <a:ln>
                            <a:noFill/>
                          </a:ln>
                          <a:extLst>
                            <a:ext uri="{53640926-AAD7-44D8-BBD7-CCE9431645EC}">
                              <a14:shadowObscured xmlns:a14="http://schemas.microsoft.com/office/drawing/2010/main"/>
                            </a:ext>
                          </a:extLst>
                        </pic:spPr>
                      </pic:pic>
                    </a:graphicData>
                  </a:graphic>
                </wp:inline>
              </w:drawing>
            </w:r>
          </w:p>
        </w:tc>
      </w:tr>
      <w:tr w:rsidR="00F43B13" w:rsidRPr="00CC1ADD" w14:paraId="75404729" w14:textId="77777777" w:rsidTr="001017C5">
        <w:trPr>
          <w:jc w:val="center"/>
        </w:trPr>
        <w:tc>
          <w:tcPr>
            <w:tcW w:w="3823" w:type="dxa"/>
          </w:tcPr>
          <w:p w14:paraId="4DC50310" w14:textId="3E5D580A" w:rsidR="00F43B13" w:rsidRPr="00CC1ADD" w:rsidRDefault="00F43B13" w:rsidP="005A3631">
            <w:pPr>
              <w:pStyle w:val="ListParagraph"/>
              <w:numPr>
                <w:ilvl w:val="0"/>
                <w:numId w:val="6"/>
              </w:numPr>
              <w:spacing w:before="120"/>
              <w:rPr>
                <w:sz w:val="22"/>
                <w:szCs w:val="22"/>
              </w:rPr>
            </w:pPr>
            <w:r w:rsidRPr="00CC1ADD">
              <w:rPr>
                <w:sz w:val="22"/>
                <w:szCs w:val="22"/>
              </w:rPr>
              <w:t>Health Star Rating (stars) (</w:t>
            </w:r>
            <w:r w:rsidR="0030513A">
              <w:rPr>
                <w:rFonts w:cstheme="minorHAnsi"/>
                <w:sz w:val="22"/>
                <w:szCs w:val="22"/>
              </w:rPr>
              <w:t>for example,</w:t>
            </w:r>
            <w:r w:rsidR="0030513A" w:rsidRPr="00CC1ADD">
              <w:rPr>
                <w:rFonts w:cstheme="minorHAnsi"/>
                <w:sz w:val="22"/>
                <w:szCs w:val="22"/>
              </w:rPr>
              <w:t xml:space="preserve"> </w:t>
            </w:r>
            <w:r w:rsidRPr="00CC1ADD">
              <w:rPr>
                <w:sz w:val="22"/>
                <w:szCs w:val="22"/>
              </w:rPr>
              <w:t>when pack size does not accommodate more complete versions).</w:t>
            </w:r>
          </w:p>
        </w:tc>
        <w:tc>
          <w:tcPr>
            <w:tcW w:w="4121" w:type="dxa"/>
          </w:tcPr>
          <w:p w14:paraId="1A136617" w14:textId="77777777" w:rsidR="00F43B13" w:rsidRPr="00CC1ADD" w:rsidRDefault="00F43B13" w:rsidP="005A3631">
            <w:pPr>
              <w:rPr>
                <w:sz w:val="22"/>
                <w:szCs w:val="22"/>
              </w:rPr>
            </w:pPr>
            <w:r w:rsidRPr="00CC1ADD">
              <w:rPr>
                <w:noProof/>
                <w:sz w:val="22"/>
                <w:szCs w:val="22"/>
                <w:lang w:eastAsia="en-AU"/>
              </w:rPr>
              <w:drawing>
                <wp:inline distT="0" distB="0" distL="0" distR="0" wp14:anchorId="77A4C1E3" wp14:editId="73AE5F5E">
                  <wp:extent cx="770965" cy="810464"/>
                  <wp:effectExtent l="0" t="0" r="3810" b="2540"/>
                  <wp:docPr id="13" name="Picture 13" descr="Health Star Rating graphic Option 4 - stars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782630" cy="822727"/>
                          </a:xfrm>
                          <a:prstGeom prst="rect">
                            <a:avLst/>
                          </a:prstGeom>
                          <a:ln>
                            <a:noFill/>
                          </a:ln>
                          <a:extLst>
                            <a:ext uri="{53640926-AAD7-44D8-BBD7-CCE9431645EC}">
                              <a14:shadowObscured xmlns:a14="http://schemas.microsoft.com/office/drawing/2010/main"/>
                            </a:ext>
                          </a:extLst>
                        </pic:spPr>
                      </pic:pic>
                    </a:graphicData>
                  </a:graphic>
                </wp:inline>
              </w:drawing>
            </w:r>
          </w:p>
        </w:tc>
      </w:tr>
      <w:tr w:rsidR="00F43B13" w:rsidRPr="00CC1ADD" w14:paraId="50647B13" w14:textId="77777777" w:rsidTr="001017C5">
        <w:trPr>
          <w:jc w:val="center"/>
        </w:trPr>
        <w:tc>
          <w:tcPr>
            <w:tcW w:w="3823" w:type="dxa"/>
          </w:tcPr>
          <w:p w14:paraId="3DF6E2AF" w14:textId="0D04AC8C" w:rsidR="00F43B13" w:rsidRPr="00CC1ADD" w:rsidRDefault="00F43B13" w:rsidP="005A3631">
            <w:pPr>
              <w:pStyle w:val="ListParagraph"/>
              <w:numPr>
                <w:ilvl w:val="0"/>
                <w:numId w:val="6"/>
              </w:numPr>
              <w:spacing w:before="120"/>
              <w:rPr>
                <w:sz w:val="22"/>
                <w:szCs w:val="22"/>
              </w:rPr>
            </w:pPr>
            <w:r w:rsidRPr="00CC1ADD">
              <w:rPr>
                <w:sz w:val="22"/>
                <w:szCs w:val="22"/>
              </w:rPr>
              <w:t>Energy icon (</w:t>
            </w:r>
            <w:r w:rsidR="0030513A">
              <w:rPr>
                <w:rFonts w:cstheme="minorHAnsi"/>
                <w:sz w:val="22"/>
                <w:szCs w:val="22"/>
              </w:rPr>
              <w:t>for example,</w:t>
            </w:r>
            <w:r w:rsidR="0030513A" w:rsidRPr="00CC1ADD">
              <w:rPr>
                <w:rFonts w:cstheme="minorHAnsi"/>
                <w:sz w:val="22"/>
                <w:szCs w:val="22"/>
              </w:rPr>
              <w:t xml:space="preserve"> </w:t>
            </w:r>
            <w:r w:rsidRPr="00CC1ADD">
              <w:rPr>
                <w:sz w:val="22"/>
                <w:szCs w:val="22"/>
              </w:rPr>
              <w:t>for small pack sizes and some confectionery and beverage products).</w:t>
            </w:r>
          </w:p>
        </w:tc>
        <w:tc>
          <w:tcPr>
            <w:tcW w:w="4121" w:type="dxa"/>
          </w:tcPr>
          <w:p w14:paraId="436337E7" w14:textId="77777777" w:rsidR="00F43B13" w:rsidRPr="00CC1ADD" w:rsidRDefault="00F43B13" w:rsidP="005A3631">
            <w:pPr>
              <w:rPr>
                <w:sz w:val="22"/>
                <w:szCs w:val="22"/>
              </w:rPr>
            </w:pPr>
            <w:r w:rsidRPr="00CC1ADD">
              <w:rPr>
                <w:noProof/>
                <w:sz w:val="22"/>
                <w:szCs w:val="22"/>
                <w:lang w:eastAsia="en-AU"/>
              </w:rPr>
              <w:drawing>
                <wp:inline distT="0" distB="0" distL="0" distR="0" wp14:anchorId="0610614A" wp14:editId="2F01012A">
                  <wp:extent cx="502123" cy="693271"/>
                  <wp:effectExtent l="0" t="0" r="6350" b="5715"/>
                  <wp:docPr id="14" name="Picture 14" descr="Health Star Rating graphic Option 5 -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515817" cy="712178"/>
                          </a:xfrm>
                          <a:prstGeom prst="rect">
                            <a:avLst/>
                          </a:prstGeom>
                        </pic:spPr>
                      </pic:pic>
                    </a:graphicData>
                  </a:graphic>
                </wp:inline>
              </w:drawing>
            </w:r>
          </w:p>
        </w:tc>
      </w:tr>
    </w:tbl>
    <w:p w14:paraId="39D25FCB" w14:textId="77777777" w:rsidR="00F43B13" w:rsidRPr="00CC1ADD" w:rsidRDefault="00F43B13" w:rsidP="005A3631">
      <w:pPr>
        <w:rPr>
          <w:sz w:val="22"/>
          <w:szCs w:val="22"/>
        </w:rPr>
      </w:pPr>
    </w:p>
    <w:p w14:paraId="56B1CB0F" w14:textId="4AC1ABA0" w:rsidR="00F43B13" w:rsidRPr="00CC1ADD" w:rsidRDefault="00F43B13">
      <w:pPr>
        <w:rPr>
          <w:sz w:val="22"/>
          <w:szCs w:val="22"/>
        </w:rPr>
      </w:pPr>
      <w:r w:rsidRPr="00CC1ADD">
        <w:rPr>
          <w:sz w:val="22"/>
          <w:szCs w:val="22"/>
        </w:rPr>
        <w:t xml:space="preserve">While the Style Guide encourages use of as many elements of the HSR System graphic as possible, any of the options may be used on any product. The Style Guide describes small pack sizes, confectionery and beverage products as examples where </w:t>
      </w:r>
      <w:r w:rsidR="00672D99">
        <w:rPr>
          <w:sz w:val="22"/>
          <w:szCs w:val="22"/>
        </w:rPr>
        <w:t>Option 5,</w:t>
      </w:r>
      <w:r w:rsidRPr="00CC1ADD">
        <w:rPr>
          <w:sz w:val="22"/>
          <w:szCs w:val="22"/>
        </w:rPr>
        <w:t xml:space="preserve"> the energy icon</w:t>
      </w:r>
      <w:r w:rsidR="00672D99">
        <w:rPr>
          <w:sz w:val="22"/>
          <w:szCs w:val="22"/>
        </w:rPr>
        <w:t>,</w:t>
      </w:r>
      <w:r w:rsidRPr="00CC1ADD">
        <w:rPr>
          <w:sz w:val="22"/>
          <w:szCs w:val="22"/>
        </w:rPr>
        <w:t xml:space="preserve"> might be used.</w:t>
      </w:r>
    </w:p>
    <w:p w14:paraId="7DC7CFE5" w14:textId="77777777" w:rsidR="00F43B13" w:rsidRPr="00CC1ADD" w:rsidRDefault="00F43B13">
      <w:pPr>
        <w:rPr>
          <w:rFonts w:cstheme="minorHAnsi"/>
          <w:sz w:val="22"/>
          <w:szCs w:val="22"/>
        </w:rPr>
      </w:pPr>
    </w:p>
    <w:p w14:paraId="757F6F09" w14:textId="77777777" w:rsidR="00F43B13" w:rsidRPr="00CC1ADD" w:rsidRDefault="00F43B13">
      <w:pPr>
        <w:pStyle w:val="mpcheading2"/>
        <w:spacing w:after="0"/>
        <w:rPr>
          <w:rFonts w:cstheme="minorHAnsi"/>
          <w:szCs w:val="22"/>
        </w:rPr>
      </w:pPr>
      <w:bookmarkStart w:id="44" w:name="Calculating"/>
      <w:bookmarkStart w:id="45" w:name="_Toc1746476"/>
      <w:bookmarkEnd w:id="44"/>
      <w:r w:rsidRPr="00CC1ADD">
        <w:rPr>
          <w:rFonts w:cstheme="minorHAnsi"/>
          <w:szCs w:val="22"/>
        </w:rPr>
        <w:t>Calculating the HSR</w:t>
      </w:r>
      <w:bookmarkEnd w:id="45"/>
    </w:p>
    <w:p w14:paraId="34D3AD5F" w14:textId="77777777" w:rsidR="00F43B13" w:rsidRPr="00CC1ADD" w:rsidRDefault="00F43B13" w:rsidP="0013165D">
      <w:pPr>
        <w:pStyle w:val="mpcNormal"/>
        <w:keepNext w:val="0"/>
      </w:pPr>
    </w:p>
    <w:p w14:paraId="74C21640" w14:textId="77777777" w:rsidR="00FC782A" w:rsidRPr="00CC1ADD" w:rsidRDefault="00FC782A" w:rsidP="00FC782A">
      <w:pPr>
        <w:pStyle w:val="mpcNormal"/>
        <w:keepNext w:val="0"/>
      </w:pPr>
      <w:r w:rsidRPr="00CC1ADD">
        <w:t>The HSR System has been optimised for application to packaged food and beverage products presented for retail sale through supermarkets and similar retail outlets.</w:t>
      </w:r>
      <w:r w:rsidRPr="00CC1ADD">
        <w:rPr>
          <w:rStyle w:val="FootnoteReference"/>
          <w:sz w:val="22"/>
        </w:rPr>
        <w:footnoteReference w:id="4"/>
      </w:r>
    </w:p>
    <w:p w14:paraId="32DF4206" w14:textId="77777777" w:rsidR="00FC782A" w:rsidRDefault="00FC782A" w:rsidP="0013165D">
      <w:pPr>
        <w:pStyle w:val="mpcNormal"/>
        <w:keepNext w:val="0"/>
      </w:pPr>
    </w:p>
    <w:p w14:paraId="37AEEE27" w14:textId="2AFFD01A" w:rsidR="00F43B13" w:rsidRPr="00CC1ADD" w:rsidRDefault="00F43B13" w:rsidP="0013165D">
      <w:pPr>
        <w:pStyle w:val="mpcNormal"/>
        <w:keepNext w:val="0"/>
      </w:pPr>
      <w:r w:rsidRPr="00CC1ADD">
        <w:t xml:space="preserve">HSRs are calculated using </w:t>
      </w:r>
      <w:r w:rsidR="00672D99">
        <w:t>the HSR Calculator</w:t>
      </w:r>
      <w:r w:rsidRPr="00CC1ADD">
        <w:t xml:space="preserve">, derived from the NPSC, that assigns points based on the nutrient content of 100 grams (or millilitres) of a food. </w:t>
      </w:r>
      <w:r w:rsidR="002F0EC0" w:rsidRPr="00CC1ADD">
        <w:t>Products can score from half a star (least healthy) to five stars (most healthy) in half-star increments.</w:t>
      </w:r>
    </w:p>
    <w:p w14:paraId="4CF32370" w14:textId="77777777" w:rsidR="00F43B13" w:rsidRPr="00CC1ADD" w:rsidRDefault="00F43B13" w:rsidP="0013165D">
      <w:pPr>
        <w:pStyle w:val="mpcNormal"/>
        <w:keepNext w:val="0"/>
      </w:pPr>
    </w:p>
    <w:p w14:paraId="26A34E4A" w14:textId="4EAD9A5D" w:rsidR="00F43B13" w:rsidRPr="00CC1ADD" w:rsidRDefault="00F43B13" w:rsidP="0013165D">
      <w:pPr>
        <w:pStyle w:val="mpcNormal"/>
        <w:keepNext w:val="0"/>
      </w:pPr>
      <w:r w:rsidRPr="00CC1ADD">
        <w:t xml:space="preserve">The </w:t>
      </w:r>
      <w:r w:rsidR="00591AAD">
        <w:t>Calculator</w:t>
      </w:r>
      <w:r w:rsidRPr="00CC1ADD">
        <w:t xml:space="preserve"> considers the </w:t>
      </w:r>
      <w:r w:rsidR="006057F0">
        <w:t xml:space="preserve">content of foods in terms of both </w:t>
      </w:r>
      <w:r w:rsidRPr="00CC1ADD">
        <w:t>negative components</w:t>
      </w:r>
      <w:r w:rsidR="006057F0">
        <w:t>,</w:t>
      </w:r>
      <w:r w:rsidRPr="00CC1ADD">
        <w:t xml:space="preserve"> that Dietary Guidelines recommend eating less of (energy, saturated fat, sugars, sodium)</w:t>
      </w:r>
      <w:r w:rsidR="006057F0">
        <w:t>;</w:t>
      </w:r>
      <w:r w:rsidRPr="00CC1ADD">
        <w:t xml:space="preserve"> and positive components that Dietary Guidelines recommend eating more of (protein, dietary fibre</w:t>
      </w:r>
      <w:r w:rsidR="00591AAD">
        <w:t xml:space="preserve"> and</w:t>
      </w:r>
      <w:r w:rsidRPr="00CC1ADD">
        <w:t xml:space="preserve"> fruits, vegetables, nuts and legumes</w:t>
      </w:r>
      <w:r w:rsidR="00591AAD">
        <w:t xml:space="preserve"> (FVNL)</w:t>
      </w:r>
      <w:r w:rsidRPr="00CC1ADD">
        <w:t xml:space="preserve">). </w:t>
      </w:r>
    </w:p>
    <w:p w14:paraId="61FF351D" w14:textId="77777777" w:rsidR="00F43B13" w:rsidRPr="00CC1ADD" w:rsidRDefault="00F43B13" w:rsidP="0013165D">
      <w:pPr>
        <w:pStyle w:val="mpcNormal"/>
        <w:keepNext w:val="0"/>
      </w:pPr>
    </w:p>
    <w:p w14:paraId="16A57746" w14:textId="474BA7D9" w:rsidR="00F43B13" w:rsidRPr="00CC1ADD" w:rsidRDefault="00591AAD" w:rsidP="0013165D">
      <w:pPr>
        <w:pStyle w:val="mpcNormal"/>
        <w:keepNext w:val="0"/>
      </w:pPr>
      <w:r>
        <w:t>HSRs</w:t>
      </w:r>
      <w:r w:rsidR="00F43B13" w:rsidRPr="00CC1ADD">
        <w:t xml:space="preserve"> are calculated by awarding points for these negative and positive components of the food, whereby negative points can be partially offset by positive points. The hypothetical combination of maximum values for all risk-associated (negative) components has roughly twice the impact on final scores compared with the combination of all beneficial-offset (positive) components. There are also rules that ensure that adding small amounts of certain ingredients to a food will not disproportionally increase a food’s HSR. For example, </w:t>
      </w:r>
      <w:r>
        <w:t>FVNL</w:t>
      </w:r>
      <w:r w:rsidR="00F43B13" w:rsidRPr="00CC1ADD">
        <w:t xml:space="preserve"> content must be over 40% of the total food before </w:t>
      </w:r>
      <w:r>
        <w:t>it</w:t>
      </w:r>
      <w:r w:rsidR="00F43B13" w:rsidRPr="00CC1ADD">
        <w:t xml:space="preserve"> start</w:t>
      </w:r>
      <w:r>
        <w:t>s</w:t>
      </w:r>
      <w:r w:rsidR="00F43B13" w:rsidRPr="00CC1ADD">
        <w:t xml:space="preserve"> counting towards the HSR.</w:t>
      </w:r>
    </w:p>
    <w:p w14:paraId="64DD74D2" w14:textId="77777777" w:rsidR="00F43B13" w:rsidRPr="00CC1ADD" w:rsidRDefault="00F43B13" w:rsidP="0013165D">
      <w:pPr>
        <w:pStyle w:val="mpcNormal"/>
        <w:keepNext w:val="0"/>
      </w:pPr>
    </w:p>
    <w:p w14:paraId="1ED78591" w14:textId="4D060BA4" w:rsidR="00F43B13" w:rsidRPr="00CC1ADD" w:rsidRDefault="00F43B13" w:rsidP="0013165D">
      <w:pPr>
        <w:pStyle w:val="mpcNormal"/>
        <w:keepNext w:val="0"/>
      </w:pPr>
      <w:r w:rsidRPr="00CC1ADD">
        <w:t xml:space="preserve">The HSR Calculator is adjusted for different HSR </w:t>
      </w:r>
      <w:r w:rsidR="00153CBD">
        <w:t>c</w:t>
      </w:r>
      <w:r w:rsidRPr="00CC1ADD">
        <w:t>ategories to account for the differing nutrient compositions of different types of foods. There are six food categories in the HSR System: non-dairy beverages</w:t>
      </w:r>
      <w:r w:rsidR="00677D90">
        <w:t xml:space="preserve"> (Category 1)</w:t>
      </w:r>
      <w:r w:rsidRPr="00CC1ADD">
        <w:t>; oils and spreads</w:t>
      </w:r>
      <w:r w:rsidR="00677D90">
        <w:t xml:space="preserve"> (Category 3)</w:t>
      </w:r>
      <w:r w:rsidRPr="00CC1ADD">
        <w:t>; other non-dairy foods</w:t>
      </w:r>
      <w:r w:rsidR="00677D90">
        <w:t xml:space="preserve"> (Category 2)</w:t>
      </w:r>
      <w:r w:rsidRPr="00CC1ADD">
        <w:t>; dairy beverages</w:t>
      </w:r>
      <w:r w:rsidR="00677D90">
        <w:t xml:space="preserve"> (Category 1D)</w:t>
      </w:r>
      <w:r w:rsidRPr="00CC1ADD">
        <w:t>; cheeses</w:t>
      </w:r>
      <w:r w:rsidR="00677D90">
        <w:t xml:space="preserve"> (Category 3D)</w:t>
      </w:r>
      <w:r w:rsidRPr="00CC1ADD">
        <w:t>; and other dairy foods</w:t>
      </w:r>
      <w:r w:rsidR="00677D90">
        <w:t xml:space="preserve"> (Category 2D)</w:t>
      </w:r>
      <w:r w:rsidRPr="00CC1ADD">
        <w:t>. Separate dairy categories were created to account for the health benefits of eating basic dairy foods.</w:t>
      </w:r>
      <w:r w:rsidRPr="00CC1ADD">
        <w:rPr>
          <w:rStyle w:val="FootnoteReference"/>
          <w:sz w:val="22"/>
        </w:rPr>
        <w:footnoteReference w:id="5"/>
      </w:r>
    </w:p>
    <w:p w14:paraId="134C6449" w14:textId="77777777" w:rsidR="00F43B13" w:rsidRPr="00CC1ADD" w:rsidRDefault="00F43B13" w:rsidP="0013165D">
      <w:pPr>
        <w:pStyle w:val="mpcNormal"/>
        <w:keepNext w:val="0"/>
      </w:pPr>
    </w:p>
    <w:p w14:paraId="74B00149" w14:textId="77777777" w:rsidR="00F43B13" w:rsidRPr="00CC1ADD" w:rsidRDefault="00F43B13" w:rsidP="0013165D">
      <w:pPr>
        <w:pStyle w:val="mpcNormal"/>
        <w:keepNext w:val="0"/>
      </w:pPr>
      <w:r w:rsidRPr="00CC1ADD">
        <w:t>The following provides an example of how to calculate a product’s HSR:</w:t>
      </w:r>
    </w:p>
    <w:p w14:paraId="1F2E3346" w14:textId="77777777" w:rsidR="00F43B13" w:rsidRPr="00CC1ADD" w:rsidRDefault="00F43B13" w:rsidP="005A3631">
      <w:pPr>
        <w:pStyle w:val="mpctableheading"/>
      </w:pPr>
    </w:p>
    <w:tbl>
      <w:tblPr>
        <w:tblStyle w:val="TableGrid"/>
        <w:tblW w:w="0" w:type="auto"/>
        <w:tblLook w:val="04A0" w:firstRow="1" w:lastRow="0" w:firstColumn="1" w:lastColumn="0" w:noHBand="0" w:noVBand="1"/>
      </w:tblPr>
      <w:tblGrid>
        <w:gridCol w:w="9736"/>
      </w:tblGrid>
      <w:tr w:rsidR="00F43B13" w:rsidRPr="00CC1ADD" w14:paraId="6A42AE7C" w14:textId="77777777" w:rsidTr="00B36208">
        <w:tc>
          <w:tcPr>
            <w:tcW w:w="9736" w:type="dxa"/>
            <w:shd w:val="clear" w:color="auto" w:fill="F2F2F2" w:themeFill="background1" w:themeFillShade="F2"/>
          </w:tcPr>
          <w:p w14:paraId="4A71D1AE" w14:textId="77777777" w:rsidR="00F43B13" w:rsidRPr="00CC1ADD" w:rsidRDefault="00F43B13" w:rsidP="0013165D">
            <w:pPr>
              <w:pStyle w:val="mpcNormal"/>
              <w:keepNext w:val="0"/>
            </w:pPr>
            <w:r w:rsidRPr="00CC1ADD">
              <w:t>To determine the HSR of a breakfast cereal:</w:t>
            </w:r>
          </w:p>
          <w:p w14:paraId="0B85E478" w14:textId="77777777" w:rsidR="00F43B13" w:rsidRPr="00CC1ADD" w:rsidRDefault="00F43B13" w:rsidP="0013165D">
            <w:pPr>
              <w:pStyle w:val="mpcNormal"/>
              <w:keepNext w:val="0"/>
            </w:pPr>
          </w:p>
          <w:p w14:paraId="2A9A846B" w14:textId="5C68DDC6" w:rsidR="00F43B13" w:rsidRPr="00153CBD" w:rsidRDefault="00752513" w:rsidP="0013165D">
            <w:pPr>
              <w:pStyle w:val="mpcheading4"/>
              <w:keepNext w:val="0"/>
            </w:pPr>
            <w:r w:rsidRPr="00153CBD">
              <w:t xml:space="preserve">Step 1. </w:t>
            </w:r>
            <w:r w:rsidR="00F43B13" w:rsidRPr="00153CBD">
              <w:t>Determine the category of food.</w:t>
            </w:r>
          </w:p>
          <w:p w14:paraId="04D6D8E3" w14:textId="77777777" w:rsidR="00F43B13" w:rsidRPr="00CC1ADD" w:rsidRDefault="00F43B13" w:rsidP="0013165D">
            <w:pPr>
              <w:pStyle w:val="mpcNormal"/>
              <w:keepNext w:val="0"/>
            </w:pPr>
            <w:r w:rsidRPr="00CC1ADD">
              <w:t>Category 2 includes all foods not included in Category 1, 1D, 2D, 3 or 3D, including breakfast cereals.</w:t>
            </w:r>
          </w:p>
          <w:p w14:paraId="414B320A" w14:textId="77777777" w:rsidR="00F43B13" w:rsidRPr="00CC1ADD" w:rsidRDefault="00F43B13" w:rsidP="0013165D">
            <w:pPr>
              <w:pStyle w:val="mpcNormal"/>
              <w:keepNext w:val="0"/>
            </w:pPr>
          </w:p>
          <w:p w14:paraId="7CCB7E99" w14:textId="198EDC27" w:rsidR="00F43B13" w:rsidRPr="00153CBD" w:rsidRDefault="00752513" w:rsidP="0013165D">
            <w:pPr>
              <w:pStyle w:val="mpcheading4"/>
              <w:keepNext w:val="0"/>
            </w:pPr>
            <w:r w:rsidRPr="00153CBD">
              <w:t xml:space="preserve">Step 2. </w:t>
            </w:r>
            <w:r w:rsidR="00F43B13" w:rsidRPr="00153CBD">
              <w:t>Using the points tables and guidance in the Guide for Industry</w:t>
            </w:r>
            <w:r w:rsidR="00063F3C" w:rsidRPr="00153CBD">
              <w:t xml:space="preserve"> to the HSR Calculator</w:t>
            </w:r>
            <w:r w:rsidR="00F43B13" w:rsidRPr="00153CBD">
              <w:t>, calculate:</w:t>
            </w:r>
          </w:p>
          <w:p w14:paraId="25C4B309" w14:textId="77777777" w:rsidR="00F43B13" w:rsidRPr="00CC1ADD" w:rsidRDefault="00F43B13" w:rsidP="0013165D">
            <w:pPr>
              <w:pStyle w:val="mpcNormal"/>
              <w:keepNext w:val="0"/>
            </w:pPr>
          </w:p>
          <w:p w14:paraId="06153910" w14:textId="77777777" w:rsidR="00F43B13" w:rsidRPr="00CC1ADD" w:rsidRDefault="00F43B13" w:rsidP="00F720A0">
            <w:pPr>
              <w:pStyle w:val="mpcbullets1"/>
              <w:numPr>
                <w:ilvl w:val="0"/>
                <w:numId w:val="8"/>
              </w:numPr>
            </w:pPr>
            <w:r w:rsidRPr="00CC1ADD">
              <w:t>baseline points for negative components</w:t>
            </w:r>
          </w:p>
          <w:tbl>
            <w:tblPr>
              <w:tblW w:w="0" w:type="auto"/>
              <w:tblInd w:w="700" w:type="dxa"/>
              <w:tblCellMar>
                <w:top w:w="15" w:type="dxa"/>
                <w:left w:w="15" w:type="dxa"/>
                <w:bottom w:w="15" w:type="dxa"/>
                <w:right w:w="15" w:type="dxa"/>
              </w:tblCellMar>
              <w:tblLook w:val="04A0" w:firstRow="1" w:lastRow="0" w:firstColumn="1" w:lastColumn="0" w:noHBand="0" w:noVBand="1"/>
            </w:tblPr>
            <w:tblGrid>
              <w:gridCol w:w="3114"/>
              <w:gridCol w:w="1284"/>
              <w:gridCol w:w="1985"/>
            </w:tblGrid>
            <w:tr w:rsidR="00F43B13" w:rsidRPr="00CC1ADD" w14:paraId="36C11C43" w14:textId="77777777" w:rsidTr="001439DA">
              <w:tc>
                <w:tcPr>
                  <w:tcW w:w="3114" w:type="dxa"/>
                  <w:tcBorders>
                    <w:top w:val="single" w:sz="4" w:space="0" w:color="000000"/>
                    <w:left w:val="single" w:sz="4" w:space="0" w:color="000000"/>
                    <w:bottom w:val="single" w:sz="4" w:space="0" w:color="000000"/>
                    <w:right w:val="single" w:sz="4" w:space="0" w:color="000000"/>
                  </w:tcBorders>
                  <w:shd w:val="clear" w:color="auto" w:fill="516A8E"/>
                  <w:vAlign w:val="center"/>
                  <w:hideMark/>
                </w:tcPr>
                <w:p w14:paraId="773AD7A7" w14:textId="77777777" w:rsidR="00F43B13" w:rsidRPr="00CC1ADD" w:rsidRDefault="00F43B13">
                  <w:pPr>
                    <w:rPr>
                      <w:rFonts w:eastAsia="Times New Roman" w:cstheme="minorHAnsi"/>
                      <w:color w:val="FFFFFF" w:themeColor="background1"/>
                      <w:sz w:val="20"/>
                      <w:szCs w:val="20"/>
                    </w:rPr>
                  </w:pPr>
                  <w:bookmarkStart w:id="46" w:name="ComponentA"/>
                  <w:bookmarkEnd w:id="46"/>
                  <w:r w:rsidRPr="00CC1ADD">
                    <w:rPr>
                      <w:rFonts w:eastAsia="Times New Roman" w:cstheme="minorHAnsi"/>
                      <w:b/>
                      <w:bCs/>
                      <w:color w:val="FFFFFF" w:themeColor="background1"/>
                      <w:sz w:val="20"/>
                      <w:szCs w:val="20"/>
                    </w:rPr>
                    <w:t xml:space="preserve">Component </w:t>
                  </w:r>
                </w:p>
              </w:tc>
              <w:tc>
                <w:tcPr>
                  <w:tcW w:w="1284" w:type="dxa"/>
                  <w:tcBorders>
                    <w:top w:val="single" w:sz="4" w:space="0" w:color="000000"/>
                    <w:left w:val="single" w:sz="4" w:space="0" w:color="000000"/>
                    <w:bottom w:val="single" w:sz="4" w:space="0" w:color="000000"/>
                    <w:right w:val="single" w:sz="4" w:space="0" w:color="000000"/>
                  </w:tcBorders>
                  <w:shd w:val="clear" w:color="auto" w:fill="516A8E"/>
                  <w:vAlign w:val="center"/>
                  <w:hideMark/>
                </w:tcPr>
                <w:p w14:paraId="27700E64" w14:textId="183C4D02" w:rsidR="00F43B13" w:rsidRPr="00CC1ADD" w:rsidRDefault="00F43B13">
                  <w:pPr>
                    <w:rPr>
                      <w:rFonts w:eastAsia="Times New Roman" w:cstheme="minorHAnsi"/>
                      <w:color w:val="FFFFFF" w:themeColor="background1"/>
                      <w:sz w:val="20"/>
                      <w:szCs w:val="20"/>
                    </w:rPr>
                  </w:pPr>
                  <w:r w:rsidRPr="00CC1ADD">
                    <w:rPr>
                      <w:rFonts w:eastAsia="Times New Roman" w:cstheme="minorHAnsi"/>
                      <w:b/>
                      <w:bCs/>
                      <w:color w:val="FFFFFF" w:themeColor="background1"/>
                      <w:sz w:val="20"/>
                      <w:szCs w:val="20"/>
                    </w:rPr>
                    <w:t>Per 100 g</w:t>
                  </w:r>
                  <w:r w:rsidRPr="00CC1ADD">
                    <w:rPr>
                      <w:rFonts w:eastAsia="Times New Roman" w:cstheme="minorHAnsi"/>
                      <w:color w:val="FFFFFF" w:themeColor="background1"/>
                      <w:sz w:val="20"/>
                      <w:szCs w:val="20"/>
                    </w:rPr>
                    <w:fldChar w:fldCharType="begin"/>
                  </w:r>
                  <w:r w:rsidR="00276EB3">
                    <w:rPr>
                      <w:rFonts w:eastAsia="Times New Roman" w:cstheme="minorHAnsi"/>
                      <w:color w:val="FFFFFF" w:themeColor="background1"/>
                      <w:sz w:val="20"/>
                      <w:szCs w:val="20"/>
                    </w:rPr>
                    <w:instrText xml:space="preserve"> INCLUDEPICTURE "C:\\var\\folders\\s1\\bnbd0j0s67n_t2jkkb4j9k6m0000gn\\T\\com.microsoft.Word\\WebArchiveCopyPasteTempFiles\\page30image1658940192" \* MERGEFORMAT </w:instrText>
                  </w:r>
                  <w:r w:rsidRPr="00CC1ADD">
                    <w:rPr>
                      <w:rFonts w:eastAsia="Times New Roman" w:cstheme="minorHAnsi"/>
                      <w:color w:val="FFFFFF" w:themeColor="background1"/>
                      <w:sz w:val="20"/>
                      <w:szCs w:val="20"/>
                    </w:rPr>
                    <w:fldChar w:fldCharType="separate"/>
                  </w:r>
                  <w:r w:rsidRPr="00CC1ADD">
                    <w:rPr>
                      <w:rFonts w:eastAsia="Times New Roman" w:cstheme="minorHAnsi"/>
                      <w:noProof/>
                      <w:color w:val="FFFFFF" w:themeColor="background1"/>
                      <w:sz w:val="20"/>
                      <w:szCs w:val="20"/>
                      <w:lang w:eastAsia="en-AU"/>
                    </w:rPr>
                    <w:drawing>
                      <wp:inline distT="0" distB="0" distL="0" distR="0" wp14:anchorId="3636AEF2" wp14:editId="6AE24A89">
                        <wp:extent cx="18415" cy="18415"/>
                        <wp:effectExtent l="0" t="0" r="0" b="0"/>
                        <wp:docPr id="15" name="Picture 15" descr="page30image165894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30image165894019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inline>
                    </w:drawing>
                  </w:r>
                  <w:r w:rsidRPr="00CC1ADD">
                    <w:rPr>
                      <w:rFonts w:eastAsia="Times New Roman" w:cstheme="minorHAnsi"/>
                      <w:color w:val="FFFFFF" w:themeColor="background1"/>
                      <w:sz w:val="20"/>
                      <w:szCs w:val="20"/>
                    </w:rPr>
                    <w:fldChar w:fldCharType="end"/>
                  </w:r>
                </w:p>
              </w:tc>
              <w:tc>
                <w:tcPr>
                  <w:tcW w:w="1985" w:type="dxa"/>
                  <w:tcBorders>
                    <w:top w:val="single" w:sz="4" w:space="0" w:color="000000"/>
                    <w:left w:val="single" w:sz="4" w:space="0" w:color="000000"/>
                    <w:bottom w:val="single" w:sz="4" w:space="0" w:color="000000"/>
                    <w:right w:val="single" w:sz="4" w:space="0" w:color="000000"/>
                  </w:tcBorders>
                  <w:shd w:val="clear" w:color="auto" w:fill="516A8E"/>
                </w:tcPr>
                <w:p w14:paraId="10E4DB63" w14:textId="77777777" w:rsidR="00F43B13" w:rsidRPr="00CC1ADD" w:rsidRDefault="00F43B13">
                  <w:pPr>
                    <w:rPr>
                      <w:rFonts w:eastAsia="Times New Roman" w:cstheme="minorHAnsi"/>
                      <w:b/>
                      <w:bCs/>
                      <w:color w:val="FFFFFF" w:themeColor="background1"/>
                      <w:sz w:val="20"/>
                      <w:szCs w:val="20"/>
                    </w:rPr>
                  </w:pPr>
                  <w:r w:rsidRPr="00CC1ADD">
                    <w:rPr>
                      <w:rFonts w:eastAsia="Times New Roman" w:cstheme="minorHAnsi"/>
                      <w:b/>
                      <w:bCs/>
                      <w:color w:val="FFFFFF" w:themeColor="background1"/>
                      <w:sz w:val="20"/>
                      <w:szCs w:val="20"/>
                    </w:rPr>
                    <w:t>Baseline points</w:t>
                  </w:r>
                </w:p>
              </w:tc>
            </w:tr>
            <w:tr w:rsidR="00F43B13" w:rsidRPr="00CC1ADD" w14:paraId="3579A1C5" w14:textId="77777777" w:rsidTr="00B36208">
              <w:tc>
                <w:tcPr>
                  <w:tcW w:w="31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9661221" w14:textId="77777777" w:rsidR="00F43B13" w:rsidRPr="00CC1ADD" w:rsidRDefault="00F43B13" w:rsidP="005A3631">
                  <w:pPr>
                    <w:rPr>
                      <w:rFonts w:eastAsia="Times New Roman" w:cstheme="minorHAnsi"/>
                      <w:sz w:val="20"/>
                      <w:szCs w:val="20"/>
                    </w:rPr>
                  </w:pPr>
                  <w:r w:rsidRPr="00CC1ADD">
                    <w:rPr>
                      <w:rFonts w:eastAsia="Times New Roman" w:cstheme="minorHAnsi"/>
                      <w:sz w:val="20"/>
                      <w:szCs w:val="20"/>
                    </w:rPr>
                    <w:t xml:space="preserve">Energy </w:t>
                  </w:r>
                </w:p>
              </w:tc>
              <w:tc>
                <w:tcPr>
                  <w:tcW w:w="12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BD24305"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1125 kJ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C61F826" w14:textId="77777777" w:rsidR="00F43B13" w:rsidRPr="00CC1ADD" w:rsidRDefault="00F43B13">
                  <w:pPr>
                    <w:rPr>
                      <w:rFonts w:eastAsia="Times New Roman" w:cstheme="minorHAnsi"/>
                      <w:sz w:val="20"/>
                      <w:szCs w:val="20"/>
                    </w:rPr>
                  </w:pPr>
                  <w:r w:rsidRPr="00CC1ADD">
                    <w:rPr>
                      <w:rFonts w:eastAsia="Times New Roman" w:cstheme="minorHAnsi"/>
                      <w:sz w:val="20"/>
                      <w:szCs w:val="20"/>
                    </w:rPr>
                    <w:t>3</w:t>
                  </w:r>
                </w:p>
              </w:tc>
            </w:tr>
            <w:tr w:rsidR="00F43B13" w:rsidRPr="00CC1ADD" w14:paraId="52E5432E" w14:textId="77777777" w:rsidTr="00B36208">
              <w:tc>
                <w:tcPr>
                  <w:tcW w:w="31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63FE5D9" w14:textId="3CB993C4" w:rsidR="00F43B13" w:rsidRPr="00CC1ADD" w:rsidRDefault="00F43B13" w:rsidP="005A3631">
                  <w:pPr>
                    <w:rPr>
                      <w:rFonts w:eastAsia="Times New Roman" w:cstheme="minorHAnsi"/>
                      <w:sz w:val="20"/>
                      <w:szCs w:val="20"/>
                    </w:rPr>
                  </w:pPr>
                  <w:r w:rsidRPr="00CC1ADD">
                    <w:rPr>
                      <w:rFonts w:eastAsia="Times New Roman" w:cstheme="minorHAnsi"/>
                      <w:sz w:val="20"/>
                      <w:szCs w:val="20"/>
                    </w:rPr>
                    <w:t>Saturated fat</w:t>
                  </w:r>
                  <w:r w:rsidRPr="00CC1ADD">
                    <w:rPr>
                      <w:rFonts w:eastAsia="Times New Roman" w:cstheme="minorHAnsi"/>
                      <w:sz w:val="20"/>
                      <w:szCs w:val="20"/>
                    </w:rPr>
                    <w:fldChar w:fldCharType="begin"/>
                  </w:r>
                  <w:r w:rsidR="00276EB3">
                    <w:rPr>
                      <w:rFonts w:eastAsia="Times New Roman" w:cstheme="minorHAnsi"/>
                      <w:sz w:val="20"/>
                      <w:szCs w:val="20"/>
                    </w:rPr>
                    <w:instrText xml:space="preserve"> INCLUDEPICTURE "C:\\var\\folders\\s1\\bnbd0j0s67n_t2jkkb4j9k6m0000gn\\T\\com.microsoft.Word\\WebArchiveCopyPasteTempFiles\\page30image1658958720" \* MERGEFORMAT </w:instrText>
                  </w:r>
                  <w:r w:rsidRPr="00CC1ADD">
                    <w:rPr>
                      <w:rFonts w:eastAsia="Times New Roman" w:cstheme="minorHAnsi"/>
                      <w:sz w:val="20"/>
                      <w:szCs w:val="20"/>
                    </w:rPr>
                    <w:fldChar w:fldCharType="separate"/>
                  </w:r>
                  <w:r w:rsidRPr="00CC1ADD">
                    <w:rPr>
                      <w:rFonts w:eastAsia="Times New Roman" w:cstheme="minorHAnsi"/>
                      <w:noProof/>
                      <w:sz w:val="20"/>
                      <w:szCs w:val="20"/>
                      <w:lang w:eastAsia="en-AU"/>
                    </w:rPr>
                    <w:drawing>
                      <wp:inline distT="0" distB="0" distL="0" distR="0" wp14:anchorId="065254B2" wp14:editId="1F87EBEF">
                        <wp:extent cx="18415" cy="18415"/>
                        <wp:effectExtent l="0" t="0" r="0" b="0"/>
                        <wp:docPr id="16" name="Picture 16" descr="page30image1658958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ge30image16589587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inline>
                    </w:drawing>
                  </w:r>
                  <w:r w:rsidRPr="00CC1ADD">
                    <w:rPr>
                      <w:rFonts w:eastAsia="Times New Roman" w:cstheme="minorHAnsi"/>
                      <w:sz w:val="20"/>
                      <w:szCs w:val="20"/>
                    </w:rPr>
                    <w:fldChar w:fldCharType="end"/>
                  </w:r>
                </w:p>
              </w:tc>
              <w:tc>
                <w:tcPr>
                  <w:tcW w:w="12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C618329"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1.1 g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F180C1" w14:textId="77777777" w:rsidR="00F43B13" w:rsidRPr="00CC1ADD" w:rsidRDefault="00F43B13">
                  <w:pPr>
                    <w:rPr>
                      <w:rFonts w:eastAsia="Times New Roman" w:cstheme="minorHAnsi"/>
                      <w:sz w:val="20"/>
                      <w:szCs w:val="20"/>
                    </w:rPr>
                  </w:pPr>
                  <w:r w:rsidRPr="00CC1ADD">
                    <w:rPr>
                      <w:rFonts w:eastAsia="Times New Roman" w:cstheme="minorHAnsi"/>
                      <w:sz w:val="20"/>
                      <w:szCs w:val="20"/>
                    </w:rPr>
                    <w:t>1</w:t>
                  </w:r>
                </w:p>
              </w:tc>
            </w:tr>
            <w:tr w:rsidR="00F43B13" w:rsidRPr="00CC1ADD" w14:paraId="2FE87640" w14:textId="77777777" w:rsidTr="00B36208">
              <w:tc>
                <w:tcPr>
                  <w:tcW w:w="31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04F1819" w14:textId="77777777" w:rsidR="00F43B13" w:rsidRPr="00CC1ADD" w:rsidRDefault="00F43B13" w:rsidP="005A3631">
                  <w:pPr>
                    <w:rPr>
                      <w:rFonts w:eastAsia="Times New Roman" w:cstheme="minorHAnsi"/>
                      <w:sz w:val="20"/>
                      <w:szCs w:val="20"/>
                    </w:rPr>
                  </w:pPr>
                  <w:r w:rsidRPr="00CC1ADD">
                    <w:rPr>
                      <w:rFonts w:eastAsia="Times New Roman" w:cstheme="minorHAnsi"/>
                      <w:sz w:val="20"/>
                      <w:szCs w:val="20"/>
                    </w:rPr>
                    <w:t xml:space="preserve">Total sugars </w:t>
                  </w:r>
                </w:p>
              </w:tc>
              <w:tc>
                <w:tcPr>
                  <w:tcW w:w="12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55C4F80"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22.9 g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62A1DD" w14:textId="77777777" w:rsidR="00F43B13" w:rsidRPr="00CC1ADD" w:rsidRDefault="00F43B13">
                  <w:pPr>
                    <w:rPr>
                      <w:rFonts w:eastAsia="Times New Roman" w:cstheme="minorHAnsi"/>
                      <w:sz w:val="20"/>
                      <w:szCs w:val="20"/>
                    </w:rPr>
                  </w:pPr>
                  <w:r w:rsidRPr="00CC1ADD">
                    <w:rPr>
                      <w:rFonts w:eastAsia="Times New Roman" w:cstheme="minorHAnsi"/>
                      <w:sz w:val="20"/>
                      <w:szCs w:val="20"/>
                    </w:rPr>
                    <w:t>5</w:t>
                  </w:r>
                </w:p>
              </w:tc>
            </w:tr>
            <w:tr w:rsidR="00F43B13" w:rsidRPr="00CC1ADD" w14:paraId="5BA86C5B" w14:textId="77777777" w:rsidTr="00B36208">
              <w:tc>
                <w:tcPr>
                  <w:tcW w:w="31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40D3C5C" w14:textId="77777777" w:rsidR="00F43B13" w:rsidRPr="00CC1ADD" w:rsidRDefault="00F43B13" w:rsidP="005A3631">
                  <w:pPr>
                    <w:rPr>
                      <w:rFonts w:eastAsia="Times New Roman" w:cstheme="minorHAnsi"/>
                      <w:sz w:val="20"/>
                      <w:szCs w:val="20"/>
                    </w:rPr>
                  </w:pPr>
                  <w:r w:rsidRPr="00CC1ADD">
                    <w:rPr>
                      <w:rFonts w:eastAsia="Times New Roman" w:cstheme="minorHAnsi"/>
                      <w:sz w:val="20"/>
                      <w:szCs w:val="20"/>
                    </w:rPr>
                    <w:t xml:space="preserve">Sodium </w:t>
                  </w:r>
                </w:p>
              </w:tc>
              <w:tc>
                <w:tcPr>
                  <w:tcW w:w="12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AD1575D"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142 mg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C113845" w14:textId="77777777" w:rsidR="00F43B13" w:rsidRPr="00CC1ADD" w:rsidRDefault="00F43B13">
                  <w:pPr>
                    <w:rPr>
                      <w:rFonts w:eastAsia="Times New Roman" w:cstheme="minorHAnsi"/>
                      <w:sz w:val="20"/>
                      <w:szCs w:val="20"/>
                    </w:rPr>
                  </w:pPr>
                  <w:r w:rsidRPr="00CC1ADD">
                    <w:rPr>
                      <w:rFonts w:eastAsia="Times New Roman" w:cstheme="minorHAnsi"/>
                      <w:sz w:val="20"/>
                      <w:szCs w:val="20"/>
                    </w:rPr>
                    <w:t>1</w:t>
                  </w:r>
                </w:p>
              </w:tc>
            </w:tr>
            <w:tr w:rsidR="00F43B13" w:rsidRPr="00CC1ADD" w14:paraId="37A0E484" w14:textId="77777777" w:rsidTr="00B36208">
              <w:tc>
                <w:tcPr>
                  <w:tcW w:w="31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751CF39" w14:textId="77777777" w:rsidR="00F43B13" w:rsidRPr="00CC1ADD" w:rsidRDefault="00F43B13" w:rsidP="005A3631">
                  <w:pPr>
                    <w:rPr>
                      <w:rFonts w:eastAsia="Times New Roman" w:cstheme="minorHAnsi"/>
                      <w:b/>
                      <w:i/>
                      <w:sz w:val="20"/>
                      <w:szCs w:val="20"/>
                    </w:rPr>
                  </w:pPr>
                  <w:r w:rsidRPr="00CC1ADD">
                    <w:rPr>
                      <w:rFonts w:eastAsia="Times New Roman" w:cstheme="minorHAnsi"/>
                      <w:b/>
                      <w:i/>
                      <w:sz w:val="20"/>
                      <w:szCs w:val="20"/>
                    </w:rPr>
                    <w:t>Total baseline points</w:t>
                  </w:r>
                </w:p>
              </w:tc>
              <w:tc>
                <w:tcPr>
                  <w:tcW w:w="128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887BAB0" w14:textId="77777777" w:rsidR="00F43B13" w:rsidRPr="00CC1ADD" w:rsidRDefault="00F43B13">
                  <w:pPr>
                    <w:rPr>
                      <w:rFonts w:eastAsia="Times New Roman" w:cstheme="minorHAnsi"/>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11CAE1" w14:textId="77777777" w:rsidR="00F43B13" w:rsidRPr="00CC1ADD" w:rsidRDefault="00F43B13">
                  <w:pPr>
                    <w:rPr>
                      <w:rFonts w:eastAsia="Times New Roman" w:cstheme="minorHAnsi"/>
                      <w:b/>
                      <w:i/>
                      <w:sz w:val="20"/>
                      <w:szCs w:val="20"/>
                    </w:rPr>
                  </w:pPr>
                  <w:r w:rsidRPr="00CC1ADD">
                    <w:rPr>
                      <w:rFonts w:eastAsia="Times New Roman" w:cstheme="minorHAnsi"/>
                      <w:b/>
                      <w:i/>
                      <w:sz w:val="20"/>
                      <w:szCs w:val="20"/>
                    </w:rPr>
                    <w:t>10</w:t>
                  </w:r>
                </w:p>
              </w:tc>
            </w:tr>
          </w:tbl>
          <w:p w14:paraId="326B806F" w14:textId="77777777" w:rsidR="00F43B13" w:rsidRPr="00CC1ADD" w:rsidRDefault="00F43B13" w:rsidP="0013165D">
            <w:pPr>
              <w:pStyle w:val="mpcNormal"/>
              <w:keepNext w:val="0"/>
            </w:pPr>
          </w:p>
          <w:p w14:paraId="612AEC0D" w14:textId="77777777" w:rsidR="00F43B13" w:rsidRPr="00CC1ADD" w:rsidRDefault="00F43B13" w:rsidP="00F720A0">
            <w:pPr>
              <w:pStyle w:val="mpcbullets1"/>
              <w:numPr>
                <w:ilvl w:val="0"/>
                <w:numId w:val="8"/>
              </w:numPr>
            </w:pPr>
            <w:r w:rsidRPr="00CC1ADD">
              <w:t>modifying points for positive components</w:t>
            </w:r>
          </w:p>
          <w:tbl>
            <w:tblPr>
              <w:tblW w:w="0" w:type="auto"/>
              <w:tblInd w:w="700" w:type="dxa"/>
              <w:tblCellMar>
                <w:top w:w="15" w:type="dxa"/>
                <w:left w:w="15" w:type="dxa"/>
                <w:bottom w:w="15" w:type="dxa"/>
                <w:right w:w="15" w:type="dxa"/>
              </w:tblCellMar>
              <w:tblLook w:val="04A0" w:firstRow="1" w:lastRow="0" w:firstColumn="1" w:lastColumn="0" w:noHBand="0" w:noVBand="1"/>
            </w:tblPr>
            <w:tblGrid>
              <w:gridCol w:w="3123"/>
              <w:gridCol w:w="1275"/>
              <w:gridCol w:w="1985"/>
            </w:tblGrid>
            <w:tr w:rsidR="00F43B13" w:rsidRPr="00CC1ADD" w14:paraId="390C32A7" w14:textId="77777777" w:rsidTr="001439DA">
              <w:tc>
                <w:tcPr>
                  <w:tcW w:w="3123" w:type="dxa"/>
                  <w:tcBorders>
                    <w:top w:val="single" w:sz="4" w:space="0" w:color="000000"/>
                    <w:left w:val="single" w:sz="4" w:space="0" w:color="000000"/>
                    <w:bottom w:val="single" w:sz="4" w:space="0" w:color="000000"/>
                    <w:right w:val="single" w:sz="4" w:space="0" w:color="000000"/>
                  </w:tcBorders>
                  <w:shd w:val="clear" w:color="auto" w:fill="516A8E"/>
                  <w:vAlign w:val="center"/>
                  <w:hideMark/>
                </w:tcPr>
                <w:p w14:paraId="46AEA4BC" w14:textId="77777777" w:rsidR="00F43B13" w:rsidRPr="00CC1ADD" w:rsidRDefault="00F43B13">
                  <w:pPr>
                    <w:rPr>
                      <w:rFonts w:eastAsia="Times New Roman" w:cstheme="minorHAnsi"/>
                      <w:color w:val="FFFFFF" w:themeColor="background1"/>
                      <w:sz w:val="20"/>
                      <w:szCs w:val="20"/>
                    </w:rPr>
                  </w:pPr>
                  <w:bookmarkStart w:id="47" w:name="ComponentB"/>
                  <w:bookmarkEnd w:id="47"/>
                  <w:r w:rsidRPr="00CC1ADD">
                    <w:rPr>
                      <w:rFonts w:eastAsia="Times New Roman" w:cstheme="minorHAnsi"/>
                      <w:b/>
                      <w:bCs/>
                      <w:color w:val="FFFFFF" w:themeColor="background1"/>
                      <w:sz w:val="20"/>
                      <w:szCs w:val="20"/>
                    </w:rPr>
                    <w:t xml:space="preserve">Component </w:t>
                  </w:r>
                </w:p>
              </w:tc>
              <w:tc>
                <w:tcPr>
                  <w:tcW w:w="1275" w:type="dxa"/>
                  <w:tcBorders>
                    <w:top w:val="single" w:sz="4" w:space="0" w:color="000000"/>
                    <w:left w:val="single" w:sz="4" w:space="0" w:color="000000"/>
                    <w:bottom w:val="single" w:sz="4" w:space="0" w:color="000000"/>
                    <w:right w:val="single" w:sz="4" w:space="0" w:color="000000"/>
                  </w:tcBorders>
                  <w:shd w:val="clear" w:color="auto" w:fill="516A8E"/>
                  <w:vAlign w:val="center"/>
                  <w:hideMark/>
                </w:tcPr>
                <w:p w14:paraId="34F29D5C" w14:textId="798B0947" w:rsidR="00F43B13" w:rsidRPr="00CC1ADD" w:rsidRDefault="00F43B13">
                  <w:pPr>
                    <w:rPr>
                      <w:rFonts w:eastAsia="Times New Roman" w:cstheme="minorHAnsi"/>
                      <w:color w:val="FFFFFF" w:themeColor="background1"/>
                      <w:sz w:val="20"/>
                      <w:szCs w:val="20"/>
                    </w:rPr>
                  </w:pPr>
                  <w:r w:rsidRPr="00CC1ADD">
                    <w:rPr>
                      <w:rFonts w:eastAsia="Times New Roman" w:cstheme="minorHAnsi"/>
                      <w:b/>
                      <w:bCs/>
                      <w:color w:val="FFFFFF" w:themeColor="background1"/>
                      <w:sz w:val="20"/>
                      <w:szCs w:val="20"/>
                    </w:rPr>
                    <w:t>Per 100 g</w:t>
                  </w:r>
                  <w:r w:rsidRPr="00CC1ADD">
                    <w:rPr>
                      <w:rFonts w:eastAsia="Times New Roman" w:cstheme="minorHAnsi"/>
                      <w:color w:val="FFFFFF" w:themeColor="background1"/>
                      <w:sz w:val="20"/>
                      <w:szCs w:val="20"/>
                    </w:rPr>
                    <w:fldChar w:fldCharType="begin"/>
                  </w:r>
                  <w:r w:rsidR="00276EB3">
                    <w:rPr>
                      <w:rFonts w:eastAsia="Times New Roman" w:cstheme="minorHAnsi"/>
                      <w:color w:val="FFFFFF" w:themeColor="background1"/>
                      <w:sz w:val="20"/>
                      <w:szCs w:val="20"/>
                    </w:rPr>
                    <w:instrText xml:space="preserve"> INCLUDEPICTURE "C:\\var\\folders\\s1\\bnbd0j0s67n_t2jkkb4j9k6m0000gn\\T\\com.microsoft.Word\\WebArchiveCopyPasteTempFiles\\page30image1658940192" \* MERGEFORMAT </w:instrText>
                  </w:r>
                  <w:r w:rsidRPr="00CC1ADD">
                    <w:rPr>
                      <w:rFonts w:eastAsia="Times New Roman" w:cstheme="minorHAnsi"/>
                      <w:color w:val="FFFFFF" w:themeColor="background1"/>
                      <w:sz w:val="20"/>
                      <w:szCs w:val="20"/>
                    </w:rPr>
                    <w:fldChar w:fldCharType="separate"/>
                  </w:r>
                  <w:r w:rsidRPr="00CC1ADD">
                    <w:rPr>
                      <w:rFonts w:eastAsia="Times New Roman" w:cstheme="minorHAnsi"/>
                      <w:noProof/>
                      <w:color w:val="FFFFFF" w:themeColor="background1"/>
                      <w:sz w:val="20"/>
                      <w:szCs w:val="20"/>
                      <w:lang w:eastAsia="en-AU"/>
                    </w:rPr>
                    <w:drawing>
                      <wp:inline distT="0" distB="0" distL="0" distR="0" wp14:anchorId="3C72FD4D" wp14:editId="226C45C5">
                        <wp:extent cx="18415" cy="18415"/>
                        <wp:effectExtent l="0" t="0" r="0" b="0"/>
                        <wp:docPr id="23" name="Picture 23" descr="page30image165894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30image165894019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inline>
                    </w:drawing>
                  </w:r>
                  <w:r w:rsidRPr="00CC1ADD">
                    <w:rPr>
                      <w:rFonts w:eastAsia="Times New Roman" w:cstheme="minorHAnsi"/>
                      <w:color w:val="FFFFFF" w:themeColor="background1"/>
                      <w:sz w:val="20"/>
                      <w:szCs w:val="20"/>
                    </w:rPr>
                    <w:fldChar w:fldCharType="end"/>
                  </w:r>
                </w:p>
              </w:tc>
              <w:tc>
                <w:tcPr>
                  <w:tcW w:w="1985" w:type="dxa"/>
                  <w:tcBorders>
                    <w:top w:val="single" w:sz="4" w:space="0" w:color="000000"/>
                    <w:left w:val="single" w:sz="4" w:space="0" w:color="000000"/>
                    <w:bottom w:val="single" w:sz="4" w:space="0" w:color="000000"/>
                    <w:right w:val="single" w:sz="4" w:space="0" w:color="000000"/>
                  </w:tcBorders>
                  <w:shd w:val="clear" w:color="auto" w:fill="516A8E"/>
                </w:tcPr>
                <w:p w14:paraId="5A8B9CD3" w14:textId="77777777" w:rsidR="00F43B13" w:rsidRPr="00CC1ADD" w:rsidRDefault="00F43B13">
                  <w:pPr>
                    <w:rPr>
                      <w:rFonts w:eastAsia="Times New Roman" w:cstheme="minorHAnsi"/>
                      <w:b/>
                      <w:bCs/>
                      <w:color w:val="FFFFFF" w:themeColor="background1"/>
                      <w:sz w:val="20"/>
                      <w:szCs w:val="20"/>
                    </w:rPr>
                  </w:pPr>
                  <w:r w:rsidRPr="00CC1ADD">
                    <w:rPr>
                      <w:rFonts w:eastAsia="Times New Roman" w:cstheme="minorHAnsi"/>
                      <w:b/>
                      <w:bCs/>
                      <w:color w:val="FFFFFF" w:themeColor="background1"/>
                      <w:sz w:val="20"/>
                      <w:szCs w:val="20"/>
                    </w:rPr>
                    <w:t>Modifying points</w:t>
                  </w:r>
                </w:p>
              </w:tc>
            </w:tr>
            <w:tr w:rsidR="00F43B13" w:rsidRPr="00CC1ADD" w14:paraId="196BCC4F" w14:textId="77777777" w:rsidTr="00B36208">
              <w:tc>
                <w:tcPr>
                  <w:tcW w:w="312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4000F01" w14:textId="2FB5D8B5" w:rsidR="00F43B13" w:rsidRPr="00CC1ADD" w:rsidRDefault="00F43B13" w:rsidP="005A3631">
                  <w:pPr>
                    <w:rPr>
                      <w:rFonts w:eastAsia="Times New Roman" w:cstheme="minorHAnsi"/>
                      <w:sz w:val="20"/>
                      <w:szCs w:val="20"/>
                    </w:rPr>
                  </w:pPr>
                  <w:r w:rsidRPr="0030513A">
                    <w:rPr>
                      <w:rFonts w:eastAsia="Times New Roman" w:cstheme="minorHAnsi"/>
                      <w:sz w:val="20"/>
                      <w:szCs w:val="20"/>
                    </w:rPr>
                    <w:t>FVNL (</w:t>
                  </w:r>
                  <w:r w:rsidR="0030513A" w:rsidRPr="0030513A">
                    <w:rPr>
                      <w:rFonts w:cstheme="minorHAnsi"/>
                      <w:sz w:val="20"/>
                      <w:szCs w:val="20"/>
                    </w:rPr>
                    <w:t>for example,</w:t>
                  </w:r>
                  <w:r w:rsidRPr="0030513A">
                    <w:rPr>
                      <w:rFonts w:eastAsia="Times New Roman" w:cstheme="minorHAnsi"/>
                      <w:sz w:val="20"/>
                      <w:szCs w:val="20"/>
                    </w:rPr>
                    <w:t xml:space="preserve"> nuts</w:t>
                  </w:r>
                  <w:r w:rsidRPr="00CC1ADD">
                    <w:rPr>
                      <w:rFonts w:eastAsia="Times New Roman" w:cstheme="minorHAnsi"/>
                      <w:sz w:val="20"/>
                      <w:szCs w:val="20"/>
                    </w:rPr>
                    <w:t xml:space="preserve"> and dried fruits) </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4C6724" w14:textId="77777777" w:rsidR="00F43B13" w:rsidRPr="00CC1ADD" w:rsidRDefault="00F43B13">
                  <w:pPr>
                    <w:rPr>
                      <w:rFonts w:eastAsia="Times New Roman" w:cstheme="minorHAnsi"/>
                      <w:sz w:val="20"/>
                      <w:szCs w:val="20"/>
                    </w:rPr>
                  </w:pPr>
                  <w:r w:rsidRPr="00CC1ADD">
                    <w:rPr>
                      <w:rFonts w:eastAsia="Times New Roman" w:cstheme="minorHAnsi"/>
                      <w:sz w:val="20"/>
                      <w:szCs w:val="20"/>
                    </w:rPr>
                    <w:t>45%</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1D9862" w14:textId="77777777" w:rsidR="00F43B13" w:rsidRPr="00CC1ADD" w:rsidRDefault="00F43B13">
                  <w:pPr>
                    <w:rPr>
                      <w:rFonts w:eastAsia="Times New Roman" w:cstheme="minorHAnsi"/>
                      <w:sz w:val="20"/>
                      <w:szCs w:val="20"/>
                    </w:rPr>
                  </w:pPr>
                  <w:r w:rsidRPr="00CC1ADD">
                    <w:rPr>
                      <w:rFonts w:eastAsia="Times New Roman" w:cstheme="minorHAnsi"/>
                      <w:sz w:val="20"/>
                      <w:szCs w:val="20"/>
                    </w:rPr>
                    <w:t>1</w:t>
                  </w:r>
                </w:p>
              </w:tc>
            </w:tr>
            <w:tr w:rsidR="00F43B13" w:rsidRPr="00CC1ADD" w14:paraId="7BDBAF74" w14:textId="77777777" w:rsidTr="00B36208">
              <w:tc>
                <w:tcPr>
                  <w:tcW w:w="312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789AAF8" w14:textId="77777777" w:rsidR="00F43B13" w:rsidRPr="00CC1ADD" w:rsidRDefault="00F43B13" w:rsidP="005A3631">
                  <w:pPr>
                    <w:rPr>
                      <w:rFonts w:eastAsia="Times New Roman" w:cstheme="minorHAnsi"/>
                      <w:sz w:val="20"/>
                      <w:szCs w:val="20"/>
                    </w:rPr>
                  </w:pPr>
                  <w:r w:rsidRPr="00CC1ADD">
                    <w:rPr>
                      <w:rFonts w:eastAsia="Times New Roman" w:cstheme="minorHAnsi"/>
                      <w:sz w:val="20"/>
                      <w:szCs w:val="20"/>
                    </w:rPr>
                    <w:t>Protein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770D5BE"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6.1 g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C4B836" w14:textId="77777777" w:rsidR="00F43B13" w:rsidRPr="00CC1ADD" w:rsidRDefault="00F43B13">
                  <w:pPr>
                    <w:rPr>
                      <w:rFonts w:eastAsia="Times New Roman" w:cstheme="minorHAnsi"/>
                      <w:sz w:val="20"/>
                      <w:szCs w:val="20"/>
                    </w:rPr>
                  </w:pPr>
                  <w:r w:rsidRPr="00CC1ADD">
                    <w:rPr>
                      <w:rFonts w:eastAsia="Times New Roman" w:cstheme="minorHAnsi"/>
                      <w:sz w:val="20"/>
                      <w:szCs w:val="20"/>
                    </w:rPr>
                    <w:t>3</w:t>
                  </w:r>
                </w:p>
              </w:tc>
            </w:tr>
            <w:tr w:rsidR="00F43B13" w:rsidRPr="00CC1ADD" w14:paraId="00345738" w14:textId="77777777" w:rsidTr="00B36208">
              <w:tc>
                <w:tcPr>
                  <w:tcW w:w="312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E6EC0E" w14:textId="77777777" w:rsidR="00F43B13" w:rsidRPr="00CC1ADD" w:rsidRDefault="00F43B13" w:rsidP="005A3631">
                  <w:pPr>
                    <w:rPr>
                      <w:rFonts w:eastAsia="Times New Roman" w:cstheme="minorHAnsi"/>
                      <w:sz w:val="20"/>
                      <w:szCs w:val="20"/>
                    </w:rPr>
                  </w:pPr>
                  <w:r w:rsidRPr="00CC1ADD">
                    <w:rPr>
                      <w:rFonts w:eastAsia="Times New Roman" w:cstheme="minorHAnsi"/>
                      <w:sz w:val="20"/>
                      <w:szCs w:val="20"/>
                    </w:rPr>
                    <w:t>Fibre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6FA92C0" w14:textId="77777777" w:rsidR="00F43B13" w:rsidRPr="00CC1ADD" w:rsidRDefault="00F43B13">
                  <w:pPr>
                    <w:rPr>
                      <w:rFonts w:eastAsia="Times New Roman" w:cstheme="minorHAnsi"/>
                      <w:sz w:val="20"/>
                      <w:szCs w:val="20"/>
                    </w:rPr>
                  </w:pPr>
                  <w:r w:rsidRPr="00CC1ADD">
                    <w:rPr>
                      <w:rFonts w:eastAsia="Times New Roman" w:cstheme="minorHAnsi"/>
                      <w:sz w:val="20"/>
                      <w:szCs w:val="20"/>
                    </w:rPr>
                    <w:t xml:space="preserve">7.9 g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5DCBC66" w14:textId="77777777" w:rsidR="00F43B13" w:rsidRPr="00CC1ADD" w:rsidRDefault="00F43B13">
                  <w:pPr>
                    <w:rPr>
                      <w:rFonts w:eastAsia="Times New Roman" w:cstheme="minorHAnsi"/>
                      <w:sz w:val="20"/>
                      <w:szCs w:val="20"/>
                    </w:rPr>
                  </w:pPr>
                  <w:r w:rsidRPr="00CC1ADD">
                    <w:rPr>
                      <w:rFonts w:eastAsia="Times New Roman" w:cstheme="minorHAnsi"/>
                      <w:sz w:val="20"/>
                      <w:szCs w:val="20"/>
                    </w:rPr>
                    <w:t>8</w:t>
                  </w:r>
                </w:p>
              </w:tc>
            </w:tr>
            <w:tr w:rsidR="00F43B13" w:rsidRPr="00CC1ADD" w14:paraId="7E81E917" w14:textId="77777777" w:rsidTr="00B36208">
              <w:tc>
                <w:tcPr>
                  <w:tcW w:w="312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02C1BA" w14:textId="77777777" w:rsidR="00F43B13" w:rsidRPr="00CC1ADD" w:rsidRDefault="00F43B13" w:rsidP="005A3631">
                  <w:pPr>
                    <w:rPr>
                      <w:rFonts w:eastAsia="Times New Roman" w:cstheme="minorHAnsi"/>
                      <w:b/>
                      <w:i/>
                      <w:sz w:val="20"/>
                      <w:szCs w:val="20"/>
                    </w:rPr>
                  </w:pPr>
                  <w:r w:rsidRPr="00CC1ADD">
                    <w:rPr>
                      <w:rFonts w:eastAsia="Times New Roman" w:cstheme="minorHAnsi"/>
                      <w:b/>
                      <w:i/>
                      <w:sz w:val="20"/>
                      <w:szCs w:val="20"/>
                    </w:rPr>
                    <w:t>Total modifying points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CEFA3A" w14:textId="77777777" w:rsidR="00F43B13" w:rsidRPr="00CC1ADD" w:rsidRDefault="00F43B13">
                  <w:pPr>
                    <w:rPr>
                      <w:rFonts w:eastAsia="Times New Roman" w:cstheme="minorHAnsi"/>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625C75" w14:textId="77777777" w:rsidR="00F43B13" w:rsidRPr="00CC1ADD" w:rsidRDefault="00F43B13">
                  <w:pPr>
                    <w:rPr>
                      <w:rFonts w:eastAsia="Times New Roman" w:cstheme="minorHAnsi"/>
                      <w:b/>
                      <w:i/>
                      <w:sz w:val="20"/>
                      <w:szCs w:val="20"/>
                    </w:rPr>
                  </w:pPr>
                  <w:r w:rsidRPr="00CC1ADD">
                    <w:rPr>
                      <w:rFonts w:eastAsia="Times New Roman" w:cstheme="minorHAnsi"/>
                      <w:b/>
                      <w:i/>
                      <w:sz w:val="20"/>
                      <w:szCs w:val="20"/>
                    </w:rPr>
                    <w:t>12</w:t>
                  </w:r>
                </w:p>
              </w:tc>
            </w:tr>
          </w:tbl>
          <w:p w14:paraId="58D80978" w14:textId="77777777" w:rsidR="00F43B13" w:rsidRPr="00CC1ADD" w:rsidRDefault="00F43B13" w:rsidP="0013165D">
            <w:pPr>
              <w:pStyle w:val="mpcNormal"/>
              <w:keepNext w:val="0"/>
            </w:pPr>
          </w:p>
          <w:p w14:paraId="72F03302" w14:textId="14CD81F9" w:rsidR="00F43B13" w:rsidRPr="00153CBD" w:rsidRDefault="00752513" w:rsidP="0013165D">
            <w:pPr>
              <w:pStyle w:val="mpcheading4"/>
              <w:keepNext w:val="0"/>
            </w:pPr>
            <w:r w:rsidRPr="00153CBD">
              <w:t xml:space="preserve">Step 3. </w:t>
            </w:r>
            <w:r w:rsidR="00F43B13" w:rsidRPr="00153CBD">
              <w:t>Calculate the final score (baseline points – modifying points).</w:t>
            </w:r>
          </w:p>
          <w:p w14:paraId="03E1BB95" w14:textId="77777777" w:rsidR="00F43B13" w:rsidRPr="00CC1ADD" w:rsidRDefault="00F43B13" w:rsidP="0013165D">
            <w:pPr>
              <w:pStyle w:val="mpcNormal"/>
              <w:keepNext w:val="0"/>
            </w:pPr>
            <w:r w:rsidRPr="00CC1ADD">
              <w:t>Final score = – 2</w:t>
            </w:r>
          </w:p>
          <w:p w14:paraId="05E5ED51" w14:textId="77777777" w:rsidR="00F43B13" w:rsidRPr="00CC1ADD" w:rsidRDefault="00F43B13" w:rsidP="0013165D">
            <w:pPr>
              <w:pStyle w:val="mpcNormal"/>
              <w:keepNext w:val="0"/>
            </w:pPr>
          </w:p>
          <w:p w14:paraId="60CDFA04" w14:textId="383E481F" w:rsidR="00F43B13" w:rsidRPr="00153CBD" w:rsidRDefault="00752513" w:rsidP="0013165D">
            <w:pPr>
              <w:pStyle w:val="mpcheading4"/>
              <w:keepNext w:val="0"/>
            </w:pPr>
            <w:r w:rsidRPr="00153CBD">
              <w:t xml:space="preserve">Step 4. </w:t>
            </w:r>
            <w:r w:rsidR="00F43B13" w:rsidRPr="00153CBD">
              <w:t>Assign the HSR based on the HSR Category.</w:t>
            </w:r>
          </w:p>
          <w:p w14:paraId="091E4B7D" w14:textId="6E476FF1" w:rsidR="00F43B13" w:rsidRPr="00CC1ADD" w:rsidRDefault="00F43B13" w:rsidP="0013165D">
            <w:pPr>
              <w:pStyle w:val="mpcNormal"/>
              <w:keepNext w:val="0"/>
            </w:pPr>
            <w:r w:rsidRPr="00CC1ADD">
              <w:t xml:space="preserve">This breakfast cereal is in Category 2, with an HSR score of – 2. Using the table on page 14 of the </w:t>
            </w:r>
            <w:hyperlink r:id="rId21" w:history="1">
              <w:r w:rsidR="002F0EC0" w:rsidRPr="002F0EC0">
                <w:rPr>
                  <w:rStyle w:val="Hyperlink"/>
                </w:rPr>
                <w:t>Guide for Industry</w:t>
              </w:r>
            </w:hyperlink>
            <w:r w:rsidRPr="00CC1ADD">
              <w:t>, the product scores an HSR of 4.0.</w:t>
            </w:r>
          </w:p>
        </w:tc>
      </w:tr>
    </w:tbl>
    <w:p w14:paraId="658AF286" w14:textId="77777777" w:rsidR="00591AAD" w:rsidRPr="00CC1ADD" w:rsidRDefault="00591AAD" w:rsidP="005A3631">
      <w:pPr>
        <w:widowControl w:val="0"/>
        <w:rPr>
          <w:rFonts w:eastAsia="Times New Roman" w:cstheme="minorHAnsi"/>
          <w:sz w:val="22"/>
          <w:szCs w:val="22"/>
          <w:lang w:eastAsia="en-GB"/>
        </w:rPr>
      </w:pPr>
    </w:p>
    <w:p w14:paraId="1E86FD16" w14:textId="60DB70D0" w:rsidR="00591AAD" w:rsidRPr="00CC1ADD" w:rsidRDefault="00591AAD" w:rsidP="0013165D">
      <w:pPr>
        <w:pStyle w:val="mpcNormal"/>
        <w:keepNext w:val="0"/>
      </w:pPr>
      <w:r w:rsidRPr="00CC1ADD">
        <w:t xml:space="preserve">For a comprehensive description of the HSR Calculator, refer to </w:t>
      </w:r>
      <w:r w:rsidRPr="00591AAD">
        <w:t>Appendix A</w:t>
      </w:r>
      <w:r w:rsidRPr="00CC1ADD">
        <w:t xml:space="preserve"> or the </w:t>
      </w:r>
      <w:hyperlink r:id="rId22" w:history="1">
        <w:r w:rsidRPr="00CC1ADD">
          <w:rPr>
            <w:rStyle w:val="Hyperlink"/>
          </w:rPr>
          <w:t>Guide</w:t>
        </w:r>
        <w:r w:rsidR="002F0EC0">
          <w:rPr>
            <w:rStyle w:val="Hyperlink"/>
          </w:rPr>
          <w:t xml:space="preserve"> for Industry </w:t>
        </w:r>
        <w:r w:rsidRPr="00CC1ADD">
          <w:rPr>
            <w:rStyle w:val="Hyperlink"/>
          </w:rPr>
          <w:t>on the HSR website</w:t>
        </w:r>
      </w:hyperlink>
      <w:r w:rsidRPr="00CC1ADD">
        <w:t>.</w:t>
      </w:r>
    </w:p>
    <w:p w14:paraId="1B2CAE1B" w14:textId="77777777" w:rsidR="00F43B13" w:rsidRPr="00CC1ADD" w:rsidRDefault="00F43B13" w:rsidP="0013165D">
      <w:pPr>
        <w:pStyle w:val="mpcNormal"/>
        <w:keepNext w:val="0"/>
      </w:pPr>
    </w:p>
    <w:p w14:paraId="1C1FFA3B" w14:textId="647F5516" w:rsidR="00F43B13" w:rsidRPr="00CC1ADD" w:rsidRDefault="002F0EC0" w:rsidP="0013165D">
      <w:pPr>
        <w:pStyle w:val="mpcheading2"/>
        <w:spacing w:after="0"/>
        <w:rPr>
          <w:rFonts w:cstheme="minorHAnsi"/>
        </w:rPr>
      </w:pPr>
      <w:bookmarkStart w:id="48" w:name="_Toc1746477"/>
      <w:r>
        <w:rPr>
          <w:rFonts w:cstheme="minorHAnsi"/>
        </w:rPr>
        <w:t>Prod</w:t>
      </w:r>
      <w:r w:rsidR="00955189">
        <w:rPr>
          <w:rFonts w:cstheme="minorHAnsi"/>
        </w:rPr>
        <w:t>u</w:t>
      </w:r>
      <w:r>
        <w:rPr>
          <w:rFonts w:cstheme="minorHAnsi"/>
        </w:rPr>
        <w:t>cts</w:t>
      </w:r>
      <w:r w:rsidR="00F43B13" w:rsidRPr="00CC1ADD">
        <w:rPr>
          <w:rFonts w:cstheme="minorHAnsi"/>
        </w:rPr>
        <w:t xml:space="preserve"> expected to display the HSR</w:t>
      </w:r>
      <w:bookmarkEnd w:id="48"/>
      <w:r w:rsidR="00F43B13" w:rsidRPr="00CC1ADD">
        <w:rPr>
          <w:rFonts w:cstheme="minorHAnsi"/>
        </w:rPr>
        <w:t xml:space="preserve"> </w:t>
      </w:r>
    </w:p>
    <w:p w14:paraId="11CF7AA9" w14:textId="77777777" w:rsidR="00F43B13" w:rsidRPr="00CC1ADD" w:rsidRDefault="00F43B13" w:rsidP="0013165D">
      <w:pPr>
        <w:pStyle w:val="mpcNormal"/>
        <w:keepNext w:val="0"/>
      </w:pPr>
    </w:p>
    <w:p w14:paraId="5FA154F9" w14:textId="1CB620EA" w:rsidR="00F43B13" w:rsidRPr="00CC1ADD" w:rsidRDefault="00F43B13" w:rsidP="0013165D">
      <w:pPr>
        <w:pStyle w:val="mpcNormal"/>
        <w:keepNext w:val="0"/>
      </w:pPr>
      <w:r w:rsidRPr="00CC1ADD">
        <w:t xml:space="preserve">The HSR is a voluntary system and only appears on packaged products at the discretion of manufacturers and retailers. If a product carries a </w:t>
      </w:r>
      <w:r w:rsidR="00677D90">
        <w:t>nutrition information panel (</w:t>
      </w:r>
      <w:r w:rsidRPr="00CC1ADD">
        <w:t>NIP</w:t>
      </w:r>
      <w:r w:rsidR="00677D90">
        <w:t>)</w:t>
      </w:r>
      <w:r w:rsidRPr="00CC1ADD">
        <w:t>, the use of the HSR System should be considered.</w:t>
      </w:r>
    </w:p>
    <w:p w14:paraId="4B45BB68" w14:textId="77777777" w:rsidR="00F43B13" w:rsidRPr="00CC1ADD" w:rsidRDefault="00F43B13" w:rsidP="0013165D">
      <w:pPr>
        <w:pStyle w:val="mpcNormal"/>
        <w:keepNext w:val="0"/>
      </w:pPr>
    </w:p>
    <w:p w14:paraId="4D3374A6" w14:textId="77777777" w:rsidR="00F43B13" w:rsidRPr="00CC1ADD" w:rsidRDefault="00F43B13" w:rsidP="0013165D">
      <w:pPr>
        <w:pStyle w:val="mpcNormal"/>
        <w:keepNext w:val="0"/>
      </w:pPr>
      <w:r w:rsidRPr="00CC1ADD">
        <w:t>Products exempt from NIP labelling include:</w:t>
      </w:r>
    </w:p>
    <w:p w14:paraId="4A0EE569" w14:textId="77777777" w:rsidR="00F43B13" w:rsidRPr="00CC1ADD" w:rsidRDefault="00F43B13" w:rsidP="0013165D">
      <w:pPr>
        <w:pStyle w:val="mpcNormal"/>
        <w:keepNext w:val="0"/>
      </w:pPr>
    </w:p>
    <w:p w14:paraId="3883D692" w14:textId="72B1EDAA" w:rsidR="00F43B13" w:rsidRPr="00CC1ADD" w:rsidRDefault="00F43B13" w:rsidP="00F720A0">
      <w:pPr>
        <w:pStyle w:val="mpcbullets1"/>
        <w:numPr>
          <w:ilvl w:val="0"/>
          <w:numId w:val="9"/>
        </w:numPr>
      </w:pPr>
      <w:r w:rsidRPr="00CC1ADD">
        <w:t>products with inherently low nutritional contribution such as herbs, spices, vinegar, salt, tea, coffee, herbal infusions, gelatine and setting compounds</w:t>
      </w:r>
    </w:p>
    <w:p w14:paraId="34CB6852" w14:textId="427F0DEE" w:rsidR="00F43B13" w:rsidRPr="00CC1ADD" w:rsidRDefault="00F43B13" w:rsidP="00F720A0">
      <w:pPr>
        <w:pStyle w:val="mpcbullets1"/>
        <w:numPr>
          <w:ilvl w:val="0"/>
          <w:numId w:val="9"/>
        </w:numPr>
      </w:pPr>
      <w:r w:rsidRPr="00CC1ADD">
        <w:t xml:space="preserve">small packages </w:t>
      </w:r>
      <w:r w:rsidR="00677D90">
        <w:t>(</w:t>
      </w:r>
      <w:r w:rsidRPr="00CC1ADD">
        <w:t>less than 100mm</w:t>
      </w:r>
      <w:r w:rsidRPr="00CC1ADD">
        <w:rPr>
          <w:vertAlign w:val="superscript"/>
        </w:rPr>
        <w:t>2</w:t>
      </w:r>
      <w:r w:rsidR="00677D90">
        <w:rPr>
          <w:vertAlign w:val="superscript"/>
        </w:rPr>
        <w:t xml:space="preserve"> </w:t>
      </w:r>
      <w:r w:rsidR="00677D90">
        <w:t>) other than food for infants</w:t>
      </w:r>
    </w:p>
    <w:p w14:paraId="7A6DDDFD" w14:textId="2EF78DF1" w:rsidR="00F43B13" w:rsidRPr="00CC1ADD" w:rsidRDefault="00F43B13" w:rsidP="00F720A0">
      <w:pPr>
        <w:pStyle w:val="mpcbullets1"/>
        <w:numPr>
          <w:ilvl w:val="0"/>
          <w:numId w:val="9"/>
        </w:numPr>
      </w:pPr>
      <w:r w:rsidRPr="00CC1ADD">
        <w:t>certain ‘fresh value-added products’, such as packaged fruit, vegetables, meat, poultry, fish, pre</w:t>
      </w:r>
      <w:r w:rsidR="00677D90">
        <w:t>pared</w:t>
      </w:r>
      <w:r w:rsidRPr="00CC1ADD">
        <w:t xml:space="preserve"> rolls and sandwiches (i.e. short shelf-life products intended to be consumed shortly after purchase).</w:t>
      </w:r>
    </w:p>
    <w:p w14:paraId="63EA28B2" w14:textId="77777777" w:rsidR="00F43B13" w:rsidRPr="00CC1ADD" w:rsidRDefault="00F43B13" w:rsidP="0013165D">
      <w:pPr>
        <w:pStyle w:val="mpcNormal"/>
        <w:keepNext w:val="0"/>
      </w:pPr>
    </w:p>
    <w:p w14:paraId="2928232F" w14:textId="77777777" w:rsidR="00F43B13" w:rsidRPr="00CC1ADD" w:rsidRDefault="00F43B13" w:rsidP="0013165D">
      <w:pPr>
        <w:pStyle w:val="mpcNormal"/>
        <w:keepNext w:val="0"/>
      </w:pPr>
      <w:r w:rsidRPr="00CC1ADD">
        <w:t>Products that are not eligible to display the HSR include:</w:t>
      </w:r>
    </w:p>
    <w:p w14:paraId="03DA98D8" w14:textId="77777777" w:rsidR="00F43B13" w:rsidRPr="00CC1ADD" w:rsidRDefault="00F43B13" w:rsidP="0013165D">
      <w:pPr>
        <w:pStyle w:val="mpcNormal"/>
        <w:keepNext w:val="0"/>
      </w:pPr>
    </w:p>
    <w:p w14:paraId="742656FB" w14:textId="253ACBDA" w:rsidR="00F43B13" w:rsidRPr="00CC1ADD" w:rsidRDefault="00F43B13" w:rsidP="00F720A0">
      <w:pPr>
        <w:pStyle w:val="mpcbullets1"/>
        <w:numPr>
          <w:ilvl w:val="0"/>
          <w:numId w:val="9"/>
        </w:numPr>
      </w:pPr>
      <w:r w:rsidRPr="00CC1ADD">
        <w:t xml:space="preserve">certain special purpose foods in Part 2.9 of the </w:t>
      </w:r>
      <w:r w:rsidR="00885AF1">
        <w:t>C</w:t>
      </w:r>
      <w:r w:rsidRPr="00CC1ADD">
        <w:t>ode (infant formula products, foods for infants, formulated supplementary foods for young children, formulated supplementary sports foods or foods for special medical purposes)</w:t>
      </w:r>
    </w:p>
    <w:p w14:paraId="7DE3C414" w14:textId="77777777" w:rsidR="00F43B13" w:rsidRPr="00CC1ADD" w:rsidRDefault="00F43B13" w:rsidP="00F720A0">
      <w:pPr>
        <w:pStyle w:val="mpcbullets1"/>
        <w:numPr>
          <w:ilvl w:val="0"/>
          <w:numId w:val="9"/>
        </w:numPr>
      </w:pPr>
      <w:r w:rsidRPr="00CC1ADD">
        <w:t>alcoholic beverages, alcohol kits and kava</w:t>
      </w:r>
    </w:p>
    <w:p w14:paraId="25E63EDC" w14:textId="779C4CD1" w:rsidR="00F43B13" w:rsidRPr="00CC1ADD" w:rsidRDefault="00F43B13" w:rsidP="00F720A0">
      <w:pPr>
        <w:pStyle w:val="mpcbullets1"/>
        <w:numPr>
          <w:ilvl w:val="0"/>
          <w:numId w:val="9"/>
        </w:numPr>
      </w:pPr>
      <w:r w:rsidRPr="00CC1ADD">
        <w:t xml:space="preserve">products listed in </w:t>
      </w:r>
      <w:r w:rsidR="00A35EB9">
        <w:t xml:space="preserve">section </w:t>
      </w:r>
      <w:r w:rsidRPr="00CC1ADD">
        <w:t>1.2.7</w:t>
      </w:r>
      <w:r w:rsidR="00885AF1">
        <w:t>–</w:t>
      </w:r>
      <w:r w:rsidRPr="00CC1ADD">
        <w:t>5</w:t>
      </w:r>
      <w:r w:rsidR="00A35EB9">
        <w:t xml:space="preserve"> of</w:t>
      </w:r>
      <w:r w:rsidRPr="00CC1ADD">
        <w:t xml:space="preserve"> </w:t>
      </w:r>
      <w:hyperlink r:id="rId23" w:history="1">
        <w:r w:rsidR="00A35EB9" w:rsidRPr="00A35EB9">
          <w:rPr>
            <w:rStyle w:val="Hyperlink"/>
            <w:i/>
            <w:iCs/>
          </w:rPr>
          <w:t>Standard 1.2.7 Nutrition</w:t>
        </w:r>
        <w:r w:rsidR="00885AF1">
          <w:rPr>
            <w:rStyle w:val="Hyperlink"/>
            <w:i/>
            <w:iCs/>
          </w:rPr>
          <w:t>, health and related</w:t>
        </w:r>
        <w:r w:rsidR="00A35EB9" w:rsidRPr="00A35EB9">
          <w:rPr>
            <w:rStyle w:val="Hyperlink"/>
            <w:i/>
            <w:iCs/>
          </w:rPr>
          <w:t xml:space="preserve"> claims</w:t>
        </w:r>
      </w:hyperlink>
      <w:r w:rsidR="002F0EC0">
        <w:t xml:space="preserve"> </w:t>
      </w:r>
      <w:r w:rsidR="002F0EC0" w:rsidRPr="002F0EC0">
        <w:t>of the Code</w:t>
      </w:r>
      <w:r w:rsidRPr="00CC1ADD">
        <w:t>, which include products intended for further processing</w:t>
      </w:r>
      <w:r w:rsidR="00885AF1">
        <w:t>, packaging or labelling prior to retail sale</w:t>
      </w:r>
      <w:r w:rsidRPr="00CC1ADD">
        <w:t>.</w:t>
      </w:r>
    </w:p>
    <w:p w14:paraId="0D0640B0" w14:textId="77777777" w:rsidR="00F43B13" w:rsidRPr="00CC1ADD" w:rsidRDefault="00F43B13">
      <w:pPr>
        <w:rPr>
          <w:rFonts w:cstheme="minorHAnsi"/>
          <w:sz w:val="22"/>
          <w:szCs w:val="22"/>
        </w:rPr>
      </w:pPr>
    </w:p>
    <w:p w14:paraId="43EC4D58" w14:textId="77777777" w:rsidR="00F43B13" w:rsidRPr="00CC1ADD" w:rsidRDefault="00F43B13">
      <w:pPr>
        <w:pStyle w:val="mpcheading2"/>
        <w:spacing w:after="0"/>
        <w:rPr>
          <w:rFonts w:cstheme="minorHAnsi"/>
        </w:rPr>
      </w:pPr>
      <w:bookmarkStart w:id="49" w:name="Governance"/>
      <w:bookmarkStart w:id="50" w:name="_Toc1746478"/>
      <w:bookmarkEnd w:id="49"/>
      <w:r w:rsidRPr="00CC1ADD">
        <w:rPr>
          <w:rFonts w:cstheme="minorHAnsi"/>
        </w:rPr>
        <w:t>Governance of the HSR System</w:t>
      </w:r>
      <w:bookmarkEnd w:id="50"/>
    </w:p>
    <w:p w14:paraId="5B6005A7" w14:textId="77777777" w:rsidR="00F43B13" w:rsidRPr="00CC1ADD" w:rsidRDefault="00F43B13">
      <w:pPr>
        <w:rPr>
          <w:rFonts w:cstheme="minorHAnsi"/>
          <w:sz w:val="22"/>
          <w:szCs w:val="22"/>
        </w:rPr>
      </w:pPr>
    </w:p>
    <w:p w14:paraId="0DC5CBF6" w14:textId="7FAF8C30" w:rsidR="00F43B13" w:rsidRDefault="00F43B13">
      <w:pPr>
        <w:rPr>
          <w:sz w:val="22"/>
          <w:szCs w:val="22"/>
        </w:rPr>
      </w:pPr>
      <w:r w:rsidRPr="00CC1ADD">
        <w:rPr>
          <w:sz w:val="22"/>
          <w:szCs w:val="22"/>
        </w:rPr>
        <w:t xml:space="preserve">The </w:t>
      </w:r>
      <w:r w:rsidRPr="00591AAD">
        <w:rPr>
          <w:rFonts w:cstheme="minorHAnsi"/>
          <w:sz w:val="22"/>
          <w:szCs w:val="22"/>
        </w:rPr>
        <w:t xml:space="preserve">HSR System is overseen by the </w:t>
      </w:r>
      <w:r w:rsidR="00591AAD" w:rsidRPr="00CC1ADD">
        <w:rPr>
          <w:rFonts w:cstheme="minorHAnsi"/>
          <w:sz w:val="22"/>
          <w:szCs w:val="22"/>
        </w:rPr>
        <w:t>Forum</w:t>
      </w:r>
      <w:r w:rsidRPr="00591AAD">
        <w:rPr>
          <w:rFonts w:cstheme="minorHAnsi"/>
          <w:sz w:val="22"/>
          <w:szCs w:val="22"/>
        </w:rPr>
        <w:t xml:space="preserve">, the </w:t>
      </w:r>
      <w:r w:rsidR="00591AAD" w:rsidRPr="00591AAD">
        <w:rPr>
          <w:rFonts w:cstheme="minorHAnsi"/>
          <w:sz w:val="22"/>
          <w:szCs w:val="22"/>
        </w:rPr>
        <w:t>Food Regulation Standing Committee (FRSC)</w:t>
      </w:r>
      <w:r w:rsidRPr="00591AAD">
        <w:rPr>
          <w:rFonts w:cstheme="minorHAnsi"/>
          <w:sz w:val="22"/>
          <w:szCs w:val="22"/>
        </w:rPr>
        <w:t xml:space="preserve"> and a number</w:t>
      </w:r>
      <w:r w:rsidRPr="00CC1ADD">
        <w:rPr>
          <w:sz w:val="22"/>
          <w:szCs w:val="22"/>
        </w:rPr>
        <w:t xml:space="preserve"> of committees established for the specific purpose of managing, monitoring and implementing the HSR System. </w:t>
      </w:r>
    </w:p>
    <w:p w14:paraId="6A5A7B52" w14:textId="77777777" w:rsidR="00AE7B1D" w:rsidRPr="004B53A8" w:rsidRDefault="00AE7B1D">
      <w:pPr>
        <w:rPr>
          <w:sz w:val="15"/>
          <w:szCs w:val="22"/>
        </w:rPr>
      </w:pPr>
    </w:p>
    <w:p w14:paraId="232FE95A" w14:textId="0C2A44F3" w:rsidR="00F43B13" w:rsidRPr="00CC1ADD" w:rsidRDefault="00A26FC9" w:rsidP="006B0997">
      <w:pPr>
        <w:pStyle w:val="mpcNormal"/>
        <w:keepNext w:val="0"/>
        <w:jc w:val="center"/>
      </w:pPr>
      <w:r w:rsidRPr="00A26FC9">
        <w:rPr>
          <w:noProof/>
          <w:lang w:eastAsia="en-AU"/>
        </w:rPr>
        <w:drawing>
          <wp:inline distT="0" distB="0" distL="0" distR="0" wp14:anchorId="4CA3E502" wp14:editId="57445493">
            <wp:extent cx="4222959" cy="3791823"/>
            <wp:effectExtent l="0" t="0" r="0" b="5715"/>
            <wp:docPr id="36" name="Picture 36" descr="Figure 1:  HSR System governance structure. This diagram shows that the SMAG, the TAG and the NZHSRAG report tp the HSRAC, which reports to the FRSC, which ultimately reports to the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0122" cy="3807234"/>
                    </a:xfrm>
                    <a:prstGeom prst="rect">
                      <a:avLst/>
                    </a:prstGeom>
                  </pic:spPr>
                </pic:pic>
              </a:graphicData>
            </a:graphic>
          </wp:inline>
        </w:drawing>
      </w:r>
    </w:p>
    <w:p w14:paraId="0017DADF" w14:textId="6881DE19" w:rsidR="00F43B13" w:rsidRPr="00CC1ADD" w:rsidRDefault="00C14D9F" w:rsidP="005A3631">
      <w:pPr>
        <w:pStyle w:val="mpctableheading"/>
        <w:jc w:val="center"/>
        <w:rPr>
          <w:sz w:val="20"/>
        </w:rPr>
      </w:pPr>
      <w:r w:rsidRPr="00CC1ADD">
        <w:rPr>
          <w:sz w:val="20"/>
        </w:rPr>
        <w:t>Figure</w:t>
      </w:r>
      <w:r w:rsidR="00F43B13" w:rsidRPr="00CC1ADD">
        <w:rPr>
          <w:sz w:val="20"/>
        </w:rPr>
        <w:t xml:space="preserve"> </w:t>
      </w:r>
      <w:r w:rsidR="00591AAD">
        <w:rPr>
          <w:sz w:val="20"/>
        </w:rPr>
        <w:t>1</w:t>
      </w:r>
      <w:r w:rsidR="00F43B13" w:rsidRPr="00CC1ADD">
        <w:rPr>
          <w:sz w:val="20"/>
        </w:rPr>
        <w:t xml:space="preserve">:  </w:t>
      </w:r>
      <w:r w:rsidR="00F43B13" w:rsidRPr="00CC1ADD">
        <w:rPr>
          <w:b w:val="0"/>
          <w:sz w:val="20"/>
        </w:rPr>
        <w:t xml:space="preserve">HSR System </w:t>
      </w:r>
      <w:r w:rsidR="00591AAD">
        <w:rPr>
          <w:b w:val="0"/>
          <w:sz w:val="20"/>
        </w:rPr>
        <w:t>g</w:t>
      </w:r>
      <w:r w:rsidR="00F43B13" w:rsidRPr="00CC1ADD">
        <w:rPr>
          <w:b w:val="0"/>
          <w:sz w:val="20"/>
        </w:rPr>
        <w:t xml:space="preserve">overnance </w:t>
      </w:r>
      <w:r w:rsidR="00591AAD">
        <w:rPr>
          <w:b w:val="0"/>
          <w:sz w:val="20"/>
        </w:rPr>
        <w:t>s</w:t>
      </w:r>
      <w:r w:rsidR="00F43B13" w:rsidRPr="00CC1ADD">
        <w:rPr>
          <w:b w:val="0"/>
          <w:sz w:val="20"/>
        </w:rPr>
        <w:t>tructure.</w:t>
      </w:r>
    </w:p>
    <w:p w14:paraId="2E3440D4" w14:textId="77777777" w:rsidR="00F43B13" w:rsidRPr="00CC1ADD" w:rsidRDefault="00F43B13">
      <w:pPr>
        <w:rPr>
          <w:sz w:val="22"/>
          <w:szCs w:val="22"/>
          <w:lang w:eastAsia="en-GB"/>
        </w:rPr>
      </w:pPr>
    </w:p>
    <w:p w14:paraId="25A7D81D" w14:textId="77777777" w:rsidR="00F43B13" w:rsidRPr="00CC1ADD" w:rsidRDefault="00F43B13" w:rsidP="000A22C3">
      <w:pPr>
        <w:pStyle w:val="mpcheading4"/>
        <w:keepNext w:val="0"/>
        <w:rPr>
          <w:lang w:eastAsia="en-GB"/>
        </w:rPr>
      </w:pPr>
      <w:r w:rsidRPr="00CC1ADD">
        <w:rPr>
          <w:lang w:eastAsia="en-GB"/>
        </w:rPr>
        <w:t>Health Star Rating Advisory Committee</w:t>
      </w:r>
    </w:p>
    <w:p w14:paraId="331AA282" w14:textId="77777777" w:rsidR="00F43B13" w:rsidRPr="00CC1ADD" w:rsidRDefault="00F43B13" w:rsidP="000A22C3">
      <w:pPr>
        <w:pStyle w:val="mpcheading4"/>
        <w:keepNext w:val="0"/>
        <w:rPr>
          <w:lang w:eastAsia="en-GB"/>
        </w:rPr>
      </w:pPr>
    </w:p>
    <w:p w14:paraId="1FD92421" w14:textId="6D3B42F0" w:rsidR="00F43B13" w:rsidRPr="00CC1ADD" w:rsidRDefault="00752513" w:rsidP="005A3631">
      <w:pPr>
        <w:rPr>
          <w:sz w:val="22"/>
          <w:szCs w:val="22"/>
        </w:rPr>
      </w:pPr>
      <w:r>
        <w:rPr>
          <w:sz w:val="22"/>
          <w:szCs w:val="22"/>
        </w:rPr>
        <w:t>T</w:t>
      </w:r>
      <w:r w:rsidR="00F43B13" w:rsidRPr="00CC1ADD">
        <w:rPr>
          <w:sz w:val="22"/>
          <w:szCs w:val="22"/>
        </w:rPr>
        <w:t>he HSRAC is responsible for overseeing the implementation of the HSR System. This includes the social marketing campaign in Australia, monitoring and evaluation of the System and the assessment of potential anomalies that may be identified within the HSR Calculator. The HSRAC provides advice and reports to the FRSC.</w:t>
      </w:r>
    </w:p>
    <w:p w14:paraId="684BC3BA" w14:textId="77777777" w:rsidR="00F43B13" w:rsidRPr="00CC1ADD" w:rsidRDefault="00F43B13">
      <w:pPr>
        <w:rPr>
          <w:sz w:val="22"/>
          <w:szCs w:val="22"/>
        </w:rPr>
      </w:pPr>
    </w:p>
    <w:p w14:paraId="3DA0AA2F" w14:textId="3958DAF0" w:rsidR="00F43B13" w:rsidRPr="00CC1ADD" w:rsidRDefault="00F43B13">
      <w:pPr>
        <w:rPr>
          <w:color w:val="000000" w:themeColor="text1"/>
          <w:sz w:val="22"/>
          <w:szCs w:val="22"/>
        </w:rPr>
      </w:pPr>
      <w:r w:rsidRPr="00CC1ADD">
        <w:rPr>
          <w:color w:val="000000" w:themeColor="text1"/>
          <w:sz w:val="22"/>
          <w:szCs w:val="22"/>
        </w:rPr>
        <w:t xml:space="preserve">The HSRAC consists of </w:t>
      </w:r>
      <w:r w:rsidR="002F0EC0">
        <w:rPr>
          <w:color w:val="000000" w:themeColor="text1"/>
          <w:sz w:val="22"/>
          <w:szCs w:val="22"/>
        </w:rPr>
        <w:t>10</w:t>
      </w:r>
      <w:r w:rsidRPr="00CC1ADD">
        <w:rPr>
          <w:color w:val="000000" w:themeColor="text1"/>
          <w:sz w:val="22"/>
          <w:szCs w:val="22"/>
        </w:rPr>
        <w:t xml:space="preserve"> members including the Chair</w:t>
      </w:r>
      <w:r w:rsidR="006057F0">
        <w:rPr>
          <w:color w:val="000000" w:themeColor="text1"/>
          <w:sz w:val="22"/>
          <w:szCs w:val="22"/>
        </w:rPr>
        <w:t xml:space="preserve">: </w:t>
      </w:r>
      <w:r w:rsidRPr="00CC1ADD">
        <w:rPr>
          <w:color w:val="000000" w:themeColor="text1"/>
          <w:sz w:val="22"/>
          <w:szCs w:val="22"/>
        </w:rPr>
        <w:t>four members from government (</w:t>
      </w:r>
      <w:r w:rsidR="002F0EC0">
        <w:rPr>
          <w:color w:val="000000" w:themeColor="text1"/>
          <w:sz w:val="22"/>
          <w:szCs w:val="22"/>
        </w:rPr>
        <w:t>New South Wales</w:t>
      </w:r>
      <w:r w:rsidRPr="00CC1ADD">
        <w:rPr>
          <w:color w:val="000000" w:themeColor="text1"/>
          <w:sz w:val="22"/>
          <w:szCs w:val="22"/>
        </w:rPr>
        <w:t xml:space="preserve">, </w:t>
      </w:r>
      <w:r w:rsidR="002F0EC0">
        <w:rPr>
          <w:color w:val="000000" w:themeColor="text1"/>
          <w:sz w:val="22"/>
          <w:szCs w:val="22"/>
        </w:rPr>
        <w:t>South Australia</w:t>
      </w:r>
      <w:r w:rsidRPr="00CC1ADD">
        <w:rPr>
          <w:color w:val="000000" w:themeColor="text1"/>
          <w:sz w:val="22"/>
          <w:szCs w:val="22"/>
        </w:rPr>
        <w:t>, Australia and New Zealand)</w:t>
      </w:r>
      <w:r w:rsidR="006057F0">
        <w:rPr>
          <w:color w:val="000000" w:themeColor="text1"/>
          <w:sz w:val="22"/>
          <w:szCs w:val="22"/>
        </w:rPr>
        <w:t>;</w:t>
      </w:r>
      <w:r w:rsidRPr="00CC1ADD">
        <w:rPr>
          <w:color w:val="000000" w:themeColor="text1"/>
          <w:sz w:val="22"/>
          <w:szCs w:val="22"/>
        </w:rPr>
        <w:t xml:space="preserve"> three members from industry</w:t>
      </w:r>
      <w:r w:rsidR="006057F0">
        <w:rPr>
          <w:color w:val="000000" w:themeColor="text1"/>
          <w:sz w:val="22"/>
          <w:szCs w:val="22"/>
        </w:rPr>
        <w:t>;</w:t>
      </w:r>
      <w:r w:rsidRPr="00CC1ADD">
        <w:rPr>
          <w:color w:val="000000" w:themeColor="text1"/>
          <w:sz w:val="22"/>
          <w:szCs w:val="22"/>
        </w:rPr>
        <w:t xml:space="preserve"> and </w:t>
      </w:r>
      <w:r w:rsidR="006057F0" w:rsidRPr="00CC1ADD">
        <w:rPr>
          <w:color w:val="000000" w:themeColor="text1"/>
          <w:sz w:val="22"/>
          <w:szCs w:val="22"/>
        </w:rPr>
        <w:t xml:space="preserve">three members from </w:t>
      </w:r>
      <w:r w:rsidRPr="00CC1ADD">
        <w:rPr>
          <w:color w:val="000000" w:themeColor="text1"/>
          <w:sz w:val="22"/>
          <w:szCs w:val="22"/>
        </w:rPr>
        <w:t>community (consumer and public health). Tenure for members is five years –</w:t>
      </w:r>
      <w:r w:rsidR="00591AAD">
        <w:rPr>
          <w:color w:val="000000" w:themeColor="text1"/>
          <w:sz w:val="22"/>
          <w:szCs w:val="22"/>
        </w:rPr>
        <w:t xml:space="preserve"> </w:t>
      </w:r>
      <w:r w:rsidRPr="00CC1ADD">
        <w:rPr>
          <w:color w:val="000000" w:themeColor="text1"/>
          <w:sz w:val="22"/>
          <w:szCs w:val="22"/>
        </w:rPr>
        <w:t>the duration of the voluntary implementation period of the HSR System (from June 2014). The HSRAC makes decisions on a consensus basis and</w:t>
      </w:r>
      <w:r w:rsidR="00750858">
        <w:rPr>
          <w:color w:val="000000" w:themeColor="text1"/>
          <w:sz w:val="22"/>
          <w:szCs w:val="22"/>
        </w:rPr>
        <w:t>,</w:t>
      </w:r>
      <w:r w:rsidRPr="00CC1ADD">
        <w:rPr>
          <w:color w:val="000000" w:themeColor="text1"/>
          <w:sz w:val="22"/>
          <w:szCs w:val="22"/>
        </w:rPr>
        <w:t xml:space="preserve"> where consensus cannot be reached</w:t>
      </w:r>
      <w:r w:rsidR="00750858">
        <w:rPr>
          <w:color w:val="000000" w:themeColor="text1"/>
          <w:sz w:val="22"/>
          <w:szCs w:val="22"/>
        </w:rPr>
        <w:t>,</w:t>
      </w:r>
      <w:r w:rsidRPr="00CC1ADD">
        <w:rPr>
          <w:color w:val="000000" w:themeColor="text1"/>
          <w:sz w:val="22"/>
          <w:szCs w:val="22"/>
        </w:rPr>
        <w:t xml:space="preserve"> refer</w:t>
      </w:r>
      <w:r w:rsidR="00750858">
        <w:rPr>
          <w:color w:val="000000" w:themeColor="text1"/>
          <w:sz w:val="22"/>
          <w:szCs w:val="22"/>
        </w:rPr>
        <w:t>s</w:t>
      </w:r>
      <w:r w:rsidRPr="00CC1ADD">
        <w:rPr>
          <w:color w:val="000000" w:themeColor="text1"/>
          <w:sz w:val="22"/>
          <w:szCs w:val="22"/>
        </w:rPr>
        <w:t xml:space="preserve"> decisions to the Forum.</w:t>
      </w:r>
    </w:p>
    <w:p w14:paraId="57ADB154" w14:textId="77777777" w:rsidR="00F43B13" w:rsidRPr="00CC1ADD" w:rsidRDefault="00F43B13">
      <w:pPr>
        <w:pStyle w:val="NormalWeb"/>
        <w:spacing w:before="0" w:beforeAutospacing="0" w:after="0" w:afterAutospacing="0"/>
        <w:rPr>
          <w:rFonts w:asciiTheme="minorHAnsi" w:eastAsia="Times New Roman" w:hAnsiTheme="minorHAnsi"/>
          <w:color w:val="000000" w:themeColor="text1"/>
          <w:sz w:val="22"/>
          <w:szCs w:val="22"/>
          <w:shd w:val="clear" w:color="auto" w:fill="FFFFFF"/>
          <w:lang w:val="en-AU"/>
        </w:rPr>
      </w:pPr>
    </w:p>
    <w:p w14:paraId="05E64D27" w14:textId="77777777" w:rsidR="008C60AC" w:rsidRPr="00CC1ADD" w:rsidRDefault="008C60AC" w:rsidP="008C60AC">
      <w:pPr>
        <w:pStyle w:val="mpcheading4"/>
        <w:keepNext w:val="0"/>
        <w:rPr>
          <w:lang w:eastAsia="en-GB"/>
        </w:rPr>
      </w:pPr>
      <w:r w:rsidRPr="00CC1ADD">
        <w:rPr>
          <w:lang w:eastAsia="en-GB"/>
        </w:rPr>
        <w:t>New Zealand Health Star Rating Advisory Group</w:t>
      </w:r>
    </w:p>
    <w:p w14:paraId="6F2A7F19" w14:textId="77777777" w:rsidR="008C60AC" w:rsidRPr="00CC1ADD" w:rsidRDefault="008C60AC" w:rsidP="008C60AC">
      <w:pPr>
        <w:pStyle w:val="mpcheading4"/>
        <w:keepNext w:val="0"/>
        <w:rPr>
          <w:lang w:eastAsia="en-GB"/>
        </w:rPr>
      </w:pPr>
    </w:p>
    <w:p w14:paraId="4C5AC92F" w14:textId="77777777" w:rsidR="008C60AC" w:rsidRPr="00CC1ADD" w:rsidRDefault="008C60AC" w:rsidP="008C60AC">
      <w:pPr>
        <w:pStyle w:val="NormalWeb"/>
        <w:spacing w:before="0" w:beforeAutospacing="0" w:after="0" w:afterAutospacing="0"/>
        <w:rPr>
          <w:rFonts w:asciiTheme="minorHAnsi" w:hAnsiTheme="minorHAnsi" w:cs="TimesNewRomanPSMT"/>
          <w:sz w:val="22"/>
          <w:szCs w:val="22"/>
          <w:lang w:val="en-AU"/>
        </w:rPr>
      </w:pPr>
      <w:r w:rsidRPr="00CC1ADD">
        <w:rPr>
          <w:rFonts w:asciiTheme="minorHAnsi" w:hAnsiTheme="minorHAnsi" w:cs="TimesNewRomanPSMT"/>
          <w:color w:val="000000" w:themeColor="text1"/>
          <w:sz w:val="22"/>
          <w:szCs w:val="22"/>
          <w:lang w:val="en-AU"/>
        </w:rPr>
        <w:t xml:space="preserve">The </w:t>
      </w:r>
      <w:r w:rsidRPr="00CC1ADD">
        <w:rPr>
          <w:rFonts w:asciiTheme="minorHAnsi" w:hAnsiTheme="minorHAnsi" w:cs="TimesNewRomanPSMT"/>
          <w:bCs/>
          <w:color w:val="000000" w:themeColor="text1"/>
          <w:sz w:val="22"/>
          <w:szCs w:val="22"/>
          <w:lang w:val="en-AU"/>
        </w:rPr>
        <w:t>New Zealand Health Star Rating Advisory Group</w:t>
      </w:r>
      <w:r w:rsidRPr="00CC1ADD">
        <w:rPr>
          <w:rFonts w:asciiTheme="minorHAnsi" w:hAnsiTheme="minorHAnsi" w:cs="TimesNewRomanPSMT"/>
          <w:color w:val="000000" w:themeColor="text1"/>
          <w:sz w:val="22"/>
          <w:szCs w:val="22"/>
          <w:lang w:val="en-AU"/>
        </w:rPr>
        <w:t xml:space="preserve"> (NZHSRAG) considers implementation of the HSR System in New Zealand. The NZHSRAG is chaired by the Ministry for Primary Industries (MPI) and includes representatives from the food industry, academia, public health and consumer groups in New Zealand</w:t>
      </w:r>
      <w:r w:rsidRPr="00CC1ADD">
        <w:rPr>
          <w:rFonts w:asciiTheme="minorHAnsi" w:hAnsiTheme="minorHAnsi" w:cs="TimesNewRomanPSMT"/>
          <w:sz w:val="22"/>
          <w:szCs w:val="22"/>
          <w:lang w:val="en-AU"/>
        </w:rPr>
        <w:t xml:space="preserve">. </w:t>
      </w:r>
    </w:p>
    <w:p w14:paraId="51E4E784" w14:textId="77777777" w:rsidR="008C60AC" w:rsidRPr="00CC1ADD" w:rsidRDefault="008C60AC" w:rsidP="008C60AC">
      <w:pPr>
        <w:pStyle w:val="NormalWeb"/>
        <w:spacing w:before="0" w:beforeAutospacing="0" w:after="0" w:afterAutospacing="0"/>
        <w:rPr>
          <w:rFonts w:asciiTheme="minorHAnsi" w:hAnsiTheme="minorHAnsi" w:cs="TimesNewRomanPSMT"/>
          <w:sz w:val="22"/>
          <w:szCs w:val="22"/>
          <w:lang w:val="en-AU"/>
        </w:rPr>
      </w:pPr>
    </w:p>
    <w:p w14:paraId="55928BD1" w14:textId="77777777" w:rsidR="008C60AC" w:rsidRPr="00CC1ADD" w:rsidRDefault="008C60AC" w:rsidP="008C60AC">
      <w:pPr>
        <w:pStyle w:val="mpcheading4"/>
        <w:keepNext w:val="0"/>
        <w:rPr>
          <w:lang w:eastAsia="en-GB"/>
        </w:rPr>
      </w:pPr>
      <w:r w:rsidRPr="00CC1ADD">
        <w:rPr>
          <w:lang w:eastAsia="en-GB"/>
        </w:rPr>
        <w:t>Social Marketing Advisory Group</w:t>
      </w:r>
    </w:p>
    <w:p w14:paraId="720ABB19" w14:textId="77777777" w:rsidR="008C60AC" w:rsidRPr="00CC1ADD" w:rsidRDefault="008C60AC" w:rsidP="008C60AC">
      <w:pPr>
        <w:pStyle w:val="mpcheading4"/>
        <w:keepNext w:val="0"/>
        <w:rPr>
          <w:lang w:eastAsia="en-GB"/>
        </w:rPr>
      </w:pPr>
    </w:p>
    <w:p w14:paraId="20B896AF" w14:textId="77777777" w:rsidR="008C60AC" w:rsidRPr="00CC1ADD" w:rsidRDefault="008C60AC" w:rsidP="008C60AC">
      <w:pPr>
        <w:rPr>
          <w:color w:val="000000" w:themeColor="text1"/>
          <w:sz w:val="22"/>
          <w:szCs w:val="22"/>
        </w:rPr>
      </w:pPr>
      <w:r w:rsidRPr="00CC1ADD">
        <w:rPr>
          <w:color w:val="000000" w:themeColor="text1"/>
          <w:sz w:val="22"/>
          <w:szCs w:val="22"/>
        </w:rPr>
        <w:t xml:space="preserve">The Social Marketing Advisory Group (SMAG) provides advice on communications on the HSR System in Australia, including campaigns and social marketing. The SMAG comprises members with expertise in communications and social marketing from relevant industry and consumer/public health groups, as well as jurisdictions and is chaired by a representative of the </w:t>
      </w:r>
      <w:r>
        <w:rPr>
          <w:color w:val="000000" w:themeColor="text1"/>
          <w:sz w:val="22"/>
          <w:szCs w:val="22"/>
        </w:rPr>
        <w:t>Commonwealth</w:t>
      </w:r>
      <w:r w:rsidRPr="00CC1ADD">
        <w:rPr>
          <w:color w:val="000000" w:themeColor="text1"/>
          <w:sz w:val="22"/>
          <w:szCs w:val="22"/>
        </w:rPr>
        <w:t xml:space="preserve"> Department of Health.</w:t>
      </w:r>
    </w:p>
    <w:p w14:paraId="2453FDA2" w14:textId="77777777" w:rsidR="008C60AC" w:rsidRDefault="008C60AC" w:rsidP="006B0997">
      <w:pPr>
        <w:pStyle w:val="mpcheading4"/>
        <w:keepNext w:val="0"/>
        <w:rPr>
          <w:lang w:eastAsia="en-GB"/>
        </w:rPr>
      </w:pPr>
    </w:p>
    <w:p w14:paraId="3D78BEB4" w14:textId="647980ED" w:rsidR="00F43B13" w:rsidRPr="006B0997" w:rsidRDefault="00F43B13" w:rsidP="006B0997">
      <w:pPr>
        <w:pStyle w:val="mpcheading4"/>
        <w:keepNext w:val="0"/>
        <w:rPr>
          <w:lang w:eastAsia="en-GB"/>
        </w:rPr>
      </w:pPr>
      <w:r w:rsidRPr="006B0997">
        <w:rPr>
          <w:lang w:eastAsia="en-GB"/>
        </w:rPr>
        <w:t>Technical Advisory Group</w:t>
      </w:r>
    </w:p>
    <w:p w14:paraId="5C38DB67" w14:textId="5FE85904" w:rsidR="00F43B13" w:rsidRPr="006B0997" w:rsidRDefault="00F43B13" w:rsidP="006B0997">
      <w:pPr>
        <w:pStyle w:val="mpcheading4"/>
        <w:keepNext w:val="0"/>
        <w:rPr>
          <w:rFonts w:cstheme="minorHAnsi"/>
          <w:lang w:eastAsia="en-GB"/>
        </w:rPr>
      </w:pPr>
    </w:p>
    <w:p w14:paraId="0C45DA5C" w14:textId="3F3DB981" w:rsidR="00F43B13" w:rsidRPr="006B0997" w:rsidRDefault="006B0997" w:rsidP="006B0997">
      <w:pPr>
        <w:rPr>
          <w:rFonts w:eastAsia="Times New Roman" w:cstheme="minorHAnsi"/>
          <w:color w:val="000000" w:themeColor="text1"/>
          <w:sz w:val="22"/>
          <w:szCs w:val="22"/>
        </w:rPr>
      </w:pPr>
      <w:r w:rsidRPr="006B0997">
        <w:rPr>
          <w:rFonts w:eastAsia="Times New Roman" w:cstheme="minorHAnsi"/>
          <w:color w:val="000000" w:themeColor="text1"/>
          <w:sz w:val="22"/>
          <w:szCs w:val="22"/>
          <w:shd w:val="clear" w:color="auto" w:fill="FFFFFF"/>
        </w:rPr>
        <w:t xml:space="preserve">The TAG’s role </w:t>
      </w:r>
      <w:r w:rsidR="00A26FC9">
        <w:rPr>
          <w:rFonts w:eastAsia="Times New Roman" w:cstheme="minorHAnsi"/>
          <w:color w:val="000000" w:themeColor="text1"/>
          <w:sz w:val="22"/>
          <w:szCs w:val="22"/>
          <w:shd w:val="clear" w:color="auto" w:fill="FFFFFF"/>
        </w:rPr>
        <w:t>wa</w:t>
      </w:r>
      <w:r w:rsidRPr="006B0997">
        <w:rPr>
          <w:rFonts w:eastAsia="Times New Roman" w:cstheme="minorHAnsi"/>
          <w:color w:val="000000" w:themeColor="text1"/>
          <w:sz w:val="22"/>
          <w:szCs w:val="22"/>
          <w:shd w:val="clear" w:color="auto" w:fill="FFFFFF"/>
        </w:rPr>
        <w:t>s to analyse and review the performance of the HSR Calculator and respond to technical issues and related matters referred to it by the HSRAC. Advice provided by the TAG has supported the Review</w:t>
      </w:r>
      <w:r w:rsidR="008C60AC">
        <w:rPr>
          <w:rFonts w:eastAsia="Times New Roman" w:cstheme="minorHAnsi"/>
          <w:color w:val="000000" w:themeColor="text1"/>
          <w:sz w:val="22"/>
          <w:szCs w:val="22"/>
          <w:shd w:val="clear" w:color="auto" w:fill="FFFFFF"/>
        </w:rPr>
        <w:t xml:space="preserve"> and the TAG has now been disbanded</w:t>
      </w:r>
      <w:r w:rsidRPr="006B0997">
        <w:rPr>
          <w:rFonts w:eastAsia="Times New Roman" w:cstheme="minorHAnsi"/>
          <w:color w:val="000000" w:themeColor="text1"/>
          <w:sz w:val="22"/>
          <w:szCs w:val="22"/>
          <w:shd w:val="clear" w:color="auto" w:fill="FFFFFF"/>
        </w:rPr>
        <w:t xml:space="preserve">. </w:t>
      </w:r>
      <w:r w:rsidR="00F43B13" w:rsidRPr="006B0997">
        <w:rPr>
          <w:rFonts w:cs="TimesNewRomanPSMT"/>
          <w:color w:val="000000" w:themeColor="text1"/>
          <w:sz w:val="22"/>
          <w:szCs w:val="22"/>
        </w:rPr>
        <w:t>Specifically, the TAG:</w:t>
      </w:r>
    </w:p>
    <w:p w14:paraId="6ED6AA06" w14:textId="77777777" w:rsidR="00F43B13" w:rsidRPr="006B0997" w:rsidRDefault="00F43B13">
      <w:pPr>
        <w:pStyle w:val="NormalWeb"/>
        <w:spacing w:before="0" w:beforeAutospacing="0" w:after="0" w:afterAutospacing="0"/>
        <w:rPr>
          <w:rFonts w:asciiTheme="minorHAnsi" w:hAnsiTheme="minorHAnsi"/>
          <w:color w:val="000000" w:themeColor="text1"/>
          <w:sz w:val="22"/>
          <w:szCs w:val="22"/>
          <w:lang w:val="en-AU"/>
        </w:rPr>
      </w:pPr>
    </w:p>
    <w:p w14:paraId="3C45A7A2" w14:textId="578FA60B" w:rsidR="00F43B13" w:rsidRPr="006B0997" w:rsidRDefault="00F43B13">
      <w:pPr>
        <w:pStyle w:val="NormalWeb"/>
        <w:numPr>
          <w:ilvl w:val="0"/>
          <w:numId w:val="3"/>
        </w:numPr>
        <w:spacing w:before="0" w:beforeAutospacing="0" w:after="0" w:afterAutospacing="0"/>
        <w:rPr>
          <w:rFonts w:asciiTheme="minorHAnsi" w:hAnsiTheme="minorHAnsi" w:cs="TimesNewRomanPSMT"/>
          <w:color w:val="000000" w:themeColor="text1"/>
          <w:sz w:val="22"/>
          <w:szCs w:val="22"/>
          <w:lang w:val="en-AU"/>
        </w:rPr>
      </w:pPr>
      <w:r w:rsidRPr="006B0997">
        <w:rPr>
          <w:rFonts w:asciiTheme="minorHAnsi" w:hAnsiTheme="minorHAnsi" w:cs="TimesNewRomanPSMT"/>
          <w:color w:val="000000" w:themeColor="text1"/>
          <w:sz w:val="22"/>
          <w:szCs w:val="22"/>
          <w:lang w:val="en-AU"/>
        </w:rPr>
        <w:t>analyse</w:t>
      </w:r>
      <w:r w:rsidR="008C60AC">
        <w:rPr>
          <w:rFonts w:asciiTheme="minorHAnsi" w:hAnsiTheme="minorHAnsi" w:cs="TimesNewRomanPSMT"/>
          <w:color w:val="000000" w:themeColor="text1"/>
          <w:sz w:val="22"/>
          <w:szCs w:val="22"/>
          <w:lang w:val="en-AU"/>
        </w:rPr>
        <w:t>d</w:t>
      </w:r>
      <w:r w:rsidRPr="006B0997">
        <w:rPr>
          <w:rFonts w:asciiTheme="minorHAnsi" w:hAnsiTheme="minorHAnsi" w:cs="TimesNewRomanPSMT"/>
          <w:color w:val="000000" w:themeColor="text1"/>
          <w:sz w:val="22"/>
          <w:szCs w:val="22"/>
          <w:lang w:val="en-AU"/>
        </w:rPr>
        <w:t xml:space="preserve"> the HSRs produced by the HSR Calculator and consider</w:t>
      </w:r>
      <w:r w:rsidR="008C60AC">
        <w:rPr>
          <w:rFonts w:asciiTheme="minorHAnsi" w:hAnsiTheme="minorHAnsi" w:cs="TimesNewRomanPSMT"/>
          <w:color w:val="000000" w:themeColor="text1"/>
          <w:sz w:val="22"/>
          <w:szCs w:val="22"/>
          <w:lang w:val="en-AU"/>
        </w:rPr>
        <w:t>ed</w:t>
      </w:r>
      <w:r w:rsidRPr="006B0997">
        <w:rPr>
          <w:rFonts w:asciiTheme="minorHAnsi" w:hAnsiTheme="minorHAnsi" w:cs="TimesNewRomanPSMT"/>
          <w:color w:val="000000" w:themeColor="text1"/>
          <w:sz w:val="22"/>
          <w:szCs w:val="22"/>
          <w:lang w:val="en-AU"/>
        </w:rPr>
        <w:t xml:space="preserve"> whether the</w:t>
      </w:r>
      <w:r w:rsidR="00591AAD" w:rsidRPr="006B0997">
        <w:rPr>
          <w:rFonts w:asciiTheme="minorHAnsi" w:hAnsiTheme="minorHAnsi" w:cs="TimesNewRomanPSMT"/>
          <w:color w:val="000000" w:themeColor="text1"/>
          <w:sz w:val="22"/>
          <w:szCs w:val="22"/>
          <w:lang w:val="en-AU"/>
        </w:rPr>
        <w:t xml:space="preserve">y </w:t>
      </w:r>
      <w:r w:rsidRPr="006B0997">
        <w:rPr>
          <w:rFonts w:asciiTheme="minorHAnsi" w:hAnsiTheme="minorHAnsi" w:cs="TimesNewRomanPSMT"/>
          <w:color w:val="000000" w:themeColor="text1"/>
          <w:sz w:val="22"/>
          <w:szCs w:val="22"/>
          <w:lang w:val="en-AU"/>
        </w:rPr>
        <w:t xml:space="preserve">align with Dietary Guidelines </w:t>
      </w:r>
    </w:p>
    <w:p w14:paraId="573CCAA4" w14:textId="5A1F21E1" w:rsidR="00F43B13" w:rsidRPr="006B0997" w:rsidRDefault="00F43B13">
      <w:pPr>
        <w:pStyle w:val="NormalWeb"/>
        <w:numPr>
          <w:ilvl w:val="0"/>
          <w:numId w:val="3"/>
        </w:numPr>
        <w:spacing w:before="0" w:beforeAutospacing="0" w:after="0" w:afterAutospacing="0"/>
        <w:rPr>
          <w:rFonts w:asciiTheme="minorHAnsi" w:hAnsiTheme="minorHAnsi" w:cs="TimesNewRomanPSMT"/>
          <w:color w:val="000000" w:themeColor="text1"/>
          <w:sz w:val="22"/>
          <w:szCs w:val="22"/>
          <w:lang w:val="en-AU"/>
        </w:rPr>
      </w:pPr>
      <w:r w:rsidRPr="006B0997">
        <w:rPr>
          <w:rFonts w:asciiTheme="minorHAnsi" w:hAnsiTheme="minorHAnsi" w:cs="TimesNewRomanPSMT"/>
          <w:color w:val="000000" w:themeColor="text1"/>
          <w:sz w:val="22"/>
          <w:szCs w:val="22"/>
          <w:lang w:val="en-AU"/>
        </w:rPr>
        <w:t>respond</w:t>
      </w:r>
      <w:r w:rsidR="008C60AC">
        <w:rPr>
          <w:rFonts w:asciiTheme="minorHAnsi" w:hAnsiTheme="minorHAnsi" w:cs="TimesNewRomanPSMT"/>
          <w:color w:val="000000" w:themeColor="text1"/>
          <w:sz w:val="22"/>
          <w:szCs w:val="22"/>
          <w:lang w:val="en-AU"/>
        </w:rPr>
        <w:t>ed</w:t>
      </w:r>
      <w:r w:rsidRPr="006B0997">
        <w:rPr>
          <w:rFonts w:asciiTheme="minorHAnsi" w:hAnsiTheme="minorHAnsi" w:cs="TimesNewRomanPSMT"/>
          <w:color w:val="000000" w:themeColor="text1"/>
          <w:sz w:val="22"/>
          <w:szCs w:val="22"/>
          <w:lang w:val="en-AU"/>
        </w:rPr>
        <w:t xml:space="preserve"> to technical issues referred by the HSRAC, including anomaly submissions and issues raised by stakeholders </w:t>
      </w:r>
    </w:p>
    <w:p w14:paraId="1D275D61" w14:textId="30D3682D" w:rsidR="00F43B13" w:rsidRPr="006B0997" w:rsidRDefault="00F43B13">
      <w:pPr>
        <w:pStyle w:val="NormalWeb"/>
        <w:numPr>
          <w:ilvl w:val="0"/>
          <w:numId w:val="3"/>
        </w:numPr>
        <w:spacing w:before="0" w:beforeAutospacing="0" w:after="0" w:afterAutospacing="0"/>
        <w:rPr>
          <w:rFonts w:asciiTheme="minorHAnsi" w:hAnsiTheme="minorHAnsi" w:cs="TimesNewRomanPSMT"/>
          <w:color w:val="000000" w:themeColor="text1"/>
          <w:sz w:val="22"/>
          <w:szCs w:val="22"/>
          <w:lang w:val="en-AU"/>
        </w:rPr>
      </w:pPr>
      <w:r w:rsidRPr="006B0997">
        <w:rPr>
          <w:rFonts w:asciiTheme="minorHAnsi" w:hAnsiTheme="minorHAnsi" w:cs="TimesNewRomanPSMT"/>
          <w:color w:val="000000" w:themeColor="text1"/>
          <w:sz w:val="22"/>
          <w:szCs w:val="22"/>
          <w:lang w:val="en-AU"/>
        </w:rPr>
        <w:t>analyse</w:t>
      </w:r>
      <w:r w:rsidR="008C60AC">
        <w:rPr>
          <w:rFonts w:asciiTheme="minorHAnsi" w:hAnsiTheme="minorHAnsi" w:cs="TimesNewRomanPSMT"/>
          <w:color w:val="000000" w:themeColor="text1"/>
          <w:sz w:val="22"/>
          <w:szCs w:val="22"/>
          <w:lang w:val="en-AU"/>
        </w:rPr>
        <w:t>d</w:t>
      </w:r>
      <w:r w:rsidRPr="006B0997">
        <w:rPr>
          <w:rFonts w:asciiTheme="minorHAnsi" w:hAnsiTheme="minorHAnsi" w:cs="TimesNewRomanPSMT"/>
          <w:color w:val="000000" w:themeColor="text1"/>
          <w:sz w:val="22"/>
          <w:szCs w:val="22"/>
          <w:lang w:val="en-AU"/>
        </w:rPr>
        <w:t xml:space="preserve"> the implications of proposed amendments to the HSR Calculator. </w:t>
      </w:r>
    </w:p>
    <w:p w14:paraId="0A361B39" w14:textId="77777777" w:rsidR="00F43B13" w:rsidRPr="006B0997" w:rsidRDefault="00F43B13">
      <w:pPr>
        <w:pStyle w:val="NormalWeb"/>
        <w:spacing w:before="0" w:beforeAutospacing="0" w:after="0" w:afterAutospacing="0"/>
        <w:rPr>
          <w:rFonts w:asciiTheme="minorHAnsi" w:hAnsiTheme="minorHAnsi" w:cs="TimesNewRomanPSMT"/>
          <w:color w:val="000000" w:themeColor="text1"/>
          <w:sz w:val="22"/>
          <w:szCs w:val="22"/>
          <w:lang w:val="en-AU"/>
        </w:rPr>
      </w:pPr>
    </w:p>
    <w:p w14:paraId="58BF0A09" w14:textId="24A1E532" w:rsidR="00F43B13" w:rsidRPr="00CC1ADD" w:rsidRDefault="00F43B13" w:rsidP="004B53A8">
      <w:pPr>
        <w:pStyle w:val="mpcNormal"/>
      </w:pPr>
      <w:r w:rsidRPr="006B0997">
        <w:t>The TAG consist</w:t>
      </w:r>
      <w:r w:rsidR="008C60AC">
        <w:t>ed</w:t>
      </w:r>
      <w:r w:rsidRPr="006B0997">
        <w:t xml:space="preserve"> of a tripartite (government, food industry, public health) group of experts with backgrounds in food science and food labelling, clinical nutrition, regulation to prevent diet-related disease, public health law and health policy analysis. It include</w:t>
      </w:r>
      <w:r w:rsidR="008C60AC">
        <w:t>d</w:t>
      </w:r>
      <w:r w:rsidRPr="006B0997">
        <w:t xml:space="preserve"> representation from FSANZ and </w:t>
      </w:r>
      <w:r w:rsidR="008C60AC">
        <w:t>was</w:t>
      </w:r>
      <w:r w:rsidRPr="006B0997">
        <w:t xml:space="preserve"> chaired by a representative of the </w:t>
      </w:r>
      <w:r w:rsidR="004B53A8">
        <w:t>Commonwealth</w:t>
      </w:r>
      <w:r w:rsidR="004B53A8" w:rsidRPr="00CC1ADD">
        <w:t xml:space="preserve"> </w:t>
      </w:r>
      <w:r w:rsidRPr="006B0997">
        <w:t>Department of Health.</w:t>
      </w:r>
    </w:p>
    <w:p w14:paraId="648669ED" w14:textId="77777777" w:rsidR="00F43B13" w:rsidRPr="00CC1ADD" w:rsidRDefault="00F43B13">
      <w:pPr>
        <w:rPr>
          <w:rFonts w:cstheme="minorHAnsi"/>
          <w:sz w:val="22"/>
          <w:szCs w:val="22"/>
        </w:rPr>
      </w:pPr>
    </w:p>
    <w:p w14:paraId="139AA4E2" w14:textId="1039A9A5" w:rsidR="00F43B13" w:rsidRPr="00CC1ADD" w:rsidRDefault="00591AAD">
      <w:pPr>
        <w:rPr>
          <w:rFonts w:cstheme="minorHAnsi"/>
          <w:sz w:val="22"/>
          <w:szCs w:val="22"/>
        </w:rPr>
      </w:pPr>
      <w:r>
        <w:rPr>
          <w:rFonts w:cstheme="minorHAnsi"/>
          <w:sz w:val="22"/>
          <w:szCs w:val="22"/>
        </w:rPr>
        <w:t>R</w:t>
      </w:r>
      <w:r w:rsidRPr="00CC1ADD">
        <w:rPr>
          <w:rFonts w:cstheme="minorHAnsi"/>
          <w:sz w:val="22"/>
          <w:szCs w:val="22"/>
        </w:rPr>
        <w:t>efer to Chapter 6</w:t>
      </w:r>
      <w:r>
        <w:rPr>
          <w:rFonts w:cstheme="minorHAnsi"/>
          <w:sz w:val="22"/>
          <w:szCs w:val="22"/>
        </w:rPr>
        <w:t xml:space="preserve"> f</w:t>
      </w:r>
      <w:r w:rsidR="00F43B13" w:rsidRPr="00CC1ADD">
        <w:rPr>
          <w:rFonts w:cstheme="minorHAnsi"/>
          <w:sz w:val="22"/>
          <w:szCs w:val="22"/>
        </w:rPr>
        <w:t>or more information on the governance arrangements.</w:t>
      </w:r>
    </w:p>
    <w:p w14:paraId="2EB42847" w14:textId="77777777" w:rsidR="00F43B13" w:rsidRPr="00CC1ADD" w:rsidRDefault="00F43B13">
      <w:pPr>
        <w:rPr>
          <w:rFonts w:cstheme="minorHAnsi"/>
          <w:sz w:val="22"/>
          <w:szCs w:val="22"/>
        </w:rPr>
      </w:pPr>
    </w:p>
    <w:p w14:paraId="5079EBC8" w14:textId="77777777" w:rsidR="00F43B13" w:rsidRPr="00CC1ADD" w:rsidRDefault="00F43B13">
      <w:pPr>
        <w:pStyle w:val="mpcheading3"/>
      </w:pPr>
      <w:r w:rsidRPr="00CC1ADD">
        <w:t>Funding of the HSR System</w:t>
      </w:r>
    </w:p>
    <w:p w14:paraId="70573623" w14:textId="77777777" w:rsidR="00F43B13" w:rsidRPr="00CC1ADD" w:rsidRDefault="00F43B13" w:rsidP="000A22C3">
      <w:pPr>
        <w:pStyle w:val="mpcNormal"/>
        <w:keepNext w:val="0"/>
      </w:pPr>
    </w:p>
    <w:p w14:paraId="5CC4DECA" w14:textId="77777777" w:rsidR="00F43B13" w:rsidRPr="00CC1ADD" w:rsidRDefault="00F43B13" w:rsidP="000A22C3">
      <w:pPr>
        <w:pStyle w:val="mpcNormal"/>
        <w:keepNext w:val="0"/>
      </w:pPr>
      <w:r w:rsidRPr="00CC1ADD">
        <w:t>The HSR System is co-funded by the Australian Government, each of the States and Territories and the New Zealand Government. Each jurisdiction contributes to funding for administrative and evaluation activities. Australian jurisdictions provide additional funding for monitoring and marketing in Australia and the New Zealand government funds monitoring and marketing in New Zealand.</w:t>
      </w:r>
    </w:p>
    <w:p w14:paraId="07A3D1D0" w14:textId="77777777" w:rsidR="00F43B13" w:rsidRPr="00CC1ADD" w:rsidRDefault="00F43B13" w:rsidP="000A22C3">
      <w:pPr>
        <w:pStyle w:val="mpcNormal"/>
        <w:keepNext w:val="0"/>
      </w:pPr>
    </w:p>
    <w:p w14:paraId="32B4D7A7" w14:textId="50505C58" w:rsidR="00F43B13" w:rsidRPr="00CC1ADD" w:rsidRDefault="00F43B13" w:rsidP="000A22C3">
      <w:pPr>
        <w:pStyle w:val="mpcNormal"/>
        <w:keepNext w:val="0"/>
      </w:pPr>
      <w:r w:rsidRPr="00CC1ADD">
        <w:t xml:space="preserve">Australian, State and Territory and New Zealand Food Ministers agreed that cost sharing arrangements would be determined by the AHMAC cost sharing formula. </w:t>
      </w:r>
    </w:p>
    <w:p w14:paraId="5EC1F942" w14:textId="77777777" w:rsidR="00F43B13" w:rsidRPr="00CC1ADD" w:rsidRDefault="00F43B13" w:rsidP="006B0997">
      <w:pPr>
        <w:pStyle w:val="mpcNormal"/>
        <w:keepNext w:val="0"/>
      </w:pPr>
    </w:p>
    <w:p w14:paraId="52843FC7" w14:textId="64DB67BA" w:rsidR="00F43B13" w:rsidRPr="00A25D38" w:rsidRDefault="00F43B13" w:rsidP="006B0997">
      <w:pPr>
        <w:pStyle w:val="mpcNormal"/>
        <w:keepNext w:val="0"/>
      </w:pPr>
      <w:r w:rsidRPr="00A25D38">
        <w:t>In November 2013, AHMAC agreed to initial financial contributions from Australian jurisdictions totalling $8,890,000 over three years from 2013 to 2016. In December 2015, AHMAC agreed to $11,426,500 over 2016</w:t>
      </w:r>
      <w:r w:rsidR="009E06FA" w:rsidRPr="00A25D38">
        <w:t>-17</w:t>
      </w:r>
      <w:r w:rsidRPr="00A25D38">
        <w:t xml:space="preserve"> to 20</w:t>
      </w:r>
      <w:r w:rsidR="009E06FA" w:rsidRPr="00A25D38">
        <w:t>18-</w:t>
      </w:r>
      <w:r w:rsidRPr="00A25D38">
        <w:t>19. More than 64% of this funding was apportioned to the social marketing campaign in Australia to promote uptake and use of the HSR System.</w:t>
      </w:r>
    </w:p>
    <w:p w14:paraId="368F973A" w14:textId="77777777" w:rsidR="00F43B13" w:rsidRPr="00A25D38" w:rsidRDefault="00F43B13" w:rsidP="006B0997">
      <w:pPr>
        <w:pStyle w:val="mpcNormal"/>
        <w:keepNext w:val="0"/>
      </w:pPr>
    </w:p>
    <w:p w14:paraId="6CD66C63" w14:textId="7909014E" w:rsidR="00C97B3A" w:rsidRPr="00C97B3A" w:rsidRDefault="00F43B13" w:rsidP="00C97B3A">
      <w:pPr>
        <w:pStyle w:val="mpcNormal"/>
        <w:keepNext w:val="0"/>
      </w:pPr>
      <w:r w:rsidRPr="00C97B3A">
        <w:t xml:space="preserve">New Zealand has contributed </w:t>
      </w:r>
      <w:r w:rsidR="00CB0A32" w:rsidRPr="00C97B3A">
        <w:t xml:space="preserve">approximately </w:t>
      </w:r>
      <w:r w:rsidR="006125C9" w:rsidRPr="00C97B3A">
        <w:t>NZD</w:t>
      </w:r>
      <w:r w:rsidRPr="00C97B3A">
        <w:t xml:space="preserve">$603,000 over the period 2016-17 to 2018-19 to the </w:t>
      </w:r>
      <w:r w:rsidR="00196244" w:rsidRPr="00C97B3A">
        <w:t xml:space="preserve">joint </w:t>
      </w:r>
      <w:r w:rsidR="006125C9" w:rsidRPr="00C97B3A">
        <w:t xml:space="preserve">governance and operation </w:t>
      </w:r>
      <w:r w:rsidRPr="00C97B3A">
        <w:t xml:space="preserve">of the HSR System. </w:t>
      </w:r>
      <w:r w:rsidR="00C97B3A" w:rsidRPr="00C97B3A">
        <w:t>The New Zealand Government also separately funded approximately NZD$2,315,000 for monitoring, evaluation, social marketing and education in New Zealand.</w:t>
      </w:r>
    </w:p>
    <w:p w14:paraId="234AB4C3" w14:textId="77777777" w:rsidR="00F43B13" w:rsidRPr="00C97B3A" w:rsidRDefault="00F43B13" w:rsidP="006B0997">
      <w:pPr>
        <w:pStyle w:val="mpcNormal"/>
        <w:keepNext w:val="0"/>
      </w:pPr>
    </w:p>
    <w:p w14:paraId="04056D2B" w14:textId="77777777" w:rsidR="00F43B13" w:rsidRPr="00CC1ADD" w:rsidRDefault="00F43B13" w:rsidP="000A22C3">
      <w:pPr>
        <w:pStyle w:val="mpcNormal"/>
        <w:keepNext w:val="0"/>
      </w:pPr>
      <w:r w:rsidRPr="00C97B3A">
        <w:t>There are no fees associated with using the HSR System or displaying the HSR graphic</w:t>
      </w:r>
      <w:r w:rsidRPr="00CC1ADD">
        <w:t>.</w:t>
      </w:r>
    </w:p>
    <w:p w14:paraId="5F39B34E" w14:textId="6D9C32F3" w:rsidR="00F43B13" w:rsidRPr="00CC1ADD" w:rsidRDefault="00F43B13" w:rsidP="000A22C3">
      <w:pPr>
        <w:pStyle w:val="mpcNormal"/>
        <w:keepNext w:val="0"/>
      </w:pPr>
      <w:r w:rsidRPr="00CC1ADD">
        <w:br/>
        <w:t>No fees are paid to members of the governance committees. Wages and expenses for HSR System</w:t>
      </w:r>
      <w:r w:rsidR="008B6118">
        <w:t>-</w:t>
      </w:r>
      <w:r w:rsidRPr="00CC1ADD">
        <w:t>related business are the responsibility of the members’ respective organisation</w:t>
      </w:r>
      <w:r w:rsidR="001439DA" w:rsidRPr="00CC1ADD">
        <w:t>, other than for the Chair of the HSRAC for whom some financial support is</w:t>
      </w:r>
      <w:r w:rsidRPr="00CC1ADD">
        <w:t xml:space="preserve"> </w:t>
      </w:r>
      <w:r w:rsidR="001439DA" w:rsidRPr="00CC1ADD">
        <w:t>provided from</w:t>
      </w:r>
      <w:r w:rsidRPr="00CC1ADD">
        <w:t xml:space="preserve"> the HSR System budget.</w:t>
      </w:r>
    </w:p>
    <w:p w14:paraId="43A0A960" w14:textId="77777777" w:rsidR="00F43B13" w:rsidRPr="00CC1ADD" w:rsidRDefault="00F43B13" w:rsidP="000A22C3">
      <w:pPr>
        <w:pStyle w:val="mpcNormal"/>
        <w:keepNext w:val="0"/>
      </w:pPr>
    </w:p>
    <w:p w14:paraId="058EB340" w14:textId="4DD54441" w:rsidR="00F43B13" w:rsidRPr="00CC1ADD" w:rsidRDefault="00591AAD" w:rsidP="000A22C3">
      <w:pPr>
        <w:pStyle w:val="mpcNormal"/>
        <w:keepNext w:val="0"/>
      </w:pPr>
      <w:r>
        <w:t>R</w:t>
      </w:r>
      <w:r w:rsidRPr="00CC1ADD">
        <w:t>efer to Chapter 6</w:t>
      </w:r>
      <w:r>
        <w:t xml:space="preserve"> f</w:t>
      </w:r>
      <w:r w:rsidR="00F43B13" w:rsidRPr="00CC1ADD">
        <w:t>or more information on the funding arrangements</w:t>
      </w:r>
      <w:r>
        <w:t>.</w:t>
      </w:r>
    </w:p>
    <w:p w14:paraId="4E7F5CE4" w14:textId="77777777" w:rsidR="00F43B13" w:rsidRPr="00CC1ADD" w:rsidRDefault="00F43B13">
      <w:pPr>
        <w:rPr>
          <w:rFonts w:cstheme="minorHAnsi"/>
          <w:sz w:val="22"/>
          <w:szCs w:val="22"/>
        </w:rPr>
      </w:pPr>
    </w:p>
    <w:p w14:paraId="071B6AFA" w14:textId="77777777" w:rsidR="00F43B13" w:rsidRPr="00CC1ADD" w:rsidRDefault="00F43B13" w:rsidP="000A22C3">
      <w:pPr>
        <w:pStyle w:val="mpcheading3"/>
      </w:pPr>
      <w:r w:rsidRPr="00CC1ADD">
        <w:t>Support to use the HSR System</w:t>
      </w:r>
    </w:p>
    <w:p w14:paraId="41E3AB9F" w14:textId="77777777" w:rsidR="00F43B13" w:rsidRPr="00CC1ADD" w:rsidRDefault="00F43B13" w:rsidP="000A22C3">
      <w:pPr>
        <w:pStyle w:val="mpcNormal"/>
        <w:keepNext w:val="0"/>
      </w:pPr>
    </w:p>
    <w:p w14:paraId="563BD272" w14:textId="77777777" w:rsidR="00F43B13" w:rsidRPr="00CC1ADD" w:rsidRDefault="00F43B13" w:rsidP="0013165D">
      <w:pPr>
        <w:pStyle w:val="mpcheading4"/>
        <w:keepNext w:val="0"/>
      </w:pPr>
      <w:r w:rsidRPr="00CC1ADD">
        <w:t>Guidance tools</w:t>
      </w:r>
    </w:p>
    <w:p w14:paraId="50053787" w14:textId="77777777" w:rsidR="00F43B13" w:rsidRPr="00CC1ADD" w:rsidRDefault="00F43B13" w:rsidP="0013165D">
      <w:pPr>
        <w:pStyle w:val="mpcNormal"/>
        <w:keepNext w:val="0"/>
      </w:pPr>
    </w:p>
    <w:p w14:paraId="73302742" w14:textId="77777777" w:rsidR="00F43B13" w:rsidRPr="00CC1ADD" w:rsidRDefault="00F43B13" w:rsidP="0013165D">
      <w:pPr>
        <w:pStyle w:val="mpcNormal"/>
        <w:keepNext w:val="0"/>
      </w:pPr>
      <w:r w:rsidRPr="00CC1ADD">
        <w:t>Guidance tools were developed to help food manufacturers apply the HSR System to their products. These are available on the HSR System website and include:</w:t>
      </w:r>
    </w:p>
    <w:p w14:paraId="195EFA6D" w14:textId="77777777" w:rsidR="00F43B13" w:rsidRPr="00CC1ADD" w:rsidRDefault="00F43B13" w:rsidP="0013165D">
      <w:pPr>
        <w:pStyle w:val="mpcNormal"/>
        <w:keepNext w:val="0"/>
      </w:pPr>
    </w:p>
    <w:p w14:paraId="6BB9ED5B" w14:textId="53E29AB9" w:rsidR="00F43B13" w:rsidRPr="0047070C" w:rsidRDefault="00F43B13" w:rsidP="0013165D">
      <w:pPr>
        <w:pStyle w:val="mpcNormal"/>
        <w:keepNext w:val="0"/>
        <w:numPr>
          <w:ilvl w:val="0"/>
          <w:numId w:val="4"/>
        </w:numPr>
      </w:pPr>
      <w:r w:rsidRPr="0047070C">
        <w:t xml:space="preserve">the </w:t>
      </w:r>
      <w:hyperlink r:id="rId25" w:history="1">
        <w:r w:rsidRPr="0047070C">
          <w:rPr>
            <w:rStyle w:val="Hyperlink"/>
          </w:rPr>
          <w:t>Guide for Industry to the HSR Calculator</w:t>
        </w:r>
      </w:hyperlink>
      <w:r w:rsidRPr="0047070C">
        <w:t>, a technical guide for industry providing detailed information about how the HSR is calculated, including sample calculations</w:t>
      </w:r>
    </w:p>
    <w:p w14:paraId="56D39A05" w14:textId="660C8B91" w:rsidR="00F43B13" w:rsidRPr="0047070C" w:rsidRDefault="00F43B13" w:rsidP="0013165D">
      <w:pPr>
        <w:pStyle w:val="mpcNormal"/>
        <w:keepNext w:val="0"/>
        <w:numPr>
          <w:ilvl w:val="0"/>
          <w:numId w:val="4"/>
        </w:numPr>
      </w:pPr>
      <w:r w:rsidRPr="0047070C">
        <w:t xml:space="preserve">the </w:t>
      </w:r>
      <w:hyperlink r:id="rId26" w:history="1">
        <w:r w:rsidRPr="0047070C">
          <w:rPr>
            <w:rStyle w:val="Hyperlink"/>
          </w:rPr>
          <w:t>Online Calculator and Excel spreadsheet</w:t>
        </w:r>
      </w:hyperlink>
      <w:r w:rsidRPr="0047070C">
        <w:t xml:space="preserve">, which </w:t>
      </w:r>
      <w:r w:rsidR="002F0EC0">
        <w:t>enables</w:t>
      </w:r>
      <w:r w:rsidRPr="0047070C">
        <w:t xml:space="preserve"> industry to enter the nutritional information for a product to calculate the HSR</w:t>
      </w:r>
    </w:p>
    <w:p w14:paraId="0EC88344" w14:textId="36EE66CA" w:rsidR="00F43B13" w:rsidRPr="00CC1ADD" w:rsidRDefault="00F43B13" w:rsidP="0013165D">
      <w:pPr>
        <w:pStyle w:val="mpcNormal"/>
        <w:keepNext w:val="0"/>
        <w:numPr>
          <w:ilvl w:val="0"/>
          <w:numId w:val="4"/>
        </w:numPr>
        <w:rPr>
          <w:color w:val="000000" w:themeColor="text1"/>
        </w:rPr>
      </w:pPr>
      <w:r w:rsidRPr="0047070C">
        <w:t xml:space="preserve">the </w:t>
      </w:r>
      <w:hyperlink r:id="rId27" w:history="1">
        <w:r w:rsidRPr="0047070C">
          <w:rPr>
            <w:rStyle w:val="Hyperlink"/>
          </w:rPr>
          <w:t>HSR System Style Guide</w:t>
        </w:r>
      </w:hyperlink>
      <w:r w:rsidRPr="0047070C">
        <w:t>, which</w:t>
      </w:r>
      <w:r w:rsidRPr="00CC1ADD">
        <w:t xml:space="preserve"> includes information on how to apply the graphic to product packaging</w:t>
      </w:r>
    </w:p>
    <w:p w14:paraId="3D608C30" w14:textId="77777777" w:rsidR="00F43B13" w:rsidRPr="00CC1ADD" w:rsidRDefault="00F43B13" w:rsidP="0013165D">
      <w:pPr>
        <w:pStyle w:val="mpcNormal"/>
        <w:keepNext w:val="0"/>
        <w:numPr>
          <w:ilvl w:val="0"/>
          <w:numId w:val="4"/>
        </w:numPr>
      </w:pPr>
      <w:r w:rsidRPr="00CC1ADD">
        <w:t xml:space="preserve">an artwork file containing the HSR graphic to aid manufacturers when designing new packaging. </w:t>
      </w:r>
    </w:p>
    <w:p w14:paraId="3BEEE807" w14:textId="77777777" w:rsidR="00F43B13" w:rsidRPr="00CC1ADD" w:rsidRDefault="00F43B13" w:rsidP="005A3631">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57481F2C" w14:textId="77777777" w:rsidR="00F43B13" w:rsidRPr="00CC1ADD" w:rsidRDefault="00F43B13" w:rsidP="0013165D">
      <w:pPr>
        <w:pStyle w:val="mpcheading4"/>
        <w:keepNext w:val="0"/>
      </w:pPr>
      <w:r w:rsidRPr="00CC1ADD">
        <w:t>Anomalies and disputes</w:t>
      </w:r>
    </w:p>
    <w:p w14:paraId="04E0B188" w14:textId="77777777" w:rsidR="00F43B13" w:rsidRPr="00CC1ADD" w:rsidRDefault="00F43B13" w:rsidP="0013165D">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3B075A04" w14:textId="7AA12BCD" w:rsidR="00F43B13" w:rsidRPr="00CC1ADD" w:rsidRDefault="00591AAD" w:rsidP="0013165D">
      <w:pPr>
        <w:pStyle w:val="NormalWeb"/>
        <w:spacing w:before="0" w:beforeAutospacing="0" w:after="0" w:afterAutospacing="0"/>
        <w:rPr>
          <w:rFonts w:asciiTheme="minorHAnsi" w:hAnsiTheme="minorHAnsi" w:cstheme="minorBidi"/>
          <w:color w:val="000000" w:themeColor="text1"/>
          <w:sz w:val="22"/>
          <w:szCs w:val="22"/>
          <w:lang w:val="en-AU" w:eastAsia="en-US"/>
        </w:rPr>
      </w:pPr>
      <w:r>
        <w:rPr>
          <w:rFonts w:asciiTheme="minorHAnsi" w:hAnsiTheme="minorHAnsi" w:cstheme="minorBidi"/>
          <w:color w:val="000000" w:themeColor="text1"/>
          <w:sz w:val="22"/>
          <w:szCs w:val="22"/>
          <w:lang w:val="en-AU" w:eastAsia="en-US"/>
        </w:rPr>
        <w:t>A</w:t>
      </w:r>
      <w:r w:rsidR="00F43B13" w:rsidRPr="00CC1ADD">
        <w:rPr>
          <w:rFonts w:asciiTheme="minorHAnsi" w:hAnsiTheme="minorHAnsi" w:cstheme="minorBidi"/>
          <w:color w:val="000000" w:themeColor="text1"/>
          <w:sz w:val="22"/>
          <w:szCs w:val="22"/>
          <w:lang w:val="en-AU" w:eastAsia="en-US"/>
        </w:rPr>
        <w:t xml:space="preserve">nomalies </w:t>
      </w:r>
      <w:r>
        <w:rPr>
          <w:rFonts w:asciiTheme="minorHAnsi" w:hAnsiTheme="minorHAnsi" w:cstheme="minorBidi"/>
          <w:color w:val="000000" w:themeColor="text1"/>
          <w:sz w:val="22"/>
          <w:szCs w:val="22"/>
          <w:lang w:val="en-AU" w:eastAsia="en-US"/>
        </w:rPr>
        <w:t xml:space="preserve">occur </w:t>
      </w:r>
      <w:r w:rsidR="00F43B13" w:rsidRPr="00CC1ADD">
        <w:rPr>
          <w:rFonts w:asciiTheme="minorHAnsi" w:hAnsiTheme="minorHAnsi" w:cstheme="minorBidi"/>
          <w:color w:val="000000" w:themeColor="text1"/>
          <w:sz w:val="22"/>
          <w:szCs w:val="22"/>
          <w:lang w:val="en-AU" w:eastAsia="en-US"/>
        </w:rPr>
        <w:t>when an HSR is inconsistent with Dietary Guidelines, or when the HSR is used to make comparisons within a food category (or across comparable food categories) in a way that is likely to mislead consumers</w:t>
      </w:r>
      <w:r w:rsidR="0047070C">
        <w:rPr>
          <w:rFonts w:asciiTheme="minorHAnsi" w:hAnsiTheme="minorHAnsi" w:cstheme="minorBidi"/>
          <w:color w:val="000000" w:themeColor="text1"/>
          <w:sz w:val="22"/>
          <w:szCs w:val="22"/>
          <w:lang w:val="en-AU" w:eastAsia="en-US"/>
        </w:rPr>
        <w:t xml:space="preserve"> (see the </w:t>
      </w:r>
      <w:hyperlink r:id="rId28" w:history="1">
        <w:r w:rsidR="0047070C" w:rsidRPr="0047070C">
          <w:rPr>
            <w:rStyle w:val="Hyperlink"/>
            <w:rFonts w:asciiTheme="minorHAnsi" w:hAnsiTheme="minorHAnsi" w:cstheme="minorBidi"/>
            <w:sz w:val="22"/>
            <w:szCs w:val="22"/>
            <w:lang w:val="en-AU" w:eastAsia="en-US"/>
          </w:rPr>
          <w:t>HSR System website</w:t>
        </w:r>
      </w:hyperlink>
      <w:r w:rsidR="0047070C">
        <w:rPr>
          <w:rFonts w:asciiTheme="minorHAnsi" w:hAnsiTheme="minorHAnsi" w:cstheme="minorBidi"/>
          <w:color w:val="000000" w:themeColor="text1"/>
          <w:sz w:val="22"/>
          <w:szCs w:val="22"/>
          <w:lang w:val="en-AU" w:eastAsia="en-US"/>
        </w:rPr>
        <w:t>)</w:t>
      </w:r>
      <w:r w:rsidR="00F43B13" w:rsidRPr="00CC1ADD">
        <w:rPr>
          <w:rFonts w:asciiTheme="minorHAnsi" w:hAnsiTheme="minorHAnsi" w:cstheme="minorBidi"/>
          <w:color w:val="000000" w:themeColor="text1"/>
          <w:sz w:val="22"/>
          <w:szCs w:val="22"/>
          <w:lang w:val="en-AU" w:eastAsia="en-US"/>
        </w:rPr>
        <w:t xml:space="preserve">. Anyone can apply to have the HSRAC consider an anomaly by using </w:t>
      </w:r>
      <w:r w:rsidR="0047070C">
        <w:rPr>
          <w:rFonts w:asciiTheme="minorHAnsi" w:hAnsiTheme="minorHAnsi" w:cstheme="minorBidi"/>
          <w:color w:val="000000" w:themeColor="text1"/>
          <w:sz w:val="22"/>
          <w:szCs w:val="22"/>
          <w:lang w:val="en-AU" w:eastAsia="en-US"/>
        </w:rPr>
        <w:t>the</w:t>
      </w:r>
      <w:r w:rsidR="00F43B13" w:rsidRPr="00CC1ADD">
        <w:rPr>
          <w:rFonts w:asciiTheme="minorHAnsi" w:hAnsiTheme="minorHAnsi" w:cstheme="minorBidi"/>
          <w:color w:val="000000" w:themeColor="text1"/>
          <w:sz w:val="22"/>
          <w:szCs w:val="22"/>
          <w:lang w:val="en-AU" w:eastAsia="en-US"/>
        </w:rPr>
        <w:t xml:space="preserve"> form available on the </w:t>
      </w:r>
      <w:hyperlink r:id="rId29" w:history="1">
        <w:r w:rsidR="00F43B13" w:rsidRPr="0047070C">
          <w:rPr>
            <w:rStyle w:val="Hyperlink"/>
            <w:rFonts w:asciiTheme="minorHAnsi" w:hAnsiTheme="minorHAnsi" w:cstheme="minorBidi"/>
            <w:sz w:val="22"/>
            <w:szCs w:val="22"/>
            <w:lang w:val="en-AU" w:eastAsia="en-US"/>
          </w:rPr>
          <w:t>HSR System website</w:t>
        </w:r>
      </w:hyperlink>
      <w:r w:rsidR="00F43B13" w:rsidRPr="00CC1ADD">
        <w:rPr>
          <w:rFonts w:asciiTheme="minorHAnsi" w:hAnsiTheme="minorHAnsi" w:cstheme="minorBidi"/>
          <w:color w:val="000000" w:themeColor="text1"/>
          <w:sz w:val="22"/>
          <w:szCs w:val="22"/>
          <w:lang w:val="en-AU" w:eastAsia="en-US"/>
        </w:rPr>
        <w:t xml:space="preserve"> and providing the required evidence. A </w:t>
      </w:r>
      <w:hyperlink r:id="rId30" w:history="1">
        <w:r w:rsidR="00F43B13" w:rsidRPr="0047070C">
          <w:rPr>
            <w:rStyle w:val="Hyperlink"/>
            <w:rFonts w:asciiTheme="minorHAnsi" w:hAnsiTheme="minorHAnsi" w:cstheme="minorBidi"/>
            <w:sz w:val="22"/>
            <w:szCs w:val="22"/>
            <w:lang w:val="en-AU" w:eastAsia="en-US"/>
          </w:rPr>
          <w:t>register of potential anomalies</w:t>
        </w:r>
      </w:hyperlink>
      <w:r w:rsidR="00F43B13" w:rsidRPr="00CC1ADD">
        <w:rPr>
          <w:rFonts w:asciiTheme="minorHAnsi" w:hAnsiTheme="minorHAnsi" w:cstheme="minorBidi"/>
          <w:color w:val="000000" w:themeColor="text1"/>
          <w:sz w:val="22"/>
          <w:szCs w:val="22"/>
          <w:lang w:val="en-AU" w:eastAsia="en-US"/>
        </w:rPr>
        <w:t xml:space="preserve"> is </w:t>
      </w:r>
      <w:r w:rsidR="0047070C">
        <w:rPr>
          <w:rFonts w:asciiTheme="minorHAnsi" w:hAnsiTheme="minorHAnsi" w:cstheme="minorBidi"/>
          <w:color w:val="000000" w:themeColor="text1"/>
          <w:sz w:val="22"/>
          <w:szCs w:val="22"/>
          <w:lang w:val="en-AU" w:eastAsia="en-US"/>
        </w:rPr>
        <w:t xml:space="preserve">also </w:t>
      </w:r>
      <w:r w:rsidR="00F43B13" w:rsidRPr="00CC1ADD">
        <w:rPr>
          <w:rFonts w:asciiTheme="minorHAnsi" w:hAnsiTheme="minorHAnsi" w:cstheme="minorBidi"/>
          <w:color w:val="000000" w:themeColor="text1"/>
          <w:sz w:val="22"/>
          <w:szCs w:val="22"/>
          <w:lang w:val="en-AU" w:eastAsia="en-US"/>
        </w:rPr>
        <w:t>available, which includes a brief description of the application, the HSRAC’s determination on the issue (including the rationale) and next steps.</w:t>
      </w:r>
    </w:p>
    <w:p w14:paraId="24151A5B" w14:textId="77777777" w:rsidR="00F43B13" w:rsidRPr="00CC1ADD" w:rsidRDefault="00F43B13" w:rsidP="005A3631">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58A0D2CC" w14:textId="4A8048AA"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The HSRAC also has a process for assessing and resolving disputes related to the HSR System. This process is separate to the process for assessing potential anomalies within the HSR Calculator. The </w:t>
      </w:r>
      <w:r w:rsidR="00A25D38">
        <w:rPr>
          <w:rFonts w:asciiTheme="minorHAnsi" w:hAnsiTheme="minorHAnsi" w:cstheme="minorBidi"/>
          <w:color w:val="000000" w:themeColor="text1"/>
          <w:sz w:val="22"/>
          <w:szCs w:val="22"/>
          <w:lang w:val="en-AU" w:eastAsia="en-US"/>
        </w:rPr>
        <w:t>d</w:t>
      </w:r>
      <w:r w:rsidRPr="00CC1ADD">
        <w:rPr>
          <w:rFonts w:asciiTheme="minorHAnsi" w:hAnsiTheme="minorHAnsi" w:cstheme="minorBidi"/>
          <w:color w:val="000000" w:themeColor="text1"/>
          <w:sz w:val="22"/>
          <w:szCs w:val="22"/>
          <w:lang w:val="en-AU" w:eastAsia="en-US"/>
        </w:rPr>
        <w:t xml:space="preserve">ispute </w:t>
      </w:r>
      <w:r w:rsidR="00A25D38">
        <w:rPr>
          <w:rFonts w:asciiTheme="minorHAnsi" w:hAnsiTheme="minorHAnsi" w:cstheme="minorBidi"/>
          <w:color w:val="000000" w:themeColor="text1"/>
          <w:sz w:val="22"/>
          <w:szCs w:val="22"/>
          <w:lang w:val="en-AU" w:eastAsia="en-US"/>
        </w:rPr>
        <w:t>r</w:t>
      </w:r>
      <w:r w:rsidRPr="00CC1ADD">
        <w:rPr>
          <w:rFonts w:asciiTheme="minorHAnsi" w:hAnsiTheme="minorHAnsi" w:cstheme="minorBidi"/>
          <w:color w:val="000000" w:themeColor="text1"/>
          <w:sz w:val="22"/>
          <w:szCs w:val="22"/>
          <w:lang w:val="en-AU" w:eastAsia="en-US"/>
        </w:rPr>
        <w:t xml:space="preserve">esolution </w:t>
      </w:r>
      <w:r w:rsidR="00A25D38">
        <w:rPr>
          <w:rFonts w:asciiTheme="minorHAnsi" w:hAnsiTheme="minorHAnsi" w:cstheme="minorBidi"/>
          <w:color w:val="000000" w:themeColor="text1"/>
          <w:sz w:val="22"/>
          <w:szCs w:val="22"/>
          <w:lang w:val="en-AU" w:eastAsia="en-US"/>
        </w:rPr>
        <w:t>p</w:t>
      </w:r>
      <w:r w:rsidRPr="00CC1ADD">
        <w:rPr>
          <w:rFonts w:asciiTheme="minorHAnsi" w:hAnsiTheme="minorHAnsi" w:cstheme="minorBidi"/>
          <w:color w:val="000000" w:themeColor="text1"/>
          <w:sz w:val="22"/>
          <w:szCs w:val="22"/>
          <w:lang w:val="en-AU" w:eastAsia="en-US"/>
        </w:rPr>
        <w:t xml:space="preserve">rocess and form are available on the </w:t>
      </w:r>
      <w:hyperlink r:id="rId31" w:history="1">
        <w:r w:rsidRPr="0047070C">
          <w:rPr>
            <w:rStyle w:val="Hyperlink"/>
            <w:rFonts w:asciiTheme="minorHAnsi" w:hAnsiTheme="minorHAnsi" w:cstheme="minorBidi"/>
            <w:sz w:val="22"/>
            <w:szCs w:val="22"/>
            <w:lang w:val="en-AU" w:eastAsia="en-US"/>
          </w:rPr>
          <w:t>HSR System website</w:t>
        </w:r>
      </w:hyperlink>
      <w:r w:rsidRPr="00CC1ADD">
        <w:rPr>
          <w:rFonts w:asciiTheme="minorHAnsi" w:hAnsiTheme="minorHAnsi" w:cstheme="minorBidi"/>
          <w:color w:val="000000" w:themeColor="text1"/>
          <w:sz w:val="22"/>
          <w:szCs w:val="22"/>
          <w:lang w:val="en-AU" w:eastAsia="en-US"/>
        </w:rPr>
        <w:t xml:space="preserve">. HSRAC considers all disputes in the first instance with support from the </w:t>
      </w:r>
      <w:r w:rsidR="0047070C">
        <w:rPr>
          <w:rFonts w:asciiTheme="minorHAnsi" w:hAnsiTheme="minorHAnsi" w:cstheme="minorBidi"/>
          <w:color w:val="000000" w:themeColor="text1"/>
          <w:sz w:val="22"/>
          <w:szCs w:val="22"/>
          <w:lang w:val="en-AU" w:eastAsia="en-US"/>
        </w:rPr>
        <w:t>HSR</w:t>
      </w:r>
      <w:r w:rsidRPr="00CC1ADD">
        <w:rPr>
          <w:rFonts w:asciiTheme="minorHAnsi" w:hAnsiTheme="minorHAnsi" w:cstheme="minorBidi"/>
          <w:color w:val="000000" w:themeColor="text1"/>
          <w:sz w:val="22"/>
          <w:szCs w:val="22"/>
          <w:lang w:val="en-AU" w:eastAsia="en-US"/>
        </w:rPr>
        <w:t xml:space="preserve"> Secretariat. No disputes have been raised since the implementation of the System.</w:t>
      </w:r>
    </w:p>
    <w:p w14:paraId="2CC3CFBA"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6F04D075"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There are no fees associated with applying to have an anomaly considered or a dispute resolved.</w:t>
      </w:r>
    </w:p>
    <w:p w14:paraId="26BE1A0F" w14:textId="77777777" w:rsidR="00F43B13" w:rsidRPr="00CC1ADD" w:rsidRDefault="00F43B13" w:rsidP="0013165D">
      <w:pPr>
        <w:pStyle w:val="mpcNormal"/>
        <w:keepNext w:val="0"/>
        <w:rPr>
          <w:highlight w:val="yellow"/>
        </w:rPr>
      </w:pPr>
    </w:p>
    <w:p w14:paraId="65FA672C" w14:textId="77777777" w:rsidR="00F43B13" w:rsidRPr="00CC1ADD" w:rsidRDefault="00F43B13" w:rsidP="0013165D">
      <w:pPr>
        <w:pStyle w:val="NormalWeb"/>
        <w:spacing w:before="0" w:beforeAutospacing="0" w:after="0" w:afterAutospacing="0"/>
        <w:rPr>
          <w:rFonts w:asciiTheme="minorHAnsi" w:hAnsiTheme="minorHAnsi" w:cstheme="minorBidi"/>
          <w:b/>
          <w:color w:val="000000" w:themeColor="text1"/>
          <w:sz w:val="22"/>
          <w:szCs w:val="22"/>
          <w:lang w:val="en-AU" w:eastAsia="en-US"/>
        </w:rPr>
      </w:pPr>
      <w:r w:rsidRPr="00CC1ADD">
        <w:rPr>
          <w:rFonts w:asciiTheme="minorHAnsi" w:hAnsiTheme="minorHAnsi" w:cstheme="minorBidi"/>
          <w:b/>
          <w:color w:val="000000" w:themeColor="text1"/>
          <w:sz w:val="22"/>
          <w:szCs w:val="22"/>
          <w:lang w:val="en-AU" w:eastAsia="en-US"/>
        </w:rPr>
        <w:t>HSR System consumer campaigns</w:t>
      </w:r>
    </w:p>
    <w:p w14:paraId="5254E5E4" w14:textId="77777777" w:rsidR="00F43B13" w:rsidRPr="00CC1ADD" w:rsidRDefault="00F43B13" w:rsidP="005A3631">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1E042CAE"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Consumer education and marketing campaigns in Australia and New Zealand have supported the implementation of the HSR System. The primary objectives of the campaigns were to:</w:t>
      </w:r>
    </w:p>
    <w:p w14:paraId="2132C250"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33554C42" w14:textId="77777777" w:rsidR="00F43B13" w:rsidRPr="00CC1ADD" w:rsidRDefault="00F43B13">
      <w:pPr>
        <w:pStyle w:val="NormalWeb"/>
        <w:numPr>
          <w:ilvl w:val="0"/>
          <w:numId w:val="5"/>
        </w:numPr>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raise awareness of the HSR System</w:t>
      </w:r>
    </w:p>
    <w:p w14:paraId="6A5B479B" w14:textId="77777777" w:rsidR="00F43B13" w:rsidRPr="00CC1ADD" w:rsidRDefault="00F43B13">
      <w:pPr>
        <w:pStyle w:val="NormalWeb"/>
        <w:numPr>
          <w:ilvl w:val="0"/>
          <w:numId w:val="5"/>
        </w:numPr>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support consumers to understand how to interpret and use the HSR System</w:t>
      </w:r>
    </w:p>
    <w:p w14:paraId="4AD6F806" w14:textId="423BE5D0" w:rsidR="00F43B13" w:rsidRPr="00CC1ADD" w:rsidRDefault="00F43B13">
      <w:pPr>
        <w:pStyle w:val="NormalWeb"/>
        <w:numPr>
          <w:ilvl w:val="0"/>
          <w:numId w:val="5"/>
        </w:numPr>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prompt consideration of nutrition and the role of the HSR System in influencing nutrition</w:t>
      </w:r>
    </w:p>
    <w:p w14:paraId="33F5DB8B" w14:textId="77777777" w:rsidR="00F43B13" w:rsidRPr="00CC1ADD" w:rsidRDefault="00F43B13">
      <w:pPr>
        <w:pStyle w:val="NormalWeb"/>
        <w:numPr>
          <w:ilvl w:val="0"/>
          <w:numId w:val="5"/>
        </w:numPr>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develop consumer confidence in the HSR System as an independent, informative and easy to use nutritional guide.</w:t>
      </w:r>
    </w:p>
    <w:p w14:paraId="79F42368"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0459203F" w14:textId="5ED8BBB1" w:rsidR="006057F0" w:rsidRPr="00A25D38"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A25D38">
        <w:rPr>
          <w:rFonts w:asciiTheme="minorHAnsi" w:hAnsiTheme="minorHAnsi" w:cstheme="minorBidi"/>
          <w:color w:val="000000" w:themeColor="text1"/>
          <w:sz w:val="22"/>
          <w:szCs w:val="22"/>
          <w:lang w:val="en-AU" w:eastAsia="en-US"/>
        </w:rPr>
        <w:t>In Australia, the campaigns have included print and online advertisements, trolley advertisements and social media communications</w:t>
      </w:r>
      <w:r w:rsidR="006057F0" w:rsidRPr="00A25D38">
        <w:rPr>
          <w:rFonts w:asciiTheme="minorHAnsi" w:hAnsiTheme="minorHAnsi" w:cstheme="minorBidi"/>
          <w:color w:val="000000" w:themeColor="text1"/>
          <w:sz w:val="22"/>
          <w:szCs w:val="22"/>
          <w:lang w:val="en-AU" w:eastAsia="en-US"/>
        </w:rPr>
        <w:t xml:space="preserve">. </w:t>
      </w:r>
      <w:r w:rsidR="006057F0" w:rsidRPr="00A25D38">
        <w:rPr>
          <w:rFonts w:asciiTheme="minorHAnsi" w:hAnsiTheme="minorHAnsi" w:cstheme="minorHAnsi"/>
          <w:color w:val="000000" w:themeColor="text1"/>
          <w:sz w:val="22"/>
          <w:szCs w:val="22"/>
          <w:lang w:val="en-AU" w:eastAsia="en-US"/>
        </w:rPr>
        <w:t>Approximately $13 million was allocated to the HSR System campaign over the period 2014-15 to 2018-19.</w:t>
      </w:r>
      <w:r w:rsidRPr="00A25D38">
        <w:rPr>
          <w:rFonts w:asciiTheme="minorHAnsi" w:hAnsiTheme="minorHAnsi" w:cstheme="minorBidi"/>
          <w:color w:val="000000" w:themeColor="text1"/>
          <w:sz w:val="22"/>
          <w:szCs w:val="22"/>
          <w:lang w:val="en-AU" w:eastAsia="en-US"/>
        </w:rPr>
        <w:t xml:space="preserve"> </w:t>
      </w:r>
    </w:p>
    <w:p w14:paraId="5200F67E" w14:textId="77777777" w:rsidR="006057F0" w:rsidRPr="00A25D38" w:rsidRDefault="006057F0">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25FF4AAA" w14:textId="618900EF" w:rsidR="00F43B13" w:rsidRPr="00CC1ADD" w:rsidRDefault="00F43B13">
      <w:pPr>
        <w:pStyle w:val="NormalWeb"/>
        <w:spacing w:before="0" w:beforeAutospacing="0" w:after="0" w:afterAutospacing="0"/>
        <w:rPr>
          <w:rFonts w:asciiTheme="minorHAnsi" w:hAnsiTheme="minorHAnsi" w:cstheme="minorHAnsi"/>
          <w:color w:val="000000" w:themeColor="text1"/>
          <w:sz w:val="22"/>
          <w:szCs w:val="22"/>
          <w:lang w:val="en-AU" w:eastAsia="en-US"/>
        </w:rPr>
      </w:pPr>
      <w:r w:rsidRPr="00A25D38">
        <w:rPr>
          <w:rFonts w:asciiTheme="minorHAnsi" w:hAnsiTheme="minorHAnsi" w:cstheme="minorBidi"/>
          <w:color w:val="000000" w:themeColor="text1"/>
          <w:sz w:val="22"/>
          <w:szCs w:val="22"/>
          <w:lang w:val="en-AU" w:eastAsia="en-US"/>
        </w:rPr>
        <w:t xml:space="preserve">In New Zealand, the campaigns </w:t>
      </w:r>
      <w:r w:rsidR="00A337CA" w:rsidRPr="00A25D38">
        <w:rPr>
          <w:rFonts w:asciiTheme="minorHAnsi" w:hAnsiTheme="minorHAnsi" w:cstheme="minorBidi"/>
          <w:color w:val="000000" w:themeColor="text1"/>
          <w:sz w:val="22"/>
          <w:szCs w:val="22"/>
          <w:lang w:val="en-AU" w:eastAsia="en-US"/>
        </w:rPr>
        <w:t xml:space="preserve">have </w:t>
      </w:r>
      <w:r w:rsidRPr="00A25D38">
        <w:rPr>
          <w:rFonts w:asciiTheme="minorHAnsi" w:hAnsiTheme="minorHAnsi" w:cstheme="minorBidi"/>
          <w:color w:val="000000" w:themeColor="text1"/>
          <w:sz w:val="22"/>
          <w:szCs w:val="22"/>
          <w:lang w:val="en-AU" w:eastAsia="en-US"/>
        </w:rPr>
        <w:t>included online videos, outdoor posters, in</w:t>
      </w:r>
      <w:r w:rsidR="00B33DA3" w:rsidRPr="00A25D38">
        <w:rPr>
          <w:rFonts w:asciiTheme="minorHAnsi" w:hAnsiTheme="minorHAnsi" w:cstheme="minorBidi"/>
          <w:color w:val="000000" w:themeColor="text1"/>
          <w:sz w:val="22"/>
          <w:szCs w:val="22"/>
          <w:lang w:val="en-AU" w:eastAsia="en-US"/>
        </w:rPr>
        <w:t>-</w:t>
      </w:r>
      <w:r w:rsidRPr="00A25D38">
        <w:rPr>
          <w:rFonts w:asciiTheme="minorHAnsi" w:hAnsiTheme="minorHAnsi" w:cstheme="minorBidi"/>
          <w:color w:val="000000" w:themeColor="text1"/>
          <w:sz w:val="22"/>
          <w:szCs w:val="22"/>
          <w:lang w:val="en-AU" w:eastAsia="en-US"/>
        </w:rPr>
        <w:t>store advertising, customer mailers, cinema</w:t>
      </w:r>
      <w:r w:rsidR="00A337CA" w:rsidRPr="00A25D38">
        <w:rPr>
          <w:rFonts w:asciiTheme="minorHAnsi" w:hAnsiTheme="minorHAnsi" w:cstheme="minorBidi"/>
          <w:color w:val="000000" w:themeColor="text1"/>
          <w:sz w:val="22"/>
          <w:szCs w:val="22"/>
          <w:lang w:val="en-AU" w:eastAsia="en-US"/>
        </w:rPr>
        <w:t xml:space="preserve"> advertising and</w:t>
      </w:r>
      <w:r w:rsidRPr="00A25D38">
        <w:rPr>
          <w:rFonts w:asciiTheme="minorHAnsi" w:hAnsiTheme="minorHAnsi" w:cstheme="minorBidi"/>
          <w:color w:val="000000" w:themeColor="text1"/>
          <w:sz w:val="22"/>
          <w:szCs w:val="22"/>
          <w:lang w:val="en-AU" w:eastAsia="en-US"/>
        </w:rPr>
        <w:t xml:space="preserve"> television advertising</w:t>
      </w:r>
      <w:r w:rsidR="00E07CA7" w:rsidRPr="00A25D38">
        <w:rPr>
          <w:rFonts w:asciiTheme="minorHAnsi" w:hAnsiTheme="minorHAnsi" w:cstheme="minorBidi"/>
          <w:color w:val="000000" w:themeColor="text1"/>
          <w:sz w:val="22"/>
          <w:szCs w:val="22"/>
          <w:lang w:val="en-AU" w:eastAsia="en-US"/>
        </w:rPr>
        <w:t xml:space="preserve">. </w:t>
      </w:r>
      <w:r w:rsidRPr="00A25D38">
        <w:rPr>
          <w:rFonts w:asciiTheme="minorHAnsi" w:hAnsiTheme="minorHAnsi" w:cstheme="minorHAnsi"/>
          <w:color w:val="000000" w:themeColor="text1"/>
          <w:sz w:val="22"/>
          <w:szCs w:val="22"/>
          <w:lang w:val="en-AU" w:eastAsia="en-US"/>
        </w:rPr>
        <w:t>New Zealand</w:t>
      </w:r>
      <w:r w:rsidR="006057F0" w:rsidRPr="00A25D38">
        <w:rPr>
          <w:rFonts w:asciiTheme="minorHAnsi" w:hAnsiTheme="minorHAnsi" w:cstheme="minorHAnsi"/>
          <w:color w:val="000000" w:themeColor="text1"/>
          <w:sz w:val="22"/>
          <w:szCs w:val="22"/>
          <w:lang w:val="en-AU" w:eastAsia="en-US"/>
        </w:rPr>
        <w:t xml:space="preserve"> allocated</w:t>
      </w:r>
      <w:r w:rsidRPr="00A25D38">
        <w:rPr>
          <w:rFonts w:asciiTheme="minorHAnsi" w:hAnsiTheme="minorHAnsi" w:cstheme="minorHAnsi"/>
          <w:color w:val="000000" w:themeColor="text1"/>
          <w:sz w:val="22"/>
          <w:szCs w:val="22"/>
          <w:lang w:val="en-AU" w:eastAsia="en-US"/>
        </w:rPr>
        <w:t xml:space="preserve"> approximately </w:t>
      </w:r>
      <w:r w:rsidR="009952BB" w:rsidRPr="00A25D38">
        <w:rPr>
          <w:rFonts w:asciiTheme="minorHAnsi" w:hAnsiTheme="minorHAnsi" w:cstheme="minorHAnsi"/>
          <w:sz w:val="22"/>
          <w:szCs w:val="22"/>
          <w:lang w:val="en-AU"/>
        </w:rPr>
        <w:t>NZD</w:t>
      </w:r>
      <w:r w:rsidRPr="00A25D38">
        <w:rPr>
          <w:rFonts w:asciiTheme="minorHAnsi" w:hAnsiTheme="minorHAnsi" w:cstheme="minorHAnsi"/>
          <w:color w:val="000000" w:themeColor="text1"/>
          <w:sz w:val="22"/>
          <w:szCs w:val="22"/>
          <w:lang w:val="en-AU" w:eastAsia="en-US"/>
        </w:rPr>
        <w:t>$1</w:t>
      </w:r>
      <w:r w:rsidR="006125C9" w:rsidRPr="00A25D38">
        <w:rPr>
          <w:rFonts w:asciiTheme="minorHAnsi" w:hAnsiTheme="minorHAnsi" w:cstheme="minorHAnsi"/>
          <w:color w:val="000000" w:themeColor="text1"/>
          <w:sz w:val="22"/>
          <w:szCs w:val="22"/>
          <w:lang w:val="en-AU" w:eastAsia="en-US"/>
        </w:rPr>
        <w:t>.</w:t>
      </w:r>
      <w:r w:rsidRPr="00A25D38">
        <w:rPr>
          <w:rFonts w:asciiTheme="minorHAnsi" w:hAnsiTheme="minorHAnsi" w:cstheme="minorHAnsi"/>
          <w:color w:val="000000" w:themeColor="text1"/>
          <w:sz w:val="22"/>
          <w:szCs w:val="22"/>
          <w:lang w:val="en-AU" w:eastAsia="en-US"/>
        </w:rPr>
        <w:t>9</w:t>
      </w:r>
      <w:r w:rsidR="006125C9" w:rsidRPr="00A25D38">
        <w:rPr>
          <w:rFonts w:asciiTheme="minorHAnsi" w:hAnsiTheme="minorHAnsi" w:cstheme="minorHAnsi"/>
          <w:color w:val="000000" w:themeColor="text1"/>
          <w:sz w:val="22"/>
          <w:szCs w:val="22"/>
          <w:lang w:val="en-AU" w:eastAsia="en-US"/>
        </w:rPr>
        <w:t xml:space="preserve"> million</w:t>
      </w:r>
      <w:r w:rsidRPr="00A25D38">
        <w:rPr>
          <w:rFonts w:asciiTheme="minorHAnsi" w:hAnsiTheme="minorHAnsi" w:cstheme="minorHAnsi"/>
          <w:color w:val="000000" w:themeColor="text1"/>
          <w:sz w:val="22"/>
          <w:szCs w:val="22"/>
          <w:lang w:val="en-AU" w:eastAsia="en-US"/>
        </w:rPr>
        <w:t xml:space="preserve"> to the HSR System campaign</w:t>
      </w:r>
      <w:r w:rsidR="00A25D38" w:rsidRPr="00A25D38">
        <w:rPr>
          <w:rFonts w:asciiTheme="minorHAnsi" w:hAnsiTheme="minorHAnsi" w:cstheme="minorHAnsi"/>
          <w:color w:val="000000" w:themeColor="text1"/>
          <w:sz w:val="22"/>
          <w:szCs w:val="22"/>
          <w:lang w:val="en-AU" w:eastAsia="en-US"/>
        </w:rPr>
        <w:t>, including consumer research</w:t>
      </w:r>
      <w:r w:rsidRPr="00A25D38">
        <w:rPr>
          <w:rFonts w:asciiTheme="minorHAnsi" w:hAnsiTheme="minorHAnsi" w:cstheme="minorHAnsi"/>
          <w:color w:val="000000" w:themeColor="text1"/>
          <w:sz w:val="22"/>
          <w:szCs w:val="22"/>
          <w:lang w:val="en-AU" w:eastAsia="en-US"/>
        </w:rPr>
        <w:t xml:space="preserve"> over the period 2015-16 to 2017</w:t>
      </w:r>
      <w:r w:rsidR="0047070C" w:rsidRPr="00A25D38">
        <w:rPr>
          <w:rFonts w:asciiTheme="minorHAnsi" w:hAnsiTheme="minorHAnsi" w:cstheme="minorHAnsi"/>
          <w:color w:val="000000" w:themeColor="text1"/>
          <w:sz w:val="22"/>
          <w:szCs w:val="22"/>
          <w:lang w:val="en-AU" w:eastAsia="en-US"/>
        </w:rPr>
        <w:noBreakHyphen/>
      </w:r>
      <w:r w:rsidRPr="00A25D38">
        <w:rPr>
          <w:rFonts w:asciiTheme="minorHAnsi" w:hAnsiTheme="minorHAnsi" w:cstheme="minorHAnsi"/>
          <w:color w:val="000000" w:themeColor="text1"/>
          <w:sz w:val="22"/>
          <w:szCs w:val="22"/>
          <w:lang w:val="en-AU" w:eastAsia="en-US"/>
        </w:rPr>
        <w:t>18.</w:t>
      </w:r>
    </w:p>
    <w:p w14:paraId="405F69DC" w14:textId="276D06CC" w:rsidR="00E07CA7" w:rsidRPr="00CC1ADD" w:rsidRDefault="00E07CA7">
      <w:pPr>
        <w:pStyle w:val="NormalWeb"/>
        <w:spacing w:before="0" w:beforeAutospacing="0" w:after="0" w:afterAutospacing="0"/>
        <w:rPr>
          <w:rFonts w:asciiTheme="minorHAnsi" w:hAnsiTheme="minorHAnsi" w:cstheme="minorHAnsi"/>
          <w:color w:val="000000" w:themeColor="text1"/>
          <w:sz w:val="22"/>
          <w:szCs w:val="22"/>
          <w:lang w:val="en-AU" w:eastAsia="en-US"/>
        </w:rPr>
      </w:pPr>
    </w:p>
    <w:p w14:paraId="1CAA8CD7" w14:textId="02B1B01F" w:rsidR="00E07CA7" w:rsidRPr="00CC1ADD" w:rsidRDefault="0047070C">
      <w:pPr>
        <w:pStyle w:val="NormalWeb"/>
        <w:spacing w:before="0" w:beforeAutospacing="0" w:after="0" w:afterAutospacing="0"/>
        <w:rPr>
          <w:rFonts w:asciiTheme="minorHAnsi" w:hAnsiTheme="minorHAnsi" w:cstheme="minorHAnsi"/>
          <w:color w:val="000000" w:themeColor="text1"/>
          <w:sz w:val="22"/>
          <w:szCs w:val="22"/>
          <w:lang w:val="en-AU" w:eastAsia="en-US"/>
        </w:rPr>
      </w:pPr>
      <w:r>
        <w:rPr>
          <w:rFonts w:asciiTheme="minorHAnsi" w:hAnsiTheme="minorHAnsi" w:cstheme="minorBidi"/>
          <w:color w:val="000000" w:themeColor="text1"/>
          <w:sz w:val="22"/>
          <w:szCs w:val="22"/>
          <w:lang w:val="en-AU" w:eastAsia="en-US"/>
        </w:rPr>
        <w:t>R</w:t>
      </w:r>
      <w:r w:rsidRPr="00CC1ADD">
        <w:rPr>
          <w:rFonts w:asciiTheme="minorHAnsi" w:hAnsiTheme="minorHAnsi" w:cstheme="minorBidi"/>
          <w:color w:val="000000" w:themeColor="text1"/>
          <w:sz w:val="22"/>
          <w:szCs w:val="22"/>
          <w:lang w:val="en-AU" w:eastAsia="en-US"/>
        </w:rPr>
        <w:t>efer to Chapter 4</w:t>
      </w:r>
      <w:r>
        <w:rPr>
          <w:rFonts w:asciiTheme="minorHAnsi" w:hAnsiTheme="minorHAnsi" w:cstheme="minorBidi"/>
          <w:color w:val="000000" w:themeColor="text1"/>
          <w:sz w:val="22"/>
          <w:szCs w:val="22"/>
          <w:lang w:val="en-AU" w:eastAsia="en-US"/>
        </w:rPr>
        <w:t xml:space="preserve"> f</w:t>
      </w:r>
      <w:r w:rsidR="00E07CA7" w:rsidRPr="00CC1ADD">
        <w:rPr>
          <w:rFonts w:asciiTheme="minorHAnsi" w:hAnsiTheme="minorHAnsi" w:cstheme="minorBidi"/>
          <w:color w:val="000000" w:themeColor="text1"/>
          <w:sz w:val="22"/>
          <w:szCs w:val="22"/>
          <w:lang w:val="en-AU" w:eastAsia="en-US"/>
        </w:rPr>
        <w:t>or more information about the campaigns.</w:t>
      </w:r>
    </w:p>
    <w:p w14:paraId="4DE0153A"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289B3820" w14:textId="77777777" w:rsidR="00F43B13" w:rsidRPr="00CC1ADD" w:rsidRDefault="00F43B13" w:rsidP="0013165D">
      <w:pPr>
        <w:pStyle w:val="mpcheading2"/>
        <w:spacing w:after="0"/>
        <w:rPr>
          <w:rFonts w:cstheme="minorHAnsi"/>
        </w:rPr>
      </w:pPr>
      <w:bookmarkStart w:id="51" w:name="Monitoring"/>
      <w:bookmarkStart w:id="52" w:name="_Toc1746479"/>
      <w:bookmarkEnd w:id="51"/>
      <w:r w:rsidRPr="00CC1ADD">
        <w:rPr>
          <w:rFonts w:cstheme="minorHAnsi"/>
        </w:rPr>
        <w:t>Monitoring of the HSR System</w:t>
      </w:r>
      <w:bookmarkEnd w:id="52"/>
    </w:p>
    <w:p w14:paraId="65C4E63C" w14:textId="77777777" w:rsidR="00F43B13" w:rsidRPr="00CC1ADD" w:rsidRDefault="00F43B13" w:rsidP="0013165D">
      <w:pPr>
        <w:pStyle w:val="NormalWeb"/>
        <w:spacing w:before="0" w:beforeAutospacing="0" w:after="0" w:afterAutospacing="0"/>
        <w:rPr>
          <w:rFonts w:asciiTheme="minorHAnsi" w:hAnsiTheme="minorHAnsi"/>
          <w:color w:val="333333"/>
          <w:sz w:val="22"/>
          <w:szCs w:val="22"/>
          <w:lang w:val="en-AU"/>
        </w:rPr>
      </w:pPr>
    </w:p>
    <w:p w14:paraId="4DC177FE" w14:textId="77777777" w:rsidR="00F43B13" w:rsidRPr="00CC1ADD" w:rsidRDefault="00F43B13" w:rsidP="0013165D">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The monitoring of the HSR System is overseen by the HSRAC. For the purposes of monitoring and evaluating the HSR, the HSRAC determined that key areas of enquiry (AoEs) are:</w:t>
      </w:r>
    </w:p>
    <w:p w14:paraId="12253034" w14:textId="77777777" w:rsidR="00F43B13" w:rsidRPr="00CC1ADD" w:rsidRDefault="00F43B13" w:rsidP="005A3631">
      <w:pPr>
        <w:pStyle w:val="NormalWeb"/>
        <w:spacing w:before="0" w:beforeAutospacing="0" w:after="0" w:afterAutospacing="0"/>
        <w:rPr>
          <w:rFonts w:asciiTheme="minorHAnsi" w:hAnsiTheme="minorHAnsi"/>
          <w:color w:val="333333"/>
          <w:sz w:val="22"/>
          <w:szCs w:val="22"/>
          <w:lang w:val="en-AU"/>
        </w:rPr>
      </w:pPr>
    </w:p>
    <w:p w14:paraId="37B70811" w14:textId="77777777" w:rsidR="00F43B13" w:rsidRPr="00CC1ADD" w:rsidRDefault="00F43B13" w:rsidP="0013165D">
      <w:pPr>
        <w:pStyle w:val="mpcNormal"/>
        <w:keepNext w:val="0"/>
        <w:numPr>
          <w:ilvl w:val="0"/>
          <w:numId w:val="4"/>
        </w:numPr>
      </w:pPr>
      <w:r w:rsidRPr="00CC1ADD">
        <w:rPr>
          <w:b/>
        </w:rPr>
        <w:t>AoE1:</w:t>
      </w:r>
      <w:r w:rsidRPr="00CC1ADD">
        <w:t xml:space="preserve"> label implementation and consistency with the HSR System Style Guide</w:t>
      </w:r>
    </w:p>
    <w:p w14:paraId="03BD5177" w14:textId="77777777" w:rsidR="00F43B13" w:rsidRPr="00CC1ADD" w:rsidRDefault="00F43B13" w:rsidP="0013165D">
      <w:pPr>
        <w:pStyle w:val="mpcNormal"/>
        <w:keepNext w:val="0"/>
        <w:numPr>
          <w:ilvl w:val="0"/>
          <w:numId w:val="4"/>
        </w:numPr>
      </w:pPr>
      <w:r w:rsidRPr="00CC1ADD">
        <w:rPr>
          <w:b/>
        </w:rPr>
        <w:t>AoE2:</w:t>
      </w:r>
      <w:r w:rsidRPr="00CC1ADD">
        <w:t xml:space="preserve"> consumer awareness and ability to use the HSR System correctly</w:t>
      </w:r>
    </w:p>
    <w:p w14:paraId="10EAFB2E" w14:textId="77777777" w:rsidR="00F43B13" w:rsidRPr="00CC1ADD" w:rsidRDefault="00F43B13" w:rsidP="0013165D">
      <w:pPr>
        <w:pStyle w:val="mpcNormal"/>
        <w:keepNext w:val="0"/>
        <w:numPr>
          <w:ilvl w:val="0"/>
          <w:numId w:val="4"/>
        </w:numPr>
      </w:pPr>
      <w:r w:rsidRPr="00CC1ADD">
        <w:rPr>
          <w:b/>
        </w:rPr>
        <w:t>AoE3:</w:t>
      </w:r>
      <w:r w:rsidRPr="00CC1ADD">
        <w:t xml:space="preserve"> nutrient status of products carrying an HSR System label.</w:t>
      </w:r>
    </w:p>
    <w:p w14:paraId="21B2C8FD" w14:textId="77777777" w:rsidR="00F43B13" w:rsidRPr="00CC1ADD" w:rsidRDefault="00F43B13" w:rsidP="005A3631">
      <w:pPr>
        <w:pStyle w:val="NormalWeb"/>
        <w:spacing w:before="0" w:beforeAutospacing="0" w:after="0" w:afterAutospacing="0"/>
        <w:rPr>
          <w:rFonts w:asciiTheme="minorHAnsi" w:hAnsiTheme="minorHAnsi"/>
          <w:color w:val="333333"/>
          <w:sz w:val="22"/>
          <w:szCs w:val="22"/>
          <w:lang w:val="en-AU"/>
        </w:rPr>
      </w:pPr>
    </w:p>
    <w:p w14:paraId="62D54B01" w14:textId="328AC94A"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The </w:t>
      </w:r>
      <w:r w:rsidR="00C82D90" w:rsidRPr="00CC1ADD">
        <w:rPr>
          <w:rFonts w:asciiTheme="minorHAnsi" w:hAnsiTheme="minorHAnsi" w:cstheme="minorBidi"/>
          <w:color w:val="000000" w:themeColor="text1"/>
          <w:sz w:val="22"/>
          <w:szCs w:val="22"/>
          <w:lang w:val="en-AU" w:eastAsia="en-US"/>
        </w:rPr>
        <w:t xml:space="preserve">National Heart Foundation of Australia (the NHF) </w:t>
      </w:r>
      <w:r w:rsidRPr="00CC1ADD">
        <w:rPr>
          <w:rFonts w:asciiTheme="minorHAnsi" w:hAnsiTheme="minorHAnsi" w:cstheme="minorBidi"/>
          <w:color w:val="000000" w:themeColor="text1"/>
          <w:sz w:val="22"/>
          <w:szCs w:val="22"/>
          <w:lang w:val="en-AU" w:eastAsia="en-US"/>
        </w:rPr>
        <w:t>developed a </w:t>
      </w:r>
      <w:hyperlink r:id="rId32" w:history="1">
        <w:r w:rsidRPr="00CC1ADD">
          <w:rPr>
            <w:rFonts w:asciiTheme="minorHAnsi" w:hAnsiTheme="minorHAnsi" w:cstheme="minorBidi"/>
            <w:color w:val="000000" w:themeColor="text1"/>
            <w:sz w:val="22"/>
            <w:szCs w:val="22"/>
            <w:lang w:val="en-AU" w:eastAsia="en-US"/>
          </w:rPr>
          <w:t>framework </w:t>
        </w:r>
      </w:hyperlink>
      <w:r w:rsidRPr="00CC1ADD">
        <w:rPr>
          <w:rFonts w:asciiTheme="minorHAnsi" w:hAnsiTheme="minorHAnsi" w:cstheme="minorBidi"/>
          <w:color w:val="000000" w:themeColor="text1"/>
          <w:sz w:val="22"/>
          <w:szCs w:val="22"/>
          <w:lang w:val="en-AU" w:eastAsia="en-US"/>
        </w:rPr>
        <w:t>to guide monitoring and reporting against these three areas of enquiry in both Australia and New Zealand.</w:t>
      </w:r>
    </w:p>
    <w:p w14:paraId="2BAB4EF0" w14:textId="77777777" w:rsidR="00F43B13" w:rsidRPr="00CC1ADD" w:rsidRDefault="00F43B13">
      <w:pPr>
        <w:rPr>
          <w:rFonts w:cs="Times New Roman"/>
          <w:color w:val="333333"/>
          <w:sz w:val="22"/>
          <w:szCs w:val="22"/>
          <w:lang w:eastAsia="en-GB"/>
        </w:rPr>
      </w:pPr>
    </w:p>
    <w:p w14:paraId="66002467" w14:textId="77777777" w:rsidR="00F43B13" w:rsidRPr="00CC1ADD" w:rsidRDefault="00F43B13" w:rsidP="0013165D">
      <w:pPr>
        <w:pStyle w:val="mpcheading4"/>
        <w:keepNext w:val="0"/>
        <w:rPr>
          <w:lang w:eastAsia="en-GB"/>
        </w:rPr>
      </w:pPr>
      <w:r w:rsidRPr="00CC1ADD">
        <w:rPr>
          <w:lang w:eastAsia="en-GB"/>
        </w:rPr>
        <w:t>Australia</w:t>
      </w:r>
    </w:p>
    <w:p w14:paraId="2E816DBE" w14:textId="77777777" w:rsidR="00F43B13" w:rsidRPr="00CC1ADD" w:rsidRDefault="00F43B13" w:rsidP="0013165D">
      <w:pPr>
        <w:pStyle w:val="mpcheading4"/>
        <w:keepNext w:val="0"/>
        <w:rPr>
          <w:lang w:eastAsia="en-GB"/>
        </w:rPr>
      </w:pPr>
    </w:p>
    <w:p w14:paraId="365BE233" w14:textId="1E0E11CA" w:rsidR="00F43B13" w:rsidRPr="00CC1ADD" w:rsidRDefault="00F43B13" w:rsidP="005A3631">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The </w:t>
      </w:r>
      <w:r w:rsidR="002F0EC0">
        <w:rPr>
          <w:rFonts w:asciiTheme="minorHAnsi" w:hAnsiTheme="minorHAnsi" w:cstheme="minorBidi"/>
          <w:color w:val="000000" w:themeColor="text1"/>
          <w:sz w:val="22"/>
          <w:szCs w:val="22"/>
          <w:lang w:val="en-AU" w:eastAsia="en-US"/>
        </w:rPr>
        <w:t xml:space="preserve">Australian </w:t>
      </w:r>
      <w:r w:rsidRPr="00CC1ADD">
        <w:rPr>
          <w:rFonts w:asciiTheme="minorHAnsi" w:hAnsiTheme="minorHAnsi" w:cstheme="minorBidi"/>
          <w:color w:val="000000" w:themeColor="text1"/>
          <w:sz w:val="22"/>
          <w:szCs w:val="22"/>
          <w:lang w:val="en-AU" w:eastAsia="en-US"/>
        </w:rPr>
        <w:t xml:space="preserve">Department of Health engaged the </w:t>
      </w:r>
      <w:r w:rsidR="00654C50" w:rsidRPr="00CC1ADD">
        <w:rPr>
          <w:rFonts w:asciiTheme="minorHAnsi" w:hAnsiTheme="minorHAnsi" w:cstheme="minorBidi"/>
          <w:color w:val="000000" w:themeColor="text1"/>
          <w:sz w:val="22"/>
          <w:szCs w:val="22"/>
          <w:lang w:val="en-AU" w:eastAsia="en-US"/>
        </w:rPr>
        <w:t>NHF</w:t>
      </w:r>
      <w:r w:rsidRPr="00CC1ADD">
        <w:rPr>
          <w:rFonts w:asciiTheme="minorHAnsi" w:hAnsiTheme="minorHAnsi" w:cstheme="minorBidi"/>
          <w:color w:val="000000" w:themeColor="text1"/>
          <w:sz w:val="22"/>
          <w:szCs w:val="22"/>
          <w:lang w:val="en-AU" w:eastAsia="en-US"/>
        </w:rPr>
        <w:t xml:space="preserve"> to undertake data collection and analysis in Australia for the three key areas of enquiry. The </w:t>
      </w:r>
      <w:r w:rsidR="00654C50" w:rsidRPr="00CC1ADD">
        <w:rPr>
          <w:rFonts w:asciiTheme="minorHAnsi" w:hAnsiTheme="minorHAnsi" w:cstheme="minorBidi"/>
          <w:color w:val="000000" w:themeColor="text1"/>
          <w:sz w:val="22"/>
          <w:szCs w:val="22"/>
          <w:lang w:val="en-AU" w:eastAsia="en-US"/>
        </w:rPr>
        <w:t>NHF</w:t>
      </w:r>
      <w:r w:rsidRPr="00CC1ADD">
        <w:rPr>
          <w:rFonts w:asciiTheme="minorHAnsi" w:hAnsiTheme="minorHAnsi" w:cstheme="minorBidi"/>
          <w:color w:val="000000" w:themeColor="text1"/>
          <w:sz w:val="22"/>
          <w:szCs w:val="22"/>
          <w:lang w:val="en-AU" w:eastAsia="en-US"/>
        </w:rPr>
        <w:t xml:space="preserve"> has published a series of reports covering each year of implementation of the HSR System, available on the </w:t>
      </w:r>
      <w:hyperlink r:id="rId33" w:history="1">
        <w:r w:rsidRPr="006057F0">
          <w:rPr>
            <w:rStyle w:val="Hyperlink"/>
            <w:rFonts w:asciiTheme="minorHAnsi" w:hAnsiTheme="minorHAnsi" w:cstheme="minorBidi"/>
            <w:sz w:val="22"/>
            <w:szCs w:val="22"/>
            <w:lang w:val="en-AU" w:eastAsia="en-US"/>
          </w:rPr>
          <w:t>HSR System website</w:t>
        </w:r>
      </w:hyperlink>
      <w:r w:rsidRPr="00CC1ADD">
        <w:rPr>
          <w:rFonts w:asciiTheme="minorHAnsi" w:hAnsiTheme="minorHAnsi" w:cstheme="minorBidi"/>
          <w:color w:val="000000" w:themeColor="text1"/>
          <w:sz w:val="22"/>
          <w:szCs w:val="22"/>
          <w:lang w:val="en-AU" w:eastAsia="en-US"/>
        </w:rPr>
        <w:t>.</w:t>
      </w:r>
    </w:p>
    <w:p w14:paraId="7E017FA3"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1A8A8A80" w14:textId="42D0B9C4"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Market research company Pollinate was engaged to support the work being undertaken to assess consumer awareness and ability to use the system correctly and evaluate the performance of the HSR System campaign in Australia. Pollinate undertook an assessment against AoE2 early in 2015. The </w:t>
      </w:r>
      <w:r w:rsidR="00654C50" w:rsidRPr="00CC1ADD">
        <w:rPr>
          <w:rFonts w:asciiTheme="minorHAnsi" w:hAnsiTheme="minorHAnsi" w:cstheme="minorBidi"/>
          <w:color w:val="000000" w:themeColor="text1"/>
          <w:sz w:val="22"/>
          <w:szCs w:val="22"/>
          <w:lang w:val="en-AU" w:eastAsia="en-US"/>
        </w:rPr>
        <w:t>NHF</w:t>
      </w:r>
      <w:r w:rsidRPr="00CC1ADD">
        <w:rPr>
          <w:rFonts w:asciiTheme="minorHAnsi" w:hAnsiTheme="minorHAnsi" w:cstheme="minorBidi"/>
          <w:color w:val="000000" w:themeColor="text1"/>
          <w:sz w:val="22"/>
          <w:szCs w:val="22"/>
          <w:lang w:val="en-AU" w:eastAsia="en-US"/>
        </w:rPr>
        <w:t xml:space="preserve"> continues to monitor against this area of enquiry. Pollinate has also undertaken evaluations of the HSR System social marketing campaign activity in Australia in 2015, </w:t>
      </w:r>
      <w:r w:rsidR="00FE54AF" w:rsidRPr="00CC1ADD">
        <w:rPr>
          <w:rFonts w:asciiTheme="minorHAnsi" w:hAnsiTheme="minorHAnsi" w:cstheme="minorBidi"/>
          <w:color w:val="000000" w:themeColor="text1"/>
          <w:sz w:val="22"/>
          <w:szCs w:val="22"/>
          <w:lang w:val="en-AU" w:eastAsia="en-US"/>
        </w:rPr>
        <w:t>20</w:t>
      </w:r>
      <w:r w:rsidRPr="00CC1ADD">
        <w:rPr>
          <w:rFonts w:asciiTheme="minorHAnsi" w:hAnsiTheme="minorHAnsi" w:cstheme="minorBidi"/>
          <w:color w:val="000000" w:themeColor="text1"/>
          <w:sz w:val="22"/>
          <w:szCs w:val="22"/>
          <w:lang w:val="en-AU" w:eastAsia="en-US"/>
        </w:rPr>
        <w:t xml:space="preserve">16 and </w:t>
      </w:r>
      <w:r w:rsidR="00FE54AF" w:rsidRPr="00CC1ADD">
        <w:rPr>
          <w:rFonts w:asciiTheme="minorHAnsi" w:hAnsiTheme="minorHAnsi" w:cstheme="minorBidi"/>
          <w:color w:val="000000" w:themeColor="text1"/>
          <w:sz w:val="22"/>
          <w:szCs w:val="22"/>
          <w:lang w:val="en-AU" w:eastAsia="en-US"/>
        </w:rPr>
        <w:t>20</w:t>
      </w:r>
      <w:r w:rsidRPr="00CC1ADD">
        <w:rPr>
          <w:rFonts w:asciiTheme="minorHAnsi" w:hAnsiTheme="minorHAnsi" w:cstheme="minorBidi"/>
          <w:color w:val="000000" w:themeColor="text1"/>
          <w:sz w:val="22"/>
          <w:szCs w:val="22"/>
          <w:lang w:val="en-AU" w:eastAsia="en-US"/>
        </w:rPr>
        <w:t>17.</w:t>
      </w:r>
    </w:p>
    <w:p w14:paraId="4FF014C2" w14:textId="77777777" w:rsidR="00F43B13" w:rsidRPr="00CC1ADD" w:rsidRDefault="00F43B13">
      <w:pPr>
        <w:rPr>
          <w:rFonts w:cs="Times New Roman"/>
          <w:color w:val="333333"/>
          <w:sz w:val="22"/>
          <w:szCs w:val="22"/>
          <w:lang w:eastAsia="en-GB"/>
        </w:rPr>
      </w:pPr>
    </w:p>
    <w:p w14:paraId="48594286" w14:textId="77777777" w:rsidR="00F43B13" w:rsidRPr="00CC1ADD" w:rsidRDefault="00F43B13" w:rsidP="0013165D">
      <w:pPr>
        <w:pStyle w:val="mpcheading4"/>
        <w:keepNext w:val="0"/>
        <w:rPr>
          <w:lang w:eastAsia="en-GB"/>
        </w:rPr>
      </w:pPr>
      <w:r w:rsidRPr="00CC1ADD">
        <w:rPr>
          <w:lang w:eastAsia="en-GB"/>
        </w:rPr>
        <w:t>New Zealand</w:t>
      </w:r>
    </w:p>
    <w:p w14:paraId="2359E5AC" w14:textId="77777777" w:rsidR="00F43B13" w:rsidRPr="00CC1ADD" w:rsidRDefault="00F43B13" w:rsidP="0013165D">
      <w:pPr>
        <w:pStyle w:val="mpcheading4"/>
        <w:keepNext w:val="0"/>
        <w:rPr>
          <w:lang w:eastAsia="en-GB"/>
        </w:rPr>
      </w:pPr>
    </w:p>
    <w:p w14:paraId="4ACCCCE7" w14:textId="04AB549D" w:rsidR="00F43B13" w:rsidRPr="00CC1ADD" w:rsidRDefault="00F43B13" w:rsidP="0013165D">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The </w:t>
      </w:r>
      <w:r w:rsidR="004B53A8">
        <w:rPr>
          <w:rFonts w:asciiTheme="minorHAnsi" w:hAnsiTheme="minorHAnsi" w:cstheme="minorBidi"/>
          <w:color w:val="000000" w:themeColor="text1"/>
          <w:sz w:val="22"/>
          <w:szCs w:val="22"/>
          <w:lang w:val="en-AU" w:eastAsia="en-US"/>
        </w:rPr>
        <w:t>MPI</w:t>
      </w:r>
      <w:r w:rsidRPr="00CC1ADD">
        <w:rPr>
          <w:rFonts w:asciiTheme="minorHAnsi" w:hAnsiTheme="minorHAnsi" w:cstheme="minorBidi"/>
          <w:color w:val="000000" w:themeColor="text1"/>
          <w:sz w:val="22"/>
          <w:szCs w:val="22"/>
          <w:lang w:val="en-AU" w:eastAsia="en-US"/>
        </w:rPr>
        <w:t xml:space="preserve"> leads the development, implementation and governance of the HSR </w:t>
      </w:r>
      <w:r w:rsidR="0047070C">
        <w:rPr>
          <w:rFonts w:asciiTheme="minorHAnsi" w:hAnsiTheme="minorHAnsi" w:cstheme="minorBidi"/>
          <w:color w:val="000000" w:themeColor="text1"/>
          <w:sz w:val="22"/>
          <w:szCs w:val="22"/>
          <w:lang w:val="en-AU" w:eastAsia="en-US"/>
        </w:rPr>
        <w:t>S</w:t>
      </w:r>
      <w:r w:rsidRPr="00CC1ADD">
        <w:rPr>
          <w:rFonts w:asciiTheme="minorHAnsi" w:hAnsiTheme="minorHAnsi" w:cstheme="minorBidi"/>
          <w:color w:val="000000" w:themeColor="text1"/>
          <w:sz w:val="22"/>
          <w:szCs w:val="22"/>
          <w:lang w:val="en-AU" w:eastAsia="en-US"/>
        </w:rPr>
        <w:t xml:space="preserve">ystem in New Zealand. </w:t>
      </w:r>
    </w:p>
    <w:p w14:paraId="2DDD9675" w14:textId="77777777" w:rsidR="00F43B13" w:rsidRPr="00CC1ADD" w:rsidRDefault="00F43B13" w:rsidP="005A3631">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28E1C67F" w14:textId="1AF9226C"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r w:rsidRPr="00CC1ADD">
        <w:rPr>
          <w:rFonts w:asciiTheme="minorHAnsi" w:hAnsiTheme="minorHAnsi" w:cstheme="minorBidi"/>
          <w:color w:val="000000" w:themeColor="text1"/>
          <w:sz w:val="22"/>
          <w:szCs w:val="22"/>
          <w:lang w:val="en-AU" w:eastAsia="en-US"/>
        </w:rPr>
        <w:t xml:space="preserve">The Ministry of Health and the Health Promotion Agency (HPA) </w:t>
      </w:r>
      <w:r w:rsidR="00744408">
        <w:rPr>
          <w:rFonts w:asciiTheme="minorHAnsi" w:hAnsiTheme="minorHAnsi" w:cstheme="minorBidi"/>
          <w:color w:val="000000" w:themeColor="text1"/>
          <w:sz w:val="22"/>
          <w:szCs w:val="22"/>
          <w:lang w:val="en-AU" w:eastAsia="en-US"/>
        </w:rPr>
        <w:t>are</w:t>
      </w:r>
      <w:r w:rsidRPr="00CC1ADD">
        <w:rPr>
          <w:rFonts w:asciiTheme="minorHAnsi" w:hAnsiTheme="minorHAnsi" w:cstheme="minorBidi"/>
          <w:color w:val="000000" w:themeColor="text1"/>
          <w:sz w:val="22"/>
          <w:szCs w:val="22"/>
          <w:lang w:val="en-AU" w:eastAsia="en-US"/>
        </w:rPr>
        <w:t xml:space="preserve"> responsible for the consumer education and awareness campaign. The Ministry of Health funded the HPA to develop, implement and monitor the consumer marketing and education campaign to help consumers understand the HSR System. HPA commissioned Colmar Brunton to conduct surveys to monitor awareness, recognition, understanding and correct use of the HSR System. A survey was conducted in 2015, with two follow-up waves in 2016 and 2018.</w:t>
      </w:r>
    </w:p>
    <w:p w14:paraId="7888AE41"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11A125F3" w14:textId="044FBD7B" w:rsidR="00E07CA7" w:rsidRPr="00CC1ADD" w:rsidRDefault="0047070C">
      <w:pPr>
        <w:pStyle w:val="NormalWeb"/>
        <w:spacing w:before="0" w:beforeAutospacing="0" w:after="0" w:afterAutospacing="0"/>
        <w:rPr>
          <w:rFonts w:asciiTheme="minorHAnsi" w:hAnsiTheme="minorHAnsi" w:cstheme="minorHAnsi"/>
          <w:color w:val="000000" w:themeColor="text1"/>
          <w:sz w:val="22"/>
          <w:szCs w:val="22"/>
          <w:lang w:val="en-AU" w:eastAsia="en-US"/>
        </w:rPr>
      </w:pPr>
      <w:r>
        <w:rPr>
          <w:rFonts w:asciiTheme="minorHAnsi" w:hAnsiTheme="minorHAnsi" w:cstheme="minorBidi"/>
          <w:color w:val="000000" w:themeColor="text1"/>
          <w:sz w:val="22"/>
          <w:szCs w:val="22"/>
          <w:lang w:val="en-AU" w:eastAsia="en-US"/>
        </w:rPr>
        <w:t>R</w:t>
      </w:r>
      <w:r w:rsidRPr="00CC1ADD">
        <w:rPr>
          <w:rFonts w:asciiTheme="minorHAnsi" w:hAnsiTheme="minorHAnsi" w:cstheme="minorBidi"/>
          <w:color w:val="000000" w:themeColor="text1"/>
          <w:sz w:val="22"/>
          <w:szCs w:val="22"/>
          <w:lang w:val="en-AU" w:eastAsia="en-US"/>
        </w:rPr>
        <w:t>efer to Chapter 3</w:t>
      </w:r>
      <w:r>
        <w:rPr>
          <w:rFonts w:asciiTheme="minorHAnsi" w:hAnsiTheme="minorHAnsi" w:cstheme="minorBidi"/>
          <w:color w:val="000000" w:themeColor="text1"/>
          <w:sz w:val="22"/>
          <w:szCs w:val="22"/>
          <w:lang w:val="en-AU" w:eastAsia="en-US"/>
        </w:rPr>
        <w:t xml:space="preserve"> f</w:t>
      </w:r>
      <w:r w:rsidR="00E07CA7" w:rsidRPr="00CC1ADD">
        <w:rPr>
          <w:rFonts w:asciiTheme="minorHAnsi" w:hAnsiTheme="minorHAnsi" w:cstheme="minorBidi"/>
          <w:color w:val="000000" w:themeColor="text1"/>
          <w:sz w:val="22"/>
          <w:szCs w:val="22"/>
          <w:lang w:val="en-AU" w:eastAsia="en-US"/>
        </w:rPr>
        <w:t xml:space="preserve">or more information about the monitoring of the HSR </w:t>
      </w:r>
      <w:r>
        <w:rPr>
          <w:rFonts w:asciiTheme="minorHAnsi" w:hAnsiTheme="minorHAnsi" w:cstheme="minorBidi"/>
          <w:color w:val="000000" w:themeColor="text1"/>
          <w:sz w:val="22"/>
          <w:szCs w:val="22"/>
          <w:lang w:val="en-AU" w:eastAsia="en-US"/>
        </w:rPr>
        <w:t xml:space="preserve">System </w:t>
      </w:r>
      <w:r w:rsidR="00E07CA7" w:rsidRPr="00CC1ADD">
        <w:rPr>
          <w:rFonts w:asciiTheme="minorHAnsi" w:hAnsiTheme="minorHAnsi" w:cstheme="minorBidi"/>
          <w:color w:val="000000" w:themeColor="text1"/>
          <w:sz w:val="22"/>
          <w:szCs w:val="22"/>
          <w:lang w:val="en-AU" w:eastAsia="en-US"/>
        </w:rPr>
        <w:t>and its impact.</w:t>
      </w:r>
    </w:p>
    <w:p w14:paraId="2E91F5B1"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308B475E"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6A3DA03C" w14:textId="77777777" w:rsidR="00F43B13" w:rsidRPr="00CC1ADD" w:rsidRDefault="00F43B13">
      <w:pPr>
        <w:pStyle w:val="NormalWeb"/>
        <w:spacing w:before="0" w:beforeAutospacing="0" w:after="0" w:afterAutospacing="0"/>
        <w:rPr>
          <w:rFonts w:asciiTheme="minorHAnsi" w:hAnsiTheme="minorHAnsi" w:cstheme="minorBidi"/>
          <w:color w:val="000000" w:themeColor="text1"/>
          <w:sz w:val="22"/>
          <w:szCs w:val="22"/>
          <w:lang w:val="en-AU" w:eastAsia="en-US"/>
        </w:rPr>
      </w:pPr>
    </w:p>
    <w:p w14:paraId="7C514C6C" w14:textId="77777777" w:rsidR="00F43B13" w:rsidRPr="00CC1ADD" w:rsidRDefault="00F43B13">
      <w:pPr>
        <w:pStyle w:val="mpcheading1"/>
      </w:pPr>
      <w:r w:rsidRPr="00CC1ADD">
        <w:br w:type="column"/>
      </w:r>
      <w:bookmarkStart w:id="53" w:name="Chapter2"/>
      <w:bookmarkStart w:id="54" w:name="_Toc1746480"/>
      <w:bookmarkEnd w:id="53"/>
      <w:r w:rsidRPr="00CC1ADD">
        <w:t>Chapter 2 – About the Five Year Review</w:t>
      </w:r>
      <w:bookmarkEnd w:id="54"/>
      <w:r w:rsidRPr="00CC1ADD">
        <w:t xml:space="preserve"> </w:t>
      </w:r>
    </w:p>
    <w:p w14:paraId="55EDB93A" w14:textId="77777777" w:rsidR="00F43B13" w:rsidRPr="00CC1ADD" w:rsidRDefault="00F43B13">
      <w:pPr>
        <w:pStyle w:val="mpcheading2"/>
        <w:spacing w:after="0"/>
        <w:rPr>
          <w:rFonts w:cstheme="minorHAnsi"/>
        </w:rPr>
      </w:pPr>
      <w:bookmarkStart w:id="55" w:name="Purpose"/>
      <w:bookmarkStart w:id="56" w:name="_Toc1746481"/>
      <w:bookmarkEnd w:id="55"/>
      <w:r w:rsidRPr="00CC1ADD">
        <w:rPr>
          <w:rFonts w:cstheme="minorHAnsi"/>
        </w:rPr>
        <w:t>Purpose of the Five Year Review</w:t>
      </w:r>
      <w:bookmarkEnd w:id="56"/>
    </w:p>
    <w:p w14:paraId="1BE7D8CA" w14:textId="77777777" w:rsidR="00F43B13" w:rsidRPr="00CC1ADD" w:rsidRDefault="00F43B13" w:rsidP="0013165D">
      <w:pPr>
        <w:pStyle w:val="mpcNormal"/>
        <w:keepNext w:val="0"/>
      </w:pPr>
    </w:p>
    <w:p w14:paraId="28747462" w14:textId="0787BC3F" w:rsidR="00F43B13" w:rsidRPr="00CC1ADD" w:rsidRDefault="00591AAD" w:rsidP="0013165D">
      <w:pPr>
        <w:pStyle w:val="mpcNormal"/>
        <w:keepNext w:val="0"/>
      </w:pPr>
      <w:r>
        <w:t xml:space="preserve">The Forum </w:t>
      </w:r>
      <w:r w:rsidR="00F43B13" w:rsidRPr="00CC1ADD">
        <w:t>agreed that a formal review of the HSR System be carried out after five years of implementation. mpconsulting was engaged to undertake the review and present findings to the Forum, through the FRSC</w:t>
      </w:r>
      <w:r w:rsidR="00654C50" w:rsidRPr="00CC1ADD">
        <w:t xml:space="preserve"> </w:t>
      </w:r>
      <w:r w:rsidR="00F43B13" w:rsidRPr="00CC1ADD">
        <w:t>and the HSRAC.</w:t>
      </w:r>
    </w:p>
    <w:p w14:paraId="16A19385" w14:textId="77777777" w:rsidR="00F43B13" w:rsidRPr="00CC1ADD" w:rsidRDefault="00F43B13" w:rsidP="0013165D">
      <w:pPr>
        <w:pStyle w:val="mpcNormal"/>
        <w:keepNext w:val="0"/>
      </w:pPr>
    </w:p>
    <w:p w14:paraId="4FA50678" w14:textId="77777777" w:rsidR="00F43B13" w:rsidRPr="00CC1ADD" w:rsidRDefault="00F43B13" w:rsidP="0013165D">
      <w:pPr>
        <w:pStyle w:val="mpcNormal"/>
        <w:keepNext w:val="0"/>
      </w:pPr>
      <w:r w:rsidRPr="00CC1ADD">
        <w:t>The purpose of the Review is to consider:</w:t>
      </w:r>
    </w:p>
    <w:p w14:paraId="08F6096E" w14:textId="77777777" w:rsidR="00F43B13" w:rsidRPr="00CC1ADD" w:rsidRDefault="00F43B13" w:rsidP="0013165D">
      <w:pPr>
        <w:pStyle w:val="mpcNormal"/>
        <w:keepNext w:val="0"/>
      </w:pPr>
    </w:p>
    <w:p w14:paraId="61D480A6" w14:textId="77777777" w:rsidR="00F43B13" w:rsidRPr="00CC1ADD" w:rsidRDefault="00F43B13" w:rsidP="0013165D">
      <w:pPr>
        <w:pStyle w:val="mpcNormal"/>
        <w:keepNext w:val="0"/>
        <w:numPr>
          <w:ilvl w:val="0"/>
          <w:numId w:val="11"/>
        </w:numPr>
      </w:pPr>
      <w:r w:rsidRPr="00CC1ADD">
        <w:t>how well the objectives of the HSR System are being met, including by reference to the impact of the HSR System</w:t>
      </w:r>
    </w:p>
    <w:p w14:paraId="30584948" w14:textId="36A94FCE" w:rsidR="00F43B13" w:rsidRPr="00CC1ADD" w:rsidRDefault="00F43B13" w:rsidP="0013165D">
      <w:pPr>
        <w:pStyle w:val="mpcNormal"/>
        <w:keepNext w:val="0"/>
        <w:numPr>
          <w:ilvl w:val="0"/>
          <w:numId w:val="11"/>
        </w:numPr>
      </w:pPr>
      <w:r w:rsidRPr="00CC1ADD">
        <w:t xml:space="preserve">options for enhancing the HSR System, should continuation </w:t>
      </w:r>
      <w:r w:rsidR="00744408">
        <w:t xml:space="preserve">of the System </w:t>
      </w:r>
      <w:r w:rsidRPr="00CC1ADD">
        <w:t>be recommended.</w:t>
      </w:r>
    </w:p>
    <w:p w14:paraId="460014FD" w14:textId="77777777" w:rsidR="00F43B13" w:rsidRPr="00CC1ADD" w:rsidRDefault="00F43B13" w:rsidP="005A3631">
      <w:pPr>
        <w:rPr>
          <w:rFonts w:cstheme="minorHAnsi"/>
          <w:sz w:val="22"/>
          <w:szCs w:val="22"/>
        </w:rPr>
      </w:pPr>
    </w:p>
    <w:p w14:paraId="0C3212D8" w14:textId="77777777" w:rsidR="00F43B13" w:rsidRPr="00CC1ADD" w:rsidRDefault="00F43B13">
      <w:pPr>
        <w:rPr>
          <w:rFonts w:cstheme="minorHAnsi"/>
          <w:sz w:val="22"/>
          <w:szCs w:val="22"/>
        </w:rPr>
      </w:pPr>
      <w:r w:rsidRPr="00CC1ADD">
        <w:rPr>
          <w:rFonts w:cstheme="minorHAnsi"/>
          <w:sz w:val="22"/>
          <w:szCs w:val="22"/>
        </w:rPr>
        <w:t>mpconsulting was also asked to consider HSR System communications, monitoring and governance.</w:t>
      </w:r>
    </w:p>
    <w:p w14:paraId="78098F47" w14:textId="77777777" w:rsidR="00F43B13" w:rsidRPr="00CC1ADD" w:rsidRDefault="00F43B13" w:rsidP="0013165D">
      <w:pPr>
        <w:pStyle w:val="mpcNormal"/>
        <w:keepNext w:val="0"/>
      </w:pPr>
    </w:p>
    <w:p w14:paraId="21CA9A72" w14:textId="2F27B61F" w:rsidR="00F43B13" w:rsidRPr="00CC1ADD" w:rsidRDefault="00F43B13">
      <w:pPr>
        <w:pStyle w:val="mpcheading2"/>
        <w:spacing w:after="0"/>
        <w:rPr>
          <w:rFonts w:cstheme="minorHAnsi"/>
        </w:rPr>
      </w:pPr>
      <w:bookmarkStart w:id="57" w:name="Process"/>
      <w:bookmarkStart w:id="58" w:name="_Toc1746482"/>
      <w:bookmarkEnd w:id="57"/>
      <w:r w:rsidRPr="00CC1ADD">
        <w:rPr>
          <w:rFonts w:cstheme="minorHAnsi"/>
        </w:rPr>
        <w:t>Five Year Review Process</w:t>
      </w:r>
      <w:bookmarkEnd w:id="58"/>
    </w:p>
    <w:p w14:paraId="7493C06E" w14:textId="77777777" w:rsidR="00F43B13" w:rsidRPr="00CC1ADD" w:rsidRDefault="00F43B13" w:rsidP="0013165D">
      <w:pPr>
        <w:pStyle w:val="mpcNormal"/>
        <w:keepNext w:val="0"/>
      </w:pPr>
    </w:p>
    <w:p w14:paraId="634A44EE" w14:textId="7520D158" w:rsidR="00F43B13" w:rsidRPr="00CC1ADD" w:rsidRDefault="00F43B13" w:rsidP="0013165D">
      <w:pPr>
        <w:pStyle w:val="mpcNormal"/>
        <w:keepNext w:val="0"/>
      </w:pPr>
      <w:r w:rsidRPr="00CC1ADD">
        <w:t xml:space="preserve">During the course of the Review, mpconsulting consulted extensively with stakeholders, reviewed relevant literature and worked closely with the HSRAC and </w:t>
      </w:r>
      <w:r w:rsidR="00654C50" w:rsidRPr="00CC1ADD">
        <w:t xml:space="preserve">the </w:t>
      </w:r>
      <w:r w:rsidRPr="00CC1ADD">
        <w:t xml:space="preserve">TAG to determine the impact of the System, the extent to which it is meeting its objectives and identify options for improvements. </w:t>
      </w:r>
      <w:r w:rsidR="00357932">
        <w:t>Table one provides</w:t>
      </w:r>
      <w:r w:rsidRPr="00CC1ADD">
        <w:t xml:space="preserve"> a synopsis of the activities undertaken over the course of the Review. A list of key resources is included </w:t>
      </w:r>
      <w:r w:rsidR="00744408">
        <w:t>in</w:t>
      </w:r>
      <w:r w:rsidRPr="00CC1ADD">
        <w:t xml:space="preserve"> the Bibliography.</w:t>
      </w:r>
    </w:p>
    <w:p w14:paraId="334339CD" w14:textId="77777777" w:rsidR="00F43B13" w:rsidRPr="00CC1ADD" w:rsidRDefault="00F43B13" w:rsidP="005A3631">
      <w:pPr>
        <w:pStyle w:val="mpctableheading"/>
        <w:rPr>
          <w:rFonts w:cstheme="minorHAnsi"/>
          <w:szCs w:val="22"/>
        </w:rPr>
      </w:pPr>
    </w:p>
    <w:p w14:paraId="350D310F" w14:textId="77777777" w:rsidR="00F43B13" w:rsidRPr="00CC1ADD" w:rsidRDefault="00F43B13">
      <w:pPr>
        <w:pStyle w:val="mpctableheading"/>
        <w:rPr>
          <w:rFonts w:cstheme="minorHAnsi"/>
          <w:szCs w:val="22"/>
        </w:rPr>
      </w:pPr>
      <w:r w:rsidRPr="00CC1ADD">
        <w:rPr>
          <w:rFonts w:cstheme="minorHAnsi"/>
          <w:szCs w:val="22"/>
        </w:rPr>
        <w:t>Table 1: Five Year Review timeline</w:t>
      </w:r>
    </w:p>
    <w:p w14:paraId="561FE025" w14:textId="77777777" w:rsidR="00F43B13" w:rsidRPr="00CC1ADD" w:rsidRDefault="00F43B13">
      <w:pPr>
        <w:pStyle w:val="mpctableheading"/>
        <w:rPr>
          <w:rFonts w:cstheme="minorHAnsi"/>
          <w:szCs w:val="22"/>
        </w:rPr>
      </w:pPr>
    </w:p>
    <w:tbl>
      <w:tblPr>
        <w:tblStyle w:val="TableGrid"/>
        <w:tblW w:w="5000" w:type="pct"/>
        <w:tblCellMar>
          <w:top w:w="57" w:type="dxa"/>
          <w:bottom w:w="57" w:type="dxa"/>
        </w:tblCellMar>
        <w:tblLook w:val="04A0" w:firstRow="1" w:lastRow="0" w:firstColumn="1" w:lastColumn="0" w:noHBand="0" w:noVBand="1"/>
        <w:tblCaption w:val="Table 3: List of Stakeholder Engagement 2014-2016 in Australia"/>
        <w:tblDescription w:val="Table 3 lists the stakeholder engagement in Australia relating to the Health Star Rating system undertaken from 2014-2016. Column 0ne lists the dates. The table has 3 column headings: Date, Location and Type of Engagement."/>
      </w:tblPr>
      <w:tblGrid>
        <w:gridCol w:w="1788"/>
        <w:gridCol w:w="7948"/>
      </w:tblGrid>
      <w:tr w:rsidR="00F43B13" w:rsidRPr="00CC1ADD" w14:paraId="2942DA6C" w14:textId="77777777" w:rsidTr="00B36208">
        <w:trPr>
          <w:tblHeader/>
        </w:trPr>
        <w:tc>
          <w:tcPr>
            <w:tcW w:w="918" w:type="pct"/>
            <w:shd w:val="clear" w:color="auto" w:fill="516A8E"/>
          </w:tcPr>
          <w:p w14:paraId="1FE6C129" w14:textId="77777777" w:rsidR="00F43B13" w:rsidRPr="00CC1ADD" w:rsidRDefault="00F43B13">
            <w:pPr>
              <w:tabs>
                <w:tab w:val="left" w:pos="851"/>
                <w:tab w:val="left" w:pos="900"/>
                <w:tab w:val="left" w:pos="1701"/>
                <w:tab w:val="left" w:pos="6237"/>
                <w:tab w:val="left" w:pos="6480"/>
                <w:tab w:val="left" w:pos="7740"/>
              </w:tabs>
              <w:autoSpaceDE w:val="0"/>
              <w:autoSpaceDN w:val="0"/>
              <w:adjustRightInd w:val="0"/>
              <w:rPr>
                <w:rFonts w:cstheme="minorHAnsi"/>
                <w:b/>
                <w:color w:val="FFFFFF" w:themeColor="background1"/>
                <w:sz w:val="20"/>
                <w:szCs w:val="20"/>
              </w:rPr>
            </w:pPr>
            <w:bookmarkStart w:id="59" w:name="Date"/>
            <w:bookmarkEnd w:id="59"/>
            <w:r w:rsidRPr="00CC1ADD">
              <w:rPr>
                <w:rFonts w:cstheme="minorHAnsi"/>
                <w:b/>
                <w:color w:val="FFFFFF" w:themeColor="background1"/>
                <w:sz w:val="20"/>
                <w:szCs w:val="20"/>
              </w:rPr>
              <w:t>Date</w:t>
            </w:r>
          </w:p>
        </w:tc>
        <w:tc>
          <w:tcPr>
            <w:tcW w:w="4082" w:type="pct"/>
            <w:shd w:val="clear" w:color="auto" w:fill="516A8E"/>
          </w:tcPr>
          <w:p w14:paraId="728D13F0" w14:textId="77777777" w:rsidR="00F43B13" w:rsidRPr="00CC1ADD" w:rsidRDefault="00F43B13">
            <w:pPr>
              <w:tabs>
                <w:tab w:val="left" w:pos="851"/>
                <w:tab w:val="left" w:pos="900"/>
                <w:tab w:val="left" w:pos="1701"/>
                <w:tab w:val="left" w:pos="6237"/>
                <w:tab w:val="left" w:pos="6480"/>
                <w:tab w:val="left" w:pos="7740"/>
              </w:tabs>
              <w:autoSpaceDE w:val="0"/>
              <w:autoSpaceDN w:val="0"/>
              <w:adjustRightInd w:val="0"/>
              <w:rPr>
                <w:rFonts w:cstheme="minorHAnsi"/>
                <w:b/>
                <w:color w:val="FFFFFF" w:themeColor="background1"/>
                <w:sz w:val="20"/>
                <w:szCs w:val="20"/>
              </w:rPr>
            </w:pPr>
            <w:r w:rsidRPr="00CC1ADD">
              <w:rPr>
                <w:rFonts w:cstheme="minorHAnsi"/>
                <w:b/>
                <w:color w:val="FFFFFF" w:themeColor="background1"/>
                <w:sz w:val="20"/>
                <w:szCs w:val="20"/>
              </w:rPr>
              <w:t>Description of activity</w:t>
            </w:r>
          </w:p>
        </w:tc>
      </w:tr>
      <w:tr w:rsidR="00F43B13" w:rsidRPr="00CC1ADD" w14:paraId="0C65EC97" w14:textId="77777777" w:rsidTr="00B36208">
        <w:tc>
          <w:tcPr>
            <w:tcW w:w="918" w:type="pct"/>
          </w:tcPr>
          <w:p w14:paraId="04C21B02" w14:textId="77777777" w:rsidR="00F43B13" w:rsidRPr="00CC1ADD" w:rsidRDefault="00F43B13" w:rsidP="005A3631">
            <w:pPr>
              <w:pStyle w:val="mpctabletext"/>
              <w:rPr>
                <w:rFonts w:cstheme="minorHAnsi"/>
              </w:rPr>
            </w:pPr>
            <w:r w:rsidRPr="00CC1ADD">
              <w:rPr>
                <w:rFonts w:cstheme="minorHAnsi"/>
              </w:rPr>
              <w:t>ongoing</w:t>
            </w:r>
          </w:p>
        </w:tc>
        <w:tc>
          <w:tcPr>
            <w:tcW w:w="4082" w:type="pct"/>
          </w:tcPr>
          <w:p w14:paraId="2592D0ED" w14:textId="67B3D49A" w:rsidR="00F43B13" w:rsidRPr="00CC1ADD" w:rsidRDefault="00F43B13">
            <w:pPr>
              <w:pStyle w:val="mpctabletext"/>
              <w:rPr>
                <w:rFonts w:cstheme="minorHAnsi"/>
              </w:rPr>
            </w:pPr>
            <w:r w:rsidRPr="00CC1ADD">
              <w:rPr>
                <w:rFonts w:cstheme="minorHAnsi"/>
              </w:rPr>
              <w:t xml:space="preserve">Review of primary references including relevant policy statements, guides (specific to the HSR System and also relating to diet more broadly), research, scientific articles and monitoring data developed by the </w:t>
            </w:r>
            <w:r w:rsidR="00744408">
              <w:rPr>
                <w:rFonts w:cstheme="minorHAnsi"/>
              </w:rPr>
              <w:t>NHF</w:t>
            </w:r>
            <w:r w:rsidRPr="00CC1ADD">
              <w:rPr>
                <w:rFonts w:cstheme="minorHAnsi"/>
              </w:rPr>
              <w:t xml:space="preserve"> and the </w:t>
            </w:r>
            <w:r w:rsidR="00744408">
              <w:rPr>
                <w:rFonts w:cstheme="minorHAnsi"/>
              </w:rPr>
              <w:t>MPI</w:t>
            </w:r>
            <w:r w:rsidRPr="00CC1ADD">
              <w:rPr>
                <w:rFonts w:cstheme="minorHAnsi"/>
              </w:rPr>
              <w:t>.</w:t>
            </w:r>
          </w:p>
        </w:tc>
      </w:tr>
      <w:tr w:rsidR="00F43B13" w:rsidRPr="00CC1ADD" w14:paraId="5780BDA3" w14:textId="77777777" w:rsidTr="00B36208">
        <w:tc>
          <w:tcPr>
            <w:tcW w:w="918" w:type="pct"/>
          </w:tcPr>
          <w:p w14:paraId="3D322430" w14:textId="77777777" w:rsidR="00F43B13" w:rsidRPr="00CC1ADD" w:rsidRDefault="00F43B13" w:rsidP="005A3631">
            <w:pPr>
              <w:pStyle w:val="mpctabletext"/>
              <w:rPr>
                <w:rFonts w:cstheme="minorHAnsi"/>
              </w:rPr>
            </w:pPr>
            <w:r w:rsidRPr="00CC1ADD">
              <w:rPr>
                <w:rFonts w:cstheme="minorHAnsi"/>
              </w:rPr>
              <w:t>ongoing</w:t>
            </w:r>
          </w:p>
        </w:tc>
        <w:tc>
          <w:tcPr>
            <w:tcW w:w="4082" w:type="pct"/>
          </w:tcPr>
          <w:p w14:paraId="47A31C47" w14:textId="6A6BE879" w:rsidR="00F43B13" w:rsidRPr="00CC1ADD" w:rsidRDefault="00F43B13">
            <w:pPr>
              <w:pStyle w:val="mpctabletext"/>
              <w:rPr>
                <w:rFonts w:cstheme="minorHAnsi"/>
              </w:rPr>
            </w:pPr>
            <w:r w:rsidRPr="00CC1ADD">
              <w:rPr>
                <w:rFonts w:cstheme="minorHAnsi"/>
              </w:rPr>
              <w:t>Meetings with the HSRAC and the TAG</w:t>
            </w:r>
            <w:r w:rsidR="00744408">
              <w:rPr>
                <w:rFonts w:cstheme="minorHAnsi"/>
              </w:rPr>
              <w:t>,</w:t>
            </w:r>
            <w:r w:rsidRPr="00CC1ADD">
              <w:rPr>
                <w:rFonts w:cstheme="minorHAnsi"/>
              </w:rPr>
              <w:t xml:space="preserve"> including to observe operations and governance arrangements.</w:t>
            </w:r>
          </w:p>
        </w:tc>
      </w:tr>
      <w:tr w:rsidR="00F43B13" w:rsidRPr="00CC1ADD" w14:paraId="6954C1E7" w14:textId="77777777" w:rsidTr="00B36208">
        <w:tc>
          <w:tcPr>
            <w:tcW w:w="918" w:type="pct"/>
          </w:tcPr>
          <w:p w14:paraId="00F7FAFF" w14:textId="77777777" w:rsidR="00F43B13" w:rsidRPr="00CC1ADD" w:rsidRDefault="00F43B13" w:rsidP="005A3631">
            <w:pPr>
              <w:pStyle w:val="mpctabletext"/>
              <w:rPr>
                <w:rFonts w:cstheme="minorHAnsi"/>
              </w:rPr>
            </w:pPr>
            <w:r w:rsidRPr="00CC1ADD">
              <w:rPr>
                <w:rFonts w:cstheme="minorHAnsi"/>
              </w:rPr>
              <w:t>ongoing</w:t>
            </w:r>
          </w:p>
        </w:tc>
        <w:tc>
          <w:tcPr>
            <w:tcW w:w="4082" w:type="pct"/>
          </w:tcPr>
          <w:p w14:paraId="4464C7E0" w14:textId="36655835" w:rsidR="00F43B13" w:rsidRPr="00CC1ADD" w:rsidRDefault="00F43B13">
            <w:pPr>
              <w:pStyle w:val="mpctabletext"/>
              <w:rPr>
                <w:rFonts w:cstheme="minorHAnsi"/>
              </w:rPr>
            </w:pPr>
            <w:r w:rsidRPr="00CC1ADD">
              <w:rPr>
                <w:rFonts w:cstheme="minorHAnsi"/>
              </w:rPr>
              <w:t>Meetings and teleconferences with a wide range of stakeholders including government, public health, academic, consumer and industry across Australia</w:t>
            </w:r>
            <w:r w:rsidR="00744408">
              <w:rPr>
                <w:rFonts w:cstheme="minorHAnsi"/>
              </w:rPr>
              <w:t xml:space="preserve">, </w:t>
            </w:r>
            <w:r w:rsidRPr="00CC1ADD">
              <w:rPr>
                <w:rFonts w:cstheme="minorHAnsi"/>
              </w:rPr>
              <w:t>New Zealand</w:t>
            </w:r>
            <w:r w:rsidR="00744408">
              <w:rPr>
                <w:rFonts w:cstheme="minorHAnsi"/>
              </w:rPr>
              <w:t xml:space="preserve"> and internationally</w:t>
            </w:r>
            <w:r w:rsidRPr="00CC1ADD">
              <w:rPr>
                <w:rFonts w:cstheme="minorHAnsi"/>
              </w:rPr>
              <w:t>.</w:t>
            </w:r>
          </w:p>
        </w:tc>
      </w:tr>
      <w:tr w:rsidR="00F43B13" w:rsidRPr="00CC1ADD" w14:paraId="411AEBBA" w14:textId="77777777" w:rsidTr="00B36208">
        <w:tc>
          <w:tcPr>
            <w:tcW w:w="918" w:type="pct"/>
          </w:tcPr>
          <w:p w14:paraId="739FA4F0" w14:textId="77777777" w:rsidR="00F43B13" w:rsidRPr="00CC1ADD" w:rsidRDefault="00F43B13" w:rsidP="005A3631">
            <w:pPr>
              <w:pStyle w:val="mpctabletext"/>
              <w:rPr>
                <w:rFonts w:cstheme="minorHAnsi"/>
              </w:rPr>
            </w:pPr>
            <w:r w:rsidRPr="00CC1ADD">
              <w:rPr>
                <w:rFonts w:cstheme="minorHAnsi"/>
              </w:rPr>
              <w:t>June 2017 (prior to engagement of mpconsulting)</w:t>
            </w:r>
          </w:p>
        </w:tc>
        <w:tc>
          <w:tcPr>
            <w:tcW w:w="4082" w:type="pct"/>
          </w:tcPr>
          <w:p w14:paraId="4E878C37" w14:textId="532E0391" w:rsidR="00F43B13" w:rsidRPr="00CC1ADD" w:rsidRDefault="00F43B13">
            <w:pPr>
              <w:pStyle w:val="mpctabletext"/>
              <w:rPr>
                <w:rFonts w:cstheme="minorHAnsi"/>
              </w:rPr>
            </w:pPr>
            <w:r w:rsidRPr="00CC1ADD">
              <w:rPr>
                <w:rFonts w:cstheme="minorHAnsi"/>
              </w:rPr>
              <w:t xml:space="preserve">Release of discussion paper by </w:t>
            </w:r>
            <w:r w:rsidR="00121238">
              <w:rPr>
                <w:rFonts w:cstheme="minorHAnsi"/>
              </w:rPr>
              <w:t xml:space="preserve">the </w:t>
            </w:r>
            <w:r w:rsidRPr="00CC1ADD">
              <w:rPr>
                <w:rFonts w:cstheme="minorHAnsi"/>
              </w:rPr>
              <w:t>HSRAC, seeking submissions on the merits of the HSR System in response to a series of consultation questions. Submissions were invited during the period 8</w:t>
            </w:r>
            <w:r w:rsidR="00744408">
              <w:rPr>
                <w:rFonts w:cstheme="minorHAnsi"/>
              </w:rPr>
              <w:t> </w:t>
            </w:r>
            <w:r w:rsidRPr="00CC1ADD">
              <w:rPr>
                <w:rFonts w:cstheme="minorHAnsi"/>
              </w:rPr>
              <w:t>June to 20 July 2017.</w:t>
            </w:r>
          </w:p>
        </w:tc>
      </w:tr>
      <w:tr w:rsidR="00F43B13" w:rsidRPr="00CC1ADD" w14:paraId="141438CE" w14:textId="77777777" w:rsidTr="00B36208">
        <w:tc>
          <w:tcPr>
            <w:tcW w:w="918" w:type="pct"/>
          </w:tcPr>
          <w:p w14:paraId="40D21EEE" w14:textId="77777777" w:rsidR="00F43B13" w:rsidRPr="00CC1ADD" w:rsidRDefault="00F43B13" w:rsidP="005A3631">
            <w:pPr>
              <w:pStyle w:val="mpctabletext"/>
              <w:rPr>
                <w:rFonts w:cstheme="minorHAnsi"/>
              </w:rPr>
            </w:pPr>
            <w:r w:rsidRPr="00CC1ADD">
              <w:rPr>
                <w:rFonts w:cstheme="minorHAnsi"/>
              </w:rPr>
              <w:t>October 2017</w:t>
            </w:r>
          </w:p>
        </w:tc>
        <w:tc>
          <w:tcPr>
            <w:tcW w:w="4082" w:type="pct"/>
          </w:tcPr>
          <w:p w14:paraId="57F95A90" w14:textId="745CF684" w:rsidR="00F43B13" w:rsidRPr="00CC1ADD" w:rsidRDefault="00F43B13">
            <w:pPr>
              <w:pStyle w:val="mpctabletext"/>
              <w:rPr>
                <w:rFonts w:cstheme="minorHAnsi"/>
              </w:rPr>
            </w:pPr>
            <w:r w:rsidRPr="00CC1ADD">
              <w:rPr>
                <w:rFonts w:cstheme="minorHAnsi"/>
              </w:rPr>
              <w:t xml:space="preserve">Reviewed 483 stakeholder submissions and published a </w:t>
            </w:r>
            <w:hyperlink r:id="rId34" w:history="1">
              <w:r w:rsidRPr="00CC1ADD">
                <w:rPr>
                  <w:rStyle w:val="Hyperlink"/>
                  <w:rFonts w:cstheme="minorHAnsi"/>
                </w:rPr>
                <w:t>summary of submissions</w:t>
              </w:r>
            </w:hyperlink>
            <w:r w:rsidRPr="00CC1ADD">
              <w:rPr>
                <w:rFonts w:cstheme="minorHAnsi"/>
              </w:rPr>
              <w:t xml:space="preserve">. </w:t>
            </w:r>
          </w:p>
        </w:tc>
      </w:tr>
      <w:tr w:rsidR="00F43B13" w:rsidRPr="00CC1ADD" w14:paraId="04E86713" w14:textId="77777777" w:rsidTr="00B36208">
        <w:tc>
          <w:tcPr>
            <w:tcW w:w="918" w:type="pct"/>
          </w:tcPr>
          <w:p w14:paraId="66D3FF4A" w14:textId="77777777" w:rsidR="00F43B13" w:rsidRPr="00CC1ADD" w:rsidRDefault="00F43B13" w:rsidP="005A3631">
            <w:pPr>
              <w:pStyle w:val="mpctabletext"/>
              <w:rPr>
                <w:rFonts w:cstheme="minorHAnsi"/>
              </w:rPr>
            </w:pPr>
            <w:r w:rsidRPr="00CC1ADD">
              <w:rPr>
                <w:rFonts w:cstheme="minorHAnsi"/>
              </w:rPr>
              <w:t>January 2018</w:t>
            </w:r>
          </w:p>
        </w:tc>
        <w:tc>
          <w:tcPr>
            <w:tcW w:w="4082" w:type="pct"/>
          </w:tcPr>
          <w:p w14:paraId="6DF5AC85" w14:textId="77777777" w:rsidR="00F43B13" w:rsidRPr="00CC1ADD" w:rsidRDefault="00F43B13">
            <w:pPr>
              <w:pStyle w:val="mpctabletext"/>
              <w:rPr>
                <w:rFonts w:cstheme="minorHAnsi"/>
              </w:rPr>
            </w:pPr>
            <w:r w:rsidRPr="00CC1ADD">
              <w:rPr>
                <w:rFonts w:cstheme="minorHAnsi"/>
              </w:rPr>
              <w:t xml:space="preserve">Released a </w:t>
            </w:r>
            <w:hyperlink r:id="rId35" w:history="1">
              <w:r w:rsidRPr="00CC1ADD">
                <w:rPr>
                  <w:rStyle w:val="Hyperlink"/>
                  <w:rFonts w:cstheme="minorHAnsi"/>
                </w:rPr>
                <w:t>Navigation Paper</w:t>
              </w:r>
            </w:hyperlink>
            <w:r w:rsidRPr="00CC1ADD">
              <w:rPr>
                <w:rFonts w:cstheme="minorHAnsi"/>
              </w:rPr>
              <w:t xml:space="preserve"> providing background information about findings to date, principles guiding recommended changes to the HSR System and the direction of the Review.</w:t>
            </w:r>
          </w:p>
        </w:tc>
      </w:tr>
      <w:tr w:rsidR="00F43B13" w:rsidRPr="00CC1ADD" w14:paraId="601E38C2" w14:textId="77777777" w:rsidTr="00B36208">
        <w:tc>
          <w:tcPr>
            <w:tcW w:w="918" w:type="pct"/>
          </w:tcPr>
          <w:p w14:paraId="62C70803" w14:textId="77777777" w:rsidR="00F43B13" w:rsidRPr="00CC1ADD" w:rsidRDefault="00F43B13" w:rsidP="005A3631">
            <w:pPr>
              <w:pStyle w:val="mpctabletext"/>
              <w:rPr>
                <w:rFonts w:cstheme="minorHAnsi"/>
              </w:rPr>
            </w:pPr>
            <w:r w:rsidRPr="00CC1ADD">
              <w:rPr>
                <w:rFonts w:cstheme="minorHAnsi"/>
              </w:rPr>
              <w:t>February – April 2018</w:t>
            </w:r>
          </w:p>
        </w:tc>
        <w:tc>
          <w:tcPr>
            <w:tcW w:w="4082" w:type="pct"/>
          </w:tcPr>
          <w:p w14:paraId="088B3934" w14:textId="274BAFDD" w:rsidR="00F43B13" w:rsidRPr="00CC1ADD" w:rsidRDefault="00F43B13">
            <w:pPr>
              <w:pStyle w:val="mpctabletext"/>
              <w:rPr>
                <w:rFonts w:cstheme="minorHAnsi"/>
              </w:rPr>
            </w:pPr>
            <w:r w:rsidRPr="00CC1ADD">
              <w:rPr>
                <w:rFonts w:cstheme="minorHAnsi"/>
              </w:rPr>
              <w:t>Facilitated nine public forums across Australia and in New Zealand to hear from over 270 stakeholders on a number of key issues for the Review, including: objectives, impact and monitoring; communications; governance and consideration of possible enhancements.</w:t>
            </w:r>
          </w:p>
        </w:tc>
      </w:tr>
      <w:tr w:rsidR="00F43B13" w:rsidRPr="00CC1ADD" w14:paraId="7AD63B09" w14:textId="77777777" w:rsidTr="00B36208">
        <w:tc>
          <w:tcPr>
            <w:tcW w:w="918" w:type="pct"/>
          </w:tcPr>
          <w:p w14:paraId="02746583" w14:textId="77777777" w:rsidR="00F43B13" w:rsidRPr="00CC1ADD" w:rsidRDefault="00F43B13" w:rsidP="005A3631">
            <w:pPr>
              <w:pStyle w:val="mpctabletext"/>
              <w:rPr>
                <w:rFonts w:cstheme="minorHAnsi"/>
              </w:rPr>
            </w:pPr>
            <w:r w:rsidRPr="00CC1ADD">
              <w:rPr>
                <w:rFonts w:cstheme="minorHAnsi"/>
              </w:rPr>
              <w:t>August – September 2018</w:t>
            </w:r>
          </w:p>
        </w:tc>
        <w:tc>
          <w:tcPr>
            <w:tcW w:w="4082" w:type="pct"/>
          </w:tcPr>
          <w:p w14:paraId="46670FCE" w14:textId="77777777" w:rsidR="00F43B13" w:rsidRPr="00CC1ADD" w:rsidRDefault="00F43B13">
            <w:pPr>
              <w:pStyle w:val="mpctabletext"/>
              <w:rPr>
                <w:rFonts w:cstheme="minorHAnsi"/>
              </w:rPr>
            </w:pPr>
            <w:r w:rsidRPr="00CC1ADD">
              <w:rPr>
                <w:rFonts w:cstheme="minorHAnsi"/>
              </w:rPr>
              <w:t xml:space="preserve">Reviewed detailed modelling provided by the TAG relating to how the HSR System aligns with Dietary Guidelines and modelling various options for System enhancement as identified by data analysis, research and stakeholders. </w:t>
            </w:r>
          </w:p>
        </w:tc>
      </w:tr>
      <w:tr w:rsidR="00F43B13" w:rsidRPr="00CC1ADD" w14:paraId="0CA533B9" w14:textId="77777777" w:rsidTr="00B36208">
        <w:tc>
          <w:tcPr>
            <w:tcW w:w="918" w:type="pct"/>
          </w:tcPr>
          <w:p w14:paraId="07A3BA04" w14:textId="77777777" w:rsidR="00F43B13" w:rsidRPr="00CC1ADD" w:rsidRDefault="00F43B13" w:rsidP="005A3631">
            <w:pPr>
              <w:pStyle w:val="mpctabletext"/>
              <w:rPr>
                <w:rFonts w:cstheme="minorHAnsi"/>
              </w:rPr>
            </w:pPr>
            <w:r w:rsidRPr="00CC1ADD">
              <w:rPr>
                <w:rFonts w:cstheme="minorHAnsi"/>
              </w:rPr>
              <w:t>October 2018</w:t>
            </w:r>
          </w:p>
        </w:tc>
        <w:tc>
          <w:tcPr>
            <w:tcW w:w="4082" w:type="pct"/>
          </w:tcPr>
          <w:p w14:paraId="2F23D4BD" w14:textId="562A7553" w:rsidR="00F43B13" w:rsidRPr="00CC1ADD" w:rsidRDefault="00F43B13">
            <w:pPr>
              <w:pStyle w:val="mpctabletext"/>
              <w:rPr>
                <w:rFonts w:cstheme="minorHAnsi"/>
              </w:rPr>
            </w:pPr>
            <w:r w:rsidRPr="00CC1ADD">
              <w:rPr>
                <w:rFonts w:cstheme="minorHAnsi"/>
              </w:rPr>
              <w:t xml:space="preserve">Released </w:t>
            </w:r>
            <w:hyperlink r:id="rId36" w:history="1">
              <w:r w:rsidRPr="00CC1ADD">
                <w:rPr>
                  <w:rStyle w:val="Hyperlink"/>
                  <w:rFonts w:cstheme="minorHAnsi"/>
                </w:rPr>
                <w:t>Consultation Paper: Options for System Enhancement</w:t>
              </w:r>
            </w:hyperlink>
            <w:r w:rsidRPr="00CC1ADD">
              <w:rPr>
                <w:rFonts w:cstheme="minorHAnsi"/>
              </w:rPr>
              <w:t xml:space="preserve"> for public consultation, published the </w:t>
            </w:r>
            <w:hyperlink r:id="rId37" w:history="1">
              <w:r w:rsidRPr="00CC1ADD">
                <w:rPr>
                  <w:rStyle w:val="Hyperlink"/>
                  <w:rFonts w:cstheme="minorHAnsi"/>
                </w:rPr>
                <w:t>TAG technical papers and a Test Calculator</w:t>
              </w:r>
            </w:hyperlink>
            <w:r w:rsidRPr="00CC1ADD">
              <w:rPr>
                <w:rFonts w:cstheme="minorHAnsi"/>
              </w:rPr>
              <w:t xml:space="preserve"> (for stakeholders to test the effects of </w:t>
            </w:r>
            <w:r w:rsidR="00744408">
              <w:rPr>
                <w:rFonts w:cstheme="minorHAnsi"/>
              </w:rPr>
              <w:t>p</w:t>
            </w:r>
            <w:r w:rsidR="00744408">
              <w:t xml:space="preserve">referred </w:t>
            </w:r>
            <w:r w:rsidRPr="00CC1ADD">
              <w:rPr>
                <w:rFonts w:cstheme="minorHAnsi"/>
              </w:rPr>
              <w:t xml:space="preserve">options identified in the Consultation Paper). </w:t>
            </w:r>
          </w:p>
        </w:tc>
      </w:tr>
      <w:tr w:rsidR="00F43B13" w:rsidRPr="00CC1ADD" w14:paraId="2A9CA6D2" w14:textId="77777777" w:rsidTr="00B36208">
        <w:tc>
          <w:tcPr>
            <w:tcW w:w="918" w:type="pct"/>
          </w:tcPr>
          <w:p w14:paraId="38BE0A9D" w14:textId="77777777" w:rsidR="00F43B13" w:rsidRPr="00CC1ADD" w:rsidRDefault="00F43B13" w:rsidP="005A3631">
            <w:pPr>
              <w:pStyle w:val="mpctabletext"/>
              <w:rPr>
                <w:rFonts w:cstheme="minorHAnsi"/>
              </w:rPr>
            </w:pPr>
            <w:r w:rsidRPr="00CC1ADD">
              <w:rPr>
                <w:rFonts w:cstheme="minorHAnsi"/>
              </w:rPr>
              <w:t>November 2018</w:t>
            </w:r>
          </w:p>
        </w:tc>
        <w:tc>
          <w:tcPr>
            <w:tcW w:w="4082" w:type="pct"/>
          </w:tcPr>
          <w:p w14:paraId="6DA9EAAB" w14:textId="77777777" w:rsidR="00F43B13" w:rsidRPr="00CC1ADD" w:rsidRDefault="00F43B13">
            <w:pPr>
              <w:pStyle w:val="mpctabletext"/>
              <w:rPr>
                <w:rFonts w:cstheme="minorHAnsi"/>
              </w:rPr>
            </w:pPr>
            <w:r w:rsidRPr="00CC1ADD">
              <w:rPr>
                <w:rFonts w:cstheme="minorHAnsi"/>
              </w:rPr>
              <w:t>Facilitated public forums in Sydney, Melbourne and Auckland to discuss the options outlined in the Consultation Paper.</w:t>
            </w:r>
          </w:p>
        </w:tc>
      </w:tr>
      <w:tr w:rsidR="00F43B13" w:rsidRPr="00CC1ADD" w14:paraId="6C9F7547" w14:textId="77777777" w:rsidTr="00B36208">
        <w:tc>
          <w:tcPr>
            <w:tcW w:w="918" w:type="pct"/>
          </w:tcPr>
          <w:p w14:paraId="56B89423" w14:textId="77777777" w:rsidR="00F43B13" w:rsidRPr="00CC1ADD" w:rsidRDefault="00F43B13" w:rsidP="005A3631">
            <w:pPr>
              <w:pStyle w:val="mpctabletext"/>
              <w:rPr>
                <w:rFonts w:cstheme="minorHAnsi"/>
              </w:rPr>
            </w:pPr>
            <w:r w:rsidRPr="00CC1ADD">
              <w:rPr>
                <w:rFonts w:cstheme="minorHAnsi"/>
              </w:rPr>
              <w:t>December 2018 – January 2019</w:t>
            </w:r>
          </w:p>
        </w:tc>
        <w:tc>
          <w:tcPr>
            <w:tcW w:w="4082" w:type="pct"/>
          </w:tcPr>
          <w:p w14:paraId="0217F85B" w14:textId="54BB7E15" w:rsidR="00F43B13" w:rsidRPr="00CC1ADD" w:rsidRDefault="00F43B13">
            <w:pPr>
              <w:pStyle w:val="mpctabletext"/>
              <w:rPr>
                <w:rFonts w:cstheme="minorHAnsi"/>
              </w:rPr>
            </w:pPr>
            <w:r w:rsidRPr="00CC1ADD">
              <w:rPr>
                <w:rFonts w:cstheme="minorHAnsi"/>
              </w:rPr>
              <w:t>Reviewed stakeholder submissions on the Consultation Paper and undertook further modelling of options through the TAG, the University of Auckland and the George Institute</w:t>
            </w:r>
            <w:r w:rsidR="00744408">
              <w:rPr>
                <w:rFonts w:cstheme="minorHAnsi"/>
              </w:rPr>
              <w:t xml:space="preserve"> for Global Health (George Institute)</w:t>
            </w:r>
            <w:r w:rsidRPr="00CC1ADD">
              <w:rPr>
                <w:rFonts w:cstheme="minorHAnsi"/>
              </w:rPr>
              <w:t>.</w:t>
            </w:r>
          </w:p>
        </w:tc>
      </w:tr>
      <w:tr w:rsidR="00F43B13" w:rsidRPr="00CC1ADD" w14:paraId="36D9F6B2" w14:textId="77777777" w:rsidTr="00B36208">
        <w:tc>
          <w:tcPr>
            <w:tcW w:w="918" w:type="pct"/>
          </w:tcPr>
          <w:p w14:paraId="3C6303CE" w14:textId="77777777" w:rsidR="00F43B13" w:rsidRPr="00CC1ADD" w:rsidRDefault="00F43B13" w:rsidP="005A3631">
            <w:pPr>
              <w:pStyle w:val="mpctabletext"/>
              <w:rPr>
                <w:rFonts w:cstheme="minorHAnsi"/>
              </w:rPr>
            </w:pPr>
            <w:r w:rsidRPr="00CC1ADD">
              <w:rPr>
                <w:rFonts w:cstheme="minorHAnsi"/>
              </w:rPr>
              <w:t>February 2019</w:t>
            </w:r>
          </w:p>
        </w:tc>
        <w:tc>
          <w:tcPr>
            <w:tcW w:w="4082" w:type="pct"/>
          </w:tcPr>
          <w:p w14:paraId="3D95CCAE" w14:textId="77777777" w:rsidR="00F43B13" w:rsidRPr="00CC1ADD" w:rsidRDefault="00F43B13">
            <w:pPr>
              <w:pStyle w:val="mpctabletext"/>
              <w:rPr>
                <w:rFonts w:cstheme="minorHAnsi"/>
              </w:rPr>
            </w:pPr>
            <w:r w:rsidRPr="00CC1ADD">
              <w:rPr>
                <w:rFonts w:cstheme="minorHAnsi"/>
              </w:rPr>
              <w:t>Released the Draft Five Year Review Report for stakeholder comment (closing 25 March 2019).</w:t>
            </w:r>
          </w:p>
        </w:tc>
      </w:tr>
      <w:tr w:rsidR="00F43B13" w:rsidRPr="00CC1ADD" w14:paraId="292FCF2E" w14:textId="77777777" w:rsidTr="00B36208">
        <w:tc>
          <w:tcPr>
            <w:tcW w:w="918" w:type="pct"/>
          </w:tcPr>
          <w:p w14:paraId="62D9C914" w14:textId="6CC57406" w:rsidR="00F43B13" w:rsidRPr="00CC1ADD" w:rsidRDefault="00FB7FB0" w:rsidP="005A3631">
            <w:pPr>
              <w:pStyle w:val="mpctabletext"/>
              <w:rPr>
                <w:rFonts w:cstheme="minorHAnsi"/>
              </w:rPr>
            </w:pPr>
            <w:r>
              <w:rPr>
                <w:rFonts w:cstheme="minorHAnsi"/>
              </w:rPr>
              <w:t>mid-</w:t>
            </w:r>
            <w:r w:rsidR="00F43B13" w:rsidRPr="00CC1ADD">
              <w:rPr>
                <w:rFonts w:cstheme="minorHAnsi"/>
              </w:rPr>
              <w:t>2019</w:t>
            </w:r>
          </w:p>
        </w:tc>
        <w:tc>
          <w:tcPr>
            <w:tcW w:w="4082" w:type="pct"/>
          </w:tcPr>
          <w:p w14:paraId="5803E9DE" w14:textId="77777777" w:rsidR="00F43B13" w:rsidRPr="00CC1ADD" w:rsidRDefault="00F43B13">
            <w:pPr>
              <w:pStyle w:val="mpctabletext"/>
              <w:rPr>
                <w:rFonts w:cstheme="minorHAnsi"/>
              </w:rPr>
            </w:pPr>
            <w:r w:rsidRPr="00CC1ADD">
              <w:rPr>
                <w:rFonts w:cstheme="minorHAnsi"/>
              </w:rPr>
              <w:t>Provision of the Final Five Year Review Report to the Forum for consideration.</w:t>
            </w:r>
          </w:p>
        </w:tc>
      </w:tr>
    </w:tbl>
    <w:p w14:paraId="2A2BCFE9" w14:textId="446F138D" w:rsidR="00F43B13" w:rsidRPr="00CC1ADD" w:rsidRDefault="00F43B13" w:rsidP="0013165D">
      <w:pPr>
        <w:pStyle w:val="mpcNormal"/>
        <w:keepNext w:val="0"/>
      </w:pPr>
    </w:p>
    <w:p w14:paraId="2CEBA76C" w14:textId="53374F05" w:rsidR="00F43B13" w:rsidRPr="00CC1ADD" w:rsidRDefault="00F43B13" w:rsidP="005A3631">
      <w:pPr>
        <w:pStyle w:val="mpcheading2"/>
        <w:spacing w:after="0"/>
        <w:rPr>
          <w:rFonts w:cstheme="minorHAnsi"/>
        </w:rPr>
      </w:pPr>
      <w:bookmarkStart w:id="60" w:name="Principles"/>
      <w:bookmarkStart w:id="61" w:name="_Toc1746483"/>
      <w:bookmarkEnd w:id="60"/>
      <w:r w:rsidRPr="00CC1ADD">
        <w:rPr>
          <w:rFonts w:cstheme="minorHAnsi"/>
        </w:rPr>
        <w:t xml:space="preserve">Principles guiding the </w:t>
      </w:r>
      <w:r w:rsidR="00CB56DE">
        <w:rPr>
          <w:rFonts w:cstheme="minorHAnsi"/>
        </w:rPr>
        <w:t xml:space="preserve">Five Year </w:t>
      </w:r>
      <w:r w:rsidRPr="00CC1ADD">
        <w:rPr>
          <w:rFonts w:cstheme="minorHAnsi"/>
        </w:rPr>
        <w:t>Review</w:t>
      </w:r>
      <w:bookmarkEnd w:id="61"/>
    </w:p>
    <w:p w14:paraId="6782938D" w14:textId="77777777" w:rsidR="00F43B13" w:rsidRPr="00CC1ADD" w:rsidRDefault="00F43B13" w:rsidP="0013165D">
      <w:pPr>
        <w:pStyle w:val="mpcNormal"/>
        <w:keepNext w:val="0"/>
      </w:pPr>
    </w:p>
    <w:p w14:paraId="176386B4" w14:textId="77777777" w:rsidR="00F43B13" w:rsidRPr="00CC1ADD" w:rsidRDefault="00F43B13" w:rsidP="005A3631">
      <w:pPr>
        <w:rPr>
          <w:sz w:val="22"/>
          <w:szCs w:val="22"/>
        </w:rPr>
      </w:pPr>
      <w:r w:rsidRPr="00CC1ADD">
        <w:rPr>
          <w:sz w:val="22"/>
          <w:szCs w:val="22"/>
        </w:rPr>
        <w:t>In evaluating the HSR System and developing recommendations, the following principles have been applied:</w:t>
      </w:r>
    </w:p>
    <w:p w14:paraId="6033723E" w14:textId="77777777" w:rsidR="00F43B13" w:rsidRPr="00CC1ADD" w:rsidRDefault="00F43B13">
      <w:pPr>
        <w:rPr>
          <w:sz w:val="22"/>
          <w:szCs w:val="22"/>
        </w:rPr>
      </w:pPr>
    </w:p>
    <w:p w14:paraId="30B29FF9" w14:textId="35E3D3D5" w:rsidR="00F43B13" w:rsidRPr="00CC1ADD" w:rsidRDefault="00F43B13" w:rsidP="00F720A0">
      <w:pPr>
        <w:pStyle w:val="mpcbullets1"/>
        <w:numPr>
          <w:ilvl w:val="0"/>
          <w:numId w:val="10"/>
        </w:numPr>
      </w:pPr>
      <w:r w:rsidRPr="00CC1ADD">
        <w:t>Clearly articulate the problem to be addressed and target solutions to the problem</w:t>
      </w:r>
      <w:r w:rsidR="00744408">
        <w:t>.</w:t>
      </w:r>
    </w:p>
    <w:p w14:paraId="4FAFD911" w14:textId="77777777" w:rsidR="00F43B13" w:rsidRPr="00CC1ADD" w:rsidRDefault="00F43B13" w:rsidP="0013165D">
      <w:pPr>
        <w:pStyle w:val="mpcbullets2"/>
        <w:keepNext w:val="0"/>
      </w:pPr>
      <w:r w:rsidRPr="00CC1ADD">
        <w:t>Where stakeholders have generally described problems, the Review has sought to understand the underlying concern, understand why the problem (if any) manifests in the HSR System and recommend solutions that target the problem without unnecessarily impacting the HSR System more broadly.</w:t>
      </w:r>
    </w:p>
    <w:p w14:paraId="28273133" w14:textId="77777777" w:rsidR="00F43B13" w:rsidRPr="00CC1ADD" w:rsidRDefault="00F43B13" w:rsidP="0013165D">
      <w:pPr>
        <w:pStyle w:val="mpcNormal"/>
        <w:keepNext w:val="0"/>
      </w:pPr>
    </w:p>
    <w:p w14:paraId="02974B12" w14:textId="02DC8DFA" w:rsidR="00F43B13" w:rsidRPr="00CC1ADD" w:rsidRDefault="00F43B13" w:rsidP="00F720A0">
      <w:pPr>
        <w:pStyle w:val="mpcbullets1"/>
        <w:numPr>
          <w:ilvl w:val="0"/>
          <w:numId w:val="10"/>
        </w:numPr>
      </w:pPr>
      <w:r w:rsidRPr="00CC1ADD">
        <w:t>Retain the integrity of the HSR System and maintain alignment with Dietary Guidelines, the NPSC and other food regulation, where possible</w:t>
      </w:r>
      <w:r w:rsidR="00744408">
        <w:t>.</w:t>
      </w:r>
    </w:p>
    <w:p w14:paraId="0127A757" w14:textId="30F846FB" w:rsidR="00F43B13" w:rsidRPr="00CC1ADD" w:rsidRDefault="00F43B13" w:rsidP="0013165D">
      <w:pPr>
        <w:pStyle w:val="mpcbullets2"/>
        <w:keepNext w:val="0"/>
      </w:pPr>
      <w:r w:rsidRPr="00CC1ADD">
        <w:t xml:space="preserve">Early in the Review </w:t>
      </w:r>
      <w:r w:rsidR="0047070C">
        <w:t>it was</w:t>
      </w:r>
      <w:r w:rsidRPr="00CC1ADD">
        <w:t xml:space="preserve"> established that the HSR System is generally performing well</w:t>
      </w:r>
      <w:r w:rsidR="0047070C">
        <w:t>. As</w:t>
      </w:r>
      <w:r w:rsidRPr="00CC1ADD">
        <w:t xml:space="preserve"> such</w:t>
      </w:r>
      <w:r w:rsidR="0047070C">
        <w:t>,</w:t>
      </w:r>
      <w:r w:rsidRPr="00CC1ADD">
        <w:t xml:space="preserve"> broad or large</w:t>
      </w:r>
      <w:r w:rsidRPr="00CC1ADD">
        <w:noBreakHyphen/>
        <w:t xml:space="preserve">scale changes (that would fundamentally disrupt or replace the existing System) </w:t>
      </w:r>
      <w:r w:rsidR="0047070C">
        <w:t>are</w:t>
      </w:r>
      <w:r w:rsidRPr="00CC1ADD">
        <w:t xml:space="preserve"> not warranted. </w:t>
      </w:r>
    </w:p>
    <w:p w14:paraId="694B781E" w14:textId="61C558F7" w:rsidR="00F43B13" w:rsidRPr="00CC1ADD" w:rsidRDefault="00F43B13" w:rsidP="0013165D">
      <w:pPr>
        <w:pStyle w:val="mpcbullets2"/>
        <w:keepNext w:val="0"/>
      </w:pPr>
      <w:r w:rsidRPr="00CC1ADD">
        <w:t xml:space="preserve">Where possible the Review has sought to continue alignment with the NPSC, the </w:t>
      </w:r>
      <w:r w:rsidR="00A35EB9">
        <w:t xml:space="preserve">Code </w:t>
      </w:r>
      <w:r w:rsidRPr="00CC1ADD">
        <w:t>and Dietary Guidelines. Where this is not recommended, the Review explains why divergence is warranted.</w:t>
      </w:r>
    </w:p>
    <w:p w14:paraId="0F4BFAA0" w14:textId="77777777" w:rsidR="00F43B13" w:rsidRPr="00CC1ADD" w:rsidRDefault="00F43B13" w:rsidP="0013165D">
      <w:pPr>
        <w:pStyle w:val="mpcNormal"/>
        <w:keepNext w:val="0"/>
      </w:pPr>
    </w:p>
    <w:p w14:paraId="70DA89CA" w14:textId="623F7050" w:rsidR="00F43B13" w:rsidRPr="00CC1ADD" w:rsidRDefault="00F43B13" w:rsidP="00F720A0">
      <w:pPr>
        <w:pStyle w:val="mpcbullets1"/>
        <w:numPr>
          <w:ilvl w:val="0"/>
          <w:numId w:val="10"/>
        </w:numPr>
      </w:pPr>
      <w:r w:rsidRPr="00CC1ADD">
        <w:t>Be evidence based</w:t>
      </w:r>
      <w:r w:rsidR="00744408">
        <w:t>.</w:t>
      </w:r>
    </w:p>
    <w:p w14:paraId="0AE4F708" w14:textId="0E05C2E5" w:rsidR="00F43B13" w:rsidRPr="00CC1ADD" w:rsidRDefault="00F43B13" w:rsidP="0013165D">
      <w:pPr>
        <w:pStyle w:val="mpcbullets2"/>
        <w:keepNext w:val="0"/>
      </w:pPr>
      <w:r w:rsidRPr="00CC1ADD">
        <w:t xml:space="preserve">The Review has drawn on the best available evidence. However, it is acknowledged that much of the evidence </w:t>
      </w:r>
      <w:r w:rsidR="008C60AC">
        <w:t xml:space="preserve">regarding nutrition and diet </w:t>
      </w:r>
      <w:r w:rsidRPr="00CC1ADD">
        <w:t>is disputed and</w:t>
      </w:r>
      <w:r w:rsidR="0047070C">
        <w:t>,</w:t>
      </w:r>
      <w:r w:rsidRPr="00CC1ADD">
        <w:t xml:space="preserve"> on some issues</w:t>
      </w:r>
      <w:r w:rsidR="0047070C">
        <w:t>,</w:t>
      </w:r>
      <w:r w:rsidRPr="00CC1ADD">
        <w:t xml:space="preserve"> there is either limited evidence or stakeholders have different interpretations of the evidence. </w:t>
      </w:r>
    </w:p>
    <w:p w14:paraId="0CE5B012" w14:textId="77777777" w:rsidR="00F43B13" w:rsidRPr="00CC1ADD" w:rsidRDefault="00F43B13" w:rsidP="0013165D">
      <w:pPr>
        <w:pStyle w:val="mpcNormal"/>
        <w:keepNext w:val="0"/>
      </w:pPr>
    </w:p>
    <w:p w14:paraId="62A064EC" w14:textId="2034B704" w:rsidR="00F43B13" w:rsidRPr="00CC1ADD" w:rsidRDefault="00F43B13" w:rsidP="00F720A0">
      <w:pPr>
        <w:pStyle w:val="mpcbullets1"/>
        <w:numPr>
          <w:ilvl w:val="0"/>
          <w:numId w:val="10"/>
        </w:numPr>
      </w:pPr>
      <w:r w:rsidRPr="00CC1ADD">
        <w:t>Remain as simple as possible</w:t>
      </w:r>
      <w:r w:rsidR="00744408">
        <w:t>.</w:t>
      </w:r>
    </w:p>
    <w:p w14:paraId="3E4CAF64" w14:textId="77777777" w:rsidR="00F43B13" w:rsidRPr="00CC1ADD" w:rsidRDefault="00F43B13" w:rsidP="0013165D">
      <w:pPr>
        <w:pStyle w:val="mpcbullets2"/>
        <w:keepNext w:val="0"/>
      </w:pPr>
      <w:r w:rsidRPr="00CC1ADD">
        <w:t>The Review has focused on keeping the System as simple as possible. Wherever possible, the Review has applied a systems-based approach to resolve issues rather than creating special rules and exceptions for certain products.</w:t>
      </w:r>
    </w:p>
    <w:p w14:paraId="1EF15A42" w14:textId="77777777" w:rsidR="00F43B13" w:rsidRPr="00CC1ADD" w:rsidRDefault="00F43B13" w:rsidP="0013165D">
      <w:pPr>
        <w:pStyle w:val="mpcNormal"/>
        <w:keepNext w:val="0"/>
      </w:pPr>
    </w:p>
    <w:p w14:paraId="2C206208" w14:textId="215DDDA9" w:rsidR="00F43B13" w:rsidRPr="00CC1ADD" w:rsidRDefault="00F43B13" w:rsidP="00F720A0">
      <w:pPr>
        <w:pStyle w:val="mpcbullets1"/>
        <w:numPr>
          <w:ilvl w:val="0"/>
          <w:numId w:val="10"/>
        </w:numPr>
      </w:pPr>
      <w:r w:rsidRPr="00CC1ADD">
        <w:t>Enable maximum discernment between like foods with different nutritional profiles</w:t>
      </w:r>
      <w:r w:rsidR="00744408">
        <w:t>.</w:t>
      </w:r>
    </w:p>
    <w:p w14:paraId="715D8E64" w14:textId="460A4F1C" w:rsidR="00F43B13" w:rsidRPr="00CC1ADD" w:rsidRDefault="00F43B13" w:rsidP="0013165D">
      <w:pPr>
        <w:pStyle w:val="mpcbullets2"/>
        <w:keepNext w:val="0"/>
      </w:pPr>
      <w:r w:rsidRPr="00CC1ADD">
        <w:t xml:space="preserve">The HSR System is intended to support consumers to choose between like products. While the System needs to be broadly credible across the food supply, direct comparisons across HSR </w:t>
      </w:r>
      <w:r w:rsidR="00153CBD">
        <w:t>c</w:t>
      </w:r>
      <w:r w:rsidRPr="00CC1ADD">
        <w:t>ategories is discouraged (</w:t>
      </w:r>
      <w:r w:rsidR="0030513A">
        <w:t>for example,</w:t>
      </w:r>
      <w:r w:rsidR="0030513A" w:rsidRPr="00CC1ADD">
        <w:t xml:space="preserve"> </w:t>
      </w:r>
      <w:r w:rsidRPr="00CC1ADD">
        <w:t xml:space="preserve">comparing a dairy beverage to a biscuit). In evaluating how products are categorised, the Review </w:t>
      </w:r>
      <w:r w:rsidR="00744408">
        <w:t>has been mindful of</w:t>
      </w:r>
      <w:r w:rsidRPr="00CC1ADD">
        <w:t xml:space="preserve"> how consumers are likely to compare products when they shop. </w:t>
      </w:r>
    </w:p>
    <w:p w14:paraId="2D2C8917" w14:textId="77777777" w:rsidR="00F43B13" w:rsidRPr="00CC1ADD" w:rsidRDefault="00F43B13" w:rsidP="0013165D">
      <w:pPr>
        <w:pStyle w:val="mpcNormal"/>
        <w:keepNext w:val="0"/>
      </w:pPr>
    </w:p>
    <w:p w14:paraId="20940D73" w14:textId="0167310A" w:rsidR="00F43B13" w:rsidRPr="00CC1ADD" w:rsidRDefault="00F43B13" w:rsidP="00F720A0">
      <w:pPr>
        <w:pStyle w:val="mpcbullets1"/>
        <w:numPr>
          <w:ilvl w:val="0"/>
          <w:numId w:val="10"/>
        </w:numPr>
      </w:pPr>
      <w:r w:rsidRPr="00CC1ADD">
        <w:t>Recognise the scope of the HSR System and avoid using the HSR System to address problems beyond its scope</w:t>
      </w:r>
      <w:r w:rsidR="00744408">
        <w:t>.</w:t>
      </w:r>
    </w:p>
    <w:p w14:paraId="6AD4C34D" w14:textId="77777777" w:rsidR="00F43B13" w:rsidRPr="00CC1ADD" w:rsidRDefault="00F43B13" w:rsidP="0013165D">
      <w:pPr>
        <w:pStyle w:val="mpcbullets2"/>
        <w:keepNext w:val="0"/>
      </w:pPr>
      <w:r w:rsidRPr="00CC1ADD">
        <w:t>The HSR System is not intended as a complete source of dietary advice. The System is intended to complement other guidelines, tools and campaigns that support consumers to make healthier dietary choices. The Review has been mindful that other levers (such as portion sizes) may be more appropriate to address some of the concerns highlighted by stakeholders.</w:t>
      </w:r>
    </w:p>
    <w:p w14:paraId="7F554898" w14:textId="77777777" w:rsidR="00F43B13" w:rsidRPr="00CC1ADD" w:rsidRDefault="00F43B13" w:rsidP="0013165D">
      <w:pPr>
        <w:pStyle w:val="mpcNormal"/>
        <w:keepNext w:val="0"/>
      </w:pPr>
    </w:p>
    <w:p w14:paraId="05CEF784" w14:textId="0E12717C" w:rsidR="00F43B13" w:rsidRPr="00CC1ADD" w:rsidRDefault="00F43B13" w:rsidP="00F720A0">
      <w:pPr>
        <w:pStyle w:val="mpcbullets1"/>
        <w:numPr>
          <w:ilvl w:val="0"/>
          <w:numId w:val="10"/>
        </w:numPr>
      </w:pPr>
      <w:r w:rsidRPr="00CC1ADD">
        <w:t>Continue to incentivise food manufacturers to decrease risk-associated nutrients</w:t>
      </w:r>
      <w:r w:rsidR="008C60AC">
        <w:t>.</w:t>
      </w:r>
    </w:p>
    <w:p w14:paraId="6FFA4603" w14:textId="35F92954" w:rsidR="00F43B13" w:rsidRPr="00CC1ADD" w:rsidRDefault="00F43B13" w:rsidP="0013165D">
      <w:pPr>
        <w:pStyle w:val="mpcbullets2"/>
        <w:keepNext w:val="0"/>
      </w:pPr>
      <w:r w:rsidRPr="00CC1ADD">
        <w:t>Changes recommended by the Review seek to encourage positive reformulation to reduce risk nutrients, while balancing this with the need for simplicity and alignment with Dietary Guidelines.</w:t>
      </w:r>
    </w:p>
    <w:p w14:paraId="6F5CD0BB" w14:textId="77777777" w:rsidR="00F43B13" w:rsidRPr="00CC1ADD" w:rsidRDefault="00F43B13" w:rsidP="0013165D">
      <w:pPr>
        <w:pStyle w:val="mpcNormal"/>
        <w:keepNext w:val="0"/>
      </w:pPr>
    </w:p>
    <w:p w14:paraId="56C088A6" w14:textId="4FED4E01" w:rsidR="00F43B13" w:rsidRPr="00CC1ADD" w:rsidRDefault="00F43B13" w:rsidP="005A3631">
      <w:pPr>
        <w:pStyle w:val="mpcheading2"/>
      </w:pPr>
      <w:bookmarkStart w:id="62" w:name="Note"/>
      <w:bookmarkStart w:id="63" w:name="_Toc527112887"/>
      <w:bookmarkStart w:id="64" w:name="_Toc1746484"/>
      <w:bookmarkEnd w:id="62"/>
      <w:r w:rsidRPr="00CC1ADD">
        <w:t>Important note</w:t>
      </w:r>
      <w:bookmarkEnd w:id="63"/>
      <w:bookmarkEnd w:id="64"/>
    </w:p>
    <w:tbl>
      <w:tblPr>
        <w:tblStyle w:val="TableGrid"/>
        <w:tblW w:w="0" w:type="auto"/>
        <w:tblLook w:val="04A0" w:firstRow="1" w:lastRow="0" w:firstColumn="1" w:lastColumn="0" w:noHBand="0" w:noVBand="1"/>
        <w:tblCaption w:val="Important Note"/>
        <w:tblDescription w:val="Notes limitations re sources drawn on in the development of the Consultation Paper, including Australian Bureau of Statistics (ABS) data, modelling undertaken by the TAG, and data provided by stakeholders. "/>
      </w:tblPr>
      <w:tblGrid>
        <w:gridCol w:w="9736"/>
      </w:tblGrid>
      <w:tr w:rsidR="00F43B13" w:rsidRPr="00CC1ADD" w14:paraId="5B3119C0" w14:textId="77777777" w:rsidTr="00063F3C">
        <w:trPr>
          <w:trHeight w:val="9839"/>
        </w:trPr>
        <w:tc>
          <w:tcPr>
            <w:tcW w:w="9736" w:type="dxa"/>
            <w:shd w:val="clear" w:color="auto" w:fill="F2F2F2" w:themeFill="background1" w:themeFillShade="F2"/>
            <w:vAlign w:val="center"/>
          </w:tcPr>
          <w:p w14:paraId="4B7FB0E8" w14:textId="47625ABF" w:rsidR="00F43B13" w:rsidRPr="00CC1ADD" w:rsidRDefault="00F43B13" w:rsidP="00F720A0">
            <w:pPr>
              <w:pStyle w:val="mpcbullets1"/>
            </w:pPr>
            <w:r w:rsidRPr="00CC1ADD">
              <w:t>The Review has drawn on a range of sources, including Australian Bureau of Statistics (ABS) data, modelling undertaken by the TAG, the University of Auckland and the George Institute</w:t>
            </w:r>
            <w:r w:rsidR="00744408">
              <w:t xml:space="preserve"> and</w:t>
            </w:r>
            <w:r w:rsidRPr="00CC1ADD">
              <w:t xml:space="preserve"> data and information provided by stakeholders. </w:t>
            </w:r>
          </w:p>
          <w:p w14:paraId="7CB287AC" w14:textId="77777777" w:rsidR="00F43B13" w:rsidRPr="00063F3C" w:rsidRDefault="00F43B13" w:rsidP="0013165D">
            <w:pPr>
              <w:pStyle w:val="mpcNormal"/>
              <w:keepNext w:val="0"/>
            </w:pPr>
          </w:p>
          <w:p w14:paraId="680BD80E" w14:textId="77777777" w:rsidR="00F43B13" w:rsidRPr="00CC1ADD" w:rsidRDefault="00F43B13" w:rsidP="00F720A0">
            <w:pPr>
              <w:pStyle w:val="mpcbullets1"/>
            </w:pPr>
            <w:r w:rsidRPr="00CC1ADD">
              <w:t>Unless otherwise specified, statistics referencing population level intakes of nutrients and/or foods refer to:</w:t>
            </w:r>
          </w:p>
          <w:p w14:paraId="296C739E" w14:textId="77777777" w:rsidR="00F43B13" w:rsidRPr="00CC1ADD" w:rsidRDefault="00F43B13" w:rsidP="0013165D">
            <w:pPr>
              <w:pStyle w:val="mpcbullets2"/>
              <w:keepNext w:val="0"/>
            </w:pPr>
            <w:r w:rsidRPr="00CC1ADD">
              <w:t>for Australia, the 2011-12 Australian Health Survey (AHS)</w:t>
            </w:r>
            <w:r w:rsidRPr="00CC1ADD">
              <w:rPr>
                <w:rStyle w:val="FootnoteReference"/>
                <w:sz w:val="21"/>
                <w:szCs w:val="21"/>
              </w:rPr>
              <w:footnoteReference w:id="6"/>
            </w:r>
          </w:p>
          <w:p w14:paraId="409C48C5" w14:textId="77777777" w:rsidR="00F43B13" w:rsidRPr="00CC1ADD" w:rsidRDefault="00F43B13" w:rsidP="0013165D">
            <w:pPr>
              <w:pStyle w:val="mpcbullets2"/>
              <w:keepNext w:val="0"/>
            </w:pPr>
            <w:r w:rsidRPr="00CC1ADD">
              <w:t>for New Zealand, the 2008/09 New Zealand Adult Nutrition Survey (NZANS)</w:t>
            </w:r>
            <w:r w:rsidRPr="00CC1ADD">
              <w:rPr>
                <w:rStyle w:val="FootnoteReference"/>
                <w:sz w:val="21"/>
                <w:szCs w:val="21"/>
              </w:rPr>
              <w:footnoteReference w:id="7"/>
            </w:r>
            <w:r w:rsidRPr="00CC1ADD">
              <w:t>.</w:t>
            </w:r>
          </w:p>
          <w:p w14:paraId="46A07546" w14:textId="120A7362" w:rsidR="00F43B13" w:rsidRPr="00CC1ADD" w:rsidRDefault="00F43B13" w:rsidP="008C60AC">
            <w:pPr>
              <w:pStyle w:val="mpcNormal"/>
              <w:ind w:left="360"/>
            </w:pPr>
            <w:r w:rsidRPr="00CC1ADD">
              <w:t>It is acknowledged that these datasets are dated and that in some cases more recent studies based on smaller datasets produce different results. However, these surveys are the largest, most comprehensive and reliable datasets available with regard to national health and nutrition.</w:t>
            </w:r>
          </w:p>
          <w:p w14:paraId="14BFD1C1" w14:textId="77777777" w:rsidR="00F43B13" w:rsidRPr="00063F3C" w:rsidRDefault="00F43B13" w:rsidP="0013165D">
            <w:pPr>
              <w:pStyle w:val="mpcNormal"/>
              <w:keepNext w:val="0"/>
            </w:pPr>
          </w:p>
          <w:p w14:paraId="1DDE8BFE" w14:textId="683F1BA2" w:rsidR="00F43B13" w:rsidRPr="00CC1ADD" w:rsidRDefault="00F43B13" w:rsidP="00F720A0">
            <w:pPr>
              <w:pStyle w:val="mpcbullets1"/>
            </w:pPr>
            <w:r w:rsidRPr="00CC1ADD">
              <w:t>Where Dietary Guidelines are referred to, this applies collectively to the ADG and</w:t>
            </w:r>
            <w:r w:rsidR="006057F0">
              <w:t xml:space="preserve"> New Zealand Eating and Activity Guidelines (</w:t>
            </w:r>
            <w:r w:rsidRPr="00CC1ADD">
              <w:t>NZEAG</w:t>
            </w:r>
            <w:r w:rsidR="006057F0">
              <w:t>)</w:t>
            </w:r>
            <w:r w:rsidRPr="00CC1ADD">
              <w:t>. It is acknowledged that these Dietary Guidelines differ in important respects</w:t>
            </w:r>
            <w:r w:rsidR="00A337CA">
              <w:t>,</w:t>
            </w:r>
            <w:r w:rsidRPr="00CC1ADD">
              <w:t xml:space="preserve"> and where these differences are directly relevant to the discussion</w:t>
            </w:r>
            <w:r w:rsidR="008C60AC">
              <w:t xml:space="preserve"> in this Report</w:t>
            </w:r>
            <w:r w:rsidRPr="00CC1ADD">
              <w:t xml:space="preserve">, </w:t>
            </w:r>
            <w:r w:rsidR="00A337CA">
              <w:t>they</w:t>
            </w:r>
            <w:r w:rsidRPr="00CC1ADD">
              <w:t xml:space="preserve"> have been highlighted.</w:t>
            </w:r>
          </w:p>
          <w:p w14:paraId="7DAD4F8F" w14:textId="77777777" w:rsidR="00F43B13" w:rsidRPr="00063F3C" w:rsidRDefault="00F43B13" w:rsidP="0013165D">
            <w:pPr>
              <w:pStyle w:val="mpcNormal"/>
              <w:keepNext w:val="0"/>
            </w:pPr>
          </w:p>
          <w:p w14:paraId="7CD21B4E" w14:textId="1A7B84B4" w:rsidR="00F43B13" w:rsidRPr="00CC1ADD" w:rsidRDefault="00F43B13" w:rsidP="00F720A0">
            <w:pPr>
              <w:pStyle w:val="mpcbullets1"/>
            </w:pPr>
            <w:r w:rsidRPr="00CC1ADD">
              <w:t>The AHS Discretionary Foods List</w:t>
            </w:r>
            <w:r w:rsidRPr="00CC1ADD">
              <w:rPr>
                <w:vertAlign w:val="superscript"/>
              </w:rPr>
              <w:footnoteReference w:id="8"/>
            </w:r>
            <w:r w:rsidRPr="00CC1ADD">
              <w:t xml:space="preserve"> is used by many stakeholders to classify foods as discretionary (foods for limited intake) or FFG foods. The list was developed based on the ADG and is unique to Australia. While it provides a general guide to</w:t>
            </w:r>
            <w:r w:rsidR="00A337CA">
              <w:t xml:space="preserve"> whether</w:t>
            </w:r>
            <w:r w:rsidRPr="00CC1ADD">
              <w:t xml:space="preserve"> foods are FFG or discretionary, it has a number of limitations and is not always a good guide to measuring the performance of the HSR System. The list is currently under review by the </w:t>
            </w:r>
            <w:r w:rsidR="00063F3C">
              <w:t>National Health and Medical Research Council (</w:t>
            </w:r>
            <w:r w:rsidRPr="00CC1ADD">
              <w:t>NHMRC</w:t>
            </w:r>
            <w:r w:rsidR="00063F3C">
              <w:t>)</w:t>
            </w:r>
            <w:r w:rsidRPr="00CC1ADD">
              <w:t>.</w:t>
            </w:r>
          </w:p>
          <w:p w14:paraId="236E7101" w14:textId="77777777" w:rsidR="00F43B13" w:rsidRPr="00063F3C" w:rsidRDefault="00F43B13" w:rsidP="0013165D">
            <w:pPr>
              <w:pStyle w:val="mpcNormal"/>
              <w:keepNext w:val="0"/>
            </w:pPr>
          </w:p>
          <w:p w14:paraId="5EF1FBF8" w14:textId="3462C71D" w:rsidR="00F43B13" w:rsidRPr="00CC1ADD" w:rsidRDefault="00F43B13" w:rsidP="00F720A0">
            <w:pPr>
              <w:pStyle w:val="mpcbullets1"/>
            </w:pPr>
            <w:r w:rsidRPr="00CC1ADD">
              <w:t xml:space="preserve">The recommendations regarding </w:t>
            </w:r>
            <w:r w:rsidR="00744408">
              <w:t xml:space="preserve">HSR </w:t>
            </w:r>
            <w:r w:rsidRPr="00CC1ADD">
              <w:t>System enhancements have been modelled in a number of databases, including:</w:t>
            </w:r>
          </w:p>
          <w:p w14:paraId="045C3350" w14:textId="77777777" w:rsidR="00F43B13" w:rsidRPr="00CC1ADD" w:rsidRDefault="00F43B13" w:rsidP="0013165D">
            <w:pPr>
              <w:pStyle w:val="mpcbullets2"/>
              <w:keepNext w:val="0"/>
            </w:pPr>
            <w:r w:rsidRPr="00CC1ADD">
              <w:t>the TAG database, using industry supplied data</w:t>
            </w:r>
          </w:p>
          <w:p w14:paraId="60292BD9" w14:textId="77777777" w:rsidR="00F43B13" w:rsidRPr="00CC1ADD" w:rsidRDefault="00F43B13" w:rsidP="0013165D">
            <w:pPr>
              <w:pStyle w:val="mpcbullets2"/>
              <w:keepNext w:val="0"/>
            </w:pPr>
            <w:r w:rsidRPr="00CC1ADD">
              <w:t xml:space="preserve">the University of Auckland’s New Zealand Nutritrack database </w:t>
            </w:r>
          </w:p>
          <w:p w14:paraId="26840EFB" w14:textId="0AFCB013" w:rsidR="00F43B13" w:rsidRPr="00CC1ADD" w:rsidRDefault="00F43B13" w:rsidP="0013165D">
            <w:pPr>
              <w:pStyle w:val="mpcbullets2"/>
              <w:keepNext w:val="0"/>
            </w:pPr>
            <w:r w:rsidRPr="00CC1ADD">
              <w:t xml:space="preserve">the George Institute’s Australian FoodSwitch database. </w:t>
            </w:r>
          </w:p>
          <w:p w14:paraId="269C41AA" w14:textId="77777777" w:rsidR="00F43B13" w:rsidRPr="00063F3C" w:rsidRDefault="00F43B13" w:rsidP="0013165D">
            <w:pPr>
              <w:pStyle w:val="mpcNormal"/>
              <w:keepNext w:val="0"/>
            </w:pPr>
          </w:p>
          <w:p w14:paraId="538FEECC" w14:textId="23401F50" w:rsidR="00F43B13" w:rsidRPr="00CC1ADD" w:rsidRDefault="00F43B13" w:rsidP="00F720A0">
            <w:pPr>
              <w:pStyle w:val="mpcbullets1"/>
            </w:pPr>
            <w:r w:rsidRPr="00CC1ADD">
              <w:t>A number of stakeholders, including industry and public health organisations, have provided data and information to inform the Review. Where possible, we have used this information to corroborate or supplement modelling and analysis undertaken by the TAG.</w:t>
            </w:r>
          </w:p>
          <w:p w14:paraId="53C8F25B" w14:textId="77777777" w:rsidR="00F43B13" w:rsidRPr="00063F3C" w:rsidRDefault="00F43B13" w:rsidP="0013165D">
            <w:pPr>
              <w:pStyle w:val="mpcNormal"/>
              <w:keepNext w:val="0"/>
            </w:pPr>
          </w:p>
          <w:p w14:paraId="16E7F1BA" w14:textId="2CE7239B" w:rsidR="00F43B13" w:rsidRPr="00063F3C" w:rsidRDefault="00F43B13" w:rsidP="00F720A0">
            <w:pPr>
              <w:pStyle w:val="mpcbullets1"/>
            </w:pPr>
            <w:r w:rsidRPr="00CC1ADD">
              <w:t xml:space="preserve">Much of the discussion in this Report </w:t>
            </w:r>
            <w:r w:rsidR="00D23F54" w:rsidRPr="00CC1ADD">
              <w:t xml:space="preserve">(particularly Chapter 5) </w:t>
            </w:r>
            <w:r w:rsidRPr="00CC1ADD">
              <w:t xml:space="preserve">relies on an understanding of the HSR Calculator and the Guide for Industry. Further information is available at </w:t>
            </w:r>
            <w:r w:rsidRPr="00CC1ADD">
              <w:rPr>
                <w:u w:val="single"/>
              </w:rPr>
              <w:t>Appendix A</w:t>
            </w:r>
            <w:r w:rsidRPr="00CC1ADD">
              <w:t xml:space="preserve"> and on the </w:t>
            </w:r>
            <w:hyperlink r:id="rId38" w:history="1">
              <w:r w:rsidRPr="00CC1ADD">
                <w:rPr>
                  <w:rStyle w:val="Hyperlink"/>
                </w:rPr>
                <w:t>HSR</w:t>
              </w:r>
              <w:r w:rsidR="00744408">
                <w:rPr>
                  <w:rStyle w:val="Hyperlink"/>
                </w:rPr>
                <w:t xml:space="preserve"> System</w:t>
              </w:r>
              <w:r w:rsidRPr="00CC1ADD">
                <w:rPr>
                  <w:rStyle w:val="Hyperlink"/>
                </w:rPr>
                <w:t xml:space="preserve"> website</w:t>
              </w:r>
            </w:hyperlink>
            <w:r w:rsidRPr="00CC1ADD">
              <w:t>.</w:t>
            </w:r>
          </w:p>
        </w:tc>
      </w:tr>
    </w:tbl>
    <w:p w14:paraId="60971CB1" w14:textId="77777777" w:rsidR="00F101DD" w:rsidRDefault="00123A09">
      <w:pPr>
        <w:pStyle w:val="mpcheading1"/>
      </w:pPr>
      <w:r w:rsidRPr="00CC1ADD">
        <w:br w:type="column"/>
      </w:r>
      <w:bookmarkStart w:id="65" w:name="Chapter3"/>
      <w:bookmarkStart w:id="66" w:name="_Toc1746485"/>
      <w:bookmarkEnd w:id="65"/>
      <w:r w:rsidR="00F101DD">
        <w:t>Chapter 3 – Impact of the Health Star Rating System</w:t>
      </w:r>
      <w:bookmarkEnd w:id="66"/>
    </w:p>
    <w:p w14:paraId="203491E9" w14:textId="77777777" w:rsidR="00F101DD" w:rsidRPr="00EB308C" w:rsidRDefault="00F101DD">
      <w:pPr>
        <w:pStyle w:val="mpcheading2"/>
        <w:spacing w:after="0"/>
      </w:pPr>
      <w:bookmarkStart w:id="67" w:name="Summary3"/>
      <w:bookmarkStart w:id="68" w:name="_Toc1746486"/>
      <w:bookmarkEnd w:id="67"/>
      <w:r>
        <w:t>Summary</w:t>
      </w:r>
      <w:bookmarkEnd w:id="68"/>
      <w:r>
        <w:t xml:space="preserve"> </w:t>
      </w:r>
    </w:p>
    <w:p w14:paraId="1BCE68CB" w14:textId="77777777" w:rsidR="00F101DD" w:rsidRPr="00EB308C" w:rsidRDefault="00F101DD">
      <w:pPr>
        <w:rPr>
          <w:sz w:val="22"/>
        </w:rPr>
      </w:pPr>
    </w:p>
    <w:p w14:paraId="589702B8" w14:textId="77777777" w:rsidR="00F101DD" w:rsidRDefault="00F101DD" w:rsidP="0013165D">
      <w:pPr>
        <w:pStyle w:val="mpcNormal"/>
        <w:keepNext w:val="0"/>
      </w:pPr>
      <w:r w:rsidRPr="00DB6AD8">
        <w:t xml:space="preserve">The objective of the HSR </w:t>
      </w:r>
      <w:r>
        <w:t xml:space="preserve">System </w:t>
      </w:r>
      <w:r w:rsidRPr="00DB6AD8">
        <w:t>is:</w:t>
      </w:r>
    </w:p>
    <w:p w14:paraId="345037EB" w14:textId="77777777" w:rsidR="00F101DD" w:rsidRDefault="00F101DD" w:rsidP="0013165D">
      <w:pPr>
        <w:pStyle w:val="mpcNormal"/>
        <w:keepNext w:val="0"/>
      </w:pPr>
    </w:p>
    <w:tbl>
      <w:tblPr>
        <w:tblStyle w:val="TableGrid"/>
        <w:tblW w:w="0" w:type="auto"/>
        <w:tblLook w:val="04A0" w:firstRow="1" w:lastRow="0" w:firstColumn="1" w:lastColumn="0" w:noHBand="0" w:noVBand="1"/>
      </w:tblPr>
      <w:tblGrid>
        <w:gridCol w:w="9736"/>
      </w:tblGrid>
      <w:tr w:rsidR="00F101DD" w14:paraId="70264220" w14:textId="77777777" w:rsidTr="00F101DD">
        <w:trPr>
          <w:trHeight w:val="751"/>
        </w:trPr>
        <w:tc>
          <w:tcPr>
            <w:tcW w:w="9736" w:type="dxa"/>
            <w:tcBorders>
              <w:top w:val="nil"/>
              <w:left w:val="nil"/>
              <w:bottom w:val="nil"/>
              <w:right w:val="nil"/>
            </w:tcBorders>
            <w:shd w:val="clear" w:color="auto" w:fill="D9E2F3" w:themeFill="accent1" w:themeFillTint="33"/>
            <w:vAlign w:val="center"/>
          </w:tcPr>
          <w:p w14:paraId="047DFB81" w14:textId="77777777" w:rsidR="00F101DD" w:rsidRPr="0013165D" w:rsidRDefault="00F101DD" w:rsidP="0013165D">
            <w:pPr>
              <w:pStyle w:val="mpcNormal"/>
              <w:keepNext w:val="0"/>
              <w:jc w:val="center"/>
              <w:rPr>
                <w:rStyle w:val="Emphasis"/>
              </w:rPr>
            </w:pPr>
            <w:r w:rsidRPr="0013165D">
              <w:rPr>
                <w:rStyle w:val="Emphasis"/>
              </w:rPr>
              <w:t>To provide convenient, relevant and readily understood nutrition information and/or guidance on</w:t>
            </w:r>
            <w:r w:rsidRPr="00153CBD">
              <w:rPr>
                <w:rStyle w:val="Emphasis"/>
              </w:rPr>
              <w:t xml:space="preserve"> food packs to assist consumers to make informed food purchases and healthier eating choices</w:t>
            </w:r>
            <w:r w:rsidRPr="0013165D">
              <w:rPr>
                <w:rStyle w:val="Emphasis"/>
              </w:rPr>
              <w:t>.</w:t>
            </w:r>
          </w:p>
        </w:tc>
      </w:tr>
    </w:tbl>
    <w:p w14:paraId="06C3C3A9" w14:textId="77777777" w:rsidR="00F101DD" w:rsidRPr="00DB6AD8" w:rsidRDefault="00F101DD" w:rsidP="0013165D">
      <w:pPr>
        <w:pStyle w:val="mpcNormal"/>
        <w:keepNext w:val="0"/>
      </w:pPr>
    </w:p>
    <w:p w14:paraId="1F35CB97" w14:textId="70DB1140" w:rsidR="00F101DD" w:rsidRPr="004A580D" w:rsidRDefault="00F101DD" w:rsidP="0013165D">
      <w:pPr>
        <w:pStyle w:val="mpcNormal"/>
        <w:keepNext w:val="0"/>
      </w:pPr>
      <w:r w:rsidRPr="004A580D">
        <w:t>To inform an assessment of the impact of the HSR System, the Review considered the results of monitoring undertaken by the NHF in Australia</w:t>
      </w:r>
      <w:r w:rsidR="00F54C40">
        <w:rPr>
          <w:rStyle w:val="FootnoteReference"/>
        </w:rPr>
        <w:footnoteReference w:id="9"/>
      </w:r>
      <w:r w:rsidRPr="004A580D">
        <w:t xml:space="preserve"> and the MPI in New Zealand</w:t>
      </w:r>
      <w:r w:rsidR="00F54C40">
        <w:rPr>
          <w:rStyle w:val="FootnoteReference"/>
        </w:rPr>
        <w:footnoteReference w:id="10"/>
      </w:r>
      <w:r w:rsidRPr="004A580D">
        <w:t xml:space="preserve"> (along with studies by other researchers) to answer the following six key questions.</w:t>
      </w:r>
    </w:p>
    <w:p w14:paraId="6DD0253D" w14:textId="77777777" w:rsidR="00F101DD" w:rsidRPr="004A580D" w:rsidRDefault="00F101DD" w:rsidP="0013165D">
      <w:pPr>
        <w:pStyle w:val="mpcNormal"/>
        <w:keepNext w:val="0"/>
      </w:pPr>
    </w:p>
    <w:p w14:paraId="653176A4" w14:textId="34C78BD9" w:rsidR="00F101DD" w:rsidRDefault="00F101DD" w:rsidP="005A3631">
      <w:pPr>
        <w:pStyle w:val="mpctableheading"/>
      </w:pPr>
      <w:r w:rsidRPr="004A580D">
        <w:t>How many products display the HSR?</w:t>
      </w:r>
    </w:p>
    <w:p w14:paraId="664CC94A" w14:textId="77777777" w:rsidR="00F101DD" w:rsidRPr="004A580D" w:rsidRDefault="00F101DD">
      <w:pPr>
        <w:pStyle w:val="mpctableheading"/>
      </w:pPr>
    </w:p>
    <w:p w14:paraId="35A1578E" w14:textId="7DC8EFAE" w:rsidR="00F101DD" w:rsidRPr="004A580D" w:rsidRDefault="006057F0" w:rsidP="00F720A0">
      <w:pPr>
        <w:pStyle w:val="mpcbullets1"/>
      </w:pPr>
      <w:r>
        <w:t>In 2017-</w:t>
      </w:r>
      <w:r w:rsidR="00F101DD" w:rsidRPr="004A580D">
        <w:t>18, the HSR appeared on approximately 3</w:t>
      </w:r>
      <w:r w:rsidR="00A337CA">
        <w:t>1</w:t>
      </w:r>
      <w:r w:rsidR="00F101DD" w:rsidRPr="004A580D">
        <w:t xml:space="preserve">% of eligible products (5,448 products) in Australia and 21% of eligible products (2,997 products) in New Zealand. </w:t>
      </w:r>
    </w:p>
    <w:p w14:paraId="09A8C499" w14:textId="65807D36" w:rsidR="00F101DD" w:rsidRPr="004A580D" w:rsidRDefault="00F101DD" w:rsidP="00F720A0">
      <w:pPr>
        <w:pStyle w:val="mpcbullets1"/>
      </w:pPr>
      <w:r w:rsidRPr="004A580D">
        <w:t xml:space="preserve">This has increased from </w:t>
      </w:r>
      <w:r w:rsidR="00FB7FB0">
        <w:t>3</w:t>
      </w:r>
      <w:r w:rsidRPr="004A580D">
        <w:t xml:space="preserve">% of eligible products in Australia and </w:t>
      </w:r>
      <w:r w:rsidR="00FB7FB0">
        <w:t>less than 1</w:t>
      </w:r>
      <w:r w:rsidRPr="004A580D">
        <w:t xml:space="preserve">% of eligible products in New Zealand in </w:t>
      </w:r>
      <w:r w:rsidR="00FB7FB0">
        <w:t>2014-</w:t>
      </w:r>
      <w:r w:rsidR="00FB7FB0" w:rsidRPr="004A580D">
        <w:t>15</w:t>
      </w:r>
      <w:r w:rsidRPr="004A580D">
        <w:t>.</w:t>
      </w:r>
    </w:p>
    <w:p w14:paraId="2A8AC52D" w14:textId="77777777" w:rsidR="00F101DD" w:rsidRPr="004A580D" w:rsidRDefault="00F101DD" w:rsidP="00F720A0">
      <w:pPr>
        <w:pStyle w:val="mpcbullets1"/>
      </w:pPr>
      <w:r w:rsidRPr="004A580D">
        <w:t>While this increase demonstrates a promising trend, there is more work to be done in increasing uptake of the HSR System such that it is consistently used on a wide range of products.</w:t>
      </w:r>
    </w:p>
    <w:p w14:paraId="28BB0D8A" w14:textId="77777777" w:rsidR="00F101DD" w:rsidRPr="004A580D" w:rsidRDefault="00F101DD" w:rsidP="0013165D">
      <w:pPr>
        <w:pStyle w:val="mpcNormal"/>
        <w:keepNext w:val="0"/>
      </w:pPr>
    </w:p>
    <w:p w14:paraId="2B0337D5" w14:textId="0EBDB03D" w:rsidR="00F101DD" w:rsidRDefault="00F101DD">
      <w:pPr>
        <w:pStyle w:val="mpctableheading"/>
      </w:pPr>
      <w:r w:rsidRPr="00F101DD">
        <w:t>Are the displayed HSRs accurate (against the HSR System guidance materials) and appropriate (compared with Dietary Guidelines)?</w:t>
      </w:r>
    </w:p>
    <w:p w14:paraId="35FF8A02" w14:textId="77777777" w:rsidR="00F101DD" w:rsidRPr="00F101DD" w:rsidRDefault="00F101DD">
      <w:pPr>
        <w:pStyle w:val="mpctableheading"/>
      </w:pPr>
    </w:p>
    <w:p w14:paraId="3581B1E8" w14:textId="77777777" w:rsidR="00F101DD" w:rsidRDefault="00F101DD" w:rsidP="00F720A0">
      <w:pPr>
        <w:pStyle w:val="mpcbullets1"/>
      </w:pPr>
      <w:r>
        <w:t>For</w:t>
      </w:r>
      <w:r w:rsidRPr="004A580D">
        <w:t xml:space="preserve"> products displaying the HSR, </w:t>
      </w:r>
      <w:r>
        <w:t>there is strong compliance with the HSR System guidance and strong alignment with Dietary Guidelines.</w:t>
      </w:r>
    </w:p>
    <w:p w14:paraId="4B92EEB7" w14:textId="3B96B639" w:rsidR="00F101DD" w:rsidRDefault="00FB7FB0" w:rsidP="0013165D">
      <w:pPr>
        <w:pStyle w:val="mpcbullets2"/>
        <w:keepNext w:val="0"/>
      </w:pPr>
      <w:r>
        <w:t>In Australia, a</w:t>
      </w:r>
      <w:r w:rsidR="00F101DD" w:rsidRPr="004A580D">
        <w:t>pproximately 90% display the correct HSR, with 5% of manufacturers overstating it and 5% understating it</w:t>
      </w:r>
      <w:r w:rsidR="00F101DD" w:rsidRPr="00E95B2D">
        <w:t>, generally only</w:t>
      </w:r>
      <w:r w:rsidR="00F101DD" w:rsidRPr="004A580D">
        <w:t xml:space="preserve"> by 0.5 stars. </w:t>
      </w:r>
    </w:p>
    <w:p w14:paraId="5EDCCFB9" w14:textId="0BE94EBE" w:rsidR="00F101DD" w:rsidRPr="004A580D" w:rsidRDefault="00F101DD" w:rsidP="0013165D">
      <w:pPr>
        <w:pStyle w:val="mpcbullets2"/>
        <w:keepNext w:val="0"/>
      </w:pPr>
      <w:r w:rsidRPr="004A580D">
        <w:t>FFG foods scor</w:t>
      </w:r>
      <w:r>
        <w:t>e</w:t>
      </w:r>
      <w:r w:rsidRPr="004A580D">
        <w:t xml:space="preserve"> an average HSR of 4 and discretionary foods scor</w:t>
      </w:r>
      <w:r>
        <w:t>e</w:t>
      </w:r>
      <w:r w:rsidRPr="004A580D">
        <w:t xml:space="preserve"> an average HSR of 2</w:t>
      </w:r>
      <w:r w:rsidR="006057F0">
        <w:t>, indicating good alignment with Dietary Guidelines</w:t>
      </w:r>
      <w:r w:rsidRPr="004A580D">
        <w:t>.</w:t>
      </w:r>
      <w:r w:rsidRPr="004A580D">
        <w:rPr>
          <w:vertAlign w:val="superscript"/>
        </w:rPr>
        <w:footnoteReference w:id="11"/>
      </w:r>
      <w:r>
        <w:t xml:space="preserve"> </w:t>
      </w:r>
      <w:r w:rsidRPr="004A580D">
        <w:t xml:space="preserve">The HSR System enhancements proposed in Chapter 5 are designed to further improve alignment with Dietary Guidelines. </w:t>
      </w:r>
    </w:p>
    <w:p w14:paraId="5819E5F7" w14:textId="77777777" w:rsidR="00F101DD" w:rsidRPr="004A580D" w:rsidRDefault="00F101DD" w:rsidP="0013165D">
      <w:pPr>
        <w:pStyle w:val="mpcNormal"/>
        <w:keepNext w:val="0"/>
      </w:pPr>
    </w:p>
    <w:p w14:paraId="749814EF" w14:textId="275E4199" w:rsidR="00F101DD" w:rsidRDefault="00F101DD" w:rsidP="0013165D">
      <w:pPr>
        <w:pStyle w:val="mpcheading4"/>
        <w:keepNext w:val="0"/>
      </w:pPr>
      <w:r w:rsidRPr="00F101DD">
        <w:t>Are consumers aware of the HSR and how to use it?</w:t>
      </w:r>
    </w:p>
    <w:p w14:paraId="6607605F" w14:textId="77777777" w:rsidR="00F101DD" w:rsidRPr="00F101DD" w:rsidRDefault="00F101DD" w:rsidP="0013165D">
      <w:pPr>
        <w:pStyle w:val="mpcNormal"/>
        <w:keepNext w:val="0"/>
      </w:pPr>
    </w:p>
    <w:p w14:paraId="09681DB9" w14:textId="77777777" w:rsidR="00F101DD" w:rsidRDefault="00F101DD" w:rsidP="00F720A0">
      <w:pPr>
        <w:pStyle w:val="mpcbullets1"/>
      </w:pPr>
      <w:r w:rsidRPr="004A580D">
        <w:t xml:space="preserve">Consumer awareness and understanding of the HSR System is improving. </w:t>
      </w:r>
    </w:p>
    <w:p w14:paraId="7A48F049" w14:textId="77777777" w:rsidR="00F101DD" w:rsidRPr="004A580D" w:rsidRDefault="00F101DD" w:rsidP="0013165D">
      <w:pPr>
        <w:pStyle w:val="mpcbullets2"/>
        <w:keepNext w:val="0"/>
      </w:pPr>
      <w:r>
        <w:t xml:space="preserve">Surveys show that </w:t>
      </w:r>
      <w:r w:rsidRPr="004A580D">
        <w:t xml:space="preserve">83% of Australian consumers and 76% of New Zealand consumers are aware of the HSR System when prompted. </w:t>
      </w:r>
    </w:p>
    <w:p w14:paraId="5B37158E" w14:textId="4A161D82" w:rsidR="00F101DD" w:rsidRDefault="00F101DD" w:rsidP="00F720A0">
      <w:pPr>
        <w:pStyle w:val="mpcbullets1"/>
      </w:pPr>
      <w:r w:rsidRPr="004A580D">
        <w:t>Most Australian and New Zealand consumers view the HSR as easy to understand (7</w:t>
      </w:r>
      <w:r w:rsidR="00014C55">
        <w:t>7</w:t>
      </w:r>
      <w:r w:rsidRPr="004A580D">
        <w:t>% in Australia and 6</w:t>
      </w:r>
      <w:r w:rsidR="00FB7FB0">
        <w:t>3</w:t>
      </w:r>
      <w:r w:rsidRPr="004A580D">
        <w:t>% in New Zealand), easy to use (7</w:t>
      </w:r>
      <w:r w:rsidR="00014C55">
        <w:t>0</w:t>
      </w:r>
      <w:r w:rsidRPr="004A580D">
        <w:t>% in Australia) and making it easier to decide which packaged foods are healthier (6</w:t>
      </w:r>
      <w:r w:rsidR="00FB7FB0">
        <w:t>1</w:t>
      </w:r>
      <w:r w:rsidRPr="004A580D">
        <w:t>% in New Zealand).</w:t>
      </w:r>
    </w:p>
    <w:p w14:paraId="23350E96" w14:textId="0F8120C7" w:rsidR="00E47909" w:rsidRDefault="00F101DD" w:rsidP="00F720A0">
      <w:pPr>
        <w:pStyle w:val="mpcbullets1"/>
      </w:pPr>
      <w:r>
        <w:t xml:space="preserve">By contrast, </w:t>
      </w:r>
      <w:r w:rsidR="006057F0">
        <w:t xml:space="preserve">HSR graphic Option 5, </w:t>
      </w:r>
      <w:r>
        <w:t>the energy icon is not well understood</w:t>
      </w:r>
      <w:r w:rsidR="00E47909">
        <w:t>.</w:t>
      </w:r>
    </w:p>
    <w:p w14:paraId="2DFDAE49" w14:textId="33B8FE39" w:rsidR="00E47909" w:rsidRDefault="00E47909" w:rsidP="0013165D">
      <w:pPr>
        <w:pStyle w:val="mpcbullets2"/>
        <w:keepNext w:val="0"/>
        <w:ind w:left="850"/>
      </w:pPr>
      <w:r>
        <w:t>O</w:t>
      </w:r>
      <w:r w:rsidR="00F101DD">
        <w:t xml:space="preserve">nly 4% of Australian consumers find it provides sufficient information. </w:t>
      </w:r>
    </w:p>
    <w:p w14:paraId="6B42DE4C" w14:textId="3FFC7AB8" w:rsidR="00F101DD" w:rsidRDefault="00E47909" w:rsidP="0013165D">
      <w:pPr>
        <w:pStyle w:val="mpcbullets2"/>
        <w:keepNext w:val="0"/>
        <w:ind w:left="850"/>
      </w:pPr>
      <w:r>
        <w:t>W</w:t>
      </w:r>
      <w:r w:rsidR="00F101DD" w:rsidRPr="004A580D">
        <w:t xml:space="preserve">ithin </w:t>
      </w:r>
      <w:r w:rsidR="00F101DD">
        <w:t>the confectionery and non-dairy beverage categories</w:t>
      </w:r>
      <w:r w:rsidR="00F101DD" w:rsidRPr="004A580D">
        <w:t>, both the stars and energy icon are used</w:t>
      </w:r>
      <w:r w:rsidR="00E95B2D">
        <w:t>,</w:t>
      </w:r>
      <w:r>
        <w:t xml:space="preserve"> </w:t>
      </w:r>
      <w:r w:rsidR="00F720A0">
        <w:t>with</w:t>
      </w:r>
      <w:r>
        <w:t xml:space="preserve"> the energy value based on various serve sizes</w:t>
      </w:r>
      <w:r w:rsidR="00F720A0">
        <w:t>,</w:t>
      </w:r>
      <w:r w:rsidR="00F101DD" w:rsidRPr="004A580D">
        <w:t xml:space="preserve"> making it difficult for consumers to compare like products.</w:t>
      </w:r>
    </w:p>
    <w:p w14:paraId="7F56F128" w14:textId="0AF1E020" w:rsidR="00F101DD" w:rsidRPr="004A580D" w:rsidRDefault="00F101DD" w:rsidP="00F720A0">
      <w:pPr>
        <w:pStyle w:val="mpcbullets1"/>
      </w:pPr>
      <w:r w:rsidRPr="004A580D">
        <w:t xml:space="preserve">To best support consumers, the Review recommends that the </w:t>
      </w:r>
      <w:r w:rsidR="00F720A0">
        <w:t xml:space="preserve">HSR graphics with </w:t>
      </w:r>
      <w:r w:rsidRPr="004A580D">
        <w:t xml:space="preserve">stars be displayed on products rather than the </w:t>
      </w:r>
      <w:r w:rsidR="00FB7FB0">
        <w:t xml:space="preserve">Option 5, the </w:t>
      </w:r>
      <w:r w:rsidRPr="004A580D">
        <w:t>energy icon.</w:t>
      </w:r>
    </w:p>
    <w:p w14:paraId="456E8CEF" w14:textId="77777777" w:rsidR="00F101DD" w:rsidRPr="004A580D" w:rsidRDefault="00F101DD" w:rsidP="006B0997">
      <w:pPr>
        <w:pStyle w:val="mpcNormal"/>
        <w:keepNext w:val="0"/>
      </w:pPr>
    </w:p>
    <w:p w14:paraId="3D217AFA" w14:textId="44091BE4" w:rsidR="00F101DD" w:rsidRDefault="00F101DD">
      <w:pPr>
        <w:pStyle w:val="mpctableheading"/>
      </w:pPr>
      <w:r w:rsidRPr="004A580D">
        <w:t>Do consumers trust the HSR System?</w:t>
      </w:r>
    </w:p>
    <w:p w14:paraId="2C7FCB94" w14:textId="77777777" w:rsidR="00F101DD" w:rsidRPr="004A580D" w:rsidRDefault="00F101DD">
      <w:pPr>
        <w:pStyle w:val="mpctableheading"/>
      </w:pPr>
    </w:p>
    <w:p w14:paraId="2C55691F" w14:textId="7C02FDEE" w:rsidR="00E47909" w:rsidRDefault="00E47909" w:rsidP="00F720A0">
      <w:pPr>
        <w:pStyle w:val="mpcbullets1"/>
      </w:pPr>
      <w:r>
        <w:t xml:space="preserve">Consumer trust and confidence in the HSR System is higher in Australia than in New Zealand. </w:t>
      </w:r>
    </w:p>
    <w:p w14:paraId="49F5A0A6" w14:textId="17E57F92" w:rsidR="00E47909" w:rsidRDefault="00F101DD" w:rsidP="0013165D">
      <w:pPr>
        <w:pStyle w:val="mpcbullets2"/>
        <w:keepNext w:val="0"/>
      </w:pPr>
      <w:r w:rsidRPr="004A580D">
        <w:t>58% of consumers in Australia and 40% of consumers in New Zealand report that they trust the HSR System</w:t>
      </w:r>
      <w:r w:rsidR="00E47909">
        <w:t>.</w:t>
      </w:r>
    </w:p>
    <w:p w14:paraId="2D804369" w14:textId="346956E1" w:rsidR="00F101DD" w:rsidRPr="004A580D" w:rsidRDefault="00F101DD" w:rsidP="0013165D">
      <w:pPr>
        <w:pStyle w:val="mpcbullets2"/>
        <w:keepNext w:val="0"/>
      </w:pPr>
      <w:r w:rsidRPr="004A580D">
        <w:t>67% of Australian consumers</w:t>
      </w:r>
      <w:r w:rsidR="00FB7FB0">
        <w:t xml:space="preserve"> report</w:t>
      </w:r>
      <w:r w:rsidRPr="004A580D">
        <w:t xml:space="preserve"> </w:t>
      </w:r>
      <w:r w:rsidR="00FB7FB0" w:rsidRPr="004A580D">
        <w:t>they have confidence in the HSR System</w:t>
      </w:r>
      <w:r w:rsidRPr="004A580D">
        <w:t>.</w:t>
      </w:r>
    </w:p>
    <w:p w14:paraId="2CA6CD4A" w14:textId="4836C982" w:rsidR="00F101DD" w:rsidRPr="004A580D" w:rsidRDefault="00F101DD" w:rsidP="00F720A0">
      <w:pPr>
        <w:pStyle w:val="mpcbullets1"/>
      </w:pPr>
      <w:r w:rsidRPr="004A580D">
        <w:t>To support continued increase in consumer confidence, the Review proposes a number of improvements, along with continu</w:t>
      </w:r>
      <w:r w:rsidR="00E47909">
        <w:t>ed, targeted</w:t>
      </w:r>
      <w:r w:rsidRPr="004A580D">
        <w:t xml:space="preserve"> promotion and a more responsive approach when issues are identified (refer Chapters 4 and 6).</w:t>
      </w:r>
    </w:p>
    <w:p w14:paraId="161E67ED" w14:textId="77777777" w:rsidR="00F101DD" w:rsidRPr="004A580D" w:rsidRDefault="00F101DD" w:rsidP="0013165D">
      <w:pPr>
        <w:pStyle w:val="mpcNormal"/>
        <w:keepNext w:val="0"/>
      </w:pPr>
    </w:p>
    <w:p w14:paraId="2785B2FC" w14:textId="3DB1A6C3" w:rsidR="00F101DD" w:rsidRDefault="00F101DD">
      <w:pPr>
        <w:pStyle w:val="mpctableheading"/>
      </w:pPr>
      <w:r w:rsidRPr="00E37AA3">
        <w:t>Is the HSR influencing the purchasing decisions of consumers?</w:t>
      </w:r>
    </w:p>
    <w:p w14:paraId="635750F1" w14:textId="77777777" w:rsidR="00F101DD" w:rsidRPr="00E37AA3" w:rsidRDefault="00F101DD">
      <w:pPr>
        <w:pStyle w:val="mpctableheading"/>
      </w:pPr>
    </w:p>
    <w:p w14:paraId="4F3036C0" w14:textId="77777777" w:rsidR="00F101DD" w:rsidRPr="004A580D" w:rsidRDefault="00F101DD" w:rsidP="00F720A0">
      <w:pPr>
        <w:pStyle w:val="mpcbullets1"/>
      </w:pPr>
      <w:r w:rsidRPr="004A580D">
        <w:t>The most compelling evidence of the impact of the HSR is the number of consumers who report that it has influenced them to purchase a healthier product.</w:t>
      </w:r>
    </w:p>
    <w:p w14:paraId="5BD8784C" w14:textId="3CD5E68E" w:rsidR="008C5CBA" w:rsidRPr="00275BD2" w:rsidRDefault="00AC4A48" w:rsidP="00F720A0">
      <w:pPr>
        <w:pStyle w:val="mpcbullets2"/>
        <w:keepNext w:val="0"/>
        <w:rPr>
          <w:lang w:bidi="ar-DZ"/>
        </w:rPr>
      </w:pPr>
      <w:r>
        <w:t xml:space="preserve">Monitoring in Australia found that </w:t>
      </w:r>
      <w:r w:rsidRPr="004A22EE">
        <w:t xml:space="preserve">70% of consumers recalled purchasing a product displaying the HSR in the last three months. Of these, </w:t>
      </w:r>
      <w:r w:rsidR="008C5CBA">
        <w:t>almost</w:t>
      </w:r>
      <w:r w:rsidR="008C5CBA" w:rsidRPr="004A22EE">
        <w:t xml:space="preserve"> two thirds stated </w:t>
      </w:r>
      <w:r w:rsidR="008C5CBA">
        <w:t xml:space="preserve">that </w:t>
      </w:r>
      <w:r w:rsidR="008C5CBA" w:rsidRPr="004A22EE">
        <w:t>the HSR influenced their decision</w:t>
      </w:r>
      <w:r w:rsidR="008C5CBA">
        <w:t xml:space="preserve"> and one</w:t>
      </w:r>
      <w:r w:rsidR="008C5CBA" w:rsidRPr="004A22EE">
        <w:t xml:space="preserve"> third </w:t>
      </w:r>
      <w:r w:rsidR="008C5CBA" w:rsidRPr="004A22EE">
        <w:rPr>
          <w:lang w:bidi="ar-DZ"/>
        </w:rPr>
        <w:t>were influenced to purchase a product with more stars. This equates to 23% of all consumers being influenced by the HSR to change their purchasing behaviour to purchase a product with more stars.</w:t>
      </w:r>
      <w:r w:rsidR="008C5CBA" w:rsidRPr="00275BD2">
        <w:rPr>
          <w:lang w:bidi="ar-DZ"/>
        </w:rPr>
        <w:t xml:space="preserve">  </w:t>
      </w:r>
    </w:p>
    <w:p w14:paraId="383DDCE1" w14:textId="31F1DD96" w:rsidR="00F101DD" w:rsidRPr="004A580D" w:rsidRDefault="00F101DD" w:rsidP="0013165D">
      <w:pPr>
        <w:pStyle w:val="mpcbullets2"/>
        <w:keepNext w:val="0"/>
      </w:pPr>
      <w:r w:rsidRPr="004A580D">
        <w:t>Research published in 2017</w:t>
      </w:r>
      <w:r w:rsidR="00014C55">
        <w:rPr>
          <w:rStyle w:val="FootnoteReference"/>
        </w:rPr>
        <w:footnoteReference w:id="12"/>
      </w:r>
      <w:r w:rsidRPr="004A580D">
        <w:t xml:space="preserve"> similarly found that more than three in five Australians who bought a product with the HSR reported that it had influenced their product choice. One in two purchased a product they would not normally buy due to the presence of the HSR and close to nine in 10 of these shoppers said they would continue to buy the product</w:t>
      </w:r>
      <w:r>
        <w:t>.</w:t>
      </w:r>
    </w:p>
    <w:p w14:paraId="384F6B85" w14:textId="5B3248B1" w:rsidR="00F101DD" w:rsidRDefault="00F101DD" w:rsidP="0013165D">
      <w:pPr>
        <w:pStyle w:val="mpcbullets2"/>
        <w:keepNext w:val="0"/>
      </w:pPr>
      <w:r w:rsidRPr="004A580D">
        <w:t>In New Zealand</w:t>
      </w:r>
      <w:r>
        <w:t>,</w:t>
      </w:r>
      <w:r w:rsidRPr="004A580D">
        <w:t xml:space="preserve"> 28% of surveyed consumers report using the HSR to help choose packaged food, with 88% choosing the product with more stars.</w:t>
      </w:r>
    </w:p>
    <w:p w14:paraId="59DCA79B" w14:textId="77777777" w:rsidR="00F101DD" w:rsidRPr="004A580D" w:rsidRDefault="00F101DD" w:rsidP="0013165D">
      <w:pPr>
        <w:pStyle w:val="mpcNormal"/>
        <w:keepNext w:val="0"/>
      </w:pPr>
    </w:p>
    <w:p w14:paraId="0116BA6E" w14:textId="2638FE8E" w:rsidR="00F101DD" w:rsidRDefault="00F101DD">
      <w:pPr>
        <w:pStyle w:val="mpctableheading"/>
      </w:pPr>
      <w:r w:rsidRPr="004A580D">
        <w:t>Are manufacturers reformulating products in response to the HSR System?</w:t>
      </w:r>
    </w:p>
    <w:p w14:paraId="69DF0E73" w14:textId="77777777" w:rsidR="00F101DD" w:rsidRPr="004A580D" w:rsidRDefault="00F101DD">
      <w:pPr>
        <w:pStyle w:val="mpctableheading"/>
      </w:pPr>
    </w:p>
    <w:p w14:paraId="2CFE6F89" w14:textId="2531050D" w:rsidR="00555968" w:rsidRPr="00AC4A48" w:rsidRDefault="00F117C1" w:rsidP="00F720A0">
      <w:pPr>
        <w:pStyle w:val="mpcbullets1"/>
      </w:pPr>
      <w:r w:rsidRPr="00AC4A48">
        <w:t xml:space="preserve">Analysis of products in Australia showed that those displaying the HSR had </w:t>
      </w:r>
      <w:r w:rsidR="006C6A0E" w:rsidRPr="00AC4A48">
        <w:t>statistically</w:t>
      </w:r>
      <w:r w:rsidRPr="00AC4A48">
        <w:t xml:space="preserve"> significant reductions in energy and saturated fat content over the four years since the System was introduced compared to those not displaying the HSR</w:t>
      </w:r>
      <w:r w:rsidR="00AC4A48">
        <w:t xml:space="preserve"> (which showed no significant reductions in these components)</w:t>
      </w:r>
      <w:r w:rsidRPr="00AC4A48">
        <w:t>.</w:t>
      </w:r>
      <w:r w:rsidR="00AC4A48">
        <w:t xml:space="preserve"> This indicates that the HSR System is leading to some voluntary reformulation.</w:t>
      </w:r>
    </w:p>
    <w:p w14:paraId="5FFACE9F" w14:textId="738A41BC" w:rsidR="00F101DD" w:rsidRDefault="00F101DD" w:rsidP="00F720A0">
      <w:pPr>
        <w:pStyle w:val="mpcbullets1"/>
      </w:pPr>
      <w:r>
        <w:t>Analysis of 929 products displaying the HSR in New Zealand shows that 79% have been reformulated since 2014 to change at least one key nutrient (energy, saturated fat, sugar, sodium, protein or fibre) by a minimum of 5%.</w:t>
      </w:r>
      <w:r w:rsidR="00FB7FB0">
        <w:t xml:space="preserve"> Although this could not be attributed solely to the HSR System.</w:t>
      </w:r>
    </w:p>
    <w:p w14:paraId="33D5A09A" w14:textId="1A08B353" w:rsidR="00F101DD" w:rsidRPr="004A580D" w:rsidRDefault="00FB7FB0" w:rsidP="00F720A0">
      <w:pPr>
        <w:pStyle w:val="mpcbullets1"/>
      </w:pPr>
      <w:r>
        <w:t>These results are</w:t>
      </w:r>
      <w:r w:rsidR="00F101DD">
        <w:t xml:space="preserve"> consistent with f</w:t>
      </w:r>
      <w:r w:rsidR="00F101DD" w:rsidRPr="004A580D">
        <w:t xml:space="preserve">eedback from industry </w:t>
      </w:r>
      <w:r w:rsidR="00F101DD">
        <w:t xml:space="preserve">and studies in Australia that </w:t>
      </w:r>
      <w:r w:rsidR="00F101DD" w:rsidRPr="004A580D">
        <w:t>ha</w:t>
      </w:r>
      <w:r w:rsidR="00F101DD">
        <w:t xml:space="preserve">ve found </w:t>
      </w:r>
      <w:r w:rsidR="00F101DD" w:rsidRPr="004A580D">
        <w:t>the average energy density of products displaying the HSR was lower post implementation of the HSR System</w:t>
      </w:r>
      <w:r>
        <w:t xml:space="preserve"> compared to products not displaying the HSR</w:t>
      </w:r>
      <w:r w:rsidR="00F101DD" w:rsidRPr="00744408">
        <w:rPr>
          <w:vertAlign w:val="superscript"/>
        </w:rPr>
        <w:footnoteReference w:id="13"/>
      </w:r>
      <w:r w:rsidR="00F101DD" w:rsidRPr="00744408">
        <w:t>.</w:t>
      </w:r>
    </w:p>
    <w:p w14:paraId="257EF609" w14:textId="77777777" w:rsidR="00F101DD" w:rsidRDefault="00F101DD">
      <w:pPr>
        <w:rPr>
          <w:rFonts w:cstheme="minorHAnsi"/>
          <w:sz w:val="22"/>
          <w:szCs w:val="22"/>
        </w:rPr>
      </w:pPr>
    </w:p>
    <w:p w14:paraId="12B172B1" w14:textId="77777777" w:rsidR="00F101DD" w:rsidRPr="004A580D" w:rsidRDefault="00F101DD">
      <w:pPr>
        <w:rPr>
          <w:rFonts w:cstheme="minorHAnsi"/>
          <w:sz w:val="22"/>
          <w:szCs w:val="22"/>
        </w:rPr>
      </w:pPr>
      <w:r w:rsidRPr="004A580D">
        <w:rPr>
          <w:rFonts w:cstheme="minorHAnsi"/>
          <w:sz w:val="22"/>
          <w:szCs w:val="22"/>
        </w:rPr>
        <w:t>Despite challenges in measuring the public health impact of the HSR System, the monitoring data strongly indicates that the System has the potential to be a successful public health intervention by assisting consumers to make healthier choices when choosing packaged foods</w:t>
      </w:r>
      <w:r>
        <w:rPr>
          <w:rFonts w:cstheme="minorHAnsi"/>
          <w:sz w:val="22"/>
          <w:szCs w:val="22"/>
        </w:rPr>
        <w:t>, and by encouraging reformulation of foods to reduce risk nutrients.</w:t>
      </w:r>
    </w:p>
    <w:p w14:paraId="1D90D4FF" w14:textId="77777777" w:rsidR="00744408" w:rsidRPr="004A580D" w:rsidRDefault="00744408" w:rsidP="000A22C3">
      <w:pPr>
        <w:pStyle w:val="mpcNormal"/>
        <w:keepNext w:val="0"/>
      </w:pPr>
    </w:p>
    <w:tbl>
      <w:tblPr>
        <w:tblStyle w:val="TableGrid"/>
        <w:tblW w:w="0" w:type="auto"/>
        <w:tblLook w:val="04A0" w:firstRow="1" w:lastRow="0" w:firstColumn="1" w:lastColumn="0" w:noHBand="0" w:noVBand="1"/>
      </w:tblPr>
      <w:tblGrid>
        <w:gridCol w:w="9736"/>
      </w:tblGrid>
      <w:tr w:rsidR="00F101DD" w:rsidRPr="005F3697" w14:paraId="1C0FBED4" w14:textId="77777777" w:rsidTr="00F101DD">
        <w:trPr>
          <w:trHeight w:val="619"/>
        </w:trPr>
        <w:tc>
          <w:tcPr>
            <w:tcW w:w="9736" w:type="dxa"/>
            <w:shd w:val="clear" w:color="auto" w:fill="D9E2F3" w:themeFill="accent1" w:themeFillTint="33"/>
            <w:vAlign w:val="center"/>
          </w:tcPr>
          <w:p w14:paraId="07993841" w14:textId="2033D27B" w:rsidR="00F101DD" w:rsidRPr="000A22C3" w:rsidRDefault="00744408" w:rsidP="000A22C3">
            <w:pPr>
              <w:pStyle w:val="mpcNormal"/>
              <w:keepNext w:val="0"/>
              <w:rPr>
                <w:b/>
              </w:rPr>
            </w:pPr>
            <w:r w:rsidRPr="000A22C3">
              <w:rPr>
                <w:b/>
              </w:rPr>
              <w:t xml:space="preserve">Recommendation 1: </w:t>
            </w:r>
            <w:r w:rsidRPr="000A22C3">
              <w:rPr>
                <w:b/>
              </w:rPr>
              <w:tab/>
              <w:t>The HSR System be continued.</w:t>
            </w:r>
          </w:p>
        </w:tc>
      </w:tr>
    </w:tbl>
    <w:p w14:paraId="23187ABF" w14:textId="77777777" w:rsidR="00F101DD" w:rsidRPr="00F101DD" w:rsidRDefault="00F101DD" w:rsidP="000A22C3">
      <w:pPr>
        <w:pStyle w:val="mpcNormal"/>
        <w:keepNext w:val="0"/>
      </w:pPr>
    </w:p>
    <w:tbl>
      <w:tblPr>
        <w:tblStyle w:val="TableGrid"/>
        <w:tblW w:w="0" w:type="auto"/>
        <w:tblLook w:val="04A0" w:firstRow="1" w:lastRow="0" w:firstColumn="1" w:lastColumn="0" w:noHBand="0" w:noVBand="1"/>
      </w:tblPr>
      <w:tblGrid>
        <w:gridCol w:w="9736"/>
      </w:tblGrid>
      <w:tr w:rsidR="00F101DD" w:rsidRPr="005F3697" w14:paraId="45B43545" w14:textId="77777777" w:rsidTr="00F101DD">
        <w:trPr>
          <w:trHeight w:val="705"/>
        </w:trPr>
        <w:tc>
          <w:tcPr>
            <w:tcW w:w="9736" w:type="dxa"/>
            <w:shd w:val="clear" w:color="auto" w:fill="D9E2F3" w:themeFill="accent1" w:themeFillTint="33"/>
            <w:vAlign w:val="center"/>
          </w:tcPr>
          <w:p w14:paraId="7D29BFE8" w14:textId="1822BCF9" w:rsidR="00F101DD" w:rsidRPr="000A22C3" w:rsidRDefault="00744408" w:rsidP="000A22C3">
            <w:pPr>
              <w:pStyle w:val="mpcNormal"/>
              <w:keepNext w:val="0"/>
              <w:rPr>
                <w:b/>
              </w:rPr>
            </w:pPr>
            <w:r w:rsidRPr="000A22C3">
              <w:rPr>
                <w:b/>
              </w:rPr>
              <w:t xml:space="preserve">Recommendation 2: </w:t>
            </w:r>
            <w:r w:rsidRPr="000A22C3">
              <w:rPr>
                <w:b/>
              </w:rPr>
              <w:tab/>
            </w:r>
            <w:r w:rsidR="00E060E2">
              <w:rPr>
                <w:b/>
              </w:rPr>
              <w:t>HSR graphic Option 5, the energy icon, be removed from the HSR System.</w:t>
            </w:r>
          </w:p>
        </w:tc>
      </w:tr>
    </w:tbl>
    <w:p w14:paraId="432BDFA0" w14:textId="77777777" w:rsidR="00744408" w:rsidRPr="00E40FB1" w:rsidRDefault="00744408" w:rsidP="000A22C3">
      <w:pPr>
        <w:pStyle w:val="mpcNormal"/>
        <w:keepNext w:val="0"/>
      </w:pPr>
    </w:p>
    <w:p w14:paraId="359114FD" w14:textId="7672E575" w:rsidR="00F101DD" w:rsidRPr="006E651C" w:rsidRDefault="00F101DD" w:rsidP="000A22C3">
      <w:pPr>
        <w:pStyle w:val="mpcheading2"/>
        <w:spacing w:after="0"/>
      </w:pPr>
      <w:bookmarkStart w:id="69" w:name="Uptake"/>
      <w:bookmarkStart w:id="70" w:name="_Toc1746487"/>
      <w:bookmarkEnd w:id="69"/>
      <w:r w:rsidRPr="003873E6">
        <w:t>Uptake of the HSR and consistency with the HSR System guidance</w:t>
      </w:r>
      <w:bookmarkEnd w:id="70"/>
      <w:r w:rsidRPr="003873E6">
        <w:t xml:space="preserve"> </w:t>
      </w:r>
    </w:p>
    <w:p w14:paraId="19DEF039" w14:textId="77777777" w:rsidR="00F101DD" w:rsidRDefault="00F101DD" w:rsidP="005A3631">
      <w:pPr>
        <w:rPr>
          <w:rFonts w:cstheme="minorHAnsi"/>
          <w:sz w:val="22"/>
          <w:szCs w:val="22"/>
        </w:rPr>
      </w:pPr>
    </w:p>
    <w:p w14:paraId="18B28B08" w14:textId="2F5F9344" w:rsidR="00F101DD" w:rsidRDefault="00F101DD">
      <w:pPr>
        <w:rPr>
          <w:rFonts w:cstheme="minorHAnsi"/>
          <w:sz w:val="22"/>
          <w:szCs w:val="22"/>
        </w:rPr>
      </w:pPr>
      <w:r w:rsidRPr="006E651C">
        <w:rPr>
          <w:rFonts w:cstheme="minorHAnsi"/>
          <w:sz w:val="22"/>
          <w:szCs w:val="22"/>
        </w:rPr>
        <w:t>Unless otherwise indicated</w:t>
      </w:r>
      <w:r>
        <w:rPr>
          <w:rFonts w:cstheme="minorHAnsi"/>
          <w:sz w:val="22"/>
          <w:szCs w:val="22"/>
        </w:rPr>
        <w:t>,</w:t>
      </w:r>
      <w:r w:rsidRPr="006E651C">
        <w:rPr>
          <w:rFonts w:cstheme="minorHAnsi"/>
          <w:sz w:val="22"/>
          <w:szCs w:val="22"/>
        </w:rPr>
        <w:t xml:space="preserve"> the data referenced in this Chapter is drawn from:</w:t>
      </w:r>
    </w:p>
    <w:p w14:paraId="148C80F5" w14:textId="77777777" w:rsidR="00F101DD" w:rsidRPr="006E651C" w:rsidRDefault="00F101DD">
      <w:pPr>
        <w:rPr>
          <w:rFonts w:cstheme="minorHAnsi"/>
          <w:sz w:val="22"/>
          <w:szCs w:val="22"/>
        </w:rPr>
      </w:pPr>
    </w:p>
    <w:p w14:paraId="6D3C02AE" w14:textId="699F9B42" w:rsidR="00F101DD" w:rsidRPr="00F720A0" w:rsidRDefault="00F101DD" w:rsidP="00F720A0">
      <w:pPr>
        <w:pStyle w:val="mpcbullets1"/>
      </w:pPr>
      <w:r>
        <w:t xml:space="preserve">For Australia – </w:t>
      </w:r>
      <w:r w:rsidRPr="006E651C">
        <w:t>the</w:t>
      </w:r>
      <w:r>
        <w:t xml:space="preserve"> </w:t>
      </w:r>
      <w:r w:rsidRPr="006E651C">
        <w:t xml:space="preserve">NHF </w:t>
      </w:r>
      <w:r w:rsidRPr="00F54C40">
        <w:rPr>
          <w:rStyle w:val="Emphasis"/>
        </w:rPr>
        <w:t>Repor</w:t>
      </w:r>
      <w:r w:rsidRPr="00F720A0">
        <w:rPr>
          <w:rStyle w:val="Emphasis"/>
        </w:rPr>
        <w:t>t on the monitoring of the implementation of the HSR System in the first four years of implementation: June 2014 to June 2018</w:t>
      </w:r>
      <w:r w:rsidRPr="00F720A0">
        <w:rPr>
          <w:rStyle w:val="FootnoteReference"/>
          <w:sz w:val="22"/>
        </w:rPr>
        <w:footnoteReference w:id="14"/>
      </w:r>
      <w:r w:rsidR="00744408" w:rsidRPr="00F720A0">
        <w:t>.</w:t>
      </w:r>
    </w:p>
    <w:p w14:paraId="323FB896" w14:textId="2E206868" w:rsidR="00F101DD" w:rsidRPr="00F720A0" w:rsidRDefault="00F101DD" w:rsidP="00F720A0">
      <w:pPr>
        <w:pStyle w:val="mpcbullets1"/>
      </w:pPr>
      <w:r w:rsidRPr="00F720A0">
        <w:t xml:space="preserve">For New Zealand – the New Zealand Food Safety Technical Report, </w:t>
      </w:r>
      <w:r w:rsidRPr="00F720A0">
        <w:rPr>
          <w:rStyle w:val="Emphasis"/>
        </w:rPr>
        <w:t>Health Star Rating – Monitoring Implementation for the Five Year Review</w:t>
      </w:r>
      <w:r w:rsidRPr="00F720A0">
        <w:rPr>
          <w:rStyle w:val="FootnoteReference"/>
          <w:sz w:val="22"/>
        </w:rPr>
        <w:footnoteReference w:id="15"/>
      </w:r>
      <w:r w:rsidR="00744408" w:rsidRPr="00F720A0">
        <w:t>.</w:t>
      </w:r>
    </w:p>
    <w:p w14:paraId="51991135" w14:textId="1FB8AC9A" w:rsidR="00F101DD" w:rsidRDefault="00F101DD" w:rsidP="000A22C3">
      <w:pPr>
        <w:pStyle w:val="mpcNormal"/>
        <w:keepNext w:val="0"/>
      </w:pPr>
    </w:p>
    <w:p w14:paraId="0AC24526" w14:textId="2031DDA2" w:rsidR="00000D21" w:rsidRDefault="00000D21" w:rsidP="000A22C3">
      <w:pPr>
        <w:pStyle w:val="mpcNormal"/>
        <w:keepNext w:val="0"/>
      </w:pPr>
      <w:r w:rsidRPr="000A22C3">
        <w:t>Noting that these reports cover the period from implementation of the HSR System in 2014 to June 2018, there is a lag in the</w:t>
      </w:r>
      <w:r w:rsidR="00F720A0">
        <w:t xml:space="preserve"> formal monitoring</w:t>
      </w:r>
      <w:r w:rsidRPr="000A22C3">
        <w:t xml:space="preserve"> data </w:t>
      </w:r>
      <w:r w:rsidR="00F720A0">
        <w:t>available to the Review</w:t>
      </w:r>
      <w:r w:rsidRPr="000A22C3">
        <w:t xml:space="preserve">. It is reasonable to expect some figures may have altered in this </w:t>
      </w:r>
      <w:r w:rsidR="0013165D" w:rsidRPr="000A22C3">
        <w:t>timeframe, particularly in relation to uptake.</w:t>
      </w:r>
    </w:p>
    <w:p w14:paraId="34104EB8" w14:textId="72A3CB22" w:rsidR="009B0396" w:rsidRDefault="009B0396" w:rsidP="000A22C3">
      <w:pPr>
        <w:pStyle w:val="mpcNormal"/>
        <w:keepNext w:val="0"/>
      </w:pPr>
    </w:p>
    <w:p w14:paraId="10B4D23D" w14:textId="24ED5365" w:rsidR="009B0396" w:rsidRDefault="009B0396" w:rsidP="000A22C3">
      <w:pPr>
        <w:pStyle w:val="mpcNormal"/>
        <w:keepNext w:val="0"/>
      </w:pPr>
      <w:r w:rsidRPr="009B0396">
        <w:rPr>
          <w:u w:val="single"/>
        </w:rPr>
        <w:t>Appendix B</w:t>
      </w:r>
      <w:r>
        <w:t xml:space="preserve"> provides a summary of the key statistics from these reports.</w:t>
      </w:r>
    </w:p>
    <w:p w14:paraId="0609BC29" w14:textId="77777777" w:rsidR="00000D21" w:rsidRPr="006E651C" w:rsidRDefault="00000D21" w:rsidP="006B0997">
      <w:pPr>
        <w:pStyle w:val="mpcNormal"/>
        <w:keepNext w:val="0"/>
      </w:pPr>
    </w:p>
    <w:p w14:paraId="7835F95D" w14:textId="77777777" w:rsidR="00F101DD" w:rsidRPr="004A580D" w:rsidRDefault="00F101DD" w:rsidP="006B0997">
      <w:pPr>
        <w:pStyle w:val="mpcheading3"/>
      </w:pPr>
      <w:r w:rsidRPr="004A580D">
        <w:t>Uptake of the HSR System</w:t>
      </w:r>
    </w:p>
    <w:p w14:paraId="49AC6031" w14:textId="77777777" w:rsidR="00F101DD" w:rsidRPr="004A580D" w:rsidRDefault="00F101DD" w:rsidP="006B0997">
      <w:pPr>
        <w:rPr>
          <w:rFonts w:cstheme="minorHAnsi"/>
          <w:b/>
          <w:sz w:val="22"/>
          <w:szCs w:val="22"/>
        </w:rPr>
      </w:pPr>
    </w:p>
    <w:p w14:paraId="74F317EE" w14:textId="77777777" w:rsidR="00F101DD" w:rsidRPr="003873E6" w:rsidRDefault="00F101DD" w:rsidP="006B0997">
      <w:pPr>
        <w:rPr>
          <w:rFonts w:cstheme="minorHAnsi"/>
          <w:b/>
          <w:sz w:val="22"/>
          <w:szCs w:val="22"/>
        </w:rPr>
      </w:pPr>
      <w:r w:rsidRPr="003873E6">
        <w:rPr>
          <w:rFonts w:cstheme="minorHAnsi"/>
          <w:b/>
          <w:sz w:val="22"/>
          <w:szCs w:val="22"/>
        </w:rPr>
        <w:t xml:space="preserve">Australia </w:t>
      </w:r>
    </w:p>
    <w:p w14:paraId="2CEA0763" w14:textId="77777777" w:rsidR="00F101DD" w:rsidRDefault="00F101DD" w:rsidP="006B0997">
      <w:pPr>
        <w:rPr>
          <w:rFonts w:cstheme="minorHAnsi"/>
          <w:sz w:val="22"/>
          <w:szCs w:val="22"/>
        </w:rPr>
      </w:pPr>
    </w:p>
    <w:p w14:paraId="584D49C0" w14:textId="527EBF1D" w:rsidR="00000D21" w:rsidRPr="001B5DEE" w:rsidRDefault="00BC2240" w:rsidP="00890BB4">
      <w:pPr>
        <w:pStyle w:val="mpcNormal"/>
        <w:keepNext w:val="0"/>
      </w:pPr>
      <w:r>
        <w:t>Over 2017-</w:t>
      </w:r>
      <w:r w:rsidR="00F101DD" w:rsidRPr="001B5DEE">
        <w:t xml:space="preserve">18, 5,448 products </w:t>
      </w:r>
      <w:r w:rsidR="00F101DD" w:rsidRPr="00153CBD">
        <w:t>displayed</w:t>
      </w:r>
      <w:r w:rsidR="00F101DD" w:rsidRPr="001B5DEE">
        <w:t xml:space="preserve"> the HSR, representing 3</w:t>
      </w:r>
      <w:r w:rsidR="00953ED9">
        <w:t>1</w:t>
      </w:r>
      <w:r w:rsidR="00F101DD" w:rsidRPr="001B5DEE">
        <w:t>% of all eligible products.</w:t>
      </w:r>
      <w:r>
        <w:t xml:space="preserve"> </w:t>
      </w:r>
      <w:r w:rsidR="00000D21" w:rsidRPr="001B5DEE">
        <w:t xml:space="preserve">This has increased from 363 </w:t>
      </w:r>
      <w:r>
        <w:t>(</w:t>
      </w:r>
      <w:r w:rsidR="00F93322">
        <w:t>3</w:t>
      </w:r>
      <w:r>
        <w:t xml:space="preserve">%) </w:t>
      </w:r>
      <w:r w:rsidR="0013165D">
        <w:t xml:space="preserve">of </w:t>
      </w:r>
      <w:r w:rsidR="00000D21" w:rsidRPr="001B5DEE">
        <w:t xml:space="preserve">eligible products displaying the HSR in </w:t>
      </w:r>
      <w:r>
        <w:t>2014-</w:t>
      </w:r>
      <w:r w:rsidR="00000D21" w:rsidRPr="001B5DEE">
        <w:t>15.</w:t>
      </w:r>
      <w:r w:rsidR="00000D21">
        <w:t xml:space="preserve"> </w:t>
      </w:r>
    </w:p>
    <w:p w14:paraId="53F0C493" w14:textId="5393255D" w:rsidR="00F101DD" w:rsidRDefault="00F101DD" w:rsidP="00890BB4">
      <w:pPr>
        <w:pStyle w:val="mpcNormal"/>
        <w:keepNext w:val="0"/>
      </w:pPr>
    </w:p>
    <w:p w14:paraId="2EB7D093" w14:textId="748FB545" w:rsidR="006B0997" w:rsidRPr="006B0997" w:rsidRDefault="006B0997" w:rsidP="006B0997">
      <w:pPr>
        <w:pStyle w:val="mpcNormal"/>
      </w:pPr>
      <w:r w:rsidRPr="006B0997">
        <w:t>This is consistent with a study published in 2018</w:t>
      </w:r>
      <w:r w:rsidRPr="006B0997">
        <w:rPr>
          <w:vertAlign w:val="superscript"/>
        </w:rPr>
        <w:footnoteReference w:id="16"/>
      </w:r>
      <w:r w:rsidRPr="006B0997">
        <w:t xml:space="preserve">, which used the George Institute’s FoodSwitch database to analyse uptake and found that at July 2017, 4,348 out of 15,767 eligible products (28%) displayed the HSR. </w:t>
      </w:r>
    </w:p>
    <w:p w14:paraId="4F0D3FCB" w14:textId="4A5534E0" w:rsidR="006B0997" w:rsidRDefault="006B0997" w:rsidP="00890BB4">
      <w:pPr>
        <w:pStyle w:val="mpcNormal"/>
        <w:keepNext w:val="0"/>
      </w:pPr>
    </w:p>
    <w:p w14:paraId="67018819" w14:textId="597596F2" w:rsidR="00BC2240" w:rsidRDefault="00BC2240" w:rsidP="00890BB4">
      <w:pPr>
        <w:pStyle w:val="mpcNormal"/>
        <w:keepNext w:val="0"/>
      </w:pPr>
      <w:r>
        <w:rPr>
          <w:lang w:bidi="ar-DZ"/>
        </w:rPr>
        <w:t xml:space="preserve">To understand the market penetration of the HSR, uptake is weighted by sales data. </w:t>
      </w:r>
      <w:r>
        <w:t>Based on sales data from Nielsen</w:t>
      </w:r>
      <w:r w:rsidRPr="001B5DEE">
        <w:t>, th</w:t>
      </w:r>
      <w:r>
        <w:t>e products on which the HSR</w:t>
      </w:r>
      <w:r w:rsidRPr="001B5DEE">
        <w:t xml:space="preserve"> </w:t>
      </w:r>
      <w:r>
        <w:t xml:space="preserve">is displayed </w:t>
      </w:r>
      <w:r w:rsidRPr="001B5DEE">
        <w:t>represent 3</w:t>
      </w:r>
      <w:r>
        <w:t>8</w:t>
      </w:r>
      <w:r w:rsidRPr="001B5DEE">
        <w:t>% of all household food purchases.</w:t>
      </w:r>
    </w:p>
    <w:p w14:paraId="636E2C5B" w14:textId="77777777" w:rsidR="00BC2240" w:rsidRPr="001B5DEE" w:rsidRDefault="00BC2240">
      <w:pPr>
        <w:rPr>
          <w:rFonts w:cstheme="minorHAnsi"/>
          <w:sz w:val="22"/>
          <w:szCs w:val="22"/>
        </w:rPr>
      </w:pPr>
    </w:p>
    <w:p w14:paraId="56B2305D" w14:textId="59E1D184" w:rsidR="00F101DD" w:rsidRPr="001B5DEE" w:rsidRDefault="00F101DD">
      <w:pPr>
        <w:rPr>
          <w:rFonts w:cstheme="minorHAnsi"/>
          <w:sz w:val="22"/>
          <w:szCs w:val="22"/>
        </w:rPr>
      </w:pPr>
      <w:r w:rsidRPr="001B5DEE">
        <w:rPr>
          <w:rFonts w:cstheme="minorHAnsi"/>
          <w:sz w:val="22"/>
          <w:szCs w:val="22"/>
        </w:rPr>
        <w:t>Product categories with the highest uptake of the HSR</w:t>
      </w:r>
      <w:r w:rsidR="001177B4">
        <w:rPr>
          <w:rFonts w:cstheme="minorHAnsi"/>
          <w:sz w:val="22"/>
          <w:szCs w:val="22"/>
        </w:rPr>
        <w:t xml:space="preserve"> in Au</w:t>
      </w:r>
      <w:r w:rsidR="00574DAF">
        <w:rPr>
          <w:rFonts w:cstheme="minorHAnsi"/>
          <w:sz w:val="22"/>
          <w:szCs w:val="22"/>
        </w:rPr>
        <w:t>stralia</w:t>
      </w:r>
      <w:r w:rsidRPr="001B5DEE">
        <w:rPr>
          <w:rFonts w:cstheme="minorHAnsi"/>
          <w:sz w:val="22"/>
          <w:szCs w:val="22"/>
        </w:rPr>
        <w:t xml:space="preserve"> are:</w:t>
      </w:r>
    </w:p>
    <w:p w14:paraId="47782E02" w14:textId="6889E2EF" w:rsidR="00A337CA" w:rsidRPr="001B5DEE" w:rsidRDefault="00A337CA">
      <w:pPr>
        <w:rPr>
          <w:rFonts w:cstheme="minorHAnsi"/>
          <w:sz w:val="22"/>
          <w:szCs w:val="22"/>
        </w:rPr>
      </w:pPr>
    </w:p>
    <w:p w14:paraId="0CD3CD5C" w14:textId="6ED42558" w:rsidR="00A337CA" w:rsidRPr="001B5DEE" w:rsidRDefault="00A337CA" w:rsidP="00C3403E">
      <w:pPr>
        <w:pStyle w:val="ListParagraph"/>
        <w:numPr>
          <w:ilvl w:val="0"/>
          <w:numId w:val="39"/>
        </w:numPr>
        <w:rPr>
          <w:rFonts w:eastAsia="Times New Roman" w:cstheme="minorHAnsi"/>
          <w:color w:val="000000"/>
          <w:sz w:val="22"/>
          <w:szCs w:val="22"/>
        </w:rPr>
      </w:pPr>
      <w:r w:rsidRPr="001B5DEE">
        <w:rPr>
          <w:rFonts w:eastAsia="Times New Roman" w:cstheme="minorHAnsi"/>
          <w:color w:val="000000"/>
          <w:sz w:val="22"/>
          <w:szCs w:val="22"/>
        </w:rPr>
        <w:t xml:space="preserve">non-dairy beverages: 608 </w:t>
      </w:r>
      <w:r w:rsidR="001B5DEE" w:rsidRPr="001B5DEE">
        <w:rPr>
          <w:rFonts w:cstheme="minorHAnsi"/>
          <w:sz w:val="22"/>
          <w:szCs w:val="22"/>
        </w:rPr>
        <w:t xml:space="preserve">products </w:t>
      </w:r>
      <w:r w:rsidRPr="001B5DEE">
        <w:rPr>
          <w:rFonts w:eastAsia="Times New Roman" w:cstheme="minorHAnsi"/>
          <w:color w:val="000000"/>
          <w:sz w:val="22"/>
          <w:szCs w:val="22"/>
        </w:rPr>
        <w:t>(11%)</w:t>
      </w:r>
    </w:p>
    <w:p w14:paraId="2C63D673" w14:textId="5BA98DEA" w:rsidR="00A337CA" w:rsidRPr="001B5DEE" w:rsidRDefault="00A337CA" w:rsidP="00C3403E">
      <w:pPr>
        <w:pStyle w:val="ListParagraph"/>
        <w:numPr>
          <w:ilvl w:val="0"/>
          <w:numId w:val="39"/>
        </w:numPr>
        <w:rPr>
          <w:rFonts w:eastAsia="Times New Roman" w:cstheme="minorHAnsi"/>
          <w:color w:val="000000"/>
          <w:sz w:val="22"/>
          <w:szCs w:val="22"/>
        </w:rPr>
      </w:pPr>
      <w:r w:rsidRPr="001B5DEE">
        <w:rPr>
          <w:rFonts w:eastAsia="Times New Roman" w:cstheme="minorHAnsi"/>
          <w:color w:val="000000"/>
          <w:sz w:val="22"/>
          <w:szCs w:val="22"/>
        </w:rPr>
        <w:t xml:space="preserve">processed meat and seafood: 459 </w:t>
      </w:r>
      <w:r w:rsidR="001B5DEE" w:rsidRPr="001B5DEE">
        <w:rPr>
          <w:rFonts w:cstheme="minorHAnsi"/>
          <w:sz w:val="22"/>
          <w:szCs w:val="22"/>
        </w:rPr>
        <w:t xml:space="preserve">products </w:t>
      </w:r>
      <w:r w:rsidRPr="001B5DEE">
        <w:rPr>
          <w:rFonts w:eastAsia="Times New Roman" w:cstheme="minorHAnsi"/>
          <w:color w:val="000000"/>
          <w:sz w:val="22"/>
          <w:szCs w:val="22"/>
        </w:rPr>
        <w:t>(8%)</w:t>
      </w:r>
    </w:p>
    <w:p w14:paraId="0CF64E62" w14:textId="12B6280C" w:rsidR="00F101DD" w:rsidRPr="001B5DEE" w:rsidRDefault="00A337CA" w:rsidP="00F720A0">
      <w:pPr>
        <w:pStyle w:val="mpcbullets1"/>
      </w:pPr>
      <w:r w:rsidRPr="001B5DEE">
        <w:t xml:space="preserve">processed fruits and vegetables including legumes: 386 </w:t>
      </w:r>
      <w:r w:rsidR="001B5DEE" w:rsidRPr="001B5DEE">
        <w:t xml:space="preserve">products </w:t>
      </w:r>
      <w:r w:rsidRPr="001B5DEE">
        <w:t>(7%)</w:t>
      </w:r>
    </w:p>
    <w:p w14:paraId="3C8DD691" w14:textId="712B0642" w:rsidR="00A337CA" w:rsidRPr="001B5DEE" w:rsidRDefault="00A337CA" w:rsidP="00C3403E">
      <w:pPr>
        <w:pStyle w:val="ListParagraph"/>
        <w:numPr>
          <w:ilvl w:val="0"/>
          <w:numId w:val="39"/>
        </w:numPr>
        <w:rPr>
          <w:rFonts w:eastAsia="Times New Roman" w:cstheme="minorHAnsi"/>
          <w:color w:val="000000"/>
          <w:sz w:val="22"/>
          <w:szCs w:val="22"/>
        </w:rPr>
      </w:pPr>
      <w:r w:rsidRPr="001B5DEE">
        <w:rPr>
          <w:rFonts w:eastAsia="Times New Roman" w:cstheme="minorHAnsi"/>
          <w:color w:val="000000"/>
          <w:sz w:val="22"/>
          <w:szCs w:val="22"/>
        </w:rPr>
        <w:t xml:space="preserve">savoury snacks: 381 </w:t>
      </w:r>
      <w:r w:rsidR="001B5DEE" w:rsidRPr="001B5DEE">
        <w:rPr>
          <w:rFonts w:cstheme="minorHAnsi"/>
          <w:sz w:val="22"/>
          <w:szCs w:val="22"/>
        </w:rPr>
        <w:t xml:space="preserve">products </w:t>
      </w:r>
      <w:r w:rsidRPr="001B5DEE">
        <w:rPr>
          <w:rFonts w:eastAsia="Times New Roman" w:cstheme="minorHAnsi"/>
          <w:color w:val="000000"/>
          <w:sz w:val="22"/>
          <w:szCs w:val="22"/>
        </w:rPr>
        <w:t>(7%)</w:t>
      </w:r>
    </w:p>
    <w:p w14:paraId="74E4BB70" w14:textId="1A9C1122" w:rsidR="00A337CA" w:rsidRPr="001B5DEE" w:rsidRDefault="00A337CA" w:rsidP="00C3403E">
      <w:pPr>
        <w:pStyle w:val="ListParagraph"/>
        <w:numPr>
          <w:ilvl w:val="0"/>
          <w:numId w:val="39"/>
        </w:numPr>
        <w:rPr>
          <w:rFonts w:eastAsia="Times New Roman" w:cstheme="minorHAnsi"/>
          <w:color w:val="000000"/>
          <w:sz w:val="22"/>
          <w:szCs w:val="22"/>
        </w:rPr>
      </w:pPr>
      <w:r w:rsidRPr="001B5DEE">
        <w:rPr>
          <w:rFonts w:eastAsia="Times New Roman" w:cstheme="minorHAnsi"/>
          <w:color w:val="000000"/>
          <w:sz w:val="22"/>
          <w:szCs w:val="22"/>
        </w:rPr>
        <w:t xml:space="preserve">dairy products including dairy alternatives: 367 </w:t>
      </w:r>
      <w:r w:rsidR="001B5DEE" w:rsidRPr="001B5DEE">
        <w:rPr>
          <w:rFonts w:cstheme="minorHAnsi"/>
          <w:sz w:val="22"/>
          <w:szCs w:val="22"/>
        </w:rPr>
        <w:t xml:space="preserve">products </w:t>
      </w:r>
      <w:r w:rsidRPr="001B5DEE">
        <w:rPr>
          <w:rFonts w:eastAsia="Times New Roman" w:cstheme="minorHAnsi"/>
          <w:color w:val="000000"/>
          <w:sz w:val="22"/>
          <w:szCs w:val="22"/>
        </w:rPr>
        <w:t>(7%)</w:t>
      </w:r>
    </w:p>
    <w:p w14:paraId="12808A1B" w14:textId="77777777" w:rsidR="00F101DD" w:rsidRPr="001B5DEE" w:rsidRDefault="00F101DD">
      <w:pPr>
        <w:rPr>
          <w:rFonts w:eastAsia="Times New Roman" w:cstheme="minorHAnsi"/>
          <w:color w:val="000000"/>
          <w:sz w:val="22"/>
          <w:szCs w:val="22"/>
        </w:rPr>
      </w:pPr>
      <w:r w:rsidRPr="001B5DEE">
        <w:rPr>
          <w:rFonts w:eastAsia="Times New Roman" w:cstheme="minorHAnsi"/>
          <w:color w:val="000000"/>
          <w:sz w:val="22"/>
          <w:szCs w:val="22"/>
        </w:rPr>
        <w:t> </w:t>
      </w:r>
    </w:p>
    <w:p w14:paraId="683EE840" w14:textId="7124C607" w:rsidR="00F101DD" w:rsidRDefault="00F101DD">
      <w:pPr>
        <w:rPr>
          <w:rFonts w:cstheme="minorHAnsi"/>
          <w:sz w:val="22"/>
          <w:szCs w:val="22"/>
        </w:rPr>
      </w:pPr>
      <w:r w:rsidRPr="001B5DEE">
        <w:rPr>
          <w:rFonts w:cstheme="minorHAnsi"/>
          <w:sz w:val="22"/>
          <w:szCs w:val="22"/>
        </w:rPr>
        <w:t>While 1</w:t>
      </w:r>
      <w:r w:rsidR="00BC2240">
        <w:rPr>
          <w:rFonts w:cstheme="minorHAnsi"/>
          <w:sz w:val="22"/>
          <w:szCs w:val="22"/>
        </w:rPr>
        <w:t>34</w:t>
      </w:r>
      <w:r w:rsidRPr="001B5DEE">
        <w:rPr>
          <w:rFonts w:cstheme="minorHAnsi"/>
          <w:sz w:val="22"/>
          <w:szCs w:val="22"/>
        </w:rPr>
        <w:t xml:space="preserve"> manufacturers are using the HSR, a small number of retailers and manufacturers are responsible for a large proportion of the uptake of the HSR System. Coles, Woolworths and Aldi Private Labels collectively account for 56% of the total uptake and five manufacturers (Simplot Australia, Nestle Australia, Lion, Coca-Cola Amatil and Unilever Australia) collectively account for 1</w:t>
      </w:r>
      <w:r w:rsidR="00953ED9">
        <w:rPr>
          <w:rFonts w:cstheme="minorHAnsi"/>
          <w:sz w:val="22"/>
          <w:szCs w:val="22"/>
        </w:rPr>
        <w:t>6</w:t>
      </w:r>
      <w:r w:rsidRPr="001B5DEE">
        <w:rPr>
          <w:rFonts w:cstheme="minorHAnsi"/>
          <w:sz w:val="22"/>
          <w:szCs w:val="22"/>
        </w:rPr>
        <w:t>% of total uptake.</w:t>
      </w:r>
    </w:p>
    <w:p w14:paraId="5060D32A" w14:textId="77777777" w:rsidR="00F101DD" w:rsidRPr="001B5DEE" w:rsidRDefault="00F101DD" w:rsidP="005A3631">
      <w:pPr>
        <w:rPr>
          <w:rFonts w:cstheme="minorHAnsi"/>
          <w:sz w:val="22"/>
          <w:szCs w:val="22"/>
        </w:rPr>
      </w:pPr>
    </w:p>
    <w:p w14:paraId="2D91CC06" w14:textId="77777777" w:rsidR="00F101DD" w:rsidRPr="001B5DEE" w:rsidRDefault="00F101DD">
      <w:pPr>
        <w:rPr>
          <w:rFonts w:cstheme="minorHAnsi"/>
          <w:b/>
          <w:sz w:val="22"/>
          <w:szCs w:val="22"/>
        </w:rPr>
      </w:pPr>
      <w:r w:rsidRPr="001B5DEE">
        <w:rPr>
          <w:rFonts w:cstheme="minorHAnsi"/>
          <w:b/>
          <w:sz w:val="22"/>
          <w:szCs w:val="22"/>
        </w:rPr>
        <w:t xml:space="preserve">New Zealand </w:t>
      </w:r>
    </w:p>
    <w:p w14:paraId="4D4CCCE2" w14:textId="77777777" w:rsidR="00F101DD" w:rsidRPr="001B5DEE" w:rsidRDefault="00F101DD">
      <w:pPr>
        <w:rPr>
          <w:rFonts w:cstheme="minorHAnsi"/>
          <w:sz w:val="22"/>
          <w:szCs w:val="22"/>
        </w:rPr>
      </w:pPr>
    </w:p>
    <w:p w14:paraId="2EA9228B" w14:textId="23BCFEDD" w:rsidR="00411BCB" w:rsidRDefault="00F101DD">
      <w:pPr>
        <w:widowControl w:val="0"/>
        <w:rPr>
          <w:rFonts w:cstheme="minorHAnsi"/>
          <w:sz w:val="22"/>
          <w:szCs w:val="22"/>
        </w:rPr>
      </w:pPr>
      <w:r w:rsidRPr="001B5DEE">
        <w:rPr>
          <w:rFonts w:cstheme="minorHAnsi"/>
          <w:sz w:val="22"/>
          <w:szCs w:val="22"/>
        </w:rPr>
        <w:t>As at June 2018, 2,997 products displayed the HSR, representing 21% of all eligible products.</w:t>
      </w:r>
      <w:r w:rsidR="00411BCB">
        <w:rPr>
          <w:rFonts w:cstheme="minorHAnsi"/>
          <w:sz w:val="22"/>
          <w:szCs w:val="22"/>
        </w:rPr>
        <w:t xml:space="preserve"> </w:t>
      </w:r>
      <w:r w:rsidR="00E060E2" w:rsidRPr="001B5DEE">
        <w:rPr>
          <w:rFonts w:cstheme="minorHAnsi"/>
          <w:sz w:val="22"/>
          <w:szCs w:val="22"/>
        </w:rPr>
        <w:t xml:space="preserve">This has increased from 37 eligible products displaying the HSR in 2015. </w:t>
      </w:r>
    </w:p>
    <w:p w14:paraId="02C86FE4" w14:textId="77777777" w:rsidR="00F101DD" w:rsidRPr="001B5DEE" w:rsidRDefault="00F101DD">
      <w:pPr>
        <w:widowControl w:val="0"/>
        <w:rPr>
          <w:rFonts w:cstheme="minorHAnsi"/>
          <w:sz w:val="22"/>
          <w:szCs w:val="22"/>
        </w:rPr>
      </w:pPr>
    </w:p>
    <w:p w14:paraId="5E7926BD" w14:textId="77777777" w:rsidR="00F101DD" w:rsidRPr="001B5DEE" w:rsidRDefault="00F101DD" w:rsidP="00890BB4">
      <w:pPr>
        <w:widowControl w:val="0"/>
        <w:rPr>
          <w:rFonts w:cstheme="minorHAnsi"/>
          <w:sz w:val="22"/>
          <w:szCs w:val="22"/>
        </w:rPr>
      </w:pPr>
      <w:r w:rsidRPr="001B5DEE">
        <w:rPr>
          <w:rFonts w:cstheme="minorHAnsi"/>
          <w:sz w:val="22"/>
          <w:szCs w:val="22"/>
        </w:rPr>
        <w:t>The following product categories have the highest uptake of the HSR:</w:t>
      </w:r>
    </w:p>
    <w:p w14:paraId="68D0013E" w14:textId="77777777" w:rsidR="00F101DD" w:rsidRPr="001B5DEE" w:rsidRDefault="00F101DD" w:rsidP="00890BB4">
      <w:pPr>
        <w:rPr>
          <w:rFonts w:cstheme="minorHAnsi"/>
          <w:sz w:val="22"/>
          <w:szCs w:val="22"/>
        </w:rPr>
      </w:pPr>
    </w:p>
    <w:p w14:paraId="06A771E4" w14:textId="69A7C5B7" w:rsidR="001B5DEE" w:rsidRPr="001B5DEE" w:rsidRDefault="001B5DEE" w:rsidP="00F720A0">
      <w:pPr>
        <w:pStyle w:val="mpcbullets1"/>
      </w:pPr>
      <w:r w:rsidRPr="001B5DEE">
        <w:t>packaged fruit and vegetables: 450 products (15%)</w:t>
      </w:r>
    </w:p>
    <w:p w14:paraId="55222F81" w14:textId="7BD6A48A" w:rsidR="001B5DEE" w:rsidRPr="001B5DEE" w:rsidRDefault="001B5DEE" w:rsidP="00F720A0">
      <w:pPr>
        <w:pStyle w:val="mpcbullets1"/>
      </w:pPr>
      <w:r w:rsidRPr="001B5DEE">
        <w:t>cereals and cereal products: 400 products (13%)</w:t>
      </w:r>
    </w:p>
    <w:p w14:paraId="4758961E" w14:textId="60E50D37" w:rsidR="001B5DEE" w:rsidRPr="001B5DEE" w:rsidRDefault="001B5DEE" w:rsidP="00F720A0">
      <w:pPr>
        <w:pStyle w:val="mpcbullets1"/>
      </w:pPr>
      <w:r w:rsidRPr="001B5DEE">
        <w:t>non-</w:t>
      </w:r>
      <w:r w:rsidR="00411BCB">
        <w:t>alcoholic</w:t>
      </w:r>
      <w:r w:rsidRPr="001B5DEE">
        <w:t xml:space="preserve"> beverages: 384 products (13%)</w:t>
      </w:r>
    </w:p>
    <w:p w14:paraId="0ECC9D8A" w14:textId="4E38DA8F" w:rsidR="00F101DD" w:rsidRPr="001B5DEE" w:rsidRDefault="001B5DEE" w:rsidP="00F720A0">
      <w:pPr>
        <w:pStyle w:val="mpcbullets1"/>
      </w:pPr>
      <w:r w:rsidRPr="001B5DEE">
        <w:t xml:space="preserve">sauces and spreads: 330 products (11%) </w:t>
      </w:r>
    </w:p>
    <w:p w14:paraId="4BB2A95E" w14:textId="51F9F109" w:rsidR="00F101DD" w:rsidRPr="001B5DEE" w:rsidRDefault="001B5DEE" w:rsidP="00F720A0">
      <w:pPr>
        <w:pStyle w:val="mpcbullets1"/>
      </w:pPr>
      <w:r w:rsidRPr="00890BB4">
        <w:t>dairy and alternatives: 256 products (9%).</w:t>
      </w:r>
    </w:p>
    <w:p w14:paraId="6EA4DEE1" w14:textId="77777777" w:rsidR="001B5DEE" w:rsidRDefault="001B5DEE" w:rsidP="00890BB4">
      <w:pPr>
        <w:pStyle w:val="mpcNormal"/>
        <w:keepNext w:val="0"/>
      </w:pPr>
    </w:p>
    <w:p w14:paraId="4E951BE5" w14:textId="77777777" w:rsidR="00F101DD" w:rsidRDefault="00F101DD" w:rsidP="00890BB4">
      <w:pPr>
        <w:pStyle w:val="mpcNormal"/>
        <w:keepNext w:val="0"/>
      </w:pPr>
      <w:r>
        <w:t>In terms of the distribution of HSRs, in New Zealand in 2018:</w:t>
      </w:r>
    </w:p>
    <w:p w14:paraId="495C09EA" w14:textId="77777777" w:rsidR="00F101DD" w:rsidRDefault="00F101DD">
      <w:pPr>
        <w:rPr>
          <w:rFonts w:cstheme="minorHAnsi"/>
          <w:sz w:val="22"/>
          <w:szCs w:val="22"/>
        </w:rPr>
      </w:pPr>
    </w:p>
    <w:p w14:paraId="6AF53B29" w14:textId="1082E4C5" w:rsidR="00F101DD" w:rsidRDefault="00F101DD" w:rsidP="00F720A0">
      <w:pPr>
        <w:pStyle w:val="mpcbullets1"/>
      </w:pPr>
      <w:r w:rsidRPr="004A580D">
        <w:t xml:space="preserve">77% of products displaying the HSR have HSRs of 3.0 to 5.0. </w:t>
      </w:r>
    </w:p>
    <w:p w14:paraId="5CEB75F9" w14:textId="77777777" w:rsidR="00F101DD" w:rsidRDefault="00F101DD" w:rsidP="00F720A0">
      <w:pPr>
        <w:pStyle w:val="mpcbullets1"/>
      </w:pPr>
      <w:r w:rsidRPr="004A580D">
        <w:t xml:space="preserve">the median star rating for products displaying the HSR was 3.5. </w:t>
      </w:r>
    </w:p>
    <w:p w14:paraId="5019C8D1" w14:textId="5AF1F0C1" w:rsidR="00F101DD" w:rsidRPr="00AD3A06" w:rsidRDefault="00F101DD" w:rsidP="00890BB4">
      <w:pPr>
        <w:pStyle w:val="mpcbullets2"/>
        <w:keepNext w:val="0"/>
      </w:pPr>
      <w:r w:rsidRPr="00AD3A06">
        <w:t>Compared to 2015, there have been small increases in proportions of products with</w:t>
      </w:r>
      <w:r w:rsidR="00E060E2">
        <w:t xml:space="preserve"> a</w:t>
      </w:r>
      <w:r w:rsidR="00890BB4">
        <w:t>n</w:t>
      </w:r>
      <w:r w:rsidR="00E060E2">
        <w:t xml:space="preserve"> HSR of between</w:t>
      </w:r>
      <w:r w:rsidRPr="00AD3A06">
        <w:t xml:space="preserve"> 0.5 to 3.0 and a </w:t>
      </w:r>
      <w:r w:rsidR="001B5DEE">
        <w:t>corresponding</w:t>
      </w:r>
      <w:r w:rsidR="001B5DEE" w:rsidRPr="00AD3A06">
        <w:t xml:space="preserve"> </w:t>
      </w:r>
      <w:r w:rsidRPr="00AD3A06">
        <w:t xml:space="preserve">reduction in proportions with HSRs of 4.0 to 5.0. </w:t>
      </w:r>
    </w:p>
    <w:p w14:paraId="0839E155" w14:textId="77777777" w:rsidR="00F101DD" w:rsidRPr="004A580D" w:rsidRDefault="00F101DD" w:rsidP="005A3631">
      <w:pPr>
        <w:rPr>
          <w:rFonts w:cstheme="minorHAnsi"/>
          <w:sz w:val="22"/>
          <w:szCs w:val="22"/>
        </w:rPr>
      </w:pPr>
    </w:p>
    <w:p w14:paraId="587B618C" w14:textId="088B3FEC" w:rsidR="00000D21" w:rsidRPr="006B0997" w:rsidRDefault="00000D21" w:rsidP="006B0997">
      <w:pPr>
        <w:pStyle w:val="mpcNormal"/>
        <w:keepNext w:val="0"/>
      </w:pPr>
      <w:r w:rsidRPr="006B0997">
        <w:t xml:space="preserve">It is reasonable to </w:t>
      </w:r>
      <w:r w:rsidR="00962ED2" w:rsidRPr="006B0997">
        <w:t>expect that t</w:t>
      </w:r>
      <w:r w:rsidRPr="006B0997">
        <w:t>he results of NHF and MPI monitoring (described above) underestimate the current uptake of the HSR System</w:t>
      </w:r>
      <w:r w:rsidR="00F720A0">
        <w:t xml:space="preserve"> (given the formal monitoring data does not include the period from June 2018 to present)</w:t>
      </w:r>
      <w:r w:rsidRPr="006B0997">
        <w:t>.</w:t>
      </w:r>
    </w:p>
    <w:p w14:paraId="4B931194" w14:textId="64162ADD" w:rsidR="00000D21" w:rsidRPr="006B0997" w:rsidRDefault="00000D21" w:rsidP="006B0997">
      <w:pPr>
        <w:pStyle w:val="mpcNormal"/>
        <w:keepNext w:val="0"/>
      </w:pPr>
    </w:p>
    <w:p w14:paraId="0B51E073" w14:textId="4A043589" w:rsidR="00953ED9" w:rsidRPr="006B0997" w:rsidRDefault="00962ED2" w:rsidP="00F720A0">
      <w:pPr>
        <w:pStyle w:val="mpcbullets1"/>
      </w:pPr>
      <w:r w:rsidRPr="006B0997">
        <w:t>A number of large retailers in Australia and New Zealand have committed to display the HSR on 100% of the</w:t>
      </w:r>
      <w:r w:rsidR="006B0997" w:rsidRPr="006B0997">
        <w:t>ir</w:t>
      </w:r>
      <w:r w:rsidRPr="006B0997">
        <w:t xml:space="preserve"> products. These companies are </w:t>
      </w:r>
      <w:r w:rsidR="00953ED9" w:rsidRPr="006B0997">
        <w:t xml:space="preserve">well progressed towards reaching 100% coverage by 2020 at the latest. </w:t>
      </w:r>
      <w:r w:rsidR="00574DAF" w:rsidRPr="006B0997">
        <w:t>Further p</w:t>
      </w:r>
      <w:r w:rsidR="00953ED9" w:rsidRPr="006B0997">
        <w:t xml:space="preserve">rogress has been made towards this target </w:t>
      </w:r>
      <w:r w:rsidR="00574DAF" w:rsidRPr="006B0997">
        <w:t xml:space="preserve">in the last six months, </w:t>
      </w:r>
      <w:r w:rsidR="00953ED9" w:rsidRPr="006B0997">
        <w:t>which has not been included in the formal uptake monitoring.</w:t>
      </w:r>
    </w:p>
    <w:p w14:paraId="6C0F3E8E" w14:textId="11E7BE2D" w:rsidR="00000D21" w:rsidRPr="006B0997" w:rsidRDefault="00962ED2" w:rsidP="00F720A0">
      <w:pPr>
        <w:pStyle w:val="mpcbullets1"/>
      </w:pPr>
      <w:r w:rsidRPr="006B0997">
        <w:t>The New Zealand Food and Grocery Council (NZFGC) has reported that over 4,700 products are currently displaying the HSR</w:t>
      </w:r>
      <w:r w:rsidR="00E060E2" w:rsidRPr="006B0997">
        <w:t xml:space="preserve"> in New Zealand</w:t>
      </w:r>
      <w:r w:rsidRPr="006B0997">
        <w:t xml:space="preserve">. </w:t>
      </w:r>
      <w:r w:rsidR="00E060E2" w:rsidRPr="006B0997">
        <w:t>Again, t</w:t>
      </w:r>
      <w:r w:rsidRPr="006B0997">
        <w:t xml:space="preserve">his number is likely underestimated, as it reflects only the products of </w:t>
      </w:r>
      <w:r w:rsidR="006B1529" w:rsidRPr="006B0997">
        <w:t xml:space="preserve">those </w:t>
      </w:r>
      <w:r w:rsidRPr="006B0997">
        <w:t>manufacturers that are NZFGC members.</w:t>
      </w:r>
    </w:p>
    <w:p w14:paraId="479863F9" w14:textId="77777777" w:rsidR="00F101DD" w:rsidRPr="004A580D" w:rsidRDefault="00F101DD" w:rsidP="006B0997">
      <w:pPr>
        <w:pStyle w:val="mpcNormal"/>
        <w:keepNext w:val="0"/>
        <w:rPr>
          <w:vertAlign w:val="superscript"/>
        </w:rPr>
      </w:pPr>
    </w:p>
    <w:p w14:paraId="3C403321" w14:textId="1D272B3B" w:rsidR="00F101DD" w:rsidRDefault="00F101DD" w:rsidP="00890BB4">
      <w:pPr>
        <w:pStyle w:val="mpcNormal"/>
        <w:keepNext w:val="0"/>
      </w:pPr>
      <w:r>
        <w:t>Overall</w:t>
      </w:r>
      <w:r w:rsidR="000D5F6E">
        <w:t>,</w:t>
      </w:r>
      <w:r>
        <w:t xml:space="preserve"> the Review considers that uptake of the HSR is promising but more needs to be done to </w:t>
      </w:r>
      <w:r w:rsidR="001B5DEE">
        <w:t xml:space="preserve">optimise </w:t>
      </w:r>
      <w:r>
        <w:t>uptake and set clear expectations regarding uptake targets. This is discussed in Chapter 7.</w:t>
      </w:r>
    </w:p>
    <w:p w14:paraId="05F65381" w14:textId="77777777" w:rsidR="00F101DD" w:rsidRPr="004A580D" w:rsidRDefault="00F101DD" w:rsidP="006B0997">
      <w:pPr>
        <w:pStyle w:val="mpcNormal"/>
        <w:keepNext w:val="0"/>
      </w:pPr>
    </w:p>
    <w:p w14:paraId="55EE3F86" w14:textId="77777777" w:rsidR="00F101DD" w:rsidRPr="004A580D" w:rsidRDefault="00F101DD" w:rsidP="006B0997">
      <w:pPr>
        <w:pStyle w:val="mpcheading3"/>
      </w:pPr>
      <w:r w:rsidRPr="004A580D">
        <w:t xml:space="preserve">Compliance with HSR System guidance and the HSR Calculator </w:t>
      </w:r>
    </w:p>
    <w:p w14:paraId="3007D258" w14:textId="77777777" w:rsidR="00F101DD" w:rsidRDefault="00F101DD" w:rsidP="005A3631">
      <w:pPr>
        <w:rPr>
          <w:rFonts w:cstheme="minorHAnsi"/>
          <w:sz w:val="22"/>
          <w:szCs w:val="22"/>
        </w:rPr>
      </w:pPr>
    </w:p>
    <w:p w14:paraId="371D4B91" w14:textId="77777777" w:rsidR="00F101DD" w:rsidRPr="004A580D" w:rsidRDefault="00F101DD">
      <w:pPr>
        <w:rPr>
          <w:rFonts w:cstheme="minorHAnsi"/>
          <w:sz w:val="22"/>
          <w:szCs w:val="22"/>
        </w:rPr>
      </w:pPr>
      <w:r>
        <w:rPr>
          <w:rFonts w:cstheme="minorHAnsi"/>
          <w:sz w:val="22"/>
          <w:szCs w:val="22"/>
        </w:rPr>
        <w:t>In Australia in 2018, t</w:t>
      </w:r>
      <w:r w:rsidRPr="004A580D">
        <w:rPr>
          <w:rFonts w:cstheme="minorHAnsi"/>
          <w:sz w:val="22"/>
          <w:szCs w:val="22"/>
        </w:rPr>
        <w:t xml:space="preserve">he NHF assessed </w:t>
      </w:r>
      <w:r>
        <w:rPr>
          <w:rFonts w:cstheme="minorHAnsi"/>
          <w:sz w:val="22"/>
          <w:szCs w:val="22"/>
        </w:rPr>
        <w:t>500 labels</w:t>
      </w:r>
      <w:r w:rsidRPr="004A580D">
        <w:rPr>
          <w:rFonts w:cstheme="minorHAnsi"/>
          <w:sz w:val="22"/>
          <w:szCs w:val="22"/>
        </w:rPr>
        <w:t xml:space="preserve"> for design or technical variations using the HSR Style Guide assessment checklist. Design or technical variations occur when the system graphic or content is not exactly as described in the</w:t>
      </w:r>
      <w:r>
        <w:rPr>
          <w:rFonts w:cstheme="minorHAnsi"/>
          <w:sz w:val="22"/>
          <w:szCs w:val="22"/>
        </w:rPr>
        <w:t xml:space="preserve"> HSR</w:t>
      </w:r>
      <w:r w:rsidRPr="004A580D">
        <w:rPr>
          <w:rFonts w:cstheme="minorHAnsi"/>
          <w:sz w:val="22"/>
          <w:szCs w:val="22"/>
        </w:rPr>
        <w:t xml:space="preserve"> Style Guide.</w:t>
      </w:r>
    </w:p>
    <w:p w14:paraId="79E8CC18" w14:textId="77777777" w:rsidR="00F101DD" w:rsidRPr="004A580D" w:rsidRDefault="00F101DD">
      <w:pPr>
        <w:rPr>
          <w:rFonts w:cstheme="minorHAnsi"/>
          <w:sz w:val="22"/>
          <w:szCs w:val="22"/>
        </w:rPr>
      </w:pPr>
    </w:p>
    <w:p w14:paraId="72EAAD6D" w14:textId="1A76F7D7" w:rsidR="00F101DD" w:rsidRPr="006B0997" w:rsidRDefault="00F101DD">
      <w:pPr>
        <w:rPr>
          <w:rFonts w:cstheme="minorHAnsi"/>
          <w:sz w:val="22"/>
          <w:szCs w:val="22"/>
        </w:rPr>
      </w:pPr>
      <w:r w:rsidRPr="004A580D">
        <w:rPr>
          <w:rFonts w:cstheme="minorHAnsi"/>
          <w:sz w:val="22"/>
          <w:szCs w:val="22"/>
        </w:rPr>
        <w:t>While compliance with the Style Guide has improved from 9</w:t>
      </w:r>
      <w:r w:rsidR="00953ED9">
        <w:rPr>
          <w:rFonts w:cstheme="minorHAnsi"/>
          <w:sz w:val="22"/>
          <w:szCs w:val="22"/>
        </w:rPr>
        <w:t>3</w:t>
      </w:r>
      <w:r w:rsidRPr="004A580D">
        <w:rPr>
          <w:rFonts w:cstheme="minorHAnsi"/>
          <w:sz w:val="22"/>
          <w:szCs w:val="22"/>
        </w:rPr>
        <w:t>% to 9</w:t>
      </w:r>
      <w:r w:rsidR="00953ED9">
        <w:rPr>
          <w:rFonts w:cstheme="minorHAnsi"/>
          <w:sz w:val="22"/>
          <w:szCs w:val="22"/>
        </w:rPr>
        <w:t>6</w:t>
      </w:r>
      <w:r w:rsidRPr="004A580D">
        <w:rPr>
          <w:rFonts w:cstheme="minorHAnsi"/>
          <w:sz w:val="22"/>
          <w:szCs w:val="22"/>
        </w:rPr>
        <w:t xml:space="preserve">% since </w:t>
      </w:r>
      <w:r>
        <w:rPr>
          <w:rFonts w:cstheme="minorHAnsi"/>
          <w:sz w:val="22"/>
          <w:szCs w:val="22"/>
        </w:rPr>
        <w:t>2014</w:t>
      </w:r>
      <w:r w:rsidRPr="004A580D">
        <w:rPr>
          <w:rFonts w:cstheme="minorHAnsi"/>
          <w:sz w:val="22"/>
          <w:szCs w:val="22"/>
        </w:rPr>
        <w:t xml:space="preserve">, the Review was keen to examine the nature of the non-compliance, and the reasons for the non-compliance. </w:t>
      </w:r>
      <w:r w:rsidR="00574DAF">
        <w:rPr>
          <w:rFonts w:cstheme="minorHAnsi"/>
          <w:sz w:val="22"/>
          <w:szCs w:val="22"/>
        </w:rPr>
        <w:t>In</w:t>
      </w:r>
      <w:r w:rsidR="00574DAF" w:rsidRPr="004A580D">
        <w:rPr>
          <w:rFonts w:cstheme="minorHAnsi"/>
          <w:sz w:val="22"/>
          <w:szCs w:val="22"/>
        </w:rPr>
        <w:t xml:space="preserve"> </w:t>
      </w:r>
      <w:r w:rsidRPr="004A580D">
        <w:rPr>
          <w:rFonts w:cstheme="minorHAnsi"/>
          <w:sz w:val="22"/>
          <w:szCs w:val="22"/>
        </w:rPr>
        <w:t xml:space="preserve">the 4% </w:t>
      </w:r>
      <w:r w:rsidR="00574DAF">
        <w:rPr>
          <w:rFonts w:cstheme="minorHAnsi"/>
          <w:sz w:val="22"/>
          <w:szCs w:val="22"/>
        </w:rPr>
        <w:t xml:space="preserve">of </w:t>
      </w:r>
      <w:r>
        <w:rPr>
          <w:rFonts w:cstheme="minorHAnsi"/>
          <w:sz w:val="22"/>
          <w:szCs w:val="22"/>
        </w:rPr>
        <w:t xml:space="preserve">instances </w:t>
      </w:r>
      <w:r w:rsidR="00574DAF">
        <w:rPr>
          <w:rFonts w:cstheme="minorHAnsi"/>
          <w:sz w:val="22"/>
          <w:szCs w:val="22"/>
        </w:rPr>
        <w:t xml:space="preserve">where </w:t>
      </w:r>
      <w:r w:rsidRPr="004A580D">
        <w:rPr>
          <w:rFonts w:cstheme="minorHAnsi"/>
          <w:sz w:val="22"/>
          <w:szCs w:val="22"/>
        </w:rPr>
        <w:t>non-</w:t>
      </w:r>
      <w:r w:rsidRPr="006B0997">
        <w:rPr>
          <w:rFonts w:cstheme="minorHAnsi"/>
          <w:sz w:val="22"/>
          <w:szCs w:val="22"/>
        </w:rPr>
        <w:t>compliance</w:t>
      </w:r>
      <w:r w:rsidR="00574DAF" w:rsidRPr="006B0997">
        <w:rPr>
          <w:rFonts w:cstheme="minorHAnsi"/>
          <w:sz w:val="22"/>
          <w:szCs w:val="22"/>
        </w:rPr>
        <w:t xml:space="preserve"> was identified</w:t>
      </w:r>
      <w:r w:rsidRPr="006B0997">
        <w:rPr>
          <w:rFonts w:cstheme="minorHAnsi"/>
          <w:sz w:val="22"/>
          <w:szCs w:val="22"/>
        </w:rPr>
        <w:t>, the areas of deviation from the Style Guide were:</w:t>
      </w:r>
    </w:p>
    <w:p w14:paraId="300C206A" w14:textId="77777777" w:rsidR="00F101DD" w:rsidRPr="006B0997" w:rsidRDefault="00F101DD">
      <w:pPr>
        <w:rPr>
          <w:rFonts w:cstheme="minorHAnsi"/>
          <w:sz w:val="22"/>
          <w:szCs w:val="22"/>
        </w:rPr>
      </w:pPr>
    </w:p>
    <w:p w14:paraId="3D85A459" w14:textId="06D9D196" w:rsidR="0057780D" w:rsidRPr="006B0997" w:rsidRDefault="0057780D" w:rsidP="00F720A0">
      <w:pPr>
        <w:pStyle w:val="mpcbullets1"/>
        <w:rPr>
          <w:lang w:bidi="ar-DZ"/>
        </w:rPr>
      </w:pPr>
      <w:r w:rsidRPr="006B0997">
        <w:t xml:space="preserve">design variations – </w:t>
      </w:r>
      <w:r w:rsidR="006B0997" w:rsidRPr="006B0997">
        <w:t xml:space="preserve">while these are not in line with the Style Guide, </w:t>
      </w:r>
      <w:r w:rsidR="006B0997" w:rsidRPr="006B0997">
        <w:rPr>
          <w:lang w:bidi="ar-DZ"/>
        </w:rPr>
        <w:t>these do</w:t>
      </w:r>
      <w:r w:rsidR="00F720A0">
        <w:rPr>
          <w:lang w:bidi="ar-DZ"/>
        </w:rPr>
        <w:t xml:space="preserve"> not</w:t>
      </w:r>
      <w:r w:rsidR="006B0997" w:rsidRPr="006B0997">
        <w:rPr>
          <w:lang w:bidi="ar-DZ"/>
        </w:rPr>
        <w:t xml:space="preserve"> change the meaning or content of the HSR graphic and are considered unlikely to mislead consumers</w:t>
      </w:r>
      <w:r w:rsidR="000D0FB9">
        <w:rPr>
          <w:lang w:bidi="ar-DZ"/>
        </w:rPr>
        <w:t>. These variations</w:t>
      </w:r>
      <w:r w:rsidRPr="006B0997">
        <w:rPr>
          <w:lang w:bidi="ar-DZ"/>
        </w:rPr>
        <w:t xml:space="preserve"> include:</w:t>
      </w:r>
    </w:p>
    <w:p w14:paraId="5A1751CD" w14:textId="04AFEE92" w:rsidR="0057780D" w:rsidRPr="006B0997" w:rsidRDefault="0057780D" w:rsidP="006B0997">
      <w:pPr>
        <w:pStyle w:val="mpcbullets2"/>
        <w:keepNext w:val="0"/>
      </w:pPr>
      <w:r w:rsidRPr="006B0997">
        <w:t>displaying a second HSR graphic on the back of the packaging (34% of the design variations in 2018)</w:t>
      </w:r>
    </w:p>
    <w:p w14:paraId="4A273E7C" w14:textId="77777777" w:rsidR="0057780D" w:rsidRPr="006B0997" w:rsidRDefault="0057780D" w:rsidP="006B0997">
      <w:pPr>
        <w:pStyle w:val="mpcbullets2"/>
        <w:keepNext w:val="0"/>
      </w:pPr>
      <w:r w:rsidRPr="006B0997">
        <w:t>rounding of nutrient values to the incorrect decimal place (27%)</w:t>
      </w:r>
    </w:p>
    <w:p w14:paraId="5C44590C" w14:textId="57B95A34" w:rsidR="00F101DD" w:rsidRPr="006B0997" w:rsidRDefault="00F101DD" w:rsidP="006B0997">
      <w:pPr>
        <w:pStyle w:val="mpcbullets2"/>
        <w:keepNext w:val="0"/>
      </w:pPr>
      <w:r w:rsidRPr="006B0997">
        <w:t xml:space="preserve">including </w:t>
      </w:r>
      <w:r w:rsidR="00BC2240" w:rsidRPr="006B0997">
        <w:t xml:space="preserve">multiple </w:t>
      </w:r>
      <w:r w:rsidR="0057780D" w:rsidRPr="006B0997">
        <w:t>HSR graphic</w:t>
      </w:r>
      <w:r w:rsidR="001016F4" w:rsidRPr="006B0997">
        <w:t xml:space="preserve"> option</w:t>
      </w:r>
      <w:r w:rsidR="0057780D" w:rsidRPr="006B0997">
        <w:t>s</w:t>
      </w:r>
      <w:r w:rsidR="00BC2240" w:rsidRPr="006B0997">
        <w:t xml:space="preserve"> on the front of pack</w:t>
      </w:r>
      <w:r w:rsidR="001016F4" w:rsidRPr="006B0997">
        <w:t xml:space="preserve"> – </w:t>
      </w:r>
      <w:r w:rsidR="0057780D" w:rsidRPr="006B0997">
        <w:t>usually</w:t>
      </w:r>
      <w:r w:rsidR="001016F4" w:rsidRPr="006B0997">
        <w:t xml:space="preserve"> </w:t>
      </w:r>
      <w:r w:rsidR="00BC2240" w:rsidRPr="006B0997">
        <w:t xml:space="preserve">the </w:t>
      </w:r>
      <w:r w:rsidRPr="006B0997">
        <w:t xml:space="preserve">stars </w:t>
      </w:r>
      <w:r w:rsidR="00BC2240" w:rsidRPr="006B0997">
        <w:t xml:space="preserve">accompanied by </w:t>
      </w:r>
      <w:r w:rsidR="001016F4" w:rsidRPr="006B0997">
        <w:t xml:space="preserve">a separate </w:t>
      </w:r>
      <w:r w:rsidRPr="006B0997">
        <w:t>energy icon on the front of pack (</w:t>
      </w:r>
      <w:r w:rsidR="0057780D" w:rsidRPr="006B0997">
        <w:t>17%</w:t>
      </w:r>
      <w:r w:rsidRPr="006B0997">
        <w:t>)</w:t>
      </w:r>
    </w:p>
    <w:p w14:paraId="58CACAD3" w14:textId="0B0931D1" w:rsidR="0057780D" w:rsidRPr="006B0997" w:rsidRDefault="0057780D" w:rsidP="006B0997">
      <w:pPr>
        <w:pStyle w:val="mpcbullets2"/>
        <w:keepNext w:val="0"/>
        <w:numPr>
          <w:ilvl w:val="0"/>
          <w:numId w:val="4"/>
        </w:numPr>
      </w:pPr>
      <w:r w:rsidRPr="006B0997">
        <w:t xml:space="preserve">technical variations – which </w:t>
      </w:r>
      <w:r w:rsidRPr="006B0997">
        <w:rPr>
          <w:lang w:bidi="ar-DZ"/>
        </w:rPr>
        <w:t>can change the meaning or content of the HSR graphic</w:t>
      </w:r>
      <w:r w:rsidR="000D0FB9">
        <w:rPr>
          <w:lang w:bidi="ar-DZ"/>
        </w:rPr>
        <w:t>. These</w:t>
      </w:r>
      <w:r w:rsidRPr="006B0997">
        <w:rPr>
          <w:lang w:bidi="ar-DZ"/>
        </w:rPr>
        <w:t xml:space="preserve"> include:</w:t>
      </w:r>
    </w:p>
    <w:p w14:paraId="78345623" w14:textId="273678F3" w:rsidR="00F101DD" w:rsidRPr="006B0997" w:rsidRDefault="0057780D" w:rsidP="006B0997">
      <w:pPr>
        <w:pStyle w:val="mpcbullets2"/>
        <w:keepNext w:val="0"/>
      </w:pPr>
      <w:r w:rsidRPr="006B0997">
        <w:t xml:space="preserve">displaying </w:t>
      </w:r>
      <w:r w:rsidR="00F101DD" w:rsidRPr="006B0997">
        <w:t xml:space="preserve">the incorrect Nominated Reference Measure (NRM). This was the most common technical variation and was an error specific to non-dairy beverages and confectionery products, where </w:t>
      </w:r>
      <w:r w:rsidR="000D5F6E" w:rsidRPr="006B0997">
        <w:t>the Style Guide</w:t>
      </w:r>
      <w:r w:rsidR="00F101DD" w:rsidRPr="006B0997">
        <w:t xml:space="preserve"> allows the use of industry</w:t>
      </w:r>
      <w:r w:rsidR="00A57C12" w:rsidRPr="006B0997">
        <w:t>-</w:t>
      </w:r>
      <w:r w:rsidR="00F101DD" w:rsidRPr="006B0997">
        <w:t>agreed standardised serve sizes to inform the energy icon. This highlights an area of confusion for both industry and consumers</w:t>
      </w:r>
      <w:r w:rsidRPr="006B0997">
        <w:t>, as</w:t>
      </w:r>
      <w:r w:rsidR="00F101DD" w:rsidRPr="006B0997">
        <w:t xml:space="preserve"> detailed later in this Chapter</w:t>
      </w:r>
      <w:r w:rsidRPr="006B0997">
        <w:t>.</w:t>
      </w:r>
    </w:p>
    <w:p w14:paraId="0AD97F18" w14:textId="77777777" w:rsidR="00F101DD" w:rsidRPr="004A580D" w:rsidRDefault="00F101DD" w:rsidP="005A3631">
      <w:pPr>
        <w:rPr>
          <w:rFonts w:cstheme="minorHAnsi"/>
          <w:sz w:val="22"/>
          <w:szCs w:val="22"/>
        </w:rPr>
      </w:pPr>
    </w:p>
    <w:p w14:paraId="54ED714B" w14:textId="486BEA41" w:rsidR="00F101DD" w:rsidRPr="004A580D" w:rsidRDefault="00F101DD">
      <w:pPr>
        <w:rPr>
          <w:rFonts w:cstheme="minorHAnsi"/>
          <w:sz w:val="22"/>
          <w:szCs w:val="22"/>
        </w:rPr>
      </w:pPr>
      <w:r>
        <w:rPr>
          <w:rFonts w:cstheme="minorHAnsi"/>
          <w:sz w:val="22"/>
          <w:szCs w:val="22"/>
        </w:rPr>
        <w:t>Similarly</w:t>
      </w:r>
      <w:r w:rsidR="000D5F6E">
        <w:rPr>
          <w:rFonts w:cstheme="minorHAnsi"/>
          <w:sz w:val="22"/>
          <w:szCs w:val="22"/>
        </w:rPr>
        <w:t>,</w:t>
      </w:r>
      <w:r>
        <w:rPr>
          <w:rFonts w:cstheme="minorHAnsi"/>
          <w:sz w:val="22"/>
          <w:szCs w:val="22"/>
        </w:rPr>
        <w:t xml:space="preserve"> in</w:t>
      </w:r>
      <w:r w:rsidRPr="004A580D">
        <w:rPr>
          <w:rFonts w:cstheme="minorHAnsi"/>
          <w:sz w:val="22"/>
          <w:szCs w:val="22"/>
        </w:rPr>
        <w:t xml:space="preserve"> New Zealand, very few inconsistencies were identified between the HSR displayed and the Style Guide. The most common area of design variation was related to the legibility and general visibility of the HSR graphic on the pack</w:t>
      </w:r>
      <w:r>
        <w:rPr>
          <w:rFonts w:cstheme="minorHAnsi"/>
          <w:sz w:val="22"/>
          <w:szCs w:val="22"/>
        </w:rPr>
        <w:t xml:space="preserve"> (4% of products sampled)</w:t>
      </w:r>
      <w:r w:rsidRPr="004A580D">
        <w:rPr>
          <w:rFonts w:cstheme="minorHAnsi"/>
          <w:sz w:val="22"/>
          <w:szCs w:val="22"/>
        </w:rPr>
        <w:t xml:space="preserve">. </w:t>
      </w:r>
      <w:r>
        <w:rPr>
          <w:rFonts w:cstheme="minorHAnsi"/>
          <w:sz w:val="22"/>
          <w:szCs w:val="22"/>
        </w:rPr>
        <w:t>The main source of technical variation was the use of incorrect NRM</w:t>
      </w:r>
      <w:r w:rsidR="00A57C12">
        <w:rPr>
          <w:rFonts w:cstheme="minorHAnsi"/>
          <w:sz w:val="22"/>
          <w:szCs w:val="22"/>
        </w:rPr>
        <w:t>s</w:t>
      </w:r>
      <w:r>
        <w:rPr>
          <w:rFonts w:cstheme="minorHAnsi"/>
          <w:sz w:val="22"/>
          <w:szCs w:val="22"/>
        </w:rPr>
        <w:t xml:space="preserve">, particularly in relation to </w:t>
      </w:r>
      <w:r w:rsidRPr="00E37AA3">
        <w:rPr>
          <w:rFonts w:cstheme="minorHAnsi"/>
          <w:sz w:val="22"/>
          <w:szCs w:val="22"/>
        </w:rPr>
        <w:t>non-</w:t>
      </w:r>
      <w:r w:rsidR="00411BCB">
        <w:rPr>
          <w:rFonts w:cstheme="minorHAnsi"/>
          <w:sz w:val="22"/>
          <w:szCs w:val="22"/>
        </w:rPr>
        <w:t>alcoholic</w:t>
      </w:r>
      <w:r w:rsidR="00411BCB" w:rsidRPr="00E37AA3">
        <w:rPr>
          <w:rFonts w:cstheme="minorHAnsi"/>
          <w:sz w:val="22"/>
          <w:szCs w:val="22"/>
        </w:rPr>
        <w:t xml:space="preserve"> </w:t>
      </w:r>
      <w:r w:rsidRPr="00E37AA3">
        <w:rPr>
          <w:rFonts w:cstheme="minorHAnsi"/>
          <w:sz w:val="22"/>
          <w:szCs w:val="22"/>
        </w:rPr>
        <w:t>beverages and confection</w:t>
      </w:r>
      <w:r>
        <w:rPr>
          <w:rFonts w:cstheme="minorHAnsi"/>
          <w:sz w:val="22"/>
          <w:szCs w:val="22"/>
        </w:rPr>
        <w:t>e</w:t>
      </w:r>
      <w:r w:rsidRPr="00E37AA3">
        <w:rPr>
          <w:rFonts w:cstheme="minorHAnsi"/>
          <w:sz w:val="22"/>
          <w:szCs w:val="22"/>
        </w:rPr>
        <w:t>ry products</w:t>
      </w:r>
      <w:r>
        <w:rPr>
          <w:rFonts w:cstheme="minorHAnsi"/>
          <w:sz w:val="22"/>
          <w:szCs w:val="22"/>
        </w:rPr>
        <w:t>.</w:t>
      </w:r>
    </w:p>
    <w:p w14:paraId="34201F37" w14:textId="77777777" w:rsidR="00F101DD" w:rsidRPr="004A580D" w:rsidRDefault="00F101DD">
      <w:pPr>
        <w:rPr>
          <w:rFonts w:cstheme="minorHAnsi"/>
          <w:sz w:val="22"/>
          <w:szCs w:val="22"/>
        </w:rPr>
      </w:pPr>
    </w:p>
    <w:p w14:paraId="4F5A5A12" w14:textId="6F069BB3" w:rsidR="00F101DD" w:rsidRPr="004A580D" w:rsidRDefault="00F101DD">
      <w:pPr>
        <w:rPr>
          <w:rFonts w:cstheme="minorHAnsi"/>
          <w:sz w:val="22"/>
          <w:szCs w:val="22"/>
        </w:rPr>
      </w:pPr>
      <w:r w:rsidRPr="004A580D">
        <w:rPr>
          <w:rFonts w:cstheme="minorHAnsi"/>
          <w:sz w:val="22"/>
          <w:szCs w:val="22"/>
        </w:rPr>
        <w:t>As discussed in Chapter 7</w:t>
      </w:r>
      <w:r>
        <w:rPr>
          <w:rFonts w:cstheme="minorHAnsi"/>
          <w:sz w:val="22"/>
          <w:szCs w:val="22"/>
        </w:rPr>
        <w:t>,</w:t>
      </w:r>
      <w:r w:rsidRPr="004A580D">
        <w:rPr>
          <w:rFonts w:cstheme="minorHAnsi"/>
          <w:sz w:val="22"/>
          <w:szCs w:val="22"/>
        </w:rPr>
        <w:t xml:space="preserve"> it is </w:t>
      </w:r>
      <w:r>
        <w:rPr>
          <w:rFonts w:cstheme="minorHAnsi"/>
          <w:sz w:val="22"/>
          <w:szCs w:val="22"/>
        </w:rPr>
        <w:t>recommended</w:t>
      </w:r>
      <w:r w:rsidRPr="004A580D">
        <w:rPr>
          <w:rFonts w:cstheme="minorHAnsi"/>
          <w:sz w:val="22"/>
          <w:szCs w:val="22"/>
        </w:rPr>
        <w:t xml:space="preserve"> that the existing </w:t>
      </w:r>
      <w:r>
        <w:rPr>
          <w:rFonts w:cstheme="minorHAnsi"/>
          <w:sz w:val="22"/>
          <w:szCs w:val="22"/>
        </w:rPr>
        <w:t xml:space="preserve">Guide for Industry </w:t>
      </w:r>
      <w:r w:rsidRPr="004A580D">
        <w:rPr>
          <w:rFonts w:cstheme="minorHAnsi"/>
          <w:sz w:val="22"/>
          <w:szCs w:val="22"/>
        </w:rPr>
        <w:t xml:space="preserve">and Style Guide be combined, revised and strengthened (consistent with a Code of Practice) </w:t>
      </w:r>
      <w:r w:rsidR="00A57C12">
        <w:rPr>
          <w:rFonts w:cstheme="minorHAnsi"/>
          <w:sz w:val="22"/>
          <w:szCs w:val="22"/>
        </w:rPr>
        <w:t xml:space="preserve">to </w:t>
      </w:r>
      <w:r w:rsidRPr="004A580D">
        <w:rPr>
          <w:rFonts w:cstheme="minorHAnsi"/>
          <w:sz w:val="22"/>
          <w:szCs w:val="22"/>
        </w:rPr>
        <w:t>provid</w:t>
      </w:r>
      <w:r w:rsidR="00A57C12">
        <w:rPr>
          <w:rFonts w:cstheme="minorHAnsi"/>
          <w:sz w:val="22"/>
          <w:szCs w:val="22"/>
        </w:rPr>
        <w:t>e</w:t>
      </w:r>
      <w:r w:rsidRPr="004A580D">
        <w:rPr>
          <w:rFonts w:cstheme="minorHAnsi"/>
          <w:sz w:val="22"/>
          <w:szCs w:val="22"/>
        </w:rPr>
        <w:t xml:space="preserve"> greater clarity and certainty for industry regarding HSR System expectations.</w:t>
      </w:r>
    </w:p>
    <w:p w14:paraId="583E3D41" w14:textId="77777777" w:rsidR="00F101DD" w:rsidRDefault="00F101DD">
      <w:pPr>
        <w:rPr>
          <w:rFonts w:cstheme="minorHAnsi"/>
          <w:sz w:val="22"/>
          <w:szCs w:val="22"/>
        </w:rPr>
      </w:pPr>
    </w:p>
    <w:p w14:paraId="66C0C2D9" w14:textId="77777777" w:rsidR="00F101DD" w:rsidRPr="003873E6" w:rsidRDefault="00F101DD">
      <w:pPr>
        <w:pStyle w:val="mpcheading3"/>
      </w:pPr>
      <w:r w:rsidRPr="003873E6">
        <w:t xml:space="preserve">Compliance with the HSR Calculator </w:t>
      </w:r>
    </w:p>
    <w:p w14:paraId="0BFFEFAD" w14:textId="77777777" w:rsidR="00F101DD" w:rsidRDefault="00F101DD">
      <w:pPr>
        <w:rPr>
          <w:rFonts w:cstheme="minorHAnsi"/>
          <w:sz w:val="22"/>
          <w:szCs w:val="22"/>
        </w:rPr>
      </w:pPr>
    </w:p>
    <w:p w14:paraId="749A8873" w14:textId="0F1A15AD" w:rsidR="00F101DD" w:rsidRDefault="00F101DD">
      <w:pPr>
        <w:rPr>
          <w:rFonts w:cstheme="minorHAnsi"/>
          <w:sz w:val="22"/>
          <w:szCs w:val="22"/>
        </w:rPr>
      </w:pPr>
      <w:r>
        <w:rPr>
          <w:rFonts w:cstheme="minorHAnsi"/>
          <w:sz w:val="22"/>
          <w:szCs w:val="22"/>
        </w:rPr>
        <w:t xml:space="preserve">In Australia, the NHF independently verified the HSR on a sample of 500 products to assess whether manufacturers were correctly calculating the HSR (such verification did not occur in New Zealand). </w:t>
      </w:r>
      <w:r w:rsidRPr="00283C20">
        <w:rPr>
          <w:rFonts w:cstheme="minorHAnsi"/>
          <w:sz w:val="22"/>
          <w:szCs w:val="22"/>
        </w:rPr>
        <w:t xml:space="preserve">10% </w:t>
      </w:r>
      <w:r>
        <w:rPr>
          <w:rFonts w:cstheme="minorHAnsi"/>
          <w:sz w:val="22"/>
          <w:szCs w:val="22"/>
        </w:rPr>
        <w:t xml:space="preserve">of </w:t>
      </w:r>
      <w:r w:rsidRPr="00283C20">
        <w:rPr>
          <w:rFonts w:cstheme="minorHAnsi"/>
          <w:sz w:val="22"/>
          <w:szCs w:val="22"/>
        </w:rPr>
        <w:t>products sampled in 2018 displayed the incorrect HSR, with 5% overstating it and 5% understating it.</w:t>
      </w:r>
    </w:p>
    <w:p w14:paraId="6771A45A" w14:textId="77777777" w:rsidR="00F101DD" w:rsidRDefault="00F101DD">
      <w:pPr>
        <w:rPr>
          <w:rFonts w:cstheme="minorHAnsi"/>
          <w:sz w:val="22"/>
          <w:szCs w:val="22"/>
        </w:rPr>
      </w:pPr>
    </w:p>
    <w:p w14:paraId="0DBB0536" w14:textId="77777777" w:rsidR="00F101DD" w:rsidRDefault="00F101DD">
      <w:pPr>
        <w:rPr>
          <w:rFonts w:cstheme="minorHAnsi"/>
          <w:sz w:val="22"/>
          <w:szCs w:val="22"/>
        </w:rPr>
      </w:pPr>
      <w:r w:rsidRPr="004026E4">
        <w:rPr>
          <w:rFonts w:cstheme="minorHAnsi"/>
          <w:sz w:val="22"/>
          <w:szCs w:val="22"/>
        </w:rPr>
        <w:t>The NHF acknowledged that</w:t>
      </w:r>
      <w:r>
        <w:rPr>
          <w:rFonts w:cstheme="minorHAnsi"/>
          <w:sz w:val="22"/>
          <w:szCs w:val="22"/>
        </w:rPr>
        <w:t>:</w:t>
      </w:r>
    </w:p>
    <w:p w14:paraId="5AC3AD66" w14:textId="77777777" w:rsidR="00F101DD" w:rsidRDefault="00F101DD">
      <w:pPr>
        <w:rPr>
          <w:rFonts w:cstheme="minorHAnsi"/>
          <w:sz w:val="22"/>
          <w:szCs w:val="22"/>
        </w:rPr>
      </w:pPr>
    </w:p>
    <w:p w14:paraId="1FE01885" w14:textId="7AC8C49D" w:rsidR="00F101DD" w:rsidRPr="004026E4" w:rsidRDefault="00F101DD" w:rsidP="00F720A0">
      <w:pPr>
        <w:pStyle w:val="mpcbullets1"/>
      </w:pPr>
      <w:r>
        <w:t>information</w:t>
      </w:r>
      <w:r w:rsidRPr="004026E4">
        <w:t xml:space="preserve"> used to calculate the HSR was drawn from FoodTrack</w:t>
      </w:r>
      <w:r>
        <w:t>,</w:t>
      </w:r>
      <w:r w:rsidRPr="004026E4">
        <w:t xml:space="preserve"> which </w:t>
      </w:r>
      <w:r>
        <w:t>uses</w:t>
      </w:r>
      <w:r w:rsidRPr="004026E4">
        <w:t xml:space="preserve"> information f</w:t>
      </w:r>
      <w:r>
        <w:t xml:space="preserve">rom </w:t>
      </w:r>
      <w:r w:rsidRPr="004026E4">
        <w:t>the NIP and ingredients label but doe</w:t>
      </w:r>
      <w:r>
        <w:t>s</w:t>
      </w:r>
      <w:r w:rsidRPr="004026E4">
        <w:t xml:space="preserve"> not include FVNL content and, in some case</w:t>
      </w:r>
      <w:r w:rsidR="000D0FB9">
        <w:t>s</w:t>
      </w:r>
      <w:r w:rsidRPr="004026E4">
        <w:t>, fibre content</w:t>
      </w:r>
    </w:p>
    <w:p w14:paraId="73196075" w14:textId="77777777" w:rsidR="00F101DD" w:rsidRPr="004026E4" w:rsidRDefault="00F101DD" w:rsidP="00F720A0">
      <w:pPr>
        <w:pStyle w:val="mpcbullets1"/>
      </w:pPr>
      <w:r>
        <w:t>m</w:t>
      </w:r>
      <w:r w:rsidRPr="004026E4">
        <w:t>issing o</w:t>
      </w:r>
      <w:r>
        <w:t>r incomplete</w:t>
      </w:r>
      <w:r w:rsidRPr="004026E4">
        <w:t xml:space="preserve"> information was imputed from other equivalent pr</w:t>
      </w:r>
      <w:r>
        <w:t>oducts,</w:t>
      </w:r>
      <w:r w:rsidRPr="004026E4">
        <w:t xml:space="preserve"> and d</w:t>
      </w:r>
      <w:r>
        <w:t xml:space="preserve">epending </w:t>
      </w:r>
      <w:r w:rsidRPr="004026E4">
        <w:t>on the information missing, different approaches were taken to its imputation</w:t>
      </w:r>
      <w:r>
        <w:t>.</w:t>
      </w:r>
    </w:p>
    <w:p w14:paraId="2F9666E9" w14:textId="77777777" w:rsidR="00F101DD" w:rsidRDefault="00F101DD" w:rsidP="006B6015">
      <w:pPr>
        <w:pStyle w:val="mpcNormal"/>
        <w:keepNext w:val="0"/>
      </w:pPr>
    </w:p>
    <w:p w14:paraId="37F6BC9B" w14:textId="2A4376A1" w:rsidR="00F101DD" w:rsidRPr="00D20DE0" w:rsidRDefault="00F101DD" w:rsidP="006B6015">
      <w:pPr>
        <w:pStyle w:val="mpcNormal"/>
        <w:keepNext w:val="0"/>
      </w:pPr>
      <w:r>
        <w:t>W</w:t>
      </w:r>
      <w:r w:rsidRPr="00D20DE0">
        <w:t>hile non-compliance appeared to increase over the four years, over the same period</w:t>
      </w:r>
      <w:r>
        <w:t xml:space="preserve"> </w:t>
      </w:r>
      <w:r w:rsidRPr="00D20DE0">
        <w:t xml:space="preserve">the proportion of products assessed with missing or incomplete information </w:t>
      </w:r>
      <w:r>
        <w:t xml:space="preserve">(such that the NHF had to estimate values used to calculate the HSR) </w:t>
      </w:r>
      <w:r w:rsidRPr="00D20DE0">
        <w:t>increased from 3% to 6</w:t>
      </w:r>
      <w:r w:rsidR="00411BCB">
        <w:t>2</w:t>
      </w:r>
      <w:r w:rsidRPr="00D20DE0">
        <w:t>%.</w:t>
      </w:r>
    </w:p>
    <w:p w14:paraId="0FAE567C" w14:textId="77777777" w:rsidR="00F101DD" w:rsidRDefault="00F101DD">
      <w:pPr>
        <w:rPr>
          <w:rFonts w:cstheme="minorHAnsi"/>
          <w:sz w:val="22"/>
          <w:szCs w:val="22"/>
        </w:rPr>
      </w:pPr>
    </w:p>
    <w:p w14:paraId="3D906230" w14:textId="2ABD8EA9" w:rsidR="00F101DD" w:rsidRDefault="00F101DD" w:rsidP="006B0997">
      <w:pPr>
        <w:rPr>
          <w:rFonts w:cstheme="minorHAnsi"/>
          <w:sz w:val="22"/>
          <w:szCs w:val="22"/>
        </w:rPr>
      </w:pPr>
      <w:r>
        <w:rPr>
          <w:rFonts w:cstheme="minorHAnsi"/>
          <w:sz w:val="22"/>
          <w:szCs w:val="22"/>
        </w:rPr>
        <w:t>The Review acknowledges that verification of HSRs based on estimated values could impact the veracity of the NHF’s findings.</w:t>
      </w:r>
      <w:r w:rsidR="00411BCB">
        <w:rPr>
          <w:rFonts w:cstheme="minorHAnsi"/>
          <w:sz w:val="22"/>
          <w:szCs w:val="22"/>
        </w:rPr>
        <w:t xml:space="preserve"> </w:t>
      </w:r>
    </w:p>
    <w:p w14:paraId="6713911E" w14:textId="77777777" w:rsidR="00F101DD" w:rsidRPr="00944DA4" w:rsidRDefault="00F101DD">
      <w:pPr>
        <w:rPr>
          <w:rFonts w:cstheme="minorHAnsi"/>
          <w:sz w:val="22"/>
        </w:rPr>
      </w:pPr>
    </w:p>
    <w:p w14:paraId="74B32940" w14:textId="77777777" w:rsidR="00F101DD" w:rsidRPr="00944DA4" w:rsidRDefault="00F101DD" w:rsidP="006B0997">
      <w:pPr>
        <w:pStyle w:val="mpcheading2"/>
        <w:spacing w:after="0"/>
        <w:rPr>
          <w:rFonts w:cstheme="minorHAnsi"/>
        </w:rPr>
      </w:pPr>
      <w:bookmarkStart w:id="71" w:name="Awareness"/>
      <w:bookmarkStart w:id="72" w:name="_Toc1746488"/>
      <w:bookmarkEnd w:id="71"/>
      <w:r w:rsidRPr="00944DA4">
        <w:rPr>
          <w:rFonts w:cstheme="minorHAnsi"/>
        </w:rPr>
        <w:t>Consumer awareness and ability to use the HSR System correctly</w:t>
      </w:r>
      <w:bookmarkEnd w:id="72"/>
    </w:p>
    <w:p w14:paraId="18427809" w14:textId="77777777" w:rsidR="00F101DD" w:rsidRPr="00944DA4" w:rsidRDefault="00F101DD" w:rsidP="006B0997">
      <w:pPr>
        <w:pStyle w:val="mpcNormal"/>
        <w:keepNext w:val="0"/>
      </w:pPr>
    </w:p>
    <w:p w14:paraId="4903A771" w14:textId="77777777" w:rsidR="00F101DD" w:rsidRPr="00944DA4" w:rsidRDefault="00F101DD" w:rsidP="006B0997">
      <w:pPr>
        <w:pStyle w:val="mpcheading3"/>
      </w:pPr>
      <w:r w:rsidRPr="00944DA4">
        <w:t>Awareness</w:t>
      </w:r>
      <w:r>
        <w:t>, trust and confidence</w:t>
      </w:r>
    </w:p>
    <w:p w14:paraId="2C3B8068" w14:textId="77777777" w:rsidR="00F101DD" w:rsidRDefault="00F101DD" w:rsidP="005A3631">
      <w:pPr>
        <w:rPr>
          <w:rFonts w:cstheme="minorHAnsi"/>
          <w:sz w:val="22"/>
          <w:szCs w:val="22"/>
        </w:rPr>
      </w:pPr>
    </w:p>
    <w:p w14:paraId="01B9CDE8" w14:textId="77B6CBDF" w:rsidR="00F101DD" w:rsidRDefault="00F101DD">
      <w:pPr>
        <w:rPr>
          <w:rFonts w:cstheme="minorHAnsi"/>
          <w:sz w:val="22"/>
          <w:szCs w:val="22"/>
        </w:rPr>
      </w:pPr>
      <w:r w:rsidRPr="00097409">
        <w:rPr>
          <w:rFonts w:cstheme="minorHAnsi"/>
          <w:sz w:val="22"/>
          <w:szCs w:val="22"/>
        </w:rPr>
        <w:t xml:space="preserve">Awareness trust and confidence in the HSR </w:t>
      </w:r>
      <w:r w:rsidR="00F720A0">
        <w:rPr>
          <w:rFonts w:cstheme="minorHAnsi"/>
          <w:sz w:val="22"/>
          <w:szCs w:val="22"/>
        </w:rPr>
        <w:t xml:space="preserve">System </w:t>
      </w:r>
      <w:r w:rsidRPr="00097409">
        <w:rPr>
          <w:rFonts w:cstheme="minorHAnsi"/>
          <w:sz w:val="22"/>
          <w:szCs w:val="22"/>
        </w:rPr>
        <w:t>are all important predictors of likelihood to use the HSR in the future</w:t>
      </w:r>
      <w:r>
        <w:rPr>
          <w:rFonts w:cstheme="minorHAnsi"/>
          <w:sz w:val="22"/>
          <w:szCs w:val="22"/>
        </w:rPr>
        <w:t>.</w:t>
      </w:r>
    </w:p>
    <w:p w14:paraId="501CF2A1" w14:textId="77777777" w:rsidR="00F101DD" w:rsidRDefault="00F101DD">
      <w:pPr>
        <w:rPr>
          <w:rFonts w:cstheme="minorHAnsi"/>
          <w:sz w:val="22"/>
          <w:szCs w:val="22"/>
        </w:rPr>
      </w:pPr>
    </w:p>
    <w:p w14:paraId="0194F0EC" w14:textId="77777777" w:rsidR="00F101DD" w:rsidRPr="00283C20" w:rsidRDefault="00F101DD">
      <w:pPr>
        <w:rPr>
          <w:rFonts w:cstheme="minorHAnsi"/>
          <w:sz w:val="22"/>
          <w:szCs w:val="22"/>
        </w:rPr>
      </w:pPr>
      <w:r w:rsidRPr="00944DA4">
        <w:rPr>
          <w:rFonts w:cstheme="minorHAnsi"/>
          <w:sz w:val="22"/>
          <w:szCs w:val="22"/>
        </w:rPr>
        <w:t>In both</w:t>
      </w:r>
      <w:r w:rsidRPr="00283C20">
        <w:rPr>
          <w:rFonts w:cstheme="minorHAnsi"/>
          <w:sz w:val="22"/>
          <w:szCs w:val="22"/>
        </w:rPr>
        <w:t xml:space="preserve"> Australia and New Zealand, prompted and unprompted awareness of the HSR System has significantly increased over the last few years:</w:t>
      </w:r>
    </w:p>
    <w:p w14:paraId="49EB3D77" w14:textId="77777777" w:rsidR="00F101DD" w:rsidRPr="00283C20" w:rsidRDefault="00F101DD">
      <w:pPr>
        <w:rPr>
          <w:rFonts w:cstheme="minorHAnsi"/>
          <w:sz w:val="22"/>
          <w:szCs w:val="22"/>
        </w:rPr>
      </w:pPr>
    </w:p>
    <w:p w14:paraId="60A1CCC1" w14:textId="3C14AF03" w:rsidR="00F101DD" w:rsidRPr="00283C20" w:rsidRDefault="00F101DD" w:rsidP="00F720A0">
      <w:pPr>
        <w:pStyle w:val="mpcbullets1"/>
      </w:pPr>
      <w:r w:rsidRPr="00283C20">
        <w:t>when prompted</w:t>
      </w:r>
      <w:r>
        <w:t>,</w:t>
      </w:r>
      <w:r w:rsidRPr="00283C20">
        <w:t xml:space="preserve"> 83% of Australian consumers and 76% of New Zealand consumers are aware of the HSR System </w:t>
      </w:r>
    </w:p>
    <w:p w14:paraId="3A38FB34" w14:textId="0EADF1D6" w:rsidR="00F101DD" w:rsidRPr="00283C20" w:rsidRDefault="00F101DD" w:rsidP="00890BB4">
      <w:pPr>
        <w:pStyle w:val="mpcbullets2"/>
        <w:keepNext w:val="0"/>
      </w:pPr>
      <w:r w:rsidRPr="00283C20">
        <w:t>This has increased from 5</w:t>
      </w:r>
      <w:r w:rsidR="001016F4">
        <w:t>7</w:t>
      </w:r>
      <w:r w:rsidRPr="00283C20">
        <w:t>% in Australia in 2016 and 38% in New Zealand in 2015.</w:t>
      </w:r>
    </w:p>
    <w:p w14:paraId="3709D3BB" w14:textId="42234A6D" w:rsidR="00F101DD" w:rsidRPr="00283C20" w:rsidRDefault="00F101DD" w:rsidP="00F720A0">
      <w:pPr>
        <w:pStyle w:val="mpcbullets1"/>
      </w:pPr>
      <w:r w:rsidRPr="00283C20">
        <w:t>unprompted, 20% of Australian consumers and 16% of New Zealand consumers recognise the HSR (increasing from as low as 3% in 2015 in New Zealand)</w:t>
      </w:r>
      <w:r>
        <w:t>.</w:t>
      </w:r>
    </w:p>
    <w:p w14:paraId="0F0C7E9C" w14:textId="77777777" w:rsidR="00F101DD" w:rsidRPr="0026397D" w:rsidRDefault="00F101DD" w:rsidP="00890BB4">
      <w:pPr>
        <w:pStyle w:val="mpcNormal"/>
        <w:keepNext w:val="0"/>
      </w:pPr>
    </w:p>
    <w:p w14:paraId="6D61D9B2" w14:textId="77777777" w:rsidR="00F101DD" w:rsidRDefault="00F101DD" w:rsidP="00890BB4">
      <w:pPr>
        <w:pStyle w:val="mpcNormal"/>
        <w:keepNext w:val="0"/>
      </w:pPr>
      <w:r>
        <w:t>In Australia, trust and confidence in the HSR System has also been growing over time:</w:t>
      </w:r>
    </w:p>
    <w:p w14:paraId="5DE97640" w14:textId="77777777" w:rsidR="00F101DD" w:rsidRDefault="00F101DD" w:rsidP="00890BB4">
      <w:pPr>
        <w:pStyle w:val="mpcNormal"/>
        <w:keepNext w:val="0"/>
      </w:pPr>
    </w:p>
    <w:p w14:paraId="606A675D" w14:textId="5EEB0D77" w:rsidR="00F101DD" w:rsidRPr="004A580D" w:rsidRDefault="00F101DD" w:rsidP="00F720A0">
      <w:pPr>
        <w:pStyle w:val="mpcbullets1"/>
      </w:pPr>
      <w:r>
        <w:t xml:space="preserve">trust has increased at 8% </w:t>
      </w:r>
      <w:r w:rsidR="000D5F6E">
        <w:t>per year</w:t>
      </w:r>
      <w:r>
        <w:t xml:space="preserve"> and there has been a </w:t>
      </w:r>
      <w:r w:rsidR="001016F4">
        <w:t>6</w:t>
      </w:r>
      <w:r>
        <w:t xml:space="preserve">% </w:t>
      </w:r>
      <w:r w:rsidR="000D5F6E">
        <w:t>per year</w:t>
      </w:r>
      <w:r>
        <w:t xml:space="preserve"> increase in credibility of the HSR </w:t>
      </w:r>
      <w:r w:rsidRPr="004A580D">
        <w:t>System. In 2018, almost six in every 10 consumers trust the HSR System</w:t>
      </w:r>
    </w:p>
    <w:p w14:paraId="6D0C4D20" w14:textId="77777777" w:rsidR="00F101DD" w:rsidRPr="00F31C57" w:rsidRDefault="00F101DD" w:rsidP="00F720A0">
      <w:pPr>
        <w:pStyle w:val="mpcbullets1"/>
      </w:pPr>
      <w:r w:rsidRPr="004A580D">
        <w:t>confidence in the HSR System has also increased significantly over the three years. In 2016, a majority of consumer</w:t>
      </w:r>
      <w:r w:rsidRPr="0026397D">
        <w:t xml:space="preserve">s were not confident in the </w:t>
      </w:r>
      <w:r>
        <w:t>S</w:t>
      </w:r>
      <w:r w:rsidRPr="0026397D">
        <w:t>ystem</w:t>
      </w:r>
      <w:r>
        <w:t>. H</w:t>
      </w:r>
      <w:r w:rsidRPr="0026397D">
        <w:t>owever</w:t>
      </w:r>
      <w:r>
        <w:t>,</w:t>
      </w:r>
      <w:r w:rsidRPr="0026397D">
        <w:t xml:space="preserve"> confidence had increased to just over half in </w:t>
      </w:r>
      <w:r>
        <w:t>2017</w:t>
      </w:r>
      <w:r w:rsidRPr="0026397D">
        <w:t xml:space="preserve"> and further </w:t>
      </w:r>
      <w:r>
        <w:t>increased</w:t>
      </w:r>
      <w:r w:rsidRPr="0026397D">
        <w:t xml:space="preserve"> to almost 70</w:t>
      </w:r>
      <w:r>
        <w:t>%</w:t>
      </w:r>
      <w:r w:rsidRPr="0026397D">
        <w:t xml:space="preserve"> in </w:t>
      </w:r>
      <w:r>
        <w:t>2018.</w:t>
      </w:r>
    </w:p>
    <w:p w14:paraId="0BF7A583" w14:textId="77777777" w:rsidR="00F101DD" w:rsidRDefault="00F101DD" w:rsidP="00890BB4">
      <w:pPr>
        <w:pStyle w:val="mpcNormal"/>
        <w:keepNext w:val="0"/>
      </w:pPr>
    </w:p>
    <w:p w14:paraId="5A3128E0" w14:textId="41AB5ED7" w:rsidR="00F101DD" w:rsidRDefault="00F101DD" w:rsidP="00890BB4">
      <w:pPr>
        <w:pStyle w:val="mpcNormal"/>
        <w:keepNext w:val="0"/>
      </w:pPr>
      <w:r>
        <w:t>In New Zealand, a</w:t>
      </w:r>
      <w:r w:rsidRPr="00F31C57">
        <w:t xml:space="preserve">lthough there have been encouraging improvements in awareness, knowledge and use of the HSR since 2015, levels of trust have remained similar between 2015 and 2018 (40% say they trust the HSR </w:t>
      </w:r>
      <w:r>
        <w:t>S</w:t>
      </w:r>
      <w:r w:rsidRPr="00F31C57">
        <w:t xml:space="preserve">ystem). </w:t>
      </w:r>
      <w:r>
        <w:t xml:space="preserve">The main reason cited for negative perceptions of the </w:t>
      </w:r>
      <w:r w:rsidR="000D5F6E">
        <w:t>System</w:t>
      </w:r>
      <w:r>
        <w:t xml:space="preserve"> was that the HSR ‘is something companies use to sell more products’.</w:t>
      </w:r>
    </w:p>
    <w:p w14:paraId="2AF9F3BD" w14:textId="77777777" w:rsidR="00F101DD" w:rsidRDefault="00F101DD" w:rsidP="00890BB4">
      <w:pPr>
        <w:pStyle w:val="mpcNormal"/>
        <w:keepNext w:val="0"/>
      </w:pPr>
    </w:p>
    <w:p w14:paraId="520875BF" w14:textId="434A3385" w:rsidR="00F101DD" w:rsidRDefault="00F101DD" w:rsidP="00890BB4">
      <w:pPr>
        <w:pStyle w:val="mpcNormal"/>
        <w:keepNext w:val="0"/>
      </w:pPr>
      <w:r>
        <w:t xml:space="preserve">New Zealand monitoring data shows that consumers who had seen the </w:t>
      </w:r>
      <w:r w:rsidR="00F720A0">
        <w:t>G</w:t>
      </w:r>
      <w:r>
        <w:t xml:space="preserve">overnment campaign were significantly more likely to express confidence in the HSR </w:t>
      </w:r>
      <w:r w:rsidR="00F720A0">
        <w:t xml:space="preserve">System </w:t>
      </w:r>
      <w:r>
        <w:t>compared to those who didn’t (52% compared with 42%).</w:t>
      </w:r>
    </w:p>
    <w:p w14:paraId="299A034B" w14:textId="77777777" w:rsidR="00F101DD" w:rsidRDefault="00F101DD" w:rsidP="00890BB4">
      <w:pPr>
        <w:pStyle w:val="mpcNormal"/>
        <w:keepNext w:val="0"/>
      </w:pPr>
    </w:p>
    <w:p w14:paraId="147D2519" w14:textId="7AE5821C" w:rsidR="00F101DD" w:rsidRDefault="00F101DD" w:rsidP="00890BB4">
      <w:pPr>
        <w:pStyle w:val="mpcNormal"/>
        <w:keepNext w:val="0"/>
      </w:pPr>
      <w:r>
        <w:t>Chapter 4 includes further information about government campaigns and the focus on addressing consumer perceptions.</w:t>
      </w:r>
    </w:p>
    <w:p w14:paraId="2004E32F" w14:textId="77777777" w:rsidR="00F101DD" w:rsidRDefault="00F101DD" w:rsidP="006B0997">
      <w:pPr>
        <w:pStyle w:val="mpcNormal"/>
        <w:keepNext w:val="0"/>
      </w:pPr>
    </w:p>
    <w:p w14:paraId="768C5744" w14:textId="77777777" w:rsidR="00F101DD" w:rsidRPr="0090273F" w:rsidRDefault="00F101DD">
      <w:pPr>
        <w:pStyle w:val="mpcheading3"/>
      </w:pPr>
      <w:r w:rsidRPr="00944DA4">
        <w:t xml:space="preserve">Ease of use </w:t>
      </w:r>
      <w:r>
        <w:t>and correct use</w:t>
      </w:r>
    </w:p>
    <w:p w14:paraId="00FCB9B4" w14:textId="77777777" w:rsidR="00F101DD" w:rsidRDefault="00F101DD">
      <w:pPr>
        <w:rPr>
          <w:rFonts w:cstheme="minorHAnsi"/>
          <w:sz w:val="22"/>
          <w:szCs w:val="22"/>
        </w:rPr>
      </w:pPr>
    </w:p>
    <w:p w14:paraId="7A6CD460" w14:textId="0CA23A1F" w:rsidR="00F101DD" w:rsidRPr="00FD1D97" w:rsidRDefault="00F101DD" w:rsidP="006B6015">
      <w:pPr>
        <w:pStyle w:val="mpcNormal"/>
        <w:keepNext w:val="0"/>
      </w:pPr>
      <w:r w:rsidRPr="00FD1D97">
        <w:t>In Australia, most consumers agree the HSR System makes identifying healthier products easier (7</w:t>
      </w:r>
      <w:r w:rsidR="001016F4">
        <w:t>7</w:t>
      </w:r>
      <w:r w:rsidRPr="00FD1D97">
        <w:t>%). The majority of Australian consumers also understand that the HSR provides a rating of the product’s healthiness (5</w:t>
      </w:r>
      <w:r w:rsidR="001016F4">
        <w:t>6</w:t>
      </w:r>
      <w:r w:rsidRPr="00FD1D97">
        <w:t xml:space="preserve">%) </w:t>
      </w:r>
      <w:bookmarkStart w:id="73" w:name="_Hlk528669176"/>
      <w:r w:rsidRPr="00FD1D97">
        <w:t>and that a product with five stars is the healthiest choice</w:t>
      </w:r>
      <w:r w:rsidR="001B1DA6">
        <w:t xml:space="preserve"> (88%).</w:t>
      </w:r>
      <w:bookmarkEnd w:id="73"/>
    </w:p>
    <w:p w14:paraId="3C1C6A9A" w14:textId="77777777" w:rsidR="00F101DD" w:rsidRPr="00FD1D97" w:rsidRDefault="00F101DD" w:rsidP="006B6015">
      <w:pPr>
        <w:pStyle w:val="mpcNormal"/>
        <w:keepNext w:val="0"/>
      </w:pPr>
    </w:p>
    <w:p w14:paraId="29326166" w14:textId="469C6545" w:rsidR="00F101DD" w:rsidRPr="00FD1D97" w:rsidRDefault="00F101DD" w:rsidP="006B6015">
      <w:pPr>
        <w:pStyle w:val="mpcNormal"/>
        <w:keepNext w:val="0"/>
        <w:widowControl w:val="0"/>
      </w:pPr>
      <w:r w:rsidRPr="00FD1D97">
        <w:t>Similar results have been achieved in New Zealand, where ease of use was examined in the context of the 2018 HSR System campaign. Of consumers who had seen the campaign, 66% agreed it makes it easier to decide which packaged foods are healthier (compared to 56% of consumer</w:t>
      </w:r>
      <w:r w:rsidR="001016F4">
        <w:t>s</w:t>
      </w:r>
      <w:r w:rsidRPr="00FD1D97">
        <w:t xml:space="preserve"> who had not seen the campaign). 68% of New Zealand consumers correctly identified that the product with more stars </w:t>
      </w:r>
      <w:r w:rsidR="00935651" w:rsidRPr="00FD1D97">
        <w:t xml:space="preserve">within a food category </w:t>
      </w:r>
      <w:r w:rsidRPr="00FD1D97">
        <w:t>is healthier.</w:t>
      </w:r>
    </w:p>
    <w:p w14:paraId="0CCF5C86" w14:textId="77777777" w:rsidR="00F101DD" w:rsidRPr="00FD1D97" w:rsidRDefault="00F101DD" w:rsidP="006B6015">
      <w:pPr>
        <w:pStyle w:val="mpcNormal"/>
        <w:keepNext w:val="0"/>
        <w:widowControl w:val="0"/>
      </w:pPr>
    </w:p>
    <w:p w14:paraId="0A1D4BB0" w14:textId="2360B241" w:rsidR="00F101DD" w:rsidRPr="00FD1D97" w:rsidRDefault="00F101DD" w:rsidP="006B6015">
      <w:pPr>
        <w:pStyle w:val="mpcNormal"/>
        <w:keepNext w:val="0"/>
        <w:widowControl w:val="0"/>
      </w:pPr>
      <w:r w:rsidRPr="00FD1D97">
        <w:t xml:space="preserve">However, both Australians and New Zealanders are less clear </w:t>
      </w:r>
      <w:r w:rsidR="00411BCB">
        <w:t>that</w:t>
      </w:r>
      <w:r w:rsidR="00411BCB" w:rsidRPr="00FD1D97">
        <w:t xml:space="preserve"> </w:t>
      </w:r>
      <w:r w:rsidRPr="00FD1D97">
        <w:t xml:space="preserve">the HSR </w:t>
      </w:r>
      <w:r w:rsidR="00411BCB">
        <w:t xml:space="preserve">should be used </w:t>
      </w:r>
      <w:r w:rsidRPr="00FD1D97">
        <w:t xml:space="preserve">to compare similar products, with more than half of consumers in Australia and New Zealand agreeing that the HSR can be used across different categories. </w:t>
      </w:r>
    </w:p>
    <w:p w14:paraId="20ED4B99" w14:textId="77777777" w:rsidR="00F101DD" w:rsidRPr="00FD1D97" w:rsidRDefault="00F101DD" w:rsidP="006B6015">
      <w:pPr>
        <w:pStyle w:val="mpcNormal"/>
        <w:keepNext w:val="0"/>
        <w:widowControl w:val="0"/>
      </w:pPr>
    </w:p>
    <w:p w14:paraId="4A79E9F3" w14:textId="77777777" w:rsidR="00F101DD" w:rsidRPr="00FD1D97" w:rsidRDefault="00F101DD" w:rsidP="006B6015">
      <w:pPr>
        <w:pStyle w:val="mpcNormal"/>
        <w:keepNext w:val="0"/>
        <w:widowControl w:val="0"/>
      </w:pPr>
      <w:r w:rsidRPr="00FD1D97">
        <w:t xml:space="preserve">While this seems concerning, in practice this may not be a significant issue. New Zealand monitoring data shows that even though consumers think they can compare across categories, few shoppers do so (ranging from 3% to 10% across all groups). </w:t>
      </w:r>
    </w:p>
    <w:p w14:paraId="4210E00D" w14:textId="77777777" w:rsidR="00F101DD" w:rsidRPr="00FD1D97" w:rsidRDefault="00F101DD" w:rsidP="006B6015">
      <w:pPr>
        <w:pStyle w:val="mpcNormal"/>
        <w:keepNext w:val="0"/>
        <w:widowControl w:val="0"/>
      </w:pPr>
    </w:p>
    <w:p w14:paraId="1C702539" w14:textId="5B66C44E" w:rsidR="00F101DD" w:rsidRPr="00FD1D97" w:rsidRDefault="00F101DD" w:rsidP="006B6015">
      <w:pPr>
        <w:pStyle w:val="mpcNormal"/>
        <w:keepNext w:val="0"/>
        <w:widowControl w:val="0"/>
      </w:pPr>
      <w:r w:rsidRPr="00FD1D97">
        <w:t>Likewise</w:t>
      </w:r>
      <w:r w:rsidR="000C64AF" w:rsidRPr="00FD1D97">
        <w:t>,</w:t>
      </w:r>
      <w:r w:rsidRPr="00FD1D97">
        <w:t xml:space="preserve"> in Australia, when consumers are presented with </w:t>
      </w:r>
      <w:r w:rsidR="000D5F6E" w:rsidRPr="00FD1D97">
        <w:t>two</w:t>
      </w:r>
      <w:r w:rsidRPr="00FD1D97">
        <w:t xml:space="preserve"> products and asked whether they could or would </w:t>
      </w:r>
      <w:r w:rsidR="000D5F6E" w:rsidRPr="00FD1D97">
        <w:t xml:space="preserve">use the HSR to </w:t>
      </w:r>
      <w:r w:rsidRPr="00FD1D97">
        <w:t xml:space="preserve">compare the products, they exhibited a better understanding that the HSR should only be </w:t>
      </w:r>
      <w:r w:rsidR="000D5F6E" w:rsidRPr="00FD1D97">
        <w:t xml:space="preserve">used to </w:t>
      </w:r>
      <w:r w:rsidRPr="00FD1D97">
        <w:t>compare similar products.</w:t>
      </w:r>
    </w:p>
    <w:p w14:paraId="1550AEA9" w14:textId="77777777" w:rsidR="00F101DD" w:rsidRPr="00FD1D97" w:rsidRDefault="00F101DD" w:rsidP="006B0997">
      <w:pPr>
        <w:pStyle w:val="mpcNormal"/>
        <w:keepNext w:val="0"/>
      </w:pPr>
    </w:p>
    <w:p w14:paraId="534950A7" w14:textId="7B86C798" w:rsidR="00F101DD" w:rsidRPr="00FD1D97" w:rsidRDefault="00F101DD" w:rsidP="006B0997">
      <w:pPr>
        <w:pStyle w:val="mpcNormal"/>
        <w:keepNext w:val="0"/>
      </w:pPr>
      <w:r w:rsidRPr="00FD1D97">
        <w:t>As discussed in Chapter 4, the Australian campaign material release</w:t>
      </w:r>
      <w:r w:rsidR="000D0FB9">
        <w:t>d</w:t>
      </w:r>
      <w:r w:rsidRPr="00FD1D97">
        <w:t xml:space="preserve"> in </w:t>
      </w:r>
      <w:r w:rsidR="000D0FB9">
        <w:t>February</w:t>
      </w:r>
      <w:r w:rsidRPr="00FD1D97">
        <w:t xml:space="preserve"> 2019 focuses on educating consumers about using the HSR to compare similar products. Online materials have also been published with similar messages. The HSR System Twitter feed has for some time been encouraging consumers to use </w:t>
      </w:r>
      <w:r w:rsidR="000D0FB9">
        <w:t xml:space="preserve">the </w:t>
      </w:r>
      <w:r w:rsidRPr="00FD1D97">
        <w:t>HSR to compare similar products (in conjunction with a well-balanced diet).</w:t>
      </w:r>
    </w:p>
    <w:p w14:paraId="3EA7E68B" w14:textId="77777777" w:rsidR="00F101DD" w:rsidRPr="00FD1D97" w:rsidRDefault="00F101DD" w:rsidP="006B0997">
      <w:pPr>
        <w:pStyle w:val="mpcNormal"/>
        <w:keepNext w:val="0"/>
      </w:pPr>
    </w:p>
    <w:p w14:paraId="4A442E19" w14:textId="77777777" w:rsidR="00F101DD" w:rsidRPr="00FD1D97" w:rsidRDefault="00F101DD" w:rsidP="006B6015">
      <w:pPr>
        <w:pStyle w:val="mpcNormal"/>
        <w:keepNext w:val="0"/>
      </w:pPr>
      <w:r w:rsidRPr="00FD1D97">
        <w:t>Other research consistently indicates that consumers find the HSR easy to use and prefer it to other interpretive labelling:</w:t>
      </w:r>
    </w:p>
    <w:p w14:paraId="34A9597D" w14:textId="77777777" w:rsidR="00F101DD" w:rsidRPr="00E40FB1" w:rsidRDefault="00F101DD" w:rsidP="006B6015">
      <w:pPr>
        <w:pStyle w:val="mpcNormal"/>
        <w:keepNext w:val="0"/>
      </w:pPr>
    </w:p>
    <w:p w14:paraId="5FDAD32B" w14:textId="5CB0D60B" w:rsidR="00F101DD" w:rsidRPr="00F720A0" w:rsidRDefault="00F101DD" w:rsidP="00F720A0">
      <w:pPr>
        <w:pStyle w:val="mpcbullets1"/>
      </w:pPr>
      <w:r>
        <w:t>R</w:t>
      </w:r>
      <w:r w:rsidRPr="00E40FB1">
        <w:t xml:space="preserve">esearch into </w:t>
      </w:r>
      <w:r w:rsidRPr="00F720A0">
        <w:t>the effects of FoPL</w:t>
      </w:r>
      <w:r w:rsidR="000D5F6E" w:rsidRPr="00F720A0">
        <w:rPr>
          <w:rStyle w:val="FootnoteReference"/>
          <w:sz w:val="22"/>
        </w:rPr>
        <w:footnoteReference w:id="17"/>
      </w:r>
      <w:r w:rsidRPr="00F720A0">
        <w:t xml:space="preserve"> assessed the effects of different </w:t>
      </w:r>
      <w:r w:rsidR="00935651" w:rsidRPr="00F720A0">
        <w:t>FoPL schemes</w:t>
      </w:r>
      <w:r w:rsidRPr="00F720A0">
        <w:t xml:space="preserve"> (the HSR System, multiple traffic light labels, DIG, recommendations/warnings) against the NIP. While recommendations/warnings resulted in more healthy food choices, participants reported that the HSR System was easier to understand than traffic lights or DIGs and that the HSR was more useful than the NIP.</w:t>
      </w:r>
    </w:p>
    <w:p w14:paraId="68E412C1" w14:textId="67427AA7" w:rsidR="00F101DD" w:rsidRPr="00F720A0" w:rsidRDefault="00F101DD" w:rsidP="00F720A0">
      <w:pPr>
        <w:pStyle w:val="mpcbullets1"/>
      </w:pPr>
      <w:r w:rsidRPr="00F720A0">
        <w:t>Research published in 2016</w:t>
      </w:r>
      <w:r w:rsidR="000D5F6E" w:rsidRPr="00F720A0">
        <w:rPr>
          <w:rStyle w:val="FootnoteReference"/>
          <w:sz w:val="22"/>
        </w:rPr>
        <w:footnoteReference w:id="18"/>
      </w:r>
      <w:r w:rsidRPr="00F720A0">
        <w:t xml:space="preserve"> found that the HSR System was the most preferred FoPL (against DIGs and traffic light labelling). Most participants reported being motivated to use </w:t>
      </w:r>
      <w:r w:rsidR="00411BCB" w:rsidRPr="00F720A0">
        <w:t xml:space="preserve">interpretive </w:t>
      </w:r>
      <w:r w:rsidRPr="00F720A0">
        <w:t>FoPLs (particularly the HSR) to make choices about foods consumed as part of regular daily meals, but not for discretionary foods consumed as snacks or des</w:t>
      </w:r>
      <w:r w:rsidR="00F54C40" w:rsidRPr="00F720A0">
        <w:t>s</w:t>
      </w:r>
      <w:r w:rsidRPr="00F720A0">
        <w:t>erts.</w:t>
      </w:r>
    </w:p>
    <w:p w14:paraId="10B052CE" w14:textId="54754B8A" w:rsidR="00F101DD" w:rsidRPr="00F720A0" w:rsidRDefault="00F101DD" w:rsidP="006B6015">
      <w:pPr>
        <w:pStyle w:val="mpcbullets2"/>
        <w:keepNext w:val="0"/>
      </w:pPr>
      <w:r w:rsidRPr="00F720A0">
        <w:t>This finding was supported by a similar study published in 2017</w:t>
      </w:r>
      <w:r w:rsidR="000D5F6E" w:rsidRPr="00F720A0">
        <w:rPr>
          <w:rFonts w:cs="Times New Roman (Body CS)"/>
          <w:vertAlign w:val="superscript"/>
        </w:rPr>
        <w:footnoteReference w:id="19"/>
      </w:r>
      <w:r w:rsidR="000D5F6E" w:rsidRPr="00F720A0">
        <w:t>,</w:t>
      </w:r>
      <w:r w:rsidRPr="00F720A0">
        <w:t xml:space="preserve"> which explored Australian consumers' preferences for different types and attributes of FoPLs. It found that the HSR System was the most preferred FoPL at 44% (against DIG and traffic light labelling). Respondents found the HSR System easy to use, interpretive and prominent.</w:t>
      </w:r>
    </w:p>
    <w:p w14:paraId="32DFE219" w14:textId="64C43CB8" w:rsidR="00935651" w:rsidRPr="00F720A0" w:rsidRDefault="00935651" w:rsidP="006B6015">
      <w:pPr>
        <w:pStyle w:val="mpcbullets2"/>
        <w:keepNext w:val="0"/>
      </w:pPr>
      <w:r w:rsidRPr="00F720A0">
        <w:t>Subsequent research</w:t>
      </w:r>
      <w:r w:rsidR="00EC300D" w:rsidRPr="00F720A0">
        <w:rPr>
          <w:rStyle w:val="FootnoteReference"/>
          <w:sz w:val="22"/>
        </w:rPr>
        <w:footnoteReference w:id="20"/>
      </w:r>
      <w:r w:rsidR="00EC300D" w:rsidRPr="00F720A0">
        <w:rPr>
          <w:vertAlign w:val="superscript"/>
        </w:rPr>
        <w:t>,</w:t>
      </w:r>
      <w:r w:rsidR="00EC300D" w:rsidRPr="00F720A0">
        <w:rPr>
          <w:rStyle w:val="FootnoteReference"/>
          <w:sz w:val="22"/>
        </w:rPr>
        <w:footnoteReference w:id="21"/>
      </w:r>
      <w:r w:rsidRPr="00F720A0">
        <w:t xml:space="preserve"> found that </w:t>
      </w:r>
      <w:r w:rsidR="00EC300D" w:rsidRPr="00F720A0">
        <w:t>the HSR better enabled Australians to determine healthier product options than the DIG and traffic light labelling and resulted in healthier choices in simulated choice scenarios compared to the DIG and traffic light labelling.</w:t>
      </w:r>
    </w:p>
    <w:p w14:paraId="57655066" w14:textId="77777777" w:rsidR="00F101DD" w:rsidRPr="00F720A0" w:rsidRDefault="00F101DD" w:rsidP="006B6015">
      <w:pPr>
        <w:pStyle w:val="mpcNormal"/>
        <w:keepNext w:val="0"/>
      </w:pPr>
    </w:p>
    <w:p w14:paraId="64CA2F4C" w14:textId="77777777" w:rsidR="00F101DD" w:rsidRPr="00F720A0" w:rsidRDefault="00F101DD" w:rsidP="006B6015">
      <w:pPr>
        <w:pStyle w:val="mpcNormal"/>
        <w:keepNext w:val="0"/>
        <w:widowControl w:val="0"/>
      </w:pPr>
      <w:r w:rsidRPr="00F720A0">
        <w:t>A number of studies have also examined how consumers use the HSR and the particular products on which consumers find interpretive labelling most useful:</w:t>
      </w:r>
    </w:p>
    <w:p w14:paraId="3B855312" w14:textId="77777777" w:rsidR="00F101DD" w:rsidRPr="00F720A0" w:rsidRDefault="00F101DD" w:rsidP="006B6015">
      <w:pPr>
        <w:pStyle w:val="mpcNormal"/>
        <w:keepNext w:val="0"/>
        <w:widowControl w:val="0"/>
      </w:pPr>
    </w:p>
    <w:p w14:paraId="04D0B8ED" w14:textId="014C1B86" w:rsidR="00F101DD" w:rsidRPr="00E40FB1" w:rsidRDefault="00F101DD" w:rsidP="00F720A0">
      <w:pPr>
        <w:pStyle w:val="mpcbullets1"/>
      </w:pPr>
      <w:r w:rsidRPr="00F720A0">
        <w:t>A study published in July 2017</w:t>
      </w:r>
      <w:r w:rsidR="000D5F6E" w:rsidRPr="00F720A0">
        <w:rPr>
          <w:rStyle w:val="FootnoteReference"/>
          <w:sz w:val="22"/>
        </w:rPr>
        <w:footnoteReference w:id="22"/>
      </w:r>
      <w:r w:rsidRPr="00F720A0">
        <w:t xml:space="preserve"> investigated how nutrition labels (including the HSR System and UK Traffic Light Labels, with the NIP as the control) are</w:t>
      </w:r>
      <w:r w:rsidRPr="00E40FB1">
        <w:t xml:space="preserve"> used in real-world shopping situations and how they affect dietary choices and patterns. The study found that </w:t>
      </w:r>
      <w:r w:rsidR="000D5F6E">
        <w:t xml:space="preserve">use of FoPL, including the HSR, led to </w:t>
      </w:r>
      <w:r w:rsidR="000D5F6E" w:rsidRPr="00E40FB1">
        <w:t>significantly healthier</w:t>
      </w:r>
      <w:r w:rsidR="000D5F6E">
        <w:t xml:space="preserve"> products being purchased</w:t>
      </w:r>
      <w:r>
        <w:t>.</w:t>
      </w:r>
    </w:p>
    <w:p w14:paraId="56531857" w14:textId="2EF20454" w:rsidR="00F101DD" w:rsidRDefault="00F101DD" w:rsidP="00F720A0">
      <w:pPr>
        <w:pStyle w:val="mpcbullets1"/>
      </w:pPr>
      <w:r>
        <w:t>A</w:t>
      </w:r>
      <w:r w:rsidRPr="00E40FB1">
        <w:t xml:space="preserve"> related article</w:t>
      </w:r>
      <w:r w:rsidR="000D5F6E" w:rsidRPr="00E40FB1">
        <w:rPr>
          <w:rStyle w:val="FootnoteReference"/>
        </w:rPr>
        <w:footnoteReference w:id="23"/>
      </w:r>
      <w:r w:rsidRPr="00E40FB1">
        <w:t xml:space="preserve"> found there was significant association between </w:t>
      </w:r>
      <w:r w:rsidR="000D5F6E">
        <w:t>FoPL</w:t>
      </w:r>
      <w:r w:rsidRPr="00E40FB1">
        <w:t xml:space="preserve"> use and the healthiness of products purchased, with shoppers most likely to </w:t>
      </w:r>
      <w:r w:rsidR="000D5F6E">
        <w:t>use FoPL</w:t>
      </w:r>
      <w:r w:rsidRPr="00E40FB1">
        <w:t xml:space="preserve"> for convenience foods, cereals, snack foods, bread and bakery products and oils.</w:t>
      </w:r>
    </w:p>
    <w:p w14:paraId="4CD99CF1" w14:textId="77777777" w:rsidR="00F101DD" w:rsidRPr="00911B6C" w:rsidRDefault="00F101DD" w:rsidP="006B0997">
      <w:pPr>
        <w:pStyle w:val="mpcNormal"/>
        <w:keepNext w:val="0"/>
        <w:widowControl w:val="0"/>
      </w:pPr>
    </w:p>
    <w:p w14:paraId="5366B380" w14:textId="77777777" w:rsidR="00F101DD" w:rsidRPr="00771C5A" w:rsidRDefault="00F101DD" w:rsidP="005A3631">
      <w:pPr>
        <w:pStyle w:val="mpcheading3"/>
      </w:pPr>
      <w:r w:rsidRPr="00771C5A">
        <w:t>Influencing purchasing decisions</w:t>
      </w:r>
    </w:p>
    <w:p w14:paraId="26010932" w14:textId="77777777" w:rsidR="00F101DD" w:rsidRDefault="00F101DD" w:rsidP="006B0997">
      <w:pPr>
        <w:pStyle w:val="mpcNormal"/>
        <w:keepNext w:val="0"/>
      </w:pPr>
    </w:p>
    <w:p w14:paraId="10CA98E3" w14:textId="77777777" w:rsidR="00F101DD" w:rsidRPr="006022CE" w:rsidRDefault="00F101DD" w:rsidP="006B0997">
      <w:pPr>
        <w:pStyle w:val="mpcNormal"/>
        <w:keepNext w:val="0"/>
      </w:pPr>
      <w:r w:rsidRPr="006022CE">
        <w:t xml:space="preserve">To </w:t>
      </w:r>
      <w:r>
        <w:t xml:space="preserve">determine the </w:t>
      </w:r>
      <w:r w:rsidRPr="006022CE">
        <w:t>impact of the HSR as a publ</w:t>
      </w:r>
      <w:r>
        <w:t xml:space="preserve">ic health intervention, a </w:t>
      </w:r>
      <w:r w:rsidRPr="006022CE">
        <w:t>key consider</w:t>
      </w:r>
      <w:r>
        <w:t>a</w:t>
      </w:r>
      <w:r w:rsidRPr="006022CE">
        <w:t>ti</w:t>
      </w:r>
      <w:r>
        <w:t>o</w:t>
      </w:r>
      <w:r w:rsidRPr="006022CE">
        <w:t>n is whether th</w:t>
      </w:r>
      <w:r>
        <w:t>e</w:t>
      </w:r>
      <w:r w:rsidRPr="006022CE">
        <w:t xml:space="preserve"> </w:t>
      </w:r>
      <w:r>
        <w:t>H</w:t>
      </w:r>
      <w:r w:rsidRPr="006022CE">
        <w:t xml:space="preserve">SR is actually </w:t>
      </w:r>
      <w:r>
        <w:t>influencing purchasing</w:t>
      </w:r>
      <w:r w:rsidRPr="006022CE">
        <w:t xml:space="preserve"> decisions</w:t>
      </w:r>
      <w:r>
        <w:t>.</w:t>
      </w:r>
    </w:p>
    <w:p w14:paraId="4757E826" w14:textId="77777777" w:rsidR="00F101DD" w:rsidRPr="00771C5A" w:rsidRDefault="00F101DD" w:rsidP="006B0997">
      <w:pPr>
        <w:pStyle w:val="mpcNormal"/>
        <w:keepNext w:val="0"/>
      </w:pPr>
    </w:p>
    <w:p w14:paraId="1271CFAD" w14:textId="2DFCF44A" w:rsidR="00F101DD" w:rsidRDefault="00F101DD" w:rsidP="006B0997">
      <w:pPr>
        <w:pStyle w:val="mpcNormal"/>
        <w:keepNext w:val="0"/>
      </w:pPr>
      <w:r w:rsidRPr="00F20183">
        <w:t>In Australia, almost 70% of surveyed consumers recalled purchasing an HSR product in the last three months.</w:t>
      </w:r>
      <w:r w:rsidR="00E95B2D" w:rsidRPr="00F20183">
        <w:t xml:space="preserve"> Of these, </w:t>
      </w:r>
      <w:r w:rsidR="00E95B2D" w:rsidRPr="00F20183">
        <w:rPr>
          <w:lang w:bidi="ar-DZ"/>
        </w:rPr>
        <w:t>one third were influenced to purchase a product with more stars. This equates to 23% of all consumers being influenced by the HSR to change their purchasing behaviour to purchase a product with more stars.</w:t>
      </w:r>
      <w:r w:rsidR="00E95B2D" w:rsidRPr="00275BD2">
        <w:rPr>
          <w:lang w:bidi="ar-DZ"/>
        </w:rPr>
        <w:t xml:space="preserve">  </w:t>
      </w:r>
    </w:p>
    <w:p w14:paraId="3338D978" w14:textId="77777777" w:rsidR="00F101DD" w:rsidRPr="00355B11" w:rsidRDefault="00F101DD" w:rsidP="006B0997">
      <w:pPr>
        <w:pStyle w:val="mpcNormal"/>
        <w:keepNext w:val="0"/>
      </w:pPr>
    </w:p>
    <w:p w14:paraId="5B3CE4D9" w14:textId="6D9A859D" w:rsidR="00F101DD" w:rsidRPr="00355B11" w:rsidRDefault="00F101DD" w:rsidP="006B6015">
      <w:pPr>
        <w:pStyle w:val="mpcNormal"/>
        <w:keepNext w:val="0"/>
      </w:pPr>
      <w:r w:rsidRPr="00355B11">
        <w:t xml:space="preserve">Males, </w:t>
      </w:r>
      <w:r w:rsidR="00EE3B9C">
        <w:t xml:space="preserve">people with a </w:t>
      </w:r>
      <w:r w:rsidRPr="00355B11">
        <w:t>university educat</w:t>
      </w:r>
      <w:r w:rsidR="00EE3B9C">
        <w:t>ion</w:t>
      </w:r>
      <w:r w:rsidRPr="00355B11">
        <w:t>, Aboriginal and Torres Strait Island peo</w:t>
      </w:r>
      <w:r>
        <w:t>ples</w:t>
      </w:r>
      <w:r w:rsidRPr="00355B11">
        <w:t xml:space="preserve"> and people </w:t>
      </w:r>
      <w:r w:rsidR="00FD1D97">
        <w:t>in the</w:t>
      </w:r>
      <w:r w:rsidR="00FD1D97" w:rsidRPr="00355B11">
        <w:t xml:space="preserve"> </w:t>
      </w:r>
      <w:r w:rsidRPr="00355B11">
        <w:t xml:space="preserve">normal weight range are more likely to be influenced by the HSR </w:t>
      </w:r>
      <w:r>
        <w:t>of a product</w:t>
      </w:r>
      <w:r w:rsidR="00EE3B9C">
        <w:t xml:space="preserve">. </w:t>
      </w:r>
      <w:r w:rsidRPr="00355B11">
        <w:t>At the household level, those in the metropolitan regions, those where a language other than English is spoken or households with gross income greater than $50,000 per year are also more likely to be influence</w:t>
      </w:r>
      <w:r>
        <w:t>d</w:t>
      </w:r>
      <w:r w:rsidRPr="00355B11">
        <w:t xml:space="preserve"> by the HSR </w:t>
      </w:r>
      <w:r>
        <w:t>of a product.</w:t>
      </w:r>
    </w:p>
    <w:p w14:paraId="4A2436B8" w14:textId="77777777" w:rsidR="00F101DD" w:rsidRDefault="00F101DD">
      <w:pPr>
        <w:rPr>
          <w:rFonts w:cstheme="minorHAnsi"/>
          <w:color w:val="2F5496" w:themeColor="accent1" w:themeShade="BF"/>
          <w:sz w:val="22"/>
          <w:szCs w:val="22"/>
        </w:rPr>
      </w:pPr>
    </w:p>
    <w:p w14:paraId="6A53FB2C" w14:textId="575CD4D9" w:rsidR="00F101DD" w:rsidRPr="009C59C1" w:rsidRDefault="00F101DD" w:rsidP="006B6015">
      <w:pPr>
        <w:pStyle w:val="mpcNormal"/>
        <w:keepNext w:val="0"/>
      </w:pPr>
      <w:r>
        <w:t>Likewise</w:t>
      </w:r>
      <w:r w:rsidR="000C64AF">
        <w:t>,</w:t>
      </w:r>
      <w:r>
        <w:t xml:space="preserve"> in New Zealand t</w:t>
      </w:r>
      <w:r w:rsidRPr="009C59C1">
        <w:t>hree in five consumers (59%) who have used the HSR say it encouraged them to buy a product they would not normally purchase.</w:t>
      </w:r>
    </w:p>
    <w:p w14:paraId="32D7A805" w14:textId="77777777" w:rsidR="00F101DD" w:rsidRPr="009C59C1" w:rsidRDefault="00F101DD" w:rsidP="006B6015">
      <w:pPr>
        <w:pStyle w:val="mpcNormal"/>
        <w:keepNext w:val="0"/>
      </w:pPr>
    </w:p>
    <w:p w14:paraId="69B24F0B" w14:textId="5C04C5F4" w:rsidR="00F101DD" w:rsidRPr="009C59C1" w:rsidRDefault="00F101DD" w:rsidP="00F720A0">
      <w:pPr>
        <w:pStyle w:val="mpcbullets1"/>
      </w:pPr>
      <w:r w:rsidRPr="009C59C1">
        <w:t>Among shoppers in the general population who are aware of the HSR</w:t>
      </w:r>
      <w:r>
        <w:t xml:space="preserve"> System</w:t>
      </w:r>
      <w:r w:rsidRPr="009C59C1">
        <w:t xml:space="preserve">, 37% report using the HSR to help choose a packaged food compared to 27% in 2015. This equates to 28% of all shoppers in the general population, which is significantly more than in 2015 (10%). </w:t>
      </w:r>
    </w:p>
    <w:p w14:paraId="788F4B2F" w14:textId="3E2B0D76" w:rsidR="00F101DD" w:rsidRDefault="00F101DD" w:rsidP="00F720A0">
      <w:pPr>
        <w:pStyle w:val="mpcbullets1"/>
      </w:pPr>
      <w:r w:rsidRPr="009C59C1">
        <w:t>Use of the HSR has also significantly increased as a percentage of all shoppers for low income</w:t>
      </w:r>
      <w:r>
        <w:t xml:space="preserve"> earners</w:t>
      </w:r>
      <w:r w:rsidRPr="009C59C1">
        <w:t xml:space="preserve"> (36% in 2018 compared to 14% in 2015), Māori </w:t>
      </w:r>
      <w:r>
        <w:t xml:space="preserve">people </w:t>
      </w:r>
      <w:r w:rsidRPr="009C59C1">
        <w:t>(33% in 2018 compared to 6% in 2015) and Pacific</w:t>
      </w:r>
      <w:r>
        <w:t xml:space="preserve"> </w:t>
      </w:r>
      <w:r w:rsidR="00FD1D97">
        <w:t>I</w:t>
      </w:r>
      <w:r>
        <w:t>slanders</w:t>
      </w:r>
      <w:r w:rsidRPr="009C59C1">
        <w:t xml:space="preserve"> (39% in 2018 compared to 25% in 2015). </w:t>
      </w:r>
    </w:p>
    <w:p w14:paraId="2C444362" w14:textId="77777777" w:rsidR="00F101DD" w:rsidRDefault="00F101DD">
      <w:pPr>
        <w:pStyle w:val="ListParagraph"/>
      </w:pPr>
    </w:p>
    <w:p w14:paraId="51D9E370" w14:textId="43A242A7" w:rsidR="00F101DD" w:rsidRPr="009C59C1" w:rsidRDefault="00F101DD" w:rsidP="006B6015">
      <w:pPr>
        <w:pStyle w:val="mpcNormal"/>
        <w:keepNext w:val="0"/>
      </w:pPr>
      <w:r>
        <w:t xml:space="preserve">These results demonstrate that the HSR has significant potential as a public health intervention. Key to the ongoing success of the intervention is </w:t>
      </w:r>
      <w:r w:rsidR="00FD1D97">
        <w:t xml:space="preserve">to </w:t>
      </w:r>
      <w:r>
        <w:t>continu</w:t>
      </w:r>
      <w:r w:rsidR="00FD1D97">
        <w:t xml:space="preserve">e </w:t>
      </w:r>
      <w:r>
        <w:t>increas</w:t>
      </w:r>
      <w:r w:rsidR="00FD1D97">
        <w:t>ing</w:t>
      </w:r>
      <w:r>
        <w:t xml:space="preserve"> awareness and use of the HSR</w:t>
      </w:r>
      <w:r w:rsidR="00FD1D97">
        <w:t>,</w:t>
      </w:r>
      <w:r>
        <w:t xml:space="preserve"> build</w:t>
      </w:r>
      <w:r w:rsidR="00FD1D97">
        <w:t>ing</w:t>
      </w:r>
      <w:r>
        <w:t xml:space="preserve"> confidence in the HSR and encourag</w:t>
      </w:r>
      <w:r w:rsidR="00FD1D97">
        <w:t>ing</w:t>
      </w:r>
      <w:r>
        <w:t xml:space="preserve"> its display across a wide range of products.</w:t>
      </w:r>
    </w:p>
    <w:p w14:paraId="2EF71B8D" w14:textId="77777777" w:rsidR="00F101DD" w:rsidRDefault="00F101DD" w:rsidP="00E95B2D">
      <w:pPr>
        <w:pStyle w:val="mpcNormal"/>
        <w:keepNext w:val="0"/>
      </w:pPr>
    </w:p>
    <w:p w14:paraId="58E8BE39" w14:textId="77777777" w:rsidR="00F101DD" w:rsidRPr="008C7F9E" w:rsidRDefault="00F101DD" w:rsidP="005A3631">
      <w:pPr>
        <w:pStyle w:val="mpcheading2"/>
        <w:spacing w:after="0"/>
        <w:rPr>
          <w:rFonts w:cstheme="minorHAnsi"/>
        </w:rPr>
      </w:pPr>
      <w:bookmarkStart w:id="74" w:name="Reformulation"/>
      <w:bookmarkStart w:id="75" w:name="_Toc1746489"/>
      <w:bookmarkEnd w:id="74"/>
      <w:r w:rsidRPr="00944DA4">
        <w:rPr>
          <w:rFonts w:cstheme="minorHAnsi"/>
        </w:rPr>
        <w:t>Reformulation</w:t>
      </w:r>
      <w:bookmarkEnd w:id="75"/>
      <w:r w:rsidRPr="00944DA4">
        <w:rPr>
          <w:rFonts w:cstheme="minorHAnsi"/>
        </w:rPr>
        <w:t xml:space="preserve"> </w:t>
      </w:r>
    </w:p>
    <w:p w14:paraId="73D66DEA" w14:textId="77777777" w:rsidR="00F101DD" w:rsidRDefault="00F101DD">
      <w:pPr>
        <w:rPr>
          <w:rFonts w:cstheme="minorHAnsi"/>
          <w:color w:val="000000"/>
          <w:sz w:val="22"/>
          <w:szCs w:val="22"/>
        </w:rPr>
      </w:pPr>
    </w:p>
    <w:p w14:paraId="0D14D3C2" w14:textId="33091C1F" w:rsidR="006C6A0E" w:rsidRPr="00F20183" w:rsidRDefault="006C6A0E" w:rsidP="00E95B2D">
      <w:pPr>
        <w:pStyle w:val="mpcNormal"/>
        <w:keepNext w:val="0"/>
      </w:pPr>
      <w:r w:rsidRPr="00F20183">
        <w:t>Of those products displaying an HSR in 2018 that were available prior to implementation of the HSR in Australia, 58% have been reformulated to some extent. Those displaying the HSR had statistically significant reductions in energy and saturated fat content over the four years since the System was introduced compared to those not displaying the HSR.</w:t>
      </w:r>
    </w:p>
    <w:p w14:paraId="357352DE" w14:textId="14E4C215" w:rsidR="00EE3B9C" w:rsidRPr="00F20183" w:rsidRDefault="00EE3B9C" w:rsidP="00E95B2D">
      <w:pPr>
        <w:pStyle w:val="mpcNormal"/>
        <w:keepNext w:val="0"/>
      </w:pPr>
    </w:p>
    <w:p w14:paraId="5693F196" w14:textId="6612634A" w:rsidR="00E95B2D" w:rsidRPr="00F20183" w:rsidRDefault="00EE3B9C" w:rsidP="00E95B2D">
      <w:pPr>
        <w:pStyle w:val="mpcNormal"/>
        <w:keepNext w:val="0"/>
      </w:pPr>
      <w:r w:rsidRPr="00F20183">
        <w:t>A</w:t>
      </w:r>
      <w:r w:rsidR="00F101DD" w:rsidRPr="00F20183">
        <w:t>nalysis of 929 products displaying the HSR in New Zealand shows that 79% have been reformulated since 2014 to change at least one key nutrient (energy, saturated fat, sugar, sodium, protein or fibre) by a minimum of 5%.</w:t>
      </w:r>
      <w:r w:rsidR="00E95B2D" w:rsidRPr="00F20183">
        <w:t xml:space="preserve"> While the majority of these changes could not be attributed solely to the HSR, t</w:t>
      </w:r>
      <w:r w:rsidR="00E95B2D" w:rsidRPr="00F20183">
        <w:rPr>
          <w:szCs w:val="24"/>
        </w:rPr>
        <w:t xml:space="preserve">here was a statistically significant reduction in sodium content in products displaying the HSR, compared to products that did not display the HSR. </w:t>
      </w:r>
    </w:p>
    <w:p w14:paraId="32AC2DF4" w14:textId="6E211A00" w:rsidR="00F101DD" w:rsidRDefault="00F101DD">
      <w:pPr>
        <w:rPr>
          <w:rFonts w:cstheme="minorHAnsi"/>
          <w:color w:val="000000"/>
          <w:sz w:val="22"/>
          <w:szCs w:val="22"/>
        </w:rPr>
      </w:pPr>
    </w:p>
    <w:p w14:paraId="126BA955" w14:textId="21071980" w:rsidR="00F101DD" w:rsidRPr="00771C5A" w:rsidRDefault="00F101DD">
      <w:pPr>
        <w:rPr>
          <w:rFonts w:cstheme="minorHAnsi"/>
          <w:color w:val="000000"/>
          <w:sz w:val="22"/>
          <w:szCs w:val="22"/>
        </w:rPr>
      </w:pPr>
      <w:r>
        <w:rPr>
          <w:rFonts w:cstheme="minorHAnsi"/>
          <w:color w:val="000000"/>
          <w:sz w:val="22"/>
          <w:szCs w:val="22"/>
        </w:rPr>
        <w:t xml:space="preserve">A </w:t>
      </w:r>
      <w:r w:rsidRPr="00771C5A">
        <w:rPr>
          <w:rFonts w:cstheme="minorHAnsi"/>
          <w:color w:val="000000"/>
          <w:sz w:val="22"/>
          <w:szCs w:val="22"/>
        </w:rPr>
        <w:t xml:space="preserve">number of retailers and manufacturers provided the Review with examples of products that have been reformulated to reduce sodium, sugars and/or saturated fat as a direct result of the HSR System. For example: </w:t>
      </w:r>
    </w:p>
    <w:p w14:paraId="474BE47D" w14:textId="77777777" w:rsidR="00F101DD" w:rsidRPr="00771C5A" w:rsidRDefault="00F101DD">
      <w:pPr>
        <w:rPr>
          <w:rFonts w:cstheme="minorHAnsi"/>
          <w:color w:val="000000"/>
          <w:sz w:val="22"/>
          <w:szCs w:val="22"/>
        </w:rPr>
      </w:pPr>
    </w:p>
    <w:p w14:paraId="45897B9B" w14:textId="09256D98" w:rsidR="00F101DD" w:rsidRPr="00771C5A" w:rsidRDefault="00F101DD" w:rsidP="00F720A0">
      <w:pPr>
        <w:pStyle w:val="mpcbullets1"/>
      </w:pPr>
      <w:r>
        <w:t>Woolworths</w:t>
      </w:r>
      <w:r w:rsidRPr="00771C5A">
        <w:t xml:space="preserve"> has reformulated a number of private label products to increase the HSR and has set </w:t>
      </w:r>
      <w:r>
        <w:t xml:space="preserve">HSR </w:t>
      </w:r>
      <w:r w:rsidRPr="00771C5A">
        <w:t>target</w:t>
      </w:r>
      <w:r>
        <w:t>s</w:t>
      </w:r>
      <w:r w:rsidRPr="00771C5A">
        <w:t xml:space="preserve"> to guide </w:t>
      </w:r>
      <w:r w:rsidR="00BA6DB7">
        <w:t>the</w:t>
      </w:r>
      <w:r w:rsidR="00BA6DB7" w:rsidRPr="00771C5A">
        <w:t xml:space="preserve"> </w:t>
      </w:r>
      <w:r w:rsidRPr="00771C5A">
        <w:t>development</w:t>
      </w:r>
      <w:r w:rsidR="00BA6DB7">
        <w:t xml:space="preserve"> of a number of product ranges</w:t>
      </w:r>
      <w:r w:rsidRPr="00771C5A">
        <w:t>. This has resulted in some positive reformulation</w:t>
      </w:r>
      <w:r w:rsidR="00BA6DB7">
        <w:t>,</w:t>
      </w:r>
      <w:r>
        <w:t xml:space="preserve"> </w:t>
      </w:r>
      <w:r w:rsidR="00BA6DB7">
        <w:t>including</w:t>
      </w:r>
      <w:r w:rsidRPr="00771C5A">
        <w:t>:</w:t>
      </w:r>
    </w:p>
    <w:p w14:paraId="4657CE3D" w14:textId="7BEA090D" w:rsidR="00F101DD" w:rsidRPr="00771C5A" w:rsidRDefault="001A02FD" w:rsidP="000A22C3">
      <w:pPr>
        <w:pStyle w:val="mpcbullets2"/>
        <w:keepNext w:val="0"/>
      </w:pPr>
      <w:r>
        <w:t>m</w:t>
      </w:r>
      <w:r w:rsidR="00F101DD" w:rsidRPr="00771C5A">
        <w:t>uesli</w:t>
      </w:r>
      <w:r w:rsidR="00F101DD">
        <w:t>s</w:t>
      </w:r>
      <w:r w:rsidR="00F101DD" w:rsidRPr="00771C5A">
        <w:t xml:space="preserve"> – reformulated to increase the HSR from 4 to 4.5 or 5 </w:t>
      </w:r>
    </w:p>
    <w:p w14:paraId="318FC756" w14:textId="5C6A37B3" w:rsidR="00F101DD" w:rsidRPr="00771C5A" w:rsidRDefault="001A02FD" w:rsidP="000A22C3">
      <w:pPr>
        <w:pStyle w:val="mpcbullets2"/>
        <w:keepNext w:val="0"/>
      </w:pPr>
      <w:r>
        <w:t>m</w:t>
      </w:r>
      <w:r w:rsidR="00F101DD" w:rsidRPr="00771C5A">
        <w:t>uesli Bars – reformulated to increase the HSR from 3 to 3.5 </w:t>
      </w:r>
    </w:p>
    <w:p w14:paraId="73DF0B86" w14:textId="71E7B128" w:rsidR="00F101DD" w:rsidRPr="00771C5A" w:rsidRDefault="001A02FD" w:rsidP="000A22C3">
      <w:pPr>
        <w:pStyle w:val="mpcbullets2"/>
        <w:keepNext w:val="0"/>
      </w:pPr>
      <w:r>
        <w:t>p</w:t>
      </w:r>
      <w:r w:rsidR="00F101DD" w:rsidRPr="00771C5A">
        <w:t>rocessed cheese – reformulated to increase the HSR from 0.5 to 2</w:t>
      </w:r>
    </w:p>
    <w:p w14:paraId="4ECA195A" w14:textId="67CF8BD1" w:rsidR="00F101DD" w:rsidRPr="00771C5A" w:rsidRDefault="00F101DD" w:rsidP="000A22C3">
      <w:pPr>
        <w:pStyle w:val="mpcbullets2"/>
        <w:keepNext w:val="0"/>
      </w:pPr>
      <w:r w:rsidRPr="00771C5A">
        <w:t xml:space="preserve">fresh ready meals and soups – all required to be formulated to </w:t>
      </w:r>
      <w:r w:rsidR="00E060E2">
        <w:t>have an HSR of at least</w:t>
      </w:r>
      <w:r w:rsidR="00E060E2" w:rsidRPr="00771C5A">
        <w:t xml:space="preserve"> </w:t>
      </w:r>
      <w:r w:rsidRPr="00771C5A">
        <w:t>4</w:t>
      </w:r>
    </w:p>
    <w:p w14:paraId="19F5B1AA" w14:textId="7893E93D" w:rsidR="00710029" w:rsidRPr="00710029" w:rsidRDefault="00710029" w:rsidP="00F720A0">
      <w:pPr>
        <w:pStyle w:val="mpcbullets1"/>
      </w:pPr>
      <w:r w:rsidRPr="00710029">
        <w:t>One manufacturer</w:t>
      </w:r>
      <w:r w:rsidR="0013787C" w:rsidRPr="00710029">
        <w:t xml:space="preserve"> conducted a program of work to reformulate their muesli bar range to ensure an average HSR of 4 across the range (where they previously received HSRs of between 2.5 and 3). The changes made included reductions in sugars, saturated fat and sodium and increases in wholegrain and fibre to boost the nutritional profile and the HSRs of these products. </w:t>
      </w:r>
    </w:p>
    <w:p w14:paraId="2F672D9A" w14:textId="5E01AFFA" w:rsidR="0013787C" w:rsidRPr="00710029" w:rsidRDefault="00710029" w:rsidP="00F720A0">
      <w:pPr>
        <w:pStyle w:val="mpcbullets1"/>
      </w:pPr>
      <w:r w:rsidRPr="00710029">
        <w:t>The manufacturer</w:t>
      </w:r>
      <w:r w:rsidR="0013787C" w:rsidRPr="00710029">
        <w:t xml:space="preserve"> also reformulated </w:t>
      </w:r>
      <w:r w:rsidRPr="00710029">
        <w:t>one breakfast cereal</w:t>
      </w:r>
      <w:r w:rsidR="0013787C" w:rsidRPr="00710029">
        <w:t xml:space="preserve"> to reduce sugar content by 12%, halve saturated fat content and double wholegrain and fibre.</w:t>
      </w:r>
    </w:p>
    <w:p w14:paraId="62458EFC" w14:textId="60A099F0" w:rsidR="0013787C" w:rsidRPr="00710029" w:rsidRDefault="00710029" w:rsidP="00F720A0">
      <w:pPr>
        <w:pStyle w:val="mpcbullets1"/>
      </w:pPr>
      <w:r w:rsidRPr="00710029">
        <w:t>Another manufacturer</w:t>
      </w:r>
      <w:r w:rsidR="0013787C" w:rsidRPr="00710029">
        <w:t xml:space="preserve"> undertook reformulation to improve the HSR of </w:t>
      </w:r>
      <w:r w:rsidRPr="00710029">
        <w:t>one of their breakfast cereals</w:t>
      </w:r>
      <w:r w:rsidR="0013787C" w:rsidRPr="00710029">
        <w:t xml:space="preserve"> from 2.5 to 4 when the HSR System was first implemented. This included reducing total sugars and increasing dietary fibre content by adding wholegrain.</w:t>
      </w:r>
    </w:p>
    <w:p w14:paraId="3EF93B94" w14:textId="77777777" w:rsidR="0013787C" w:rsidRPr="0013787C" w:rsidRDefault="0013787C" w:rsidP="00710029">
      <w:pPr>
        <w:pStyle w:val="mpcNormal"/>
        <w:keepNext w:val="0"/>
      </w:pPr>
    </w:p>
    <w:p w14:paraId="023EE1D0" w14:textId="77777777" w:rsidR="00F101DD" w:rsidRPr="00771C5A" w:rsidRDefault="00F101DD" w:rsidP="002C3CBC">
      <w:pPr>
        <w:pStyle w:val="mpcNormal"/>
        <w:keepNext w:val="0"/>
      </w:pPr>
      <w:r w:rsidRPr="00771C5A">
        <w:t xml:space="preserve">This feedback is consistent with published research: </w:t>
      </w:r>
    </w:p>
    <w:p w14:paraId="41699E96" w14:textId="77777777" w:rsidR="00F101DD" w:rsidRPr="00771C5A" w:rsidRDefault="00F101DD" w:rsidP="002C3CBC">
      <w:pPr>
        <w:pStyle w:val="mpcNormal"/>
        <w:keepNext w:val="0"/>
      </w:pPr>
    </w:p>
    <w:p w14:paraId="6E7CA830" w14:textId="03CE738F" w:rsidR="00F101DD" w:rsidRPr="00F720A0" w:rsidRDefault="00F101DD" w:rsidP="00F720A0">
      <w:pPr>
        <w:pStyle w:val="mpcbullets1"/>
      </w:pPr>
      <w:r>
        <w:t>A</w:t>
      </w:r>
      <w:r w:rsidRPr="00771C5A">
        <w:t xml:space="preserve">n Australian study </w:t>
      </w:r>
      <w:r w:rsidRPr="00F720A0">
        <w:t>published in May 2018</w:t>
      </w:r>
      <w:r w:rsidRPr="00F720A0">
        <w:rPr>
          <w:vertAlign w:val="superscript"/>
        </w:rPr>
        <w:footnoteReference w:id="24"/>
      </w:r>
      <w:r w:rsidRPr="00F720A0">
        <w:t xml:space="preserve"> analysed the change in composition for products displaying HSR from 2013 to 2016. It found the average energy density of products displaying the HSR was lower following implementation of the HSR System. Products that did not display the HSR showed less reduction (or even some increases) in energy density. The study found that the </w:t>
      </w:r>
      <w:r w:rsidR="00F720A0">
        <w:t xml:space="preserve">impact of the </w:t>
      </w:r>
      <w:r w:rsidRPr="00F720A0">
        <w:t>HSR System on product reformulation has the potential to generate increasing health benefits and reduce mean population body weight.</w:t>
      </w:r>
    </w:p>
    <w:p w14:paraId="3F4D348C" w14:textId="77777777" w:rsidR="00F101DD" w:rsidRPr="00771C5A" w:rsidRDefault="00F101DD" w:rsidP="00F720A0">
      <w:pPr>
        <w:pStyle w:val="mpcbullets1"/>
      </w:pPr>
      <w:r w:rsidRPr="00F720A0">
        <w:t>A New Zealand study published in August 2017</w:t>
      </w:r>
      <w:r w:rsidRPr="00F720A0">
        <w:rPr>
          <w:rStyle w:val="FootnoteReference"/>
          <w:sz w:val="22"/>
        </w:rPr>
        <w:footnoteReference w:id="25"/>
      </w:r>
      <w:r w:rsidRPr="00F720A0">
        <w:rPr>
          <w:vertAlign w:val="superscript"/>
        </w:rPr>
        <w:t xml:space="preserve"> </w:t>
      </w:r>
      <w:r w:rsidRPr="00F720A0">
        <w:t>showed that products displaying the HSR had significantly lower mean saturated fat, total sugar and sodium, and higher fibre content, than products not displaying the HSR. Small but statistically significant changes were observed in mean energy density, sodium and fibre contents of products displaying the HSR compared</w:t>
      </w:r>
      <w:r w:rsidRPr="00771C5A">
        <w:t xml:space="preserve"> with their composition prior to their adoption of the HSR. Reformulation of products displaying the HSR was greater than that of products that did not display the HSR over the same period. It was concluded that the roll-out of the HSR System is driving healthier reformulation of some products.</w:t>
      </w:r>
    </w:p>
    <w:p w14:paraId="0FE5A31F" w14:textId="77777777" w:rsidR="00F101DD" w:rsidRPr="00771C5A" w:rsidRDefault="00F101DD" w:rsidP="002C3CBC">
      <w:pPr>
        <w:pStyle w:val="mpcNormal"/>
        <w:keepNext w:val="0"/>
      </w:pPr>
    </w:p>
    <w:p w14:paraId="77AFA1F1" w14:textId="77777777" w:rsidR="00F101DD" w:rsidRPr="00E40FB1" w:rsidRDefault="00F101DD" w:rsidP="005A3631">
      <w:pPr>
        <w:pStyle w:val="mpcheading2"/>
        <w:pBdr>
          <w:bottom w:val="single" w:sz="4" w:space="0" w:color="auto"/>
        </w:pBdr>
        <w:spacing w:after="0"/>
        <w:rPr>
          <w:rFonts w:cstheme="minorHAnsi"/>
          <w:szCs w:val="22"/>
        </w:rPr>
      </w:pPr>
      <w:bookmarkStart w:id="76" w:name="Alignment"/>
      <w:bookmarkStart w:id="77" w:name="_Toc1746490"/>
      <w:bookmarkEnd w:id="76"/>
      <w:r w:rsidRPr="00E40FB1">
        <w:rPr>
          <w:rFonts w:cstheme="minorHAnsi"/>
          <w:szCs w:val="22"/>
        </w:rPr>
        <w:t>Alignment with Dietary Guidelines</w:t>
      </w:r>
      <w:bookmarkEnd w:id="77"/>
    </w:p>
    <w:p w14:paraId="27E497E8" w14:textId="77777777" w:rsidR="00F101DD" w:rsidRPr="00E40FB1" w:rsidRDefault="00F101DD" w:rsidP="002C3CBC">
      <w:pPr>
        <w:pStyle w:val="mpcNormal"/>
        <w:keepNext w:val="0"/>
      </w:pPr>
    </w:p>
    <w:tbl>
      <w:tblPr>
        <w:tblStyle w:val="TableGrid"/>
        <w:tblW w:w="0" w:type="auto"/>
        <w:tblLook w:val="04A0" w:firstRow="1" w:lastRow="0" w:firstColumn="1" w:lastColumn="0" w:noHBand="0" w:noVBand="1"/>
      </w:tblPr>
      <w:tblGrid>
        <w:gridCol w:w="9736"/>
      </w:tblGrid>
      <w:tr w:rsidR="00F101DD" w14:paraId="0446A573" w14:textId="77777777" w:rsidTr="002C3CBC">
        <w:trPr>
          <w:trHeight w:val="2661"/>
        </w:trPr>
        <w:tc>
          <w:tcPr>
            <w:tcW w:w="9736" w:type="dxa"/>
            <w:shd w:val="clear" w:color="auto" w:fill="F2F2F2" w:themeFill="background1" w:themeFillShade="F2"/>
            <w:vAlign w:val="center"/>
          </w:tcPr>
          <w:p w14:paraId="07A474C7" w14:textId="77777777" w:rsidR="00F101DD" w:rsidRDefault="00F101DD" w:rsidP="002C3CBC">
            <w:pPr>
              <w:pStyle w:val="mpcheading4"/>
              <w:keepNext w:val="0"/>
            </w:pPr>
            <w:r w:rsidRPr="005613A1">
              <w:t>What are the Dietary Guidelines?</w:t>
            </w:r>
          </w:p>
          <w:p w14:paraId="4B20B36F" w14:textId="77777777" w:rsidR="00F101DD" w:rsidRPr="005613A1" w:rsidRDefault="00F101DD" w:rsidP="002C3CBC">
            <w:pPr>
              <w:pStyle w:val="mpcNormal"/>
              <w:keepNext w:val="0"/>
            </w:pPr>
          </w:p>
          <w:p w14:paraId="40908B8E" w14:textId="1BD5EA69" w:rsidR="00F101DD" w:rsidRDefault="00F101DD" w:rsidP="002C3CBC">
            <w:pPr>
              <w:pStyle w:val="mpcNormal"/>
              <w:keepNext w:val="0"/>
            </w:pPr>
            <w:r w:rsidRPr="00E40FB1">
              <w:t>Dietary Guidelines aim to promote the benefits of healthy eating</w:t>
            </w:r>
            <w:r w:rsidR="00FD1D97">
              <w:t xml:space="preserve"> </w:t>
            </w:r>
            <w:r w:rsidRPr="00E40FB1">
              <w:t xml:space="preserve">to reduce the risk of diet-related disease </w:t>
            </w:r>
            <w:r w:rsidR="00FD1D97">
              <w:t>and</w:t>
            </w:r>
            <w:r w:rsidRPr="00E40FB1">
              <w:t xml:space="preserve"> improve health and wellbeing. Dietary Guidelines provide advice on the types and amounts of foods and beverages people should consume, with recommendations based on whole foods rather than specific food components or nutrients (noting that they do recommend avoiding foods high in certain nutrients). The ADG classify foods as FFG (foods that form the basis of a healthy diet) or discretionary (foods to limit in the diet). While the NZEAG do not use these terms, advice is consistent regarding recommendations to limit intake of foods high in added sugars, sodium and/or saturated fats. </w:t>
            </w:r>
          </w:p>
        </w:tc>
      </w:tr>
    </w:tbl>
    <w:p w14:paraId="2545DE9B" w14:textId="77777777" w:rsidR="00F101DD" w:rsidRPr="00E40FB1" w:rsidRDefault="00F101DD" w:rsidP="002C3CBC">
      <w:pPr>
        <w:pStyle w:val="mpcNormal"/>
        <w:keepNext w:val="0"/>
      </w:pPr>
    </w:p>
    <w:p w14:paraId="0479B222" w14:textId="77777777" w:rsidR="00F101DD" w:rsidRPr="00E40FB1" w:rsidRDefault="00F101DD" w:rsidP="002C3CBC">
      <w:pPr>
        <w:pStyle w:val="mpcNormal"/>
        <w:keepNext w:val="0"/>
      </w:pPr>
      <w:r w:rsidRPr="00E40FB1">
        <w:t>In contrast</w:t>
      </w:r>
      <w:r>
        <w:t xml:space="preserve"> to Dietary Guidelines</w:t>
      </w:r>
      <w:r w:rsidRPr="00E40FB1">
        <w:t>, the HSR System uses a product’s nutritional composition to provide an empirical scale of its relative healthiness. Given the different focus of the HSR System, it cannot be expected to align entirely with the Dietary Guidelines, nor communicate all of the messages embedded in the Dietary Guidelines (including in relation to portion size/quantity or a person’s whole diet).</w:t>
      </w:r>
    </w:p>
    <w:p w14:paraId="4BB38350" w14:textId="77777777" w:rsidR="00F101DD" w:rsidRPr="00E40FB1" w:rsidRDefault="00F101DD" w:rsidP="002C3CBC">
      <w:pPr>
        <w:pStyle w:val="mpcNormal"/>
        <w:keepNext w:val="0"/>
      </w:pPr>
    </w:p>
    <w:p w14:paraId="40C18069" w14:textId="7133C273" w:rsidR="00F101DD" w:rsidRDefault="00F101DD" w:rsidP="002C3CBC">
      <w:pPr>
        <w:pStyle w:val="mpcNormal"/>
        <w:keepNext w:val="0"/>
        <w:rPr>
          <w:color w:val="000000"/>
        </w:rPr>
      </w:pPr>
      <w:r>
        <w:t>O</w:t>
      </w:r>
      <w:r w:rsidRPr="00E40FB1">
        <w:t xml:space="preserve">ne way of examining the alignment of the HSR </w:t>
      </w:r>
      <w:r>
        <w:t>S</w:t>
      </w:r>
      <w:r w:rsidRPr="00E40FB1">
        <w:t>ystem with Dietary Guidelines</w:t>
      </w:r>
      <w:r w:rsidR="00235D47">
        <w:t xml:space="preserve">, </w:t>
      </w:r>
      <w:r w:rsidRPr="00E40FB1">
        <w:t xml:space="preserve">particularly in the Australian context is to consider how well it scores products against the </w:t>
      </w:r>
      <w:hyperlink r:id="rId39" w:history="1">
        <w:r w:rsidRPr="005613A1">
          <w:rPr>
            <w:rStyle w:val="Hyperlink"/>
          </w:rPr>
          <w:t>AHS Discretionary Foods List</w:t>
        </w:r>
      </w:hyperlink>
      <w:r w:rsidRPr="00E40FB1">
        <w:t xml:space="preserve">. The Discretionary Foods List was developed by the ABS for the purpose of the 2011-12 National Nutrition and Physical Activity Survey. It provides a binary system for classifying foods into </w:t>
      </w:r>
      <w:r w:rsidR="00A84FB4">
        <w:t xml:space="preserve">FFG </w:t>
      </w:r>
      <w:r w:rsidRPr="00E40FB1">
        <w:t>(</w:t>
      </w:r>
      <w:r w:rsidR="00A84FB4">
        <w:t>core</w:t>
      </w:r>
      <w:r w:rsidRPr="00E40FB1">
        <w:t>) and discretionary (foods for limited intake) based on the ADG. While the List has some limitations</w:t>
      </w:r>
      <w:r>
        <w:t xml:space="preserve"> (and is currently under review by the NHMRC)</w:t>
      </w:r>
      <w:r w:rsidRPr="00E40FB1">
        <w:t xml:space="preserve">, it provides a general indication of foods that are FFG or discretionary. A principle in the development of the HSR System was to ensure, where possible, that products eligible to carry a health claim and FFG </w:t>
      </w:r>
      <w:r w:rsidR="00F720A0">
        <w:t>foods</w:t>
      </w:r>
      <w:r w:rsidRPr="00E40FB1">
        <w:t xml:space="preserve"> score an HSR </w:t>
      </w:r>
      <w:r w:rsidRPr="00E40FB1">
        <w:rPr>
          <w:color w:val="000000"/>
        </w:rPr>
        <w:t>≥</w:t>
      </w:r>
      <w:r w:rsidRPr="00E40FB1">
        <w:t xml:space="preserve"> 3, while discretionary </w:t>
      </w:r>
      <w:r w:rsidR="00F720A0">
        <w:t>foods</w:t>
      </w:r>
      <w:r w:rsidRPr="00E40FB1">
        <w:t xml:space="preserve"> score an HSR &lt; 3.</w:t>
      </w:r>
      <w:r w:rsidRPr="00E40FB1">
        <w:rPr>
          <w:rStyle w:val="FootnoteReference"/>
          <w:sz w:val="22"/>
        </w:rPr>
        <w:footnoteReference w:id="26"/>
      </w:r>
      <w:r w:rsidRPr="00E40FB1">
        <w:t xml:space="preserve"> </w:t>
      </w:r>
      <w:r w:rsidRPr="00E40FB1">
        <w:rPr>
          <w:color w:val="000000"/>
        </w:rPr>
        <w:t>Recent monitoring data shows that 95% of consumers believe an HSR ≥ 4 is ‘healthy’, while 97% of consumers believe an HSR ≤3.5 is ‘unhealthy’.</w:t>
      </w:r>
      <w:r w:rsidRPr="00E40FB1">
        <w:rPr>
          <w:rStyle w:val="FootnoteReference"/>
          <w:color w:val="000000"/>
          <w:sz w:val="22"/>
        </w:rPr>
        <w:footnoteReference w:id="27"/>
      </w:r>
    </w:p>
    <w:p w14:paraId="5A6808A5" w14:textId="77777777" w:rsidR="00F101DD" w:rsidRPr="00E40FB1" w:rsidRDefault="00F101DD" w:rsidP="002C3CBC">
      <w:pPr>
        <w:pStyle w:val="mpcNormal"/>
        <w:keepNext w:val="0"/>
      </w:pPr>
    </w:p>
    <w:p w14:paraId="64208D3D" w14:textId="77777777" w:rsidR="00F101DD" w:rsidRPr="00887F92" w:rsidRDefault="00F101DD" w:rsidP="002C3CBC">
      <w:pPr>
        <w:pStyle w:val="mpcNormal"/>
        <w:keepNext w:val="0"/>
      </w:pPr>
      <w:r w:rsidRPr="00887F92">
        <w:t>A number of reviews have examined the alignment of the HSR System with Dietary Guidelines:</w:t>
      </w:r>
    </w:p>
    <w:p w14:paraId="4FD73B32" w14:textId="77777777" w:rsidR="00F101DD" w:rsidRPr="00887F92" w:rsidRDefault="00F101DD" w:rsidP="002C3CBC">
      <w:pPr>
        <w:pStyle w:val="mpcNormal"/>
        <w:keepNext w:val="0"/>
      </w:pPr>
    </w:p>
    <w:p w14:paraId="0F06C56F" w14:textId="77777777" w:rsidR="00F101DD" w:rsidRPr="00771C5A" w:rsidRDefault="00F101DD" w:rsidP="00F720A0">
      <w:pPr>
        <w:pStyle w:val="mpcbullets1"/>
        <w:rPr>
          <w:b/>
          <w:i/>
        </w:rPr>
      </w:pPr>
      <w:r w:rsidRPr="00887F92">
        <w:t xml:space="preserve">Research </w:t>
      </w:r>
      <w:r w:rsidRPr="00771C5A">
        <w:t>undertaken</w:t>
      </w:r>
      <w:r w:rsidRPr="00887F92">
        <w:t xml:space="preserve"> by the George Institute published in April 2018</w:t>
      </w:r>
      <w:r w:rsidRPr="00887F92">
        <w:rPr>
          <w:rStyle w:val="FootnoteReference"/>
        </w:rPr>
        <w:footnoteReference w:id="28"/>
      </w:r>
      <w:r w:rsidRPr="00887F92">
        <w:t xml:space="preserve"> found there is 86.6% overall alignment with the ADG, with FFG foods scoring an average HSR of 4 and discretionary foods scoring an average HSR of 2. </w:t>
      </w:r>
    </w:p>
    <w:p w14:paraId="11D0E5C1" w14:textId="55A27945" w:rsidR="00F101DD" w:rsidRPr="006E651C" w:rsidRDefault="00F101DD" w:rsidP="002C3CBC">
      <w:pPr>
        <w:pStyle w:val="mpcbullets2"/>
        <w:keepNext w:val="0"/>
      </w:pPr>
      <w:r w:rsidRPr="00887F92">
        <w:t>Of the outliers, 83% were characterised as an ADG failure (based on the AHS Discretionary Foods List due to challenges in defining FFG and discretionary) rather than a failure</w:t>
      </w:r>
      <w:r w:rsidR="00F720A0">
        <w:t xml:space="preserve"> of the HSR System</w:t>
      </w:r>
      <w:r w:rsidRPr="00887F92">
        <w:t xml:space="preserve">. </w:t>
      </w:r>
    </w:p>
    <w:p w14:paraId="160AD9F5" w14:textId="77777777" w:rsidR="00F101DD" w:rsidRPr="006E651C" w:rsidRDefault="00F101DD" w:rsidP="002C3CBC">
      <w:pPr>
        <w:pStyle w:val="mpcbullets2"/>
        <w:keepNext w:val="0"/>
      </w:pPr>
      <w:r w:rsidRPr="00887F92">
        <w:t xml:space="preserve">17% of the outliers were attributed to issues with the HSR System, including in relation to sauces, dressings, spreads and dips, savoury snacks, meats and meat products, convenience foods, fruits and </w:t>
      </w:r>
      <w:r>
        <w:t>sweetened</w:t>
      </w:r>
      <w:r w:rsidRPr="00887F92">
        <w:t xml:space="preserve"> yoghurts.</w:t>
      </w:r>
    </w:p>
    <w:p w14:paraId="3958525D" w14:textId="77777777" w:rsidR="00F101DD" w:rsidRPr="00887F92" w:rsidRDefault="00F101DD" w:rsidP="00F720A0">
      <w:pPr>
        <w:pStyle w:val="mpcbullets1"/>
      </w:pPr>
      <w:r w:rsidRPr="00887F92">
        <w:t xml:space="preserve">A </w:t>
      </w:r>
      <w:r w:rsidRPr="00771C5A">
        <w:t>study</w:t>
      </w:r>
      <w:r w:rsidRPr="00887F92">
        <w:t xml:space="preserve"> published in January 2018</w:t>
      </w:r>
      <w:r w:rsidRPr="00887F92">
        <w:rPr>
          <w:rStyle w:val="FootnoteReference"/>
        </w:rPr>
        <w:footnoteReference w:id="29"/>
      </w:r>
      <w:r w:rsidRPr="00887F92">
        <w:t xml:space="preserve"> found the median HSR displayed on discretionary foods was 2.5, significantly lower than the median HSR of 4 for FFG foods.</w:t>
      </w:r>
    </w:p>
    <w:p w14:paraId="0C5C82C5" w14:textId="77777777" w:rsidR="00F101DD" w:rsidRDefault="00F101DD" w:rsidP="00F720A0">
      <w:pPr>
        <w:pStyle w:val="mpcbullets1"/>
      </w:pPr>
      <w:r w:rsidRPr="00887F92">
        <w:t>Research commissioned by the NSW Ministry of Health in 2015</w:t>
      </w:r>
      <w:r w:rsidRPr="00887F92">
        <w:rPr>
          <w:rStyle w:val="FootnoteReference"/>
        </w:rPr>
        <w:footnoteReference w:id="30"/>
      </w:r>
      <w:r w:rsidRPr="00887F92">
        <w:t xml:space="preserve"> found that 79% of foods and beverages classified as FFG score an HSR of ≥</w:t>
      </w:r>
      <w:r>
        <w:t xml:space="preserve"> </w:t>
      </w:r>
      <w:r w:rsidRPr="00887F92">
        <w:t>3.5, while only 14% of foods and beverages classified as discretionary score an HSR of ≥</w:t>
      </w:r>
      <w:r>
        <w:t xml:space="preserve"> </w:t>
      </w:r>
      <w:r w:rsidRPr="00887F92">
        <w:t xml:space="preserve">3.5. </w:t>
      </w:r>
    </w:p>
    <w:p w14:paraId="54116FE5" w14:textId="274FDA43" w:rsidR="00F101DD" w:rsidRPr="003B100E" w:rsidRDefault="00F101DD" w:rsidP="002C3CBC">
      <w:pPr>
        <w:pStyle w:val="mpcbullets2"/>
        <w:keepNext w:val="0"/>
      </w:pPr>
      <w:r w:rsidRPr="003B100E">
        <w:t>Outliers included discretionary products scoring ≥3.5</w:t>
      </w:r>
      <w:r>
        <w:t xml:space="preserve"> (</w:t>
      </w:r>
      <w:r w:rsidRPr="003B100E">
        <w:t>snack bars, dairy desserts, ice confection and salty snacks</w:t>
      </w:r>
      <w:r>
        <w:t>)</w:t>
      </w:r>
      <w:r w:rsidRPr="003B100E">
        <w:t xml:space="preserve"> and core products scoring &lt; 3.5</w:t>
      </w:r>
      <w:r>
        <w:t xml:space="preserve"> (</w:t>
      </w:r>
      <w:r w:rsidRPr="003B100E">
        <w:t>some cheeses and yoghurts</w:t>
      </w:r>
      <w:r>
        <w:t>).</w:t>
      </w:r>
    </w:p>
    <w:p w14:paraId="3BFE841A" w14:textId="77777777" w:rsidR="00F101DD" w:rsidRPr="00887F92" w:rsidRDefault="00F101DD" w:rsidP="00F720A0">
      <w:pPr>
        <w:pStyle w:val="mpcbullets1"/>
      </w:pPr>
      <w:r w:rsidRPr="00887F92">
        <w:t>A study published in May 2016</w:t>
      </w:r>
      <w:r w:rsidRPr="00887F92">
        <w:rPr>
          <w:rStyle w:val="FootnoteReference"/>
        </w:rPr>
        <w:footnoteReference w:id="31"/>
      </w:r>
      <w:r w:rsidRPr="00887F92">
        <w:t xml:space="preserve"> found </w:t>
      </w:r>
      <w:r w:rsidRPr="00771C5A">
        <w:t>that</w:t>
      </w:r>
      <w:r w:rsidRPr="00887F92">
        <w:t>, for dairy products, the HSR System largely aligned with the NPSC used for determining eligibility for health claims. Both systems appeared to be consistent with the ADG for dairy products, with lower-fat products rating higher.</w:t>
      </w:r>
    </w:p>
    <w:p w14:paraId="2E1EA01B" w14:textId="77777777" w:rsidR="00F101DD" w:rsidRPr="00887F92" w:rsidRDefault="00F101DD" w:rsidP="00F720A0">
      <w:pPr>
        <w:pStyle w:val="mpcbullets1"/>
      </w:pPr>
      <w:r w:rsidRPr="00887F92">
        <w:t xml:space="preserve">A </w:t>
      </w:r>
      <w:r w:rsidRPr="00771C5A">
        <w:t>study</w:t>
      </w:r>
      <w:r w:rsidRPr="00887F92">
        <w:t xml:space="preserve"> published in August 2016</w:t>
      </w:r>
      <w:r w:rsidRPr="00887F92">
        <w:rPr>
          <w:vertAlign w:val="superscript"/>
        </w:rPr>
        <w:footnoteReference w:id="32"/>
      </w:r>
      <w:r w:rsidRPr="00887F92">
        <w:rPr>
          <w:vertAlign w:val="superscript"/>
        </w:rPr>
        <w:t xml:space="preserve"> </w:t>
      </w:r>
      <w:r w:rsidRPr="00887F92">
        <w:t>found the HSR System rated packaged dairy foods and beverages broadly in line with the ADG by assigning FFG foods higher HSRs and discretionary foods lower HSRs.</w:t>
      </w:r>
    </w:p>
    <w:p w14:paraId="67F0EA4C" w14:textId="77777777" w:rsidR="00F101DD" w:rsidRPr="00E40FB1" w:rsidRDefault="00F101DD" w:rsidP="002C3CBC">
      <w:pPr>
        <w:pStyle w:val="mpcNormal"/>
        <w:keepNext w:val="0"/>
      </w:pPr>
    </w:p>
    <w:p w14:paraId="2059522F" w14:textId="77777777" w:rsidR="00F101DD" w:rsidRDefault="00F101DD" w:rsidP="002C3CBC">
      <w:pPr>
        <w:pStyle w:val="mpcNormal"/>
        <w:keepNext w:val="0"/>
      </w:pPr>
      <w:r>
        <w:t>M</w:t>
      </w:r>
      <w:r w:rsidRPr="00E40FB1">
        <w:t>odelling undertaken by the TAG</w:t>
      </w:r>
      <w:r>
        <w:t xml:space="preserve"> also established 72% overall alignment with the ADG</w:t>
      </w:r>
      <w:r w:rsidRPr="00E40FB1">
        <w:rPr>
          <w:rStyle w:val="FootnoteReference"/>
        </w:rPr>
        <w:footnoteReference w:id="33"/>
      </w:r>
      <w:r w:rsidRPr="00E40FB1">
        <w:t xml:space="preserve"> (with 84% of FFG foods scoring an HSR </w:t>
      </w:r>
      <w:r w:rsidRPr="00E40FB1">
        <w:sym w:font="Symbol" w:char="F0B3"/>
      </w:r>
      <w:r w:rsidRPr="00E40FB1">
        <w:t xml:space="preserve"> 3 and 61% of discretionary foods scoring an HSR &lt; 3)</w:t>
      </w:r>
      <w:r>
        <w:t>:</w:t>
      </w:r>
    </w:p>
    <w:p w14:paraId="1DB2901F" w14:textId="77777777" w:rsidR="00F101DD" w:rsidRPr="00E40FB1" w:rsidRDefault="00F101DD" w:rsidP="002C3CBC">
      <w:pPr>
        <w:pStyle w:val="mpcNormal"/>
        <w:keepNext w:val="0"/>
      </w:pPr>
    </w:p>
    <w:p w14:paraId="664FADD5" w14:textId="77777777" w:rsidR="00F101DD" w:rsidRPr="00E40FB1" w:rsidRDefault="00F101DD" w:rsidP="00F720A0">
      <w:pPr>
        <w:pStyle w:val="mpcbullets1"/>
      </w:pPr>
      <w:r>
        <w:t>O</w:t>
      </w:r>
      <w:r w:rsidRPr="00E40FB1">
        <w:t xml:space="preserve">utliers were classified as FFG foods with an HSR &lt; 3 and discretionary foods with an HSR </w:t>
      </w:r>
      <w:r w:rsidRPr="00E40FB1">
        <w:sym w:font="Symbol" w:char="F0B3"/>
      </w:r>
      <w:r w:rsidRPr="00E40FB1">
        <w:t xml:space="preserve"> 3</w:t>
      </w:r>
    </w:p>
    <w:p w14:paraId="19CCA38A" w14:textId="066FCDD3" w:rsidR="00F101DD" w:rsidRPr="00771C5A" w:rsidRDefault="00F101DD" w:rsidP="002C3CBC">
      <w:pPr>
        <w:pStyle w:val="mpcbullets2"/>
        <w:keepNext w:val="0"/>
      </w:pPr>
      <w:r w:rsidRPr="00E40FB1">
        <w:t xml:space="preserve">FFG </w:t>
      </w:r>
      <w:r w:rsidRPr="00771C5A">
        <w:t xml:space="preserve">outliers </w:t>
      </w:r>
      <w:r>
        <w:t xml:space="preserve">were </w:t>
      </w:r>
      <w:r w:rsidRPr="00771C5A">
        <w:t>mainly cheeses and yoghurts</w:t>
      </w:r>
      <w:r w:rsidR="00A84FB4">
        <w:t>.</w:t>
      </w:r>
    </w:p>
    <w:p w14:paraId="5AAAB2D5" w14:textId="0A37C36A" w:rsidR="00F101DD" w:rsidRPr="00E40FB1" w:rsidRDefault="00F101DD" w:rsidP="002C3CBC">
      <w:pPr>
        <w:pStyle w:val="mpcbullets2"/>
        <w:keepNext w:val="0"/>
      </w:pPr>
      <w:r>
        <w:t>D</w:t>
      </w:r>
      <w:r w:rsidRPr="00771C5A">
        <w:t>iscretionary</w:t>
      </w:r>
      <w:r w:rsidRPr="00E40FB1">
        <w:t xml:space="preserve"> outliers </w:t>
      </w:r>
      <w:r>
        <w:t xml:space="preserve">were </w:t>
      </w:r>
      <w:r w:rsidRPr="00E40FB1">
        <w:t>mainly savoury sauces and gravies (31%), soups and stocks (12%), ice creams and confections (11%) and muesli bars (8%)</w:t>
      </w:r>
      <w:r w:rsidR="00A84FB4">
        <w:t>.</w:t>
      </w:r>
    </w:p>
    <w:p w14:paraId="619B7D14" w14:textId="77777777" w:rsidR="00F101DD" w:rsidRPr="00887F92" w:rsidRDefault="00F101DD" w:rsidP="00F720A0">
      <w:pPr>
        <w:pStyle w:val="mpcbullets1"/>
      </w:pPr>
      <w:r>
        <w:t>O</w:t>
      </w:r>
      <w:r w:rsidRPr="00887F92">
        <w:t>f the 1,435 outliers:</w:t>
      </w:r>
    </w:p>
    <w:p w14:paraId="251A5118" w14:textId="77777777" w:rsidR="00F101DD" w:rsidRPr="00771C5A" w:rsidRDefault="00F101DD" w:rsidP="00DC778B">
      <w:pPr>
        <w:pStyle w:val="mpcbullets2"/>
        <w:keepNext w:val="0"/>
      </w:pPr>
      <w:r w:rsidRPr="00887F92">
        <w:t xml:space="preserve">32% </w:t>
      </w:r>
      <w:r w:rsidRPr="00771C5A">
        <w:t>indicate potential issues with the HSR System. These products included some muesli/cereal bars, recipes/sauce mixes, ice confection, ice cream, dry gravy mixes, salty snacks, coffee-based beverages, sugar</w:t>
      </w:r>
      <w:r w:rsidRPr="00771C5A">
        <w:noBreakHyphen/>
        <w:t>based desserts (jelly and dairy desserts), processed meats and breakfast cereals</w:t>
      </w:r>
    </w:p>
    <w:p w14:paraId="7DA5BD9D" w14:textId="77777777" w:rsidR="00F101DD" w:rsidRPr="00887F92" w:rsidRDefault="00F101DD" w:rsidP="00DC778B">
      <w:pPr>
        <w:pStyle w:val="mpcbullets2"/>
        <w:keepNext w:val="0"/>
      </w:pPr>
      <w:r w:rsidRPr="00771C5A">
        <w:t>68% indicate</w:t>
      </w:r>
      <w:r w:rsidRPr="00887F92">
        <w:t xml:space="preserve"> potential issues with the AHS Discretionary Foods List:</w:t>
      </w:r>
    </w:p>
    <w:p w14:paraId="5A681D34" w14:textId="4AD0B595" w:rsidR="00F101DD" w:rsidRPr="00771C5A" w:rsidRDefault="00F101DD" w:rsidP="00F720A0">
      <w:pPr>
        <w:pStyle w:val="mpcbullets3"/>
      </w:pPr>
      <w:r w:rsidRPr="00887F92">
        <w:t xml:space="preserve">31% </w:t>
      </w:r>
      <w:r w:rsidRPr="00771C5A">
        <w:t>had either a low HSR and a relatively poor nutritional profile but were categorised as FFG (</w:t>
      </w:r>
      <w:r w:rsidR="0030513A">
        <w:t>for example,</w:t>
      </w:r>
      <w:r w:rsidR="0030513A" w:rsidRPr="00CC1ADD">
        <w:t xml:space="preserve"> </w:t>
      </w:r>
      <w:r w:rsidRPr="00771C5A">
        <w:t>some rice crackers, instant noodles, peanut butter, smoked salmon products), or had a high HSR and a relatively healthy nutritional profile but were categorised as discretionary (</w:t>
      </w:r>
      <w:r w:rsidR="0030513A">
        <w:t>for example,</w:t>
      </w:r>
      <w:r w:rsidR="0030513A" w:rsidRPr="00CC1ADD">
        <w:t xml:space="preserve"> </w:t>
      </w:r>
      <w:r w:rsidRPr="00771C5A">
        <w:t>some tomato-based sauces, crumbed fish, vegetable and legume-based dips and oven baked potato products)</w:t>
      </w:r>
      <w:r w:rsidR="00A84FB4">
        <w:t>.</w:t>
      </w:r>
    </w:p>
    <w:p w14:paraId="673546C1" w14:textId="2897937F" w:rsidR="00F101DD" w:rsidRPr="00887F92" w:rsidRDefault="00F101DD" w:rsidP="00F720A0">
      <w:pPr>
        <w:pStyle w:val="mpcbullets3"/>
      </w:pPr>
      <w:r w:rsidRPr="00771C5A">
        <w:t xml:space="preserve">37% had a low HSR and a relatively poor nutritional profile </w:t>
      </w:r>
      <w:r w:rsidR="00963D76">
        <w:t xml:space="preserve">within their product category </w:t>
      </w:r>
      <w:r w:rsidRPr="00771C5A">
        <w:t>but were categorised as FFG (</w:t>
      </w:r>
      <w:r w:rsidR="0030513A">
        <w:t>for example,</w:t>
      </w:r>
      <w:r w:rsidR="0030513A" w:rsidRPr="00CC1ADD">
        <w:t xml:space="preserve"> </w:t>
      </w:r>
      <w:r w:rsidRPr="00771C5A">
        <w:t>full fat</w:t>
      </w:r>
      <w:r w:rsidRPr="00887F92">
        <w:t xml:space="preserve"> cheeses, yoghurts, flavoured milks, custards).</w:t>
      </w:r>
    </w:p>
    <w:p w14:paraId="01E8456A" w14:textId="77777777" w:rsidR="00F101DD" w:rsidRDefault="00F101DD" w:rsidP="00DC778B">
      <w:pPr>
        <w:pStyle w:val="mpcNormal"/>
        <w:keepNext w:val="0"/>
      </w:pPr>
    </w:p>
    <w:p w14:paraId="46BBAB2E" w14:textId="77777777" w:rsidR="00F101DD" w:rsidRPr="005613A1" w:rsidRDefault="00F101DD" w:rsidP="00DC778B">
      <w:pPr>
        <w:pStyle w:val="mpcNormal"/>
        <w:keepNext w:val="0"/>
      </w:pPr>
      <w:r>
        <w:t>Examination of outliers has been one of the factors that has influenced t</w:t>
      </w:r>
      <w:r w:rsidRPr="005613A1">
        <w:t xml:space="preserve">he areas for focus in determining </w:t>
      </w:r>
      <w:r>
        <w:t>improvements</w:t>
      </w:r>
      <w:r w:rsidRPr="005613A1">
        <w:t xml:space="preserve"> to the HSR Calculator (</w:t>
      </w:r>
      <w:r>
        <w:t xml:space="preserve">refer </w:t>
      </w:r>
      <w:r w:rsidRPr="005613A1">
        <w:t>Chapter 5).</w:t>
      </w:r>
    </w:p>
    <w:p w14:paraId="28A2DBFB" w14:textId="77777777" w:rsidR="00F101DD" w:rsidRPr="005613A1" w:rsidRDefault="00F101DD" w:rsidP="00710029">
      <w:pPr>
        <w:pStyle w:val="mpcNormal"/>
        <w:keepNext w:val="0"/>
      </w:pPr>
    </w:p>
    <w:p w14:paraId="0ADDF59E" w14:textId="77777777" w:rsidR="00F101DD" w:rsidRPr="00512DE9" w:rsidRDefault="00F101DD" w:rsidP="005A3631">
      <w:pPr>
        <w:pStyle w:val="mpcheading2"/>
        <w:spacing w:after="0"/>
      </w:pPr>
      <w:bookmarkStart w:id="78" w:name="Graphics"/>
      <w:bookmarkStart w:id="79" w:name="_Toc1746491"/>
      <w:bookmarkEnd w:id="78"/>
      <w:r w:rsidRPr="00512DE9">
        <w:t xml:space="preserve">HSR </w:t>
      </w:r>
      <w:r>
        <w:t>System g</w:t>
      </w:r>
      <w:r w:rsidRPr="00512DE9">
        <w:t>raphics</w:t>
      </w:r>
      <w:bookmarkEnd w:id="79"/>
    </w:p>
    <w:p w14:paraId="0024622E" w14:textId="77777777" w:rsidR="00F101DD" w:rsidRDefault="00F101DD" w:rsidP="00710029">
      <w:pPr>
        <w:pStyle w:val="mpcNormal"/>
        <w:keepNext w:val="0"/>
      </w:pPr>
    </w:p>
    <w:p w14:paraId="0ED71F88" w14:textId="6A20EBA0" w:rsidR="00F101DD" w:rsidRPr="006F251B" w:rsidRDefault="00F101DD" w:rsidP="00710029">
      <w:pPr>
        <w:pStyle w:val="mpcNormal"/>
        <w:keepNext w:val="0"/>
      </w:pPr>
      <w:r w:rsidRPr="006F251B">
        <w:t xml:space="preserve">Manufacturers may choose to use one of five HSR graphics. </w:t>
      </w:r>
      <w:r w:rsidR="00574DAF">
        <w:t xml:space="preserve">As illustrated </w:t>
      </w:r>
      <w:r w:rsidR="00560CB6">
        <w:t>in the table below</w:t>
      </w:r>
      <w:r w:rsidR="00574DAF">
        <w:t xml:space="preserve">, </w:t>
      </w:r>
      <w:r w:rsidRPr="006F251B">
        <w:t>Options 1 to 3 display the stars along with energy and/or nutrient icons, Option 4 is the stars alone and Option 5 is the energy icon without the stars.</w:t>
      </w:r>
    </w:p>
    <w:p w14:paraId="6DE16D4F" w14:textId="77777777" w:rsidR="00F101DD" w:rsidRPr="006F251B" w:rsidRDefault="00F101DD" w:rsidP="00710029">
      <w:pPr>
        <w:pStyle w:val="mpcNormal"/>
        <w:keepNext w:val="0"/>
      </w:pPr>
    </w:p>
    <w:p w14:paraId="7C2B7426" w14:textId="77777777" w:rsidR="00F101DD" w:rsidRPr="006F251B" w:rsidRDefault="00F101DD" w:rsidP="00710029">
      <w:pPr>
        <w:pStyle w:val="mpcNormal"/>
        <w:keepNext w:val="0"/>
      </w:pPr>
      <w:r w:rsidRPr="006F251B">
        <w:t>The HSR Style Guide states that ‘it is the responsibility of food companies to determine which presentation format is most suitable for their products, based on available pack size and label space. Food companies are encouraged to use as many elements of the HSR graphic as possible consistent with the above hierarchy’.</w:t>
      </w:r>
    </w:p>
    <w:p w14:paraId="2A13E359" w14:textId="77777777" w:rsidR="00F101DD" w:rsidRPr="006F251B" w:rsidRDefault="00F101DD" w:rsidP="00710029">
      <w:pPr>
        <w:pStyle w:val="mpcNormal"/>
        <w:keepNext w:val="0"/>
      </w:pPr>
    </w:p>
    <w:p w14:paraId="1DAAFF05" w14:textId="352C9714" w:rsidR="00574DAF" w:rsidRDefault="00F101DD" w:rsidP="005A3631">
      <w:pPr>
        <w:pStyle w:val="mpcNormal"/>
        <w:keepNext w:val="0"/>
      </w:pPr>
      <w:r w:rsidRPr="006F251B">
        <w:t xml:space="preserve">Monitoring data from the </w:t>
      </w:r>
      <w:r>
        <w:t>NHF</w:t>
      </w:r>
      <w:r w:rsidRPr="006F251B">
        <w:t xml:space="preserve"> and MPI </w:t>
      </w:r>
      <w:r w:rsidR="00574DAF">
        <w:t xml:space="preserve">is summarised in </w:t>
      </w:r>
      <w:r w:rsidR="00560CB6">
        <w:t xml:space="preserve">the </w:t>
      </w:r>
      <w:r w:rsidR="00357932">
        <w:t>Table 2</w:t>
      </w:r>
      <w:r w:rsidR="00574DAF">
        <w:t xml:space="preserve">. </w:t>
      </w:r>
    </w:p>
    <w:p w14:paraId="0AAC9790" w14:textId="1A3F12C2" w:rsidR="00357932" w:rsidRPr="00F26AAA" w:rsidRDefault="00357932" w:rsidP="005A3631">
      <w:pPr>
        <w:pStyle w:val="mpcNormal"/>
        <w:keepNext w:val="0"/>
        <w:rPr>
          <w:sz w:val="18"/>
        </w:rPr>
      </w:pPr>
    </w:p>
    <w:p w14:paraId="00BF4CBC" w14:textId="6804DBCC" w:rsidR="00357932" w:rsidRPr="00357932" w:rsidRDefault="00357932" w:rsidP="00357932">
      <w:pPr>
        <w:pStyle w:val="mpctableheading"/>
      </w:pPr>
      <w:r w:rsidRPr="00357932">
        <w:t>Table 2: HSR graphic options, proportion of products displaying and consumer preference for each option</w:t>
      </w:r>
    </w:p>
    <w:p w14:paraId="395863FF" w14:textId="632D185F" w:rsidR="00574DAF" w:rsidRPr="00F26AAA" w:rsidRDefault="00574DAF">
      <w:pPr>
        <w:pStyle w:val="mpcNormal"/>
        <w:keepNext w:val="0"/>
        <w:rPr>
          <w:sz w:val="16"/>
        </w:rPr>
      </w:pPr>
    </w:p>
    <w:tbl>
      <w:tblPr>
        <w:tblStyle w:val="TableGrid"/>
        <w:tblW w:w="0" w:type="auto"/>
        <w:jc w:val="center"/>
        <w:tblLook w:val="04A0" w:firstRow="1" w:lastRow="0" w:firstColumn="1" w:lastColumn="0" w:noHBand="0" w:noVBand="1"/>
      </w:tblPr>
      <w:tblGrid>
        <w:gridCol w:w="404"/>
        <w:gridCol w:w="3696"/>
        <w:gridCol w:w="1702"/>
        <w:gridCol w:w="1945"/>
        <w:gridCol w:w="1991"/>
      </w:tblGrid>
      <w:tr w:rsidR="00BB38C9" w:rsidRPr="00BB38C9" w14:paraId="51F00E86" w14:textId="77777777" w:rsidTr="00CB0A32">
        <w:trPr>
          <w:jc w:val="center"/>
        </w:trPr>
        <w:tc>
          <w:tcPr>
            <w:tcW w:w="3570" w:type="dxa"/>
            <w:gridSpan w:val="2"/>
            <w:tcBorders>
              <w:top w:val="single" w:sz="2" w:space="0" w:color="auto"/>
              <w:left w:val="single" w:sz="2" w:space="0" w:color="auto"/>
              <w:bottom w:val="nil"/>
              <w:right w:val="single" w:sz="2" w:space="0" w:color="auto"/>
            </w:tcBorders>
            <w:shd w:val="clear" w:color="auto" w:fill="516A8E"/>
          </w:tcPr>
          <w:p w14:paraId="48FB5D12" w14:textId="67D70AE4" w:rsidR="00BB38C9" w:rsidRPr="009426E9" w:rsidRDefault="00BB38C9" w:rsidP="009426E9">
            <w:pPr>
              <w:pStyle w:val="mpcNormal"/>
              <w:keepNext w:val="0"/>
              <w:jc w:val="center"/>
              <w:rPr>
                <w:b/>
                <w:color w:val="FFFFFF" w:themeColor="background1"/>
                <w:sz w:val="20"/>
                <w:szCs w:val="20"/>
              </w:rPr>
            </w:pPr>
            <w:bookmarkStart w:id="80" w:name="Graphic"/>
            <w:bookmarkEnd w:id="80"/>
            <w:r w:rsidRPr="009426E9">
              <w:rPr>
                <w:b/>
                <w:color w:val="FFFFFF" w:themeColor="background1"/>
                <w:sz w:val="20"/>
                <w:szCs w:val="20"/>
              </w:rPr>
              <w:t>HSR graphic option</w:t>
            </w:r>
          </w:p>
        </w:tc>
        <w:tc>
          <w:tcPr>
            <w:tcW w:w="4008" w:type="dxa"/>
            <w:gridSpan w:val="2"/>
            <w:tcBorders>
              <w:left w:val="single" w:sz="2" w:space="0" w:color="auto"/>
            </w:tcBorders>
            <w:shd w:val="clear" w:color="auto" w:fill="516A8E"/>
          </w:tcPr>
          <w:p w14:paraId="4652CE56" w14:textId="179E6AD3" w:rsidR="00BB38C9" w:rsidRPr="009426E9" w:rsidRDefault="00BB38C9" w:rsidP="009426E9">
            <w:pPr>
              <w:pStyle w:val="mpcNormal"/>
              <w:keepNext w:val="0"/>
              <w:jc w:val="center"/>
              <w:rPr>
                <w:b/>
                <w:color w:val="FFFFFF" w:themeColor="background1"/>
                <w:sz w:val="20"/>
                <w:szCs w:val="20"/>
              </w:rPr>
            </w:pPr>
            <w:r w:rsidRPr="009426E9">
              <w:rPr>
                <w:b/>
                <w:color w:val="FFFFFF" w:themeColor="background1"/>
                <w:sz w:val="20"/>
                <w:szCs w:val="20"/>
              </w:rPr>
              <w:t xml:space="preserve">Percentage of products </w:t>
            </w:r>
            <w:r>
              <w:rPr>
                <w:b/>
                <w:color w:val="FFFFFF" w:themeColor="background1"/>
                <w:sz w:val="20"/>
                <w:szCs w:val="20"/>
              </w:rPr>
              <w:t xml:space="preserve">displaying the HSR </w:t>
            </w:r>
            <w:r w:rsidRPr="009426E9">
              <w:rPr>
                <w:b/>
                <w:color w:val="FFFFFF" w:themeColor="background1"/>
                <w:sz w:val="20"/>
                <w:szCs w:val="20"/>
              </w:rPr>
              <w:t>using graphic</w:t>
            </w:r>
          </w:p>
        </w:tc>
        <w:tc>
          <w:tcPr>
            <w:tcW w:w="2158" w:type="dxa"/>
            <w:shd w:val="clear" w:color="auto" w:fill="516A8E"/>
          </w:tcPr>
          <w:p w14:paraId="71C29C38" w14:textId="74F545D7" w:rsidR="00BB38C9" w:rsidRPr="009426E9" w:rsidRDefault="00BB38C9" w:rsidP="009426E9">
            <w:pPr>
              <w:pStyle w:val="mpcNormal"/>
              <w:keepNext w:val="0"/>
              <w:jc w:val="center"/>
              <w:rPr>
                <w:b/>
                <w:color w:val="FFFFFF" w:themeColor="background1"/>
                <w:sz w:val="20"/>
                <w:szCs w:val="20"/>
              </w:rPr>
            </w:pPr>
            <w:r w:rsidRPr="009426E9">
              <w:rPr>
                <w:b/>
                <w:color w:val="FFFFFF" w:themeColor="background1"/>
                <w:sz w:val="20"/>
                <w:szCs w:val="20"/>
              </w:rPr>
              <w:t>Percentage of consumers preferring graphic</w:t>
            </w:r>
          </w:p>
        </w:tc>
      </w:tr>
      <w:tr w:rsidR="00BB38C9" w:rsidRPr="00BB38C9" w14:paraId="6083797F" w14:textId="77777777" w:rsidTr="00CB0A32">
        <w:trPr>
          <w:jc w:val="center"/>
        </w:trPr>
        <w:tc>
          <w:tcPr>
            <w:tcW w:w="3570" w:type="dxa"/>
            <w:gridSpan w:val="2"/>
            <w:tcBorders>
              <w:top w:val="nil"/>
              <w:left w:val="single" w:sz="2" w:space="0" w:color="auto"/>
              <w:bottom w:val="single" w:sz="2" w:space="0" w:color="auto"/>
              <w:right w:val="single" w:sz="2" w:space="0" w:color="auto"/>
            </w:tcBorders>
            <w:shd w:val="clear" w:color="auto" w:fill="516A8E"/>
          </w:tcPr>
          <w:p w14:paraId="05121EF2" w14:textId="77777777" w:rsidR="00BB38C9" w:rsidRPr="009426E9" w:rsidRDefault="00BB38C9" w:rsidP="009426E9">
            <w:pPr>
              <w:pStyle w:val="mpcNormal"/>
              <w:keepNext w:val="0"/>
              <w:jc w:val="center"/>
              <w:rPr>
                <w:sz w:val="20"/>
                <w:szCs w:val="20"/>
              </w:rPr>
            </w:pPr>
          </w:p>
        </w:tc>
        <w:tc>
          <w:tcPr>
            <w:tcW w:w="1850" w:type="dxa"/>
            <w:tcBorders>
              <w:left w:val="single" w:sz="2" w:space="0" w:color="auto"/>
            </w:tcBorders>
            <w:shd w:val="clear" w:color="auto" w:fill="516A8E"/>
          </w:tcPr>
          <w:p w14:paraId="15C47C79" w14:textId="262D209E" w:rsidR="00BB38C9" w:rsidRPr="009426E9" w:rsidRDefault="00BB38C9" w:rsidP="009426E9">
            <w:pPr>
              <w:pStyle w:val="mpcNormal"/>
              <w:keepNext w:val="0"/>
              <w:jc w:val="center"/>
              <w:rPr>
                <w:b/>
                <w:color w:val="FFFFFF" w:themeColor="background1"/>
                <w:sz w:val="20"/>
                <w:szCs w:val="20"/>
              </w:rPr>
            </w:pPr>
            <w:r w:rsidRPr="009426E9">
              <w:rPr>
                <w:b/>
                <w:color w:val="FFFFFF" w:themeColor="background1"/>
                <w:sz w:val="20"/>
                <w:szCs w:val="20"/>
              </w:rPr>
              <w:t>Australia</w:t>
            </w:r>
          </w:p>
        </w:tc>
        <w:tc>
          <w:tcPr>
            <w:tcW w:w="2158" w:type="dxa"/>
            <w:shd w:val="clear" w:color="auto" w:fill="516A8E"/>
          </w:tcPr>
          <w:p w14:paraId="5A8FBBBF" w14:textId="792BDA2A" w:rsidR="00BB38C9" w:rsidRPr="009426E9" w:rsidRDefault="00BB38C9" w:rsidP="009426E9">
            <w:pPr>
              <w:pStyle w:val="mpcNormal"/>
              <w:keepNext w:val="0"/>
              <w:jc w:val="center"/>
              <w:rPr>
                <w:b/>
                <w:color w:val="FFFFFF" w:themeColor="background1"/>
                <w:sz w:val="20"/>
                <w:szCs w:val="20"/>
              </w:rPr>
            </w:pPr>
            <w:r w:rsidRPr="009426E9">
              <w:rPr>
                <w:b/>
                <w:color w:val="FFFFFF" w:themeColor="background1"/>
                <w:sz w:val="20"/>
                <w:szCs w:val="20"/>
              </w:rPr>
              <w:t>New Zealand</w:t>
            </w:r>
          </w:p>
        </w:tc>
        <w:tc>
          <w:tcPr>
            <w:tcW w:w="2158" w:type="dxa"/>
            <w:shd w:val="clear" w:color="auto" w:fill="516A8E"/>
          </w:tcPr>
          <w:p w14:paraId="572278DC" w14:textId="1DB961C6" w:rsidR="00BB38C9" w:rsidRPr="009426E9" w:rsidRDefault="00BB38C9" w:rsidP="009426E9">
            <w:pPr>
              <w:pStyle w:val="mpcNormal"/>
              <w:keepNext w:val="0"/>
              <w:jc w:val="center"/>
              <w:rPr>
                <w:sz w:val="20"/>
                <w:szCs w:val="20"/>
              </w:rPr>
            </w:pPr>
            <w:r w:rsidRPr="009426E9">
              <w:rPr>
                <w:b/>
                <w:color w:val="FFFFFF" w:themeColor="background1"/>
                <w:sz w:val="20"/>
                <w:szCs w:val="20"/>
              </w:rPr>
              <w:t>Data only available for Australia</w:t>
            </w:r>
          </w:p>
        </w:tc>
      </w:tr>
      <w:tr w:rsidR="00BB38C9" w:rsidRPr="00BB38C9" w14:paraId="1CFBC763" w14:textId="77777777" w:rsidTr="00CB0A32">
        <w:trPr>
          <w:jc w:val="center"/>
        </w:trPr>
        <w:tc>
          <w:tcPr>
            <w:tcW w:w="421" w:type="dxa"/>
            <w:tcBorders>
              <w:top w:val="single" w:sz="2" w:space="0" w:color="auto"/>
            </w:tcBorders>
          </w:tcPr>
          <w:p w14:paraId="2ED8D45B" w14:textId="57DB3ED4" w:rsidR="00BB38C9" w:rsidRPr="009426E9" w:rsidRDefault="00BB38C9" w:rsidP="005A3631">
            <w:pPr>
              <w:pStyle w:val="mpcNormal"/>
              <w:keepNext w:val="0"/>
              <w:rPr>
                <w:sz w:val="20"/>
                <w:szCs w:val="20"/>
              </w:rPr>
            </w:pPr>
            <w:r w:rsidRPr="009426E9">
              <w:rPr>
                <w:sz w:val="20"/>
                <w:szCs w:val="20"/>
              </w:rPr>
              <w:t>1</w:t>
            </w:r>
          </w:p>
        </w:tc>
        <w:tc>
          <w:tcPr>
            <w:tcW w:w="3149" w:type="dxa"/>
            <w:tcBorders>
              <w:top w:val="single" w:sz="2" w:space="0" w:color="auto"/>
            </w:tcBorders>
          </w:tcPr>
          <w:p w14:paraId="7D879BA7" w14:textId="1FD4208F" w:rsidR="00BB38C9" w:rsidRPr="009426E9" w:rsidRDefault="00BB38C9" w:rsidP="005A3631">
            <w:pPr>
              <w:pStyle w:val="mpcNormal"/>
              <w:keepNext w:val="0"/>
              <w:rPr>
                <w:sz w:val="20"/>
                <w:szCs w:val="20"/>
              </w:rPr>
            </w:pPr>
            <w:r w:rsidRPr="009426E9">
              <w:rPr>
                <w:noProof/>
                <w:sz w:val="20"/>
                <w:szCs w:val="20"/>
                <w:lang w:eastAsia="en-AU"/>
              </w:rPr>
              <w:drawing>
                <wp:inline distT="0" distB="0" distL="0" distR="0" wp14:anchorId="27F1D668" wp14:editId="5DBB90CA">
                  <wp:extent cx="2206304" cy="707644"/>
                  <wp:effectExtent l="0" t="0" r="3810" b="3810"/>
                  <wp:docPr id="35" name="Picture 35" descr="Health Star Rating graphic Option 1 - stars + energy icon + 3 prescribed nutrient icons + 1 optional nutrien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email">
                            <a:extLst>
                              <a:ext uri="{28A0092B-C50C-407E-A947-70E740481C1C}">
                                <a14:useLocalDpi xmlns:a14="http://schemas.microsoft.com/office/drawing/2010/main"/>
                              </a:ext>
                            </a:extLst>
                          </a:blip>
                          <a:srcRect/>
                          <a:stretch/>
                        </pic:blipFill>
                        <pic:spPr bwMode="auto">
                          <a:xfrm>
                            <a:off x="0" y="0"/>
                            <a:ext cx="2221646" cy="712565"/>
                          </a:xfrm>
                          <a:prstGeom prst="rect">
                            <a:avLst/>
                          </a:prstGeom>
                          <a:ln>
                            <a:noFill/>
                          </a:ln>
                          <a:extLst>
                            <a:ext uri="{53640926-AAD7-44D8-BBD7-CCE9431645EC}">
                              <a14:shadowObscured xmlns:a14="http://schemas.microsoft.com/office/drawing/2010/main"/>
                            </a:ext>
                          </a:extLst>
                        </pic:spPr>
                      </pic:pic>
                    </a:graphicData>
                  </a:graphic>
                </wp:inline>
              </w:drawing>
            </w:r>
          </w:p>
        </w:tc>
        <w:tc>
          <w:tcPr>
            <w:tcW w:w="1850" w:type="dxa"/>
          </w:tcPr>
          <w:p w14:paraId="353E7FCC" w14:textId="225D7179" w:rsidR="00BB38C9" w:rsidRPr="009426E9" w:rsidRDefault="00BB38C9" w:rsidP="009426E9">
            <w:pPr>
              <w:pStyle w:val="mpcNormal"/>
              <w:keepNext w:val="0"/>
              <w:jc w:val="center"/>
              <w:rPr>
                <w:sz w:val="20"/>
                <w:szCs w:val="20"/>
              </w:rPr>
            </w:pPr>
            <w:r w:rsidRPr="009426E9">
              <w:rPr>
                <w:sz w:val="20"/>
                <w:szCs w:val="20"/>
              </w:rPr>
              <w:t>5</w:t>
            </w:r>
          </w:p>
        </w:tc>
        <w:tc>
          <w:tcPr>
            <w:tcW w:w="2158" w:type="dxa"/>
          </w:tcPr>
          <w:p w14:paraId="4F576B05" w14:textId="5FFB4155" w:rsidR="00BB38C9" w:rsidRPr="009426E9" w:rsidRDefault="00BB38C9" w:rsidP="009426E9">
            <w:pPr>
              <w:pStyle w:val="mpcNormal"/>
              <w:keepNext w:val="0"/>
              <w:jc w:val="center"/>
              <w:rPr>
                <w:sz w:val="20"/>
                <w:szCs w:val="20"/>
              </w:rPr>
            </w:pPr>
            <w:r w:rsidRPr="009426E9">
              <w:rPr>
                <w:sz w:val="20"/>
                <w:szCs w:val="20"/>
              </w:rPr>
              <w:t>7</w:t>
            </w:r>
          </w:p>
        </w:tc>
        <w:tc>
          <w:tcPr>
            <w:tcW w:w="2158" w:type="dxa"/>
          </w:tcPr>
          <w:p w14:paraId="67B16EFD" w14:textId="3C6BB5DF" w:rsidR="00BB38C9" w:rsidRPr="009426E9" w:rsidRDefault="00BB38C9" w:rsidP="009426E9">
            <w:pPr>
              <w:pStyle w:val="mpcNormal"/>
              <w:keepNext w:val="0"/>
              <w:jc w:val="center"/>
              <w:rPr>
                <w:sz w:val="20"/>
                <w:szCs w:val="20"/>
              </w:rPr>
            </w:pPr>
            <w:r w:rsidRPr="009426E9">
              <w:rPr>
                <w:sz w:val="20"/>
                <w:szCs w:val="20"/>
              </w:rPr>
              <w:t>63</w:t>
            </w:r>
          </w:p>
        </w:tc>
      </w:tr>
      <w:tr w:rsidR="00BB38C9" w:rsidRPr="00BB38C9" w14:paraId="5FEC689B" w14:textId="77777777" w:rsidTr="00BB38C9">
        <w:trPr>
          <w:jc w:val="center"/>
        </w:trPr>
        <w:tc>
          <w:tcPr>
            <w:tcW w:w="421" w:type="dxa"/>
          </w:tcPr>
          <w:p w14:paraId="021CF4E3" w14:textId="11063139" w:rsidR="00BB38C9" w:rsidRPr="009426E9" w:rsidRDefault="00BB38C9" w:rsidP="005A3631">
            <w:pPr>
              <w:pStyle w:val="mpcNormal"/>
              <w:keepNext w:val="0"/>
              <w:rPr>
                <w:sz w:val="20"/>
                <w:szCs w:val="20"/>
              </w:rPr>
            </w:pPr>
            <w:r w:rsidRPr="009426E9">
              <w:rPr>
                <w:sz w:val="20"/>
                <w:szCs w:val="20"/>
              </w:rPr>
              <w:t>2</w:t>
            </w:r>
          </w:p>
        </w:tc>
        <w:tc>
          <w:tcPr>
            <w:tcW w:w="3149" w:type="dxa"/>
          </w:tcPr>
          <w:p w14:paraId="6DF56753" w14:textId="4E2BF125" w:rsidR="00BB38C9" w:rsidRPr="009426E9" w:rsidRDefault="00BB38C9" w:rsidP="005A3631">
            <w:pPr>
              <w:pStyle w:val="mpcNormal"/>
              <w:keepNext w:val="0"/>
              <w:rPr>
                <w:sz w:val="20"/>
                <w:szCs w:val="20"/>
              </w:rPr>
            </w:pPr>
            <w:r w:rsidRPr="009426E9">
              <w:rPr>
                <w:noProof/>
                <w:sz w:val="20"/>
                <w:szCs w:val="20"/>
                <w:lang w:eastAsia="en-AU"/>
              </w:rPr>
              <w:drawing>
                <wp:inline distT="0" distB="0" distL="0" distR="0" wp14:anchorId="06CF0850" wp14:editId="64954269">
                  <wp:extent cx="1862356" cy="673003"/>
                  <wp:effectExtent l="0" t="0" r="5080" b="635"/>
                  <wp:docPr id="46" name="Picture 46" descr="Health Star Rating graphic Option 2 - stars + energy icon + 3 prescribed nutrient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1878122" cy="678701"/>
                          </a:xfrm>
                          <a:prstGeom prst="rect">
                            <a:avLst/>
                          </a:prstGeom>
                          <a:ln>
                            <a:noFill/>
                          </a:ln>
                          <a:extLst>
                            <a:ext uri="{53640926-AAD7-44D8-BBD7-CCE9431645EC}">
                              <a14:shadowObscured xmlns:a14="http://schemas.microsoft.com/office/drawing/2010/main"/>
                            </a:ext>
                          </a:extLst>
                        </pic:spPr>
                      </pic:pic>
                    </a:graphicData>
                  </a:graphic>
                </wp:inline>
              </w:drawing>
            </w:r>
          </w:p>
        </w:tc>
        <w:tc>
          <w:tcPr>
            <w:tcW w:w="1850" w:type="dxa"/>
          </w:tcPr>
          <w:p w14:paraId="1CF605BD" w14:textId="53E6DDE3" w:rsidR="00BB38C9" w:rsidRPr="009426E9" w:rsidRDefault="00BB38C9" w:rsidP="009426E9">
            <w:pPr>
              <w:pStyle w:val="mpcNormal"/>
              <w:keepNext w:val="0"/>
              <w:jc w:val="center"/>
              <w:rPr>
                <w:sz w:val="20"/>
                <w:szCs w:val="20"/>
              </w:rPr>
            </w:pPr>
            <w:r w:rsidRPr="009426E9">
              <w:rPr>
                <w:sz w:val="20"/>
                <w:szCs w:val="20"/>
              </w:rPr>
              <w:t>23</w:t>
            </w:r>
          </w:p>
        </w:tc>
        <w:tc>
          <w:tcPr>
            <w:tcW w:w="2158" w:type="dxa"/>
          </w:tcPr>
          <w:p w14:paraId="2BEB6CBA" w14:textId="1CF7891E" w:rsidR="00BB38C9" w:rsidRPr="009426E9" w:rsidRDefault="00BB38C9" w:rsidP="009426E9">
            <w:pPr>
              <w:pStyle w:val="mpcNormal"/>
              <w:keepNext w:val="0"/>
              <w:jc w:val="center"/>
              <w:rPr>
                <w:sz w:val="20"/>
                <w:szCs w:val="20"/>
              </w:rPr>
            </w:pPr>
            <w:r w:rsidRPr="009426E9">
              <w:rPr>
                <w:sz w:val="20"/>
                <w:szCs w:val="20"/>
              </w:rPr>
              <w:t>18</w:t>
            </w:r>
          </w:p>
        </w:tc>
        <w:tc>
          <w:tcPr>
            <w:tcW w:w="2158" w:type="dxa"/>
          </w:tcPr>
          <w:p w14:paraId="01B6E143" w14:textId="56C54AB5" w:rsidR="00BB38C9" w:rsidRPr="009426E9" w:rsidRDefault="00BB38C9" w:rsidP="009426E9">
            <w:pPr>
              <w:pStyle w:val="mpcNormal"/>
              <w:keepNext w:val="0"/>
              <w:jc w:val="center"/>
              <w:rPr>
                <w:sz w:val="20"/>
                <w:szCs w:val="20"/>
              </w:rPr>
            </w:pPr>
            <w:r w:rsidRPr="009426E9">
              <w:rPr>
                <w:sz w:val="20"/>
                <w:szCs w:val="20"/>
              </w:rPr>
              <w:t>10</w:t>
            </w:r>
          </w:p>
        </w:tc>
      </w:tr>
      <w:tr w:rsidR="00BB38C9" w:rsidRPr="00BB38C9" w14:paraId="64333818" w14:textId="77777777" w:rsidTr="00BB38C9">
        <w:trPr>
          <w:jc w:val="center"/>
        </w:trPr>
        <w:tc>
          <w:tcPr>
            <w:tcW w:w="421" w:type="dxa"/>
          </w:tcPr>
          <w:p w14:paraId="0B75F508" w14:textId="359B01E5" w:rsidR="00BB38C9" w:rsidRPr="009426E9" w:rsidRDefault="00BB38C9" w:rsidP="005A3631">
            <w:pPr>
              <w:pStyle w:val="mpcNormal"/>
              <w:keepNext w:val="0"/>
              <w:rPr>
                <w:sz w:val="20"/>
                <w:szCs w:val="20"/>
              </w:rPr>
            </w:pPr>
            <w:r w:rsidRPr="009426E9">
              <w:rPr>
                <w:sz w:val="20"/>
                <w:szCs w:val="20"/>
              </w:rPr>
              <w:t>3</w:t>
            </w:r>
          </w:p>
        </w:tc>
        <w:tc>
          <w:tcPr>
            <w:tcW w:w="3149" w:type="dxa"/>
          </w:tcPr>
          <w:p w14:paraId="16605BD8" w14:textId="18ED3E01" w:rsidR="00BB38C9" w:rsidRPr="009426E9" w:rsidRDefault="00BB38C9" w:rsidP="005A3631">
            <w:pPr>
              <w:pStyle w:val="mpcNormal"/>
              <w:keepNext w:val="0"/>
              <w:rPr>
                <w:sz w:val="20"/>
                <w:szCs w:val="20"/>
              </w:rPr>
            </w:pPr>
            <w:r w:rsidRPr="009426E9">
              <w:rPr>
                <w:noProof/>
                <w:sz w:val="20"/>
                <w:szCs w:val="20"/>
                <w:lang w:eastAsia="en-AU"/>
              </w:rPr>
              <w:drawing>
                <wp:inline distT="0" distB="0" distL="0" distR="0" wp14:anchorId="6070739E" wp14:editId="67A20899">
                  <wp:extent cx="956345" cy="640794"/>
                  <wp:effectExtent l="0" t="0" r="0" b="0"/>
                  <wp:docPr id="51" name="Picture 51" descr="Health Star Rating graphic Option 3 - stars +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962829" cy="645139"/>
                          </a:xfrm>
                          <a:prstGeom prst="rect">
                            <a:avLst/>
                          </a:prstGeom>
                          <a:ln>
                            <a:noFill/>
                          </a:ln>
                          <a:extLst>
                            <a:ext uri="{53640926-AAD7-44D8-BBD7-CCE9431645EC}">
                              <a14:shadowObscured xmlns:a14="http://schemas.microsoft.com/office/drawing/2010/main"/>
                            </a:ext>
                          </a:extLst>
                        </pic:spPr>
                      </pic:pic>
                    </a:graphicData>
                  </a:graphic>
                </wp:inline>
              </w:drawing>
            </w:r>
          </w:p>
        </w:tc>
        <w:tc>
          <w:tcPr>
            <w:tcW w:w="1850" w:type="dxa"/>
          </w:tcPr>
          <w:p w14:paraId="2C27EF53" w14:textId="24ADAAF1" w:rsidR="00BB38C9" w:rsidRPr="009426E9" w:rsidRDefault="00BB38C9" w:rsidP="009426E9">
            <w:pPr>
              <w:pStyle w:val="mpcNormal"/>
              <w:keepNext w:val="0"/>
              <w:jc w:val="center"/>
              <w:rPr>
                <w:sz w:val="20"/>
                <w:szCs w:val="20"/>
              </w:rPr>
            </w:pPr>
            <w:r w:rsidRPr="009426E9">
              <w:rPr>
                <w:sz w:val="20"/>
                <w:szCs w:val="20"/>
              </w:rPr>
              <w:t>17</w:t>
            </w:r>
          </w:p>
        </w:tc>
        <w:tc>
          <w:tcPr>
            <w:tcW w:w="2158" w:type="dxa"/>
          </w:tcPr>
          <w:p w14:paraId="4745DB8B" w14:textId="35A75421" w:rsidR="00BB38C9" w:rsidRPr="009426E9" w:rsidRDefault="00BB38C9" w:rsidP="009426E9">
            <w:pPr>
              <w:pStyle w:val="mpcNormal"/>
              <w:keepNext w:val="0"/>
              <w:jc w:val="center"/>
              <w:rPr>
                <w:sz w:val="20"/>
                <w:szCs w:val="20"/>
              </w:rPr>
            </w:pPr>
            <w:r w:rsidRPr="009426E9">
              <w:rPr>
                <w:sz w:val="20"/>
                <w:szCs w:val="20"/>
              </w:rPr>
              <w:t>17</w:t>
            </w:r>
          </w:p>
        </w:tc>
        <w:tc>
          <w:tcPr>
            <w:tcW w:w="2158" w:type="dxa"/>
          </w:tcPr>
          <w:p w14:paraId="5E0440B5" w14:textId="69CFD96B" w:rsidR="00BB38C9" w:rsidRPr="009426E9" w:rsidRDefault="00BB38C9" w:rsidP="009426E9">
            <w:pPr>
              <w:pStyle w:val="mpcNormal"/>
              <w:keepNext w:val="0"/>
              <w:jc w:val="center"/>
              <w:rPr>
                <w:sz w:val="20"/>
                <w:szCs w:val="20"/>
              </w:rPr>
            </w:pPr>
            <w:r w:rsidRPr="009426E9">
              <w:rPr>
                <w:sz w:val="20"/>
                <w:szCs w:val="20"/>
              </w:rPr>
              <w:t>5</w:t>
            </w:r>
          </w:p>
        </w:tc>
      </w:tr>
      <w:tr w:rsidR="00BB38C9" w:rsidRPr="00BB38C9" w14:paraId="44C1A869" w14:textId="77777777" w:rsidTr="00BB38C9">
        <w:trPr>
          <w:jc w:val="center"/>
        </w:trPr>
        <w:tc>
          <w:tcPr>
            <w:tcW w:w="421" w:type="dxa"/>
          </w:tcPr>
          <w:p w14:paraId="1BFBD07B" w14:textId="16A46BC9" w:rsidR="00BB38C9" w:rsidRPr="009426E9" w:rsidRDefault="00BB38C9" w:rsidP="005A3631">
            <w:pPr>
              <w:pStyle w:val="mpcNormal"/>
              <w:keepNext w:val="0"/>
              <w:rPr>
                <w:sz w:val="20"/>
                <w:szCs w:val="20"/>
              </w:rPr>
            </w:pPr>
            <w:r w:rsidRPr="009426E9">
              <w:rPr>
                <w:sz w:val="20"/>
                <w:szCs w:val="20"/>
              </w:rPr>
              <w:t>4</w:t>
            </w:r>
          </w:p>
        </w:tc>
        <w:tc>
          <w:tcPr>
            <w:tcW w:w="3149" w:type="dxa"/>
          </w:tcPr>
          <w:p w14:paraId="4770989E" w14:textId="39D0A4E9" w:rsidR="00BB38C9" w:rsidRPr="009426E9" w:rsidRDefault="00BB38C9" w:rsidP="005A3631">
            <w:pPr>
              <w:pStyle w:val="mpcNormal"/>
              <w:keepNext w:val="0"/>
              <w:rPr>
                <w:sz w:val="20"/>
                <w:szCs w:val="20"/>
              </w:rPr>
            </w:pPr>
            <w:r w:rsidRPr="009426E9">
              <w:rPr>
                <w:noProof/>
                <w:sz w:val="20"/>
                <w:szCs w:val="20"/>
                <w:lang w:eastAsia="en-AU"/>
              </w:rPr>
              <w:drawing>
                <wp:inline distT="0" distB="0" distL="0" distR="0" wp14:anchorId="14533FFC" wp14:editId="425B0DEE">
                  <wp:extent cx="612396" cy="643771"/>
                  <wp:effectExtent l="0" t="0" r="0" b="4445"/>
                  <wp:docPr id="55" name="Picture 55" descr="Health Star Rating graphic Option 4 - stars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616666" cy="648260"/>
                          </a:xfrm>
                          <a:prstGeom prst="rect">
                            <a:avLst/>
                          </a:prstGeom>
                          <a:ln>
                            <a:noFill/>
                          </a:ln>
                          <a:extLst>
                            <a:ext uri="{53640926-AAD7-44D8-BBD7-CCE9431645EC}">
                              <a14:shadowObscured xmlns:a14="http://schemas.microsoft.com/office/drawing/2010/main"/>
                            </a:ext>
                          </a:extLst>
                        </pic:spPr>
                      </pic:pic>
                    </a:graphicData>
                  </a:graphic>
                </wp:inline>
              </w:drawing>
            </w:r>
          </w:p>
        </w:tc>
        <w:tc>
          <w:tcPr>
            <w:tcW w:w="1850" w:type="dxa"/>
          </w:tcPr>
          <w:p w14:paraId="2A2BC349" w14:textId="1538F35F" w:rsidR="00BB38C9" w:rsidRPr="009426E9" w:rsidRDefault="00BB38C9" w:rsidP="009426E9">
            <w:pPr>
              <w:pStyle w:val="mpcNormal"/>
              <w:keepNext w:val="0"/>
              <w:jc w:val="center"/>
              <w:rPr>
                <w:sz w:val="20"/>
                <w:szCs w:val="20"/>
              </w:rPr>
            </w:pPr>
            <w:r w:rsidRPr="009426E9">
              <w:rPr>
                <w:sz w:val="20"/>
                <w:szCs w:val="20"/>
              </w:rPr>
              <w:t>39</w:t>
            </w:r>
          </w:p>
        </w:tc>
        <w:tc>
          <w:tcPr>
            <w:tcW w:w="2158" w:type="dxa"/>
          </w:tcPr>
          <w:p w14:paraId="2679B768" w14:textId="6B667B76" w:rsidR="00BB38C9" w:rsidRPr="009426E9" w:rsidRDefault="00BB38C9" w:rsidP="009426E9">
            <w:pPr>
              <w:pStyle w:val="mpcNormal"/>
              <w:keepNext w:val="0"/>
              <w:jc w:val="center"/>
              <w:rPr>
                <w:sz w:val="20"/>
                <w:szCs w:val="20"/>
              </w:rPr>
            </w:pPr>
            <w:r w:rsidRPr="009426E9">
              <w:rPr>
                <w:sz w:val="20"/>
                <w:szCs w:val="20"/>
              </w:rPr>
              <w:t>42</w:t>
            </w:r>
          </w:p>
        </w:tc>
        <w:tc>
          <w:tcPr>
            <w:tcW w:w="2158" w:type="dxa"/>
          </w:tcPr>
          <w:p w14:paraId="267DD784" w14:textId="2F953064" w:rsidR="00BB38C9" w:rsidRPr="009426E9" w:rsidRDefault="00BB38C9" w:rsidP="009426E9">
            <w:pPr>
              <w:pStyle w:val="mpcNormal"/>
              <w:keepNext w:val="0"/>
              <w:jc w:val="center"/>
              <w:rPr>
                <w:sz w:val="20"/>
                <w:szCs w:val="20"/>
              </w:rPr>
            </w:pPr>
            <w:r w:rsidRPr="009426E9">
              <w:rPr>
                <w:sz w:val="20"/>
                <w:szCs w:val="20"/>
              </w:rPr>
              <w:t>21</w:t>
            </w:r>
          </w:p>
        </w:tc>
      </w:tr>
      <w:tr w:rsidR="00BB38C9" w:rsidRPr="00BB38C9" w14:paraId="31704911" w14:textId="77777777" w:rsidTr="00BB38C9">
        <w:trPr>
          <w:jc w:val="center"/>
        </w:trPr>
        <w:tc>
          <w:tcPr>
            <w:tcW w:w="421" w:type="dxa"/>
          </w:tcPr>
          <w:p w14:paraId="5466AC98" w14:textId="3CC7BD56" w:rsidR="00BB38C9" w:rsidRPr="009426E9" w:rsidRDefault="00BB38C9" w:rsidP="005A3631">
            <w:pPr>
              <w:pStyle w:val="mpcNormal"/>
              <w:keepNext w:val="0"/>
              <w:rPr>
                <w:sz w:val="20"/>
                <w:szCs w:val="20"/>
              </w:rPr>
            </w:pPr>
            <w:r w:rsidRPr="009426E9">
              <w:rPr>
                <w:sz w:val="20"/>
                <w:szCs w:val="20"/>
              </w:rPr>
              <w:t>5</w:t>
            </w:r>
          </w:p>
        </w:tc>
        <w:tc>
          <w:tcPr>
            <w:tcW w:w="3149" w:type="dxa"/>
          </w:tcPr>
          <w:p w14:paraId="02971DC0" w14:textId="5C6B71CE" w:rsidR="00BB38C9" w:rsidRPr="009426E9" w:rsidRDefault="00BB38C9" w:rsidP="005A3631">
            <w:pPr>
              <w:pStyle w:val="mpcNormal"/>
              <w:keepNext w:val="0"/>
              <w:rPr>
                <w:sz w:val="20"/>
                <w:szCs w:val="20"/>
              </w:rPr>
            </w:pPr>
            <w:r w:rsidRPr="009426E9">
              <w:rPr>
                <w:noProof/>
                <w:sz w:val="20"/>
                <w:szCs w:val="20"/>
                <w:lang w:eastAsia="en-AU"/>
              </w:rPr>
              <w:drawing>
                <wp:inline distT="0" distB="0" distL="0" distR="0" wp14:anchorId="20F9E466" wp14:editId="7BC00886">
                  <wp:extent cx="411060" cy="567542"/>
                  <wp:effectExtent l="0" t="0" r="0" b="4445"/>
                  <wp:docPr id="56" name="Picture 56" descr="Health Star Rating graphic Option 5 -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416776" cy="575434"/>
                          </a:xfrm>
                          <a:prstGeom prst="rect">
                            <a:avLst/>
                          </a:prstGeom>
                        </pic:spPr>
                      </pic:pic>
                    </a:graphicData>
                  </a:graphic>
                </wp:inline>
              </w:drawing>
            </w:r>
          </w:p>
        </w:tc>
        <w:tc>
          <w:tcPr>
            <w:tcW w:w="1850" w:type="dxa"/>
          </w:tcPr>
          <w:p w14:paraId="61678B1A" w14:textId="7684CEB7" w:rsidR="00BB38C9" w:rsidRPr="009426E9" w:rsidRDefault="00BB38C9" w:rsidP="009426E9">
            <w:pPr>
              <w:pStyle w:val="mpcNormal"/>
              <w:keepNext w:val="0"/>
              <w:jc w:val="center"/>
              <w:rPr>
                <w:sz w:val="20"/>
                <w:szCs w:val="20"/>
              </w:rPr>
            </w:pPr>
            <w:r w:rsidRPr="009426E9">
              <w:rPr>
                <w:sz w:val="20"/>
                <w:szCs w:val="20"/>
              </w:rPr>
              <w:t>15</w:t>
            </w:r>
          </w:p>
        </w:tc>
        <w:tc>
          <w:tcPr>
            <w:tcW w:w="2158" w:type="dxa"/>
          </w:tcPr>
          <w:p w14:paraId="01F82501" w14:textId="3FB1E11F" w:rsidR="00BB38C9" w:rsidRPr="009426E9" w:rsidRDefault="00BB38C9" w:rsidP="009426E9">
            <w:pPr>
              <w:pStyle w:val="mpcNormal"/>
              <w:keepNext w:val="0"/>
              <w:jc w:val="center"/>
              <w:rPr>
                <w:sz w:val="20"/>
                <w:szCs w:val="20"/>
              </w:rPr>
            </w:pPr>
            <w:r w:rsidRPr="009426E9">
              <w:rPr>
                <w:sz w:val="20"/>
                <w:szCs w:val="20"/>
              </w:rPr>
              <w:t>16</w:t>
            </w:r>
          </w:p>
        </w:tc>
        <w:tc>
          <w:tcPr>
            <w:tcW w:w="2158" w:type="dxa"/>
          </w:tcPr>
          <w:p w14:paraId="27B04C6A" w14:textId="2037E863" w:rsidR="00BB38C9" w:rsidRPr="009426E9" w:rsidRDefault="00BB38C9" w:rsidP="009426E9">
            <w:pPr>
              <w:pStyle w:val="mpcNormal"/>
              <w:keepNext w:val="0"/>
              <w:jc w:val="center"/>
              <w:rPr>
                <w:sz w:val="20"/>
                <w:szCs w:val="20"/>
              </w:rPr>
            </w:pPr>
            <w:r>
              <w:rPr>
                <w:sz w:val="20"/>
                <w:szCs w:val="20"/>
              </w:rPr>
              <w:t xml:space="preserve">&lt; </w:t>
            </w:r>
            <w:r w:rsidRPr="009426E9">
              <w:rPr>
                <w:sz w:val="20"/>
                <w:szCs w:val="20"/>
              </w:rPr>
              <w:t>1</w:t>
            </w:r>
          </w:p>
        </w:tc>
      </w:tr>
    </w:tbl>
    <w:p w14:paraId="02EB3C43" w14:textId="15739821" w:rsidR="00BB38C9" w:rsidRDefault="00BB38C9" w:rsidP="005A3631">
      <w:pPr>
        <w:pStyle w:val="mpcNormal"/>
        <w:keepNext w:val="0"/>
      </w:pPr>
    </w:p>
    <w:p w14:paraId="0E9FEFE7" w14:textId="3FABABA3" w:rsidR="00BB38C9" w:rsidRPr="00560CB6" w:rsidRDefault="008C5CBA">
      <w:pPr>
        <w:pStyle w:val="mpcNormal"/>
        <w:keepNext w:val="0"/>
      </w:pPr>
      <w:r>
        <w:t>T</w:t>
      </w:r>
      <w:r w:rsidR="00BB38C9" w:rsidRPr="00560CB6">
        <w:t>he energy icon</w:t>
      </w:r>
      <w:r>
        <w:t xml:space="preserve"> (</w:t>
      </w:r>
      <w:r w:rsidRPr="00560CB6">
        <w:t>Option 5</w:t>
      </w:r>
      <w:r>
        <w:t>)</w:t>
      </w:r>
      <w:r w:rsidR="00BB38C9" w:rsidRPr="00560CB6">
        <w:t>, which is the least preferred graphic, is used on 15 to 16% of products displaying the HSR in Australia and New Zealand. It is most commonly used on non-dairy beverages (68%), confectionery (68%) and edible oils (38%) and is rarely used in other food groups.</w:t>
      </w:r>
    </w:p>
    <w:p w14:paraId="5406F711" w14:textId="5CD59B1B" w:rsidR="00BB38C9" w:rsidRPr="00560CB6" w:rsidRDefault="00BB38C9">
      <w:pPr>
        <w:pStyle w:val="mpcNormal"/>
        <w:keepNext w:val="0"/>
      </w:pPr>
    </w:p>
    <w:p w14:paraId="09AC3254" w14:textId="5B8ADC7A" w:rsidR="00BB38C9" w:rsidRPr="00560CB6" w:rsidRDefault="00BB38C9">
      <w:pPr>
        <w:pStyle w:val="mpcNormal"/>
        <w:keepNext w:val="0"/>
      </w:pPr>
      <w:r w:rsidRPr="00560CB6">
        <w:t>In addition to low consumer preference for Option 5</w:t>
      </w:r>
      <w:r w:rsidR="00F720A0">
        <w:t>:</w:t>
      </w:r>
      <w:r w:rsidRPr="00560CB6">
        <w:t xml:space="preserve"> only 2% of consumers find it the easiest graphic to understand; 3% find it easiest to recognise; and 4% find it provides sufficient information.</w:t>
      </w:r>
    </w:p>
    <w:p w14:paraId="4E1DFDF5" w14:textId="6FA4847B" w:rsidR="00BB38C9" w:rsidRPr="00560CB6" w:rsidRDefault="00BB38C9">
      <w:pPr>
        <w:pStyle w:val="mpcNormal"/>
        <w:keepNext w:val="0"/>
      </w:pPr>
    </w:p>
    <w:p w14:paraId="3CCBF273" w14:textId="3425382E" w:rsidR="00F101DD" w:rsidRPr="006F251B" w:rsidRDefault="00F101DD" w:rsidP="00DC778B">
      <w:pPr>
        <w:pStyle w:val="mpcNormal"/>
        <w:keepNext w:val="0"/>
      </w:pPr>
      <w:r w:rsidRPr="00560CB6">
        <w:t>Based on discussions with decision makers at the time the HSR System was implemented, Option 5 was included in the</w:t>
      </w:r>
      <w:r w:rsidRPr="006F251B">
        <w:t xml:space="preserve"> System to accommodate non-dairy beverages and confection</w:t>
      </w:r>
      <w:r>
        <w:t>e</w:t>
      </w:r>
      <w:r w:rsidRPr="006F251B">
        <w:t xml:space="preserve">ry. </w:t>
      </w:r>
      <w:r w:rsidR="00180ED0">
        <w:t>It is t</w:t>
      </w:r>
      <w:r w:rsidRPr="006F251B">
        <w:t>he confection</w:t>
      </w:r>
      <w:r>
        <w:t>e</w:t>
      </w:r>
      <w:r w:rsidRPr="006F251B">
        <w:t xml:space="preserve">ry industry’s preferred graphic because it </w:t>
      </w:r>
      <w:r w:rsidR="00C9086B">
        <w:t xml:space="preserve">can be calculated based on an industry agreed standardised serve size </w:t>
      </w:r>
      <w:r w:rsidRPr="006F251B">
        <w:t xml:space="preserve">(discussed below) rather than 100g/100ml. </w:t>
      </w:r>
      <w:r>
        <w:t>S</w:t>
      </w:r>
      <w:r w:rsidRPr="006F251B">
        <w:t xml:space="preserve">ome public health professionals </w:t>
      </w:r>
      <w:r>
        <w:t xml:space="preserve">have also </w:t>
      </w:r>
      <w:r w:rsidRPr="006F251B">
        <w:t>suggested the stars should not apply to confection</w:t>
      </w:r>
      <w:r>
        <w:t>e</w:t>
      </w:r>
      <w:r w:rsidRPr="006F251B">
        <w:t>ry because it may denote a positive health status even w</w:t>
      </w:r>
      <w:r>
        <w:t xml:space="preserve">hen displaying </w:t>
      </w:r>
      <w:r w:rsidRPr="006F251B">
        <w:t>low stars.</w:t>
      </w:r>
    </w:p>
    <w:p w14:paraId="772105D5" w14:textId="77777777" w:rsidR="00F101DD" w:rsidRPr="006F251B" w:rsidRDefault="00F101DD" w:rsidP="00DC778B">
      <w:pPr>
        <w:pStyle w:val="mpcNormal"/>
        <w:keepNext w:val="0"/>
      </w:pPr>
    </w:p>
    <w:p w14:paraId="48E9B756" w14:textId="480981A4" w:rsidR="00F101DD" w:rsidRPr="006F251B" w:rsidRDefault="00F101DD">
      <w:pPr>
        <w:rPr>
          <w:rFonts w:cstheme="minorHAnsi"/>
          <w:sz w:val="22"/>
          <w:szCs w:val="22"/>
        </w:rPr>
      </w:pPr>
      <w:r w:rsidRPr="006F251B">
        <w:rPr>
          <w:rFonts w:cstheme="minorHAnsi"/>
          <w:sz w:val="22"/>
          <w:szCs w:val="22"/>
        </w:rPr>
        <w:t xml:space="preserve">The Review acknowledges these points but on balance considers that Option 5 does not align with the objectives of the HSR System to provide </w:t>
      </w:r>
      <w:r w:rsidR="00560CB6">
        <w:rPr>
          <w:rFonts w:cstheme="minorHAnsi"/>
          <w:sz w:val="22"/>
          <w:szCs w:val="22"/>
        </w:rPr>
        <w:t>‘</w:t>
      </w:r>
      <w:r w:rsidR="00180ED0">
        <w:rPr>
          <w:rFonts w:cstheme="minorHAnsi"/>
          <w:sz w:val="22"/>
          <w:szCs w:val="22"/>
        </w:rPr>
        <w:t xml:space="preserve">convenient, relevant and readily understood nutrition information and/or guidance on food packs to assist consumers to make informed food purchases and healthier eating </w:t>
      </w:r>
      <w:r w:rsidR="00560CB6">
        <w:rPr>
          <w:rFonts w:cstheme="minorHAnsi"/>
          <w:sz w:val="22"/>
          <w:szCs w:val="22"/>
        </w:rPr>
        <w:t>choices’</w:t>
      </w:r>
      <w:r w:rsidR="00180ED0">
        <w:rPr>
          <w:rFonts w:cstheme="minorHAnsi"/>
          <w:sz w:val="22"/>
          <w:szCs w:val="22"/>
        </w:rPr>
        <w:t>.</w:t>
      </w:r>
    </w:p>
    <w:p w14:paraId="492B3AEE" w14:textId="77777777" w:rsidR="00F101DD" w:rsidRPr="006F251B" w:rsidRDefault="00F101DD" w:rsidP="00560CB6">
      <w:pPr>
        <w:pStyle w:val="mpcNormal"/>
        <w:keepNext w:val="0"/>
      </w:pPr>
    </w:p>
    <w:p w14:paraId="1A808A64" w14:textId="22787556" w:rsidR="00F101DD" w:rsidRPr="006F251B" w:rsidRDefault="00F101DD" w:rsidP="009426E9">
      <w:pPr>
        <w:pStyle w:val="mpcNormal"/>
        <w:keepNext w:val="0"/>
      </w:pPr>
      <w:r w:rsidRPr="006F251B">
        <w:t xml:space="preserve">The Review considers that Option 5 should </w:t>
      </w:r>
      <w:r w:rsidR="00180ED0">
        <w:t>be removed from</w:t>
      </w:r>
      <w:r w:rsidRPr="006F251B">
        <w:t xml:space="preserve"> the HSR System for the following reasons:</w:t>
      </w:r>
    </w:p>
    <w:p w14:paraId="5049CE35" w14:textId="77777777" w:rsidR="00F101DD" w:rsidRPr="006F251B" w:rsidRDefault="00F101DD" w:rsidP="009426E9">
      <w:pPr>
        <w:pStyle w:val="mpcNormal"/>
        <w:keepNext w:val="0"/>
      </w:pPr>
    </w:p>
    <w:p w14:paraId="3A78A3B7" w14:textId="77777777" w:rsidR="00F101DD" w:rsidRPr="006F251B" w:rsidRDefault="00F101DD" w:rsidP="00F720A0">
      <w:pPr>
        <w:pStyle w:val="mpcbullets1"/>
      </w:pPr>
      <w:r w:rsidRPr="00771C5A">
        <w:t>monitoring</w:t>
      </w:r>
      <w:r w:rsidRPr="006F251B">
        <w:t xml:space="preserve"> data shows that consumers do not prefer or understand how to use </w:t>
      </w:r>
      <w:r>
        <w:t>the energy icon</w:t>
      </w:r>
    </w:p>
    <w:p w14:paraId="412D82DD" w14:textId="03C44DFD" w:rsidR="00F101DD" w:rsidRPr="006F251B" w:rsidRDefault="00F101DD" w:rsidP="009426E9">
      <w:pPr>
        <w:pStyle w:val="mpcbullets2"/>
        <w:keepNext w:val="0"/>
        <w:ind w:left="850"/>
      </w:pPr>
      <w:r w:rsidRPr="006F251B">
        <w:t xml:space="preserve">While kilojoule labelling is increasingly being used on menu boards and in the eat-out environment to support consumers to select </w:t>
      </w:r>
      <w:r w:rsidR="00F720A0">
        <w:t>lower</w:t>
      </w:r>
      <w:r w:rsidRPr="006F251B">
        <w:t xml:space="preserve"> energy food and beverages, the evidence illustrates that, in the context of the HSR, the energy icon does not provide consumers with meaningful interpretive information to enable them to make healthier choices</w:t>
      </w:r>
      <w:r>
        <w:t>.</w:t>
      </w:r>
    </w:p>
    <w:p w14:paraId="0A023AE5" w14:textId="77777777" w:rsidR="00F101DD" w:rsidRPr="006E651C" w:rsidRDefault="00F101DD" w:rsidP="009426E9">
      <w:pPr>
        <w:pStyle w:val="mpcbullets2"/>
        <w:keepNext w:val="0"/>
        <w:ind w:left="850"/>
      </w:pPr>
      <w:r w:rsidRPr="006E651C">
        <w:t>A study published in March 2013 found that Australian consumers have a poor understanding of energy and kilojoules and, in some cases, perceive higher energy products as healthy and ‘providing sustained energy’.</w:t>
      </w:r>
      <w:r w:rsidRPr="006E651C">
        <w:rPr>
          <w:rFonts w:cs="Times New Roman (Body CS)"/>
          <w:vertAlign w:val="superscript"/>
        </w:rPr>
        <w:footnoteReference w:id="34"/>
      </w:r>
    </w:p>
    <w:p w14:paraId="129A182B" w14:textId="77777777" w:rsidR="00F101DD" w:rsidRPr="006E651C" w:rsidRDefault="00F101DD" w:rsidP="009426E9">
      <w:pPr>
        <w:pStyle w:val="mpcbullets2"/>
        <w:keepNext w:val="0"/>
        <w:ind w:left="850"/>
      </w:pPr>
      <w:r w:rsidRPr="006E651C">
        <w:t>A literature review of consumer understanding and use of food labels found that the relationship between calories and energy was poorly understood.</w:t>
      </w:r>
      <w:r w:rsidRPr="006E651C">
        <w:rPr>
          <w:rFonts w:cs="Times New Roman (Body CS)"/>
          <w:vertAlign w:val="superscript"/>
        </w:rPr>
        <w:footnoteReference w:id="35"/>
      </w:r>
    </w:p>
    <w:p w14:paraId="11A1DDF4" w14:textId="733F2EF9" w:rsidR="00F101DD" w:rsidRPr="006E651C" w:rsidRDefault="00F101DD" w:rsidP="00DA6F26">
      <w:pPr>
        <w:pStyle w:val="mpcbullets2"/>
        <w:keepNext w:val="0"/>
        <w:ind w:left="850"/>
      </w:pPr>
      <w:r w:rsidRPr="006E651C">
        <w:t>A WHO Health Evidence Network report reviewed government endorsed FoPL in 15 member states and found that numerical information on the contribution that a serving of food made to an adult’s daily recommended intake was poorly understood. It also found that presenting information on a per serve basis often resulted in consumer misunderstanding and overconsumption.</w:t>
      </w:r>
      <w:r w:rsidRPr="006E651C">
        <w:rPr>
          <w:rFonts w:cs="Times New Roman (Body CS)"/>
          <w:vertAlign w:val="superscript"/>
        </w:rPr>
        <w:footnoteReference w:id="36"/>
      </w:r>
    </w:p>
    <w:p w14:paraId="09CC8900" w14:textId="59340F38" w:rsidR="00F101DD" w:rsidRPr="006F251B" w:rsidRDefault="00F101DD" w:rsidP="00560CB6">
      <w:pPr>
        <w:pStyle w:val="mpcNormal"/>
        <w:keepNext w:val="0"/>
      </w:pPr>
    </w:p>
    <w:p w14:paraId="06B070B0" w14:textId="5A6F418E" w:rsidR="00F101DD" w:rsidRPr="006F251B" w:rsidRDefault="00F101DD" w:rsidP="00F720A0">
      <w:pPr>
        <w:pStyle w:val="mpcbullets1"/>
      </w:pPr>
      <w:r w:rsidRPr="006F251B">
        <w:t>within the non-dairy beverage category, both the energy icon and stars are used</w:t>
      </w:r>
      <w:r w:rsidR="00030E35">
        <w:t>. T</w:t>
      </w:r>
      <w:r w:rsidRPr="006F251B">
        <w:t xml:space="preserve">he energy icon </w:t>
      </w:r>
      <w:r w:rsidR="00030E35">
        <w:t xml:space="preserve">is </w:t>
      </w:r>
      <w:r w:rsidRPr="00771C5A">
        <w:t>generally</w:t>
      </w:r>
      <w:r w:rsidRPr="006F251B">
        <w:t xml:space="preserve"> used for low scoring products and the stars for high scoring products</w:t>
      </w:r>
      <w:r w:rsidR="00153CBD">
        <w:t xml:space="preserve"> (see Figure 2)</w:t>
      </w:r>
      <w:r w:rsidRPr="006F251B">
        <w:t xml:space="preserve">. This </w:t>
      </w:r>
      <w:r>
        <w:t xml:space="preserve">suggests that the graphics are being differentially applied by industry which also </w:t>
      </w:r>
      <w:r w:rsidRPr="006F251B">
        <w:t>makes it difficult for consumers to compare products.</w:t>
      </w:r>
    </w:p>
    <w:p w14:paraId="39DFBF71" w14:textId="1CF094F7" w:rsidR="00F101DD" w:rsidRDefault="00F101DD" w:rsidP="009426E9">
      <w:pPr>
        <w:pStyle w:val="mpcbullets2"/>
        <w:keepNext w:val="0"/>
        <w:ind w:left="850"/>
      </w:pPr>
      <w:r w:rsidRPr="006F251B">
        <w:t>A study published in August 2018 found that of the 762 non-dairy beverages sampled, 6.8% displayed the stars while 28.5% displayed the energy icon. For beverages displaying the stars, 94.2% displayed an HSR of 5 and, of these, 85.7% were 100% fruit and vegetable juices.</w:t>
      </w:r>
      <w:r w:rsidRPr="006E651C">
        <w:rPr>
          <w:rFonts w:cs="Times New Roman (Body CS)"/>
          <w:vertAlign w:val="superscript"/>
        </w:rPr>
        <w:footnoteReference w:id="37"/>
      </w:r>
    </w:p>
    <w:p w14:paraId="548F8818" w14:textId="53EC7C4B" w:rsidR="00F720A0" w:rsidRPr="006F251B" w:rsidRDefault="00F720A0" w:rsidP="00F720A0">
      <w:pPr>
        <w:pStyle w:val="mpcbullets2"/>
        <w:keepNext w:val="0"/>
        <w:numPr>
          <w:ilvl w:val="0"/>
          <w:numId w:val="0"/>
        </w:numPr>
        <w:ind w:left="425"/>
      </w:pPr>
    </w:p>
    <w:p w14:paraId="14F49680" w14:textId="25EB6E20" w:rsidR="00F20183" w:rsidRDefault="00372E4A" w:rsidP="00F720A0">
      <w:pPr>
        <w:pStyle w:val="mpcbullets1"/>
        <w:numPr>
          <w:ilvl w:val="0"/>
          <w:numId w:val="0"/>
        </w:numPr>
        <w:ind w:left="360"/>
      </w:pPr>
      <w:r>
        <w:rPr>
          <w:noProof/>
          <w:lang w:eastAsia="en-AU"/>
        </w:rPr>
        <mc:AlternateContent>
          <mc:Choice Requires="wps">
            <w:drawing>
              <wp:anchor distT="0" distB="0" distL="114300" distR="114300" simplePos="0" relativeHeight="251696128" behindDoc="1" locked="0" layoutInCell="1" allowOverlap="1" wp14:anchorId="488E5711" wp14:editId="6D03BC5A">
                <wp:simplePos x="0" y="0"/>
                <wp:positionH relativeFrom="column">
                  <wp:posOffset>230505</wp:posOffset>
                </wp:positionH>
                <wp:positionV relativeFrom="paragraph">
                  <wp:posOffset>2179320</wp:posOffset>
                </wp:positionV>
                <wp:extent cx="5733415" cy="546735"/>
                <wp:effectExtent l="0" t="0" r="0" b="0"/>
                <wp:wrapTight wrapText="bothSides">
                  <wp:wrapPolygon edited="1">
                    <wp:start x="0" y="0"/>
                    <wp:lineTo x="0" y="24719"/>
                    <wp:lineTo x="21600" y="25050"/>
                    <wp:lineTo x="21531" y="0"/>
                    <wp:lineTo x="0" y="0"/>
                  </wp:wrapPolygon>
                </wp:wrapTight>
                <wp:docPr id="47" name="Text Box 47" descr="Figure 2: This illustrates the different graphics found on non-dairy beverages – HSRs are generally displayed for products that score an HSR of 5; otherwise, the energy icon is displayed. The mix of HSR graphics in this category does not support consumer decision making."/>
                <wp:cNvGraphicFramePr/>
                <a:graphic xmlns:a="http://schemas.openxmlformats.org/drawingml/2006/main">
                  <a:graphicData uri="http://schemas.microsoft.com/office/word/2010/wordprocessingShape">
                    <wps:wsp>
                      <wps:cNvSpPr txBox="1"/>
                      <wps:spPr>
                        <a:xfrm>
                          <a:off x="0" y="0"/>
                          <a:ext cx="5733415" cy="546735"/>
                        </a:xfrm>
                        <a:prstGeom prst="rect">
                          <a:avLst/>
                        </a:prstGeom>
                        <a:solidFill>
                          <a:schemeClr val="lt1"/>
                        </a:solidFill>
                        <a:ln w="6350">
                          <a:noFill/>
                        </a:ln>
                      </wps:spPr>
                      <wps:txbx>
                        <w:txbxContent>
                          <w:p w14:paraId="5FBCFCA6" w14:textId="04437915" w:rsidR="00B53139" w:rsidRPr="005711B7" w:rsidRDefault="00B53139" w:rsidP="00560CB6">
                            <w:pPr>
                              <w:pStyle w:val="mpcNormal"/>
                              <w:rPr>
                                <w:sz w:val="20"/>
                              </w:rPr>
                            </w:pPr>
                            <w:r w:rsidRPr="009374A6">
                              <w:rPr>
                                <w:b/>
                                <w:sz w:val="20"/>
                              </w:rPr>
                              <w:t>Figure 2:</w:t>
                            </w:r>
                            <w:r w:rsidRPr="009374A6">
                              <w:rPr>
                                <w:sz w:val="20"/>
                              </w:rPr>
                              <w:t xml:space="preserve"> </w:t>
                            </w:r>
                            <w:r w:rsidRPr="005711B7">
                              <w:rPr>
                                <w:sz w:val="20"/>
                              </w:rPr>
                              <w:t xml:space="preserve">This illustrates the </w:t>
                            </w:r>
                            <w:r>
                              <w:rPr>
                                <w:sz w:val="20"/>
                              </w:rPr>
                              <w:t>different</w:t>
                            </w:r>
                            <w:r w:rsidRPr="005711B7">
                              <w:rPr>
                                <w:sz w:val="20"/>
                              </w:rPr>
                              <w:t xml:space="preserve"> graphics found on </w:t>
                            </w:r>
                            <w:r>
                              <w:rPr>
                                <w:sz w:val="20"/>
                              </w:rPr>
                              <w:t xml:space="preserve">non-dairy </w:t>
                            </w:r>
                            <w:r w:rsidRPr="005711B7">
                              <w:rPr>
                                <w:sz w:val="20"/>
                              </w:rPr>
                              <w:t>beverages – HSRs are generally displayed for products that score an HSR of 5; otherwise, the energy icon is displayed. The mix of HSR graphics in this category does not support consumer decision making.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8E5711" id="Text Box 47" o:spid="_x0000_s1030" type="#_x0000_t202" alt="Figure 2: This illustrates the different graphics found on non-dairy beverages – HSRs are generally displayed for products that score an HSR of 5; otherwise, the energy icon is displayed. The mix of HSR graphics in this category does not support consumer decision making." style="position:absolute;left:0;text-align:left;margin-left:18.15pt;margin-top:171.6pt;width:451.45pt;height:43.0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0 0 0 24719 21600 25050 21531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" fillcolor="white [3201]" stroked="f" strokeweight=".5pt">
                <v:textbox>
                  <w:txbxContent>
                    <w:p w14:paraId="5FBCFCA6" w14:textId="04437915" w:rsidR="00B53139" w:rsidRPr="005711B7" w:rsidRDefault="00B53139" w:rsidP="00560CB6">
                      <w:pPr>
                        <w:pStyle w:val="mpcNormal"/>
                        <w:rPr>
                          <w:sz w:val="20"/>
                        </w:rPr>
                      </w:pPr>
                      <w:r w:rsidRPr="009374A6">
                        <w:rPr>
                          <w:b/>
                          <w:sz w:val="20"/>
                        </w:rPr>
                        <w:t>Figure 2:</w:t>
                      </w:r>
                      <w:r w:rsidRPr="009374A6">
                        <w:rPr>
                          <w:sz w:val="20"/>
                        </w:rPr>
                        <w:t xml:space="preserve"> </w:t>
                      </w:r>
                      <w:r w:rsidRPr="005711B7">
                        <w:rPr>
                          <w:sz w:val="20"/>
                        </w:rPr>
                        <w:t xml:space="preserve">This illustrates the </w:t>
                      </w:r>
                      <w:r>
                        <w:rPr>
                          <w:sz w:val="20"/>
                        </w:rPr>
                        <w:t>different</w:t>
                      </w:r>
                      <w:r w:rsidRPr="005711B7">
                        <w:rPr>
                          <w:sz w:val="20"/>
                        </w:rPr>
                        <w:t xml:space="preserve"> graphics found on </w:t>
                      </w:r>
                      <w:r>
                        <w:rPr>
                          <w:sz w:val="20"/>
                        </w:rPr>
                        <w:t xml:space="preserve">non-dairy </w:t>
                      </w:r>
                      <w:r w:rsidRPr="005711B7">
                        <w:rPr>
                          <w:sz w:val="20"/>
                        </w:rPr>
                        <w:t>beverages – HSRs are generally displayed for products that score an HSR of 5; otherwise, the energy icon is displayed. The mix of HSR graphics in this category does not support consumer decision making.</w:t>
                      </w:r>
                    </w:p>
                  </w:txbxContent>
                </v:textbox>
                <w10:wrap type="tight"/>
              </v:shape>
            </w:pict>
          </mc:Fallback>
        </mc:AlternateContent>
      </w:r>
      <w:r w:rsidRPr="00560CB6">
        <w:rPr>
          <w:noProof/>
          <w:lang w:eastAsia="en-AU"/>
        </w:rPr>
        <w:drawing>
          <wp:inline distT="0" distB="0" distL="0" distR="0" wp14:anchorId="054503FF" wp14:editId="2381E91A">
            <wp:extent cx="5734050" cy="2123440"/>
            <wp:effectExtent l="0" t="0" r="6350" b="0"/>
            <wp:docPr id="57" name="Picture 57" descr="Figure 2: Image of a range of non-dairy beverages lined up such that the use of different graphics is obvious.&#10;&#10;This illustrates the different graphics found on non-dairy beverages – HSRs are generally displayed for products that score an HSR of 5; otherwise, the energy icon is displayed. The mix of HSR graphics in this category does not support consumer decision ma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hqprint">
                      <a:extLst>
                        <a:ext uri="{28A0092B-C50C-407E-A947-70E740481C1C}">
                          <a14:useLocalDpi xmlns:a14="http://schemas.microsoft.com/office/drawing/2010/main" val="0"/>
                        </a:ext>
                      </a:extLst>
                    </a:blip>
                    <a:srcRect l="3333" t="36744" r="3978" b="11419"/>
                    <a:stretch/>
                  </pic:blipFill>
                  <pic:spPr bwMode="auto">
                    <a:xfrm>
                      <a:off x="0" y="0"/>
                      <a:ext cx="5734050" cy="2123440"/>
                    </a:xfrm>
                    <a:prstGeom prst="rect">
                      <a:avLst/>
                    </a:prstGeom>
                    <a:ln>
                      <a:noFill/>
                    </a:ln>
                    <a:extLst>
                      <a:ext uri="{53640926-AAD7-44D8-BBD7-CCE9431645EC}">
                        <a14:shadowObscured xmlns:a14="http://schemas.microsoft.com/office/drawing/2010/main"/>
                      </a:ext>
                    </a:extLst>
                  </pic:spPr>
                </pic:pic>
              </a:graphicData>
            </a:graphic>
          </wp:inline>
        </w:drawing>
      </w:r>
    </w:p>
    <w:p w14:paraId="40E36CF7" w14:textId="4EF9D0B7" w:rsidR="00560CB6" w:rsidRPr="00560CB6" w:rsidRDefault="00DC4980" w:rsidP="00913EE8">
      <w:pPr>
        <w:pStyle w:val="mpcbullets1"/>
        <w:spacing w:before="240"/>
      </w:pPr>
      <w:r>
        <w:t xml:space="preserve">unlike other products, </w:t>
      </w:r>
      <w:r w:rsidR="00560CB6" w:rsidRPr="00560CB6">
        <w:t xml:space="preserve">non-dairy beverages and confectionery can use industry agreed standardised serve sizes to display nutritional and energy </w:t>
      </w:r>
      <w:r w:rsidR="00560CB6">
        <w:t>information, such that it is made even more difficult to compare the energy icon across these products</w:t>
      </w:r>
    </w:p>
    <w:p w14:paraId="32310F36" w14:textId="68FB6058" w:rsidR="00993480" w:rsidRPr="00560CB6" w:rsidRDefault="00993480" w:rsidP="00560CB6">
      <w:pPr>
        <w:pStyle w:val="mpcbullets2"/>
      </w:pPr>
      <w:r w:rsidRPr="00560CB6">
        <w:t>A product’s HSR is based on a 100g or 100mL portion so the stars displayed on a product do not change depending on the portion size</w:t>
      </w:r>
      <w:r w:rsidR="008C5CBA">
        <w:t>. T</w:t>
      </w:r>
      <w:r w:rsidRPr="00560CB6">
        <w:t>his is not the case for the energy icon.</w:t>
      </w:r>
    </w:p>
    <w:p w14:paraId="09CB1A9D" w14:textId="042D7AA8" w:rsidR="00F101DD" w:rsidRPr="00554655" w:rsidRDefault="00372E4A" w:rsidP="005711B7">
      <w:pPr>
        <w:pStyle w:val="mpcbullets2"/>
        <w:keepNext w:val="0"/>
        <w:ind w:left="850"/>
      </w:pPr>
      <w:r w:rsidRPr="00560CB6">
        <w:rPr>
          <w:noProof/>
          <w:highlight w:val="yellow"/>
          <w:lang w:eastAsia="en-AU"/>
        </w:rPr>
        <w:drawing>
          <wp:anchor distT="0" distB="0" distL="114300" distR="114300" simplePos="0" relativeHeight="251682816" behindDoc="0" locked="0" layoutInCell="1" allowOverlap="1" wp14:anchorId="67D47321" wp14:editId="4E3D0ED8">
            <wp:simplePos x="0" y="0"/>
            <wp:positionH relativeFrom="column">
              <wp:posOffset>3740610</wp:posOffset>
            </wp:positionH>
            <wp:positionV relativeFrom="paragraph">
              <wp:posOffset>496570</wp:posOffset>
            </wp:positionV>
            <wp:extent cx="2531110" cy="2369820"/>
            <wp:effectExtent l="0" t="0" r="0" b="5080"/>
            <wp:wrapSquare wrapText="bothSides"/>
            <wp:docPr id="2" name="Picture 2" descr="Image from the HSR System Style Guide showing the three different NRM options for presenting nutrient and energy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531110" cy="2369820"/>
                    </a:xfrm>
                    <a:prstGeom prst="rect">
                      <a:avLst/>
                    </a:prstGeom>
                  </pic:spPr>
                </pic:pic>
              </a:graphicData>
            </a:graphic>
            <wp14:sizeRelH relativeFrom="page">
              <wp14:pctWidth>0</wp14:pctWidth>
            </wp14:sizeRelH>
            <wp14:sizeRelV relativeFrom="page">
              <wp14:pctHeight>0</wp14:pctHeight>
            </wp14:sizeRelV>
          </wp:anchor>
        </w:drawing>
      </w:r>
      <w:r w:rsidR="00993480" w:rsidRPr="00560CB6">
        <w:t>Generally,</w:t>
      </w:r>
      <w:r w:rsidR="00F101DD" w:rsidRPr="00560CB6">
        <w:t xml:space="preserve"> energy and nutrient information </w:t>
      </w:r>
      <w:r w:rsidR="00993480" w:rsidRPr="00560CB6">
        <w:t>are</w:t>
      </w:r>
      <w:r w:rsidR="00F101DD" w:rsidRPr="00560CB6">
        <w:t xml:space="preserve"> presented on a ‘per 100g’ or ‘per 100mL’ basis. Where the product is presented as an individual</w:t>
      </w:r>
      <w:r w:rsidR="00F101DD" w:rsidRPr="00554655">
        <w:t xml:space="preserve"> serve for consumption by one person in a single sitting, </w:t>
      </w:r>
      <w:r w:rsidR="00993480">
        <w:t xml:space="preserve">the </w:t>
      </w:r>
      <w:r w:rsidR="00F101DD" w:rsidRPr="00554655">
        <w:t>energy and nutrient information may be presented on a ‘per 100g/100mL’ basis or on a ‘per pack’ basis</w:t>
      </w:r>
      <w:r w:rsidR="00C8439B">
        <w:t xml:space="preserve"> (see Figure 3)</w:t>
      </w:r>
      <w:r w:rsidR="00F101DD" w:rsidRPr="00554655">
        <w:t>.</w:t>
      </w:r>
    </w:p>
    <w:p w14:paraId="4FC8B50D" w14:textId="4157EA2D" w:rsidR="00F101DD" w:rsidRPr="006F251B" w:rsidRDefault="00372E4A" w:rsidP="00DC4980">
      <w:pPr>
        <w:pStyle w:val="mpcbullets2"/>
        <w:keepNext w:val="0"/>
      </w:pPr>
      <w:r w:rsidRPr="00560CB6">
        <w:rPr>
          <w:noProof/>
          <w:lang w:eastAsia="en-AU"/>
        </w:rPr>
        <mc:AlternateContent>
          <mc:Choice Requires="wps">
            <w:drawing>
              <wp:anchor distT="0" distB="0" distL="114300" distR="114300" simplePos="0" relativeHeight="251687936" behindDoc="0" locked="0" layoutInCell="1" allowOverlap="1" wp14:anchorId="2188D8A2" wp14:editId="176F5CB2">
                <wp:simplePos x="0" y="0"/>
                <wp:positionH relativeFrom="column">
                  <wp:posOffset>5754661</wp:posOffset>
                </wp:positionH>
                <wp:positionV relativeFrom="paragraph">
                  <wp:posOffset>170932</wp:posOffset>
                </wp:positionV>
                <wp:extent cx="298450" cy="172085"/>
                <wp:effectExtent l="12700" t="12700" r="19050" b="18415"/>
                <wp:wrapNone/>
                <wp:docPr id="48" name="Oval 48">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microsoft.com/office/word/2010/wordprocessingShape">
                    <wps:wsp>
                      <wps:cNvSpPr/>
                      <wps:spPr>
                        <a:xfrm>
                          <a:off x="0" y="0"/>
                          <a:ext cx="298450" cy="17208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CC11BFA" id="Oval 48" o:spid="_x0000_s1026" style="position:absolute;margin-left:453.1pt;margin-top:13.45pt;width:23.5pt;height:13.5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" filled="f" strokecolor="red" strokeweight="1.5pt">
                <v:stroke joinstyle="miter"/>
              </v:oval>
            </w:pict>
          </mc:Fallback>
        </mc:AlternateContent>
      </w:r>
      <w:r w:rsidRPr="00560CB6">
        <w:rPr>
          <w:noProof/>
          <w:lang w:eastAsia="en-AU"/>
        </w:rPr>
        <mc:AlternateContent>
          <mc:Choice Requires="wps">
            <w:drawing>
              <wp:anchor distT="0" distB="0" distL="114300" distR="114300" simplePos="0" relativeHeight="251685888" behindDoc="0" locked="0" layoutInCell="1" allowOverlap="1" wp14:anchorId="1FAD369B" wp14:editId="2643E58B">
                <wp:simplePos x="0" y="0"/>
                <wp:positionH relativeFrom="column">
                  <wp:posOffset>5752966</wp:posOffset>
                </wp:positionH>
                <wp:positionV relativeFrom="paragraph">
                  <wp:posOffset>995045</wp:posOffset>
                </wp:positionV>
                <wp:extent cx="298450" cy="160020"/>
                <wp:effectExtent l="12700" t="12700" r="19050" b="17780"/>
                <wp:wrapNone/>
                <wp:docPr id="41" name="Oval 41">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microsoft.com/office/word/2010/wordprocessingShape">
                    <wps:wsp>
                      <wps:cNvSpPr/>
                      <wps:spPr>
                        <a:xfrm>
                          <a:off x="0" y="0"/>
                          <a:ext cx="298450" cy="16002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DB6413C" id="Oval 41" o:spid="_x0000_s1026" style="position:absolute;margin-left:453pt;margin-top:78.35pt;width:23.5pt;height:12.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" filled="f" strokecolor="red" strokeweight="1.5pt">
                <v:stroke joinstyle="miter"/>
              </v:oval>
            </w:pict>
          </mc:Fallback>
        </mc:AlternateContent>
      </w:r>
      <w:r w:rsidR="00F101DD" w:rsidRPr="006F251B">
        <w:t>Where an industry agreed standardised serve sizes exists, products may display the energy and nutrient information on a ‘per 100g/100mL’ basis, a ‘per pack’ basis or a ‘per [serve size]’ basis. Beverages and confectionery are the only products with industry</w:t>
      </w:r>
      <w:r w:rsidR="00180ED0">
        <w:noBreakHyphen/>
      </w:r>
      <w:r w:rsidR="00F101DD" w:rsidRPr="006F251B">
        <w:t xml:space="preserve">agreed standardised serve sizes: </w:t>
      </w:r>
    </w:p>
    <w:p w14:paraId="61D6A084" w14:textId="6F9167BB" w:rsidR="00F101DD" w:rsidRPr="006F251B" w:rsidRDefault="00F101DD" w:rsidP="00F720A0">
      <w:pPr>
        <w:pStyle w:val="mpcbullets3"/>
      </w:pPr>
      <w:r w:rsidRPr="006F251B">
        <w:t xml:space="preserve">for beverages with a product size &gt; 600mL, the serve size is 250mL </w:t>
      </w:r>
    </w:p>
    <w:p w14:paraId="01D8DE45" w14:textId="3238EF91" w:rsidR="00F101DD" w:rsidRPr="006F251B" w:rsidRDefault="00F101DD" w:rsidP="00F720A0">
      <w:pPr>
        <w:pStyle w:val="mpcbullets3"/>
      </w:pPr>
      <w:r w:rsidRPr="006F251B">
        <w:t xml:space="preserve">for beverages with a product size </w:t>
      </w:r>
      <w:r w:rsidRPr="006F251B">
        <w:sym w:font="Symbol" w:char="F0A3"/>
      </w:r>
      <w:r w:rsidRPr="006F251B">
        <w:t xml:space="preserve"> 600mL, the serve size is the entire product</w:t>
      </w:r>
    </w:p>
    <w:p w14:paraId="77D3A945" w14:textId="166C5603" w:rsidR="00F101DD" w:rsidRPr="006F251B" w:rsidRDefault="00372E4A" w:rsidP="00F720A0">
      <w:pPr>
        <w:pStyle w:val="mpcbullets3"/>
      </w:pPr>
      <w:r w:rsidRPr="00560CB6">
        <w:rPr>
          <w:noProof/>
          <w:lang w:eastAsia="en-AU"/>
        </w:rPr>
        <mc:AlternateContent>
          <mc:Choice Requires="wps">
            <w:drawing>
              <wp:anchor distT="0" distB="0" distL="114300" distR="114300" simplePos="0" relativeHeight="251689984" behindDoc="0" locked="0" layoutInCell="1" allowOverlap="1" wp14:anchorId="6DB35150" wp14:editId="15C9C6E9">
                <wp:simplePos x="0" y="0"/>
                <wp:positionH relativeFrom="column">
                  <wp:posOffset>5751195</wp:posOffset>
                </wp:positionH>
                <wp:positionV relativeFrom="paragraph">
                  <wp:posOffset>92844</wp:posOffset>
                </wp:positionV>
                <wp:extent cx="298450" cy="166370"/>
                <wp:effectExtent l="12700" t="12700" r="19050" b="11430"/>
                <wp:wrapNone/>
                <wp:docPr id="49" name="Oval 49">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microsoft.com/office/word/2010/wordprocessingShape">
                    <wps:wsp>
                      <wps:cNvSpPr/>
                      <wps:spPr>
                        <a:xfrm>
                          <a:off x="0" y="0"/>
                          <a:ext cx="298450" cy="16637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89BD8F5" id="Oval 49" o:spid="_x0000_s1026" style="position:absolute;margin-left:452.85pt;margin-top:7.3pt;width:23.5pt;height:13.1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" filled="f" strokecolor="red" strokeweight="1.5pt">
                <v:stroke joinstyle="miter"/>
              </v:oval>
            </w:pict>
          </mc:Fallback>
        </mc:AlternateContent>
      </w:r>
      <w:r w:rsidR="00F101DD" w:rsidRPr="006F251B">
        <w:t>for confectionery the serve size is 25g +/-5g.</w:t>
      </w:r>
    </w:p>
    <w:p w14:paraId="0E11C2B8" w14:textId="2C22B585" w:rsidR="00F101DD" w:rsidRDefault="00372E4A">
      <w:pPr>
        <w:pStyle w:val="mpcbullets2"/>
        <w:keepNext w:val="0"/>
      </w:pPr>
      <w:r w:rsidRPr="00560CB6">
        <w:rPr>
          <w:noProof/>
          <w:lang w:eastAsia="en-AU"/>
        </w:rPr>
        <mc:AlternateContent>
          <mc:Choice Requires="wps">
            <w:drawing>
              <wp:anchor distT="0" distB="0" distL="114300" distR="114300" simplePos="0" relativeHeight="251684864" behindDoc="1" locked="0" layoutInCell="1" allowOverlap="1" wp14:anchorId="28E45151" wp14:editId="42AFCD25">
                <wp:simplePos x="0" y="0"/>
                <wp:positionH relativeFrom="column">
                  <wp:posOffset>3911332</wp:posOffset>
                </wp:positionH>
                <wp:positionV relativeFrom="paragraph">
                  <wp:posOffset>228029</wp:posOffset>
                </wp:positionV>
                <wp:extent cx="2115185" cy="776605"/>
                <wp:effectExtent l="0" t="0" r="5715" b="2540"/>
                <wp:wrapTight wrapText="bothSides">
                  <wp:wrapPolygon edited="1">
                    <wp:start x="-744" y="0"/>
                    <wp:lineTo x="-661" y="21600"/>
                    <wp:lineTo x="21529" y="21194"/>
                    <wp:lineTo x="21529" y="0"/>
                    <wp:lineTo x="-744" y="0"/>
                  </wp:wrapPolygon>
                </wp:wrapTight>
                <wp:docPr id="8" name="Text Box 8" descr="Figure 3: The energy and nutrient information of a product can generally be provided on a 'per 100g', 'per 100mL' or 'per pack' basis."/>
                <wp:cNvGraphicFramePr/>
                <a:graphic xmlns:a="http://schemas.openxmlformats.org/drawingml/2006/main">
                  <a:graphicData uri="http://schemas.microsoft.com/office/word/2010/wordprocessingShape">
                    <wps:wsp>
                      <wps:cNvSpPr txBox="1"/>
                      <wps:spPr>
                        <a:xfrm>
                          <a:off x="0" y="0"/>
                          <a:ext cx="2115185" cy="776605"/>
                        </a:xfrm>
                        <a:prstGeom prst="rect">
                          <a:avLst/>
                        </a:prstGeom>
                        <a:solidFill>
                          <a:prstClr val="white"/>
                        </a:solidFill>
                        <a:ln>
                          <a:noFill/>
                        </a:ln>
                      </wps:spPr>
                      <wps:txbx>
                        <w:txbxContent>
                          <w:p w14:paraId="136A7969" w14:textId="1BAA97ED" w:rsidR="00B53139" w:rsidRPr="00DC778B" w:rsidRDefault="00B53139" w:rsidP="00DC778B">
                            <w:pPr>
                              <w:pStyle w:val="Caption"/>
                              <w:spacing w:before="0" w:after="0" w:line="240" w:lineRule="auto"/>
                              <w:rPr>
                                <w:sz w:val="24"/>
                              </w:rPr>
                            </w:pPr>
                            <w:r w:rsidRPr="00DC778B">
                              <w:rPr>
                                <w:sz w:val="20"/>
                              </w:rPr>
                              <w:t>Figure</w:t>
                            </w:r>
                            <w:r>
                              <w:rPr>
                                <w:sz w:val="20"/>
                              </w:rPr>
                              <w:t xml:space="preserve"> 3</w:t>
                            </w:r>
                            <w:r w:rsidRPr="00DC778B">
                              <w:rPr>
                                <w:sz w:val="20"/>
                              </w:rPr>
                              <w:t xml:space="preserve">: </w:t>
                            </w:r>
                            <w:r w:rsidRPr="00DC778B">
                              <w:rPr>
                                <w:b w:val="0"/>
                                <w:sz w:val="20"/>
                              </w:rPr>
                              <w:t>The energy and nutrient information of a product can generally be provided on a 'per 100g', 'per 100mL' or 'per pack' basis.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E45151" id="Text Box 8" o:spid="_x0000_s1031" type="#_x0000_t202" alt="Figure 3: The energy and nutrient information of a product can generally be provided on a 'per 100g', 'per 100mL' or 'per pack' basis." style="position:absolute;left:0;text-align:left;margin-left:308pt;margin-top:17.95pt;width:166.55pt;height:61.1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750 0 -667 21600 21523 21194 21523 0 -75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" stroked="f">
                <v:textbox inset="0,0,0,0">
                  <w:txbxContent>
                    <w:p w14:paraId="136A7969" w14:textId="1BAA97ED" w:rsidR="00B53139" w:rsidRPr="00DC778B" w:rsidRDefault="00B53139" w:rsidP="00DC778B">
                      <w:pPr>
                        <w:pStyle w:val="Caption"/>
                        <w:spacing w:before="0" w:after="0" w:line="240" w:lineRule="auto"/>
                        <w:rPr>
                          <w:sz w:val="24"/>
                        </w:rPr>
                      </w:pPr>
                      <w:r w:rsidRPr="00DC778B">
                        <w:rPr>
                          <w:sz w:val="20"/>
                        </w:rPr>
                        <w:t>Figure</w:t>
                      </w:r>
                      <w:r>
                        <w:rPr>
                          <w:sz w:val="20"/>
                        </w:rPr>
                        <w:t xml:space="preserve"> 3</w:t>
                      </w:r>
                      <w:r w:rsidRPr="00DC778B">
                        <w:rPr>
                          <w:sz w:val="20"/>
                        </w:rPr>
                        <w:t xml:space="preserve">: </w:t>
                      </w:r>
                      <w:r w:rsidRPr="00DC778B">
                        <w:rPr>
                          <w:b w:val="0"/>
                          <w:sz w:val="20"/>
                        </w:rPr>
                        <w:t>The energy and nutrient information of a product can generally be provided on a 'per 100g', 'per 100mL' or 'per pack' basis.</w:t>
                      </w:r>
                    </w:p>
                  </w:txbxContent>
                </v:textbox>
                <w10:wrap type="tight"/>
              </v:shape>
            </w:pict>
          </mc:Fallback>
        </mc:AlternateContent>
      </w:r>
      <w:r w:rsidR="00F101DD" w:rsidRPr="006F251B">
        <w:t>This means that the energy values displayed on the front of beverage and confection</w:t>
      </w:r>
      <w:r w:rsidR="00F101DD">
        <w:t>e</w:t>
      </w:r>
      <w:r w:rsidR="00F101DD" w:rsidRPr="006F251B">
        <w:t xml:space="preserve">ry products can vary dramatically without there being a significant difference in the nutritional composition of the product. This further reduces the utility of the energy icon to support consumers in making </w:t>
      </w:r>
      <w:r w:rsidR="0097756D">
        <w:t>comparisons between products</w:t>
      </w:r>
      <w:r w:rsidR="0097756D" w:rsidRPr="006F251B">
        <w:t xml:space="preserve"> </w:t>
      </w:r>
      <w:r w:rsidR="00F101DD" w:rsidRPr="006F251B">
        <w:t>in these categories</w:t>
      </w:r>
      <w:r w:rsidR="00EE3B9C">
        <w:t xml:space="preserve"> (see Figure 4)</w:t>
      </w:r>
      <w:r w:rsidR="00F101DD" w:rsidRPr="006F251B">
        <w:t>.</w:t>
      </w:r>
    </w:p>
    <w:p w14:paraId="2FDFD5D3" w14:textId="7FAB6E5C" w:rsidR="00DC4980" w:rsidRDefault="00DC4980" w:rsidP="00DC4980">
      <w:pPr>
        <w:pStyle w:val="mpcbullets2"/>
        <w:keepNext w:val="0"/>
        <w:numPr>
          <w:ilvl w:val="0"/>
          <w:numId w:val="0"/>
        </w:num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3"/>
        <w:gridCol w:w="3163"/>
      </w:tblGrid>
      <w:tr w:rsidR="00DC4980" w14:paraId="1B9A02AE" w14:textId="77777777" w:rsidTr="00DC4980">
        <w:tc>
          <w:tcPr>
            <w:tcW w:w="6196" w:type="dxa"/>
          </w:tcPr>
          <w:p w14:paraId="274CA4F4" w14:textId="77777777" w:rsidR="00DC4980" w:rsidRPr="00DC4980" w:rsidRDefault="00DC4980" w:rsidP="00DC4980">
            <w:pPr>
              <w:pStyle w:val="mpcNormal"/>
              <w:keepNext w:val="0"/>
              <w:rPr>
                <w:sz w:val="11"/>
              </w:rPr>
            </w:pPr>
            <w:r w:rsidRPr="00DC4980">
              <w:rPr>
                <w:noProof/>
                <w:sz w:val="11"/>
                <w:lang w:eastAsia="en-AU"/>
              </w:rPr>
              <w:drawing>
                <wp:anchor distT="0" distB="0" distL="114300" distR="114300" simplePos="0" relativeHeight="251699200" behindDoc="0" locked="0" layoutInCell="1" allowOverlap="1" wp14:anchorId="77D06489" wp14:editId="319C00D0">
                  <wp:simplePos x="0" y="0"/>
                  <wp:positionH relativeFrom="column">
                    <wp:posOffset>-6350</wp:posOffset>
                  </wp:positionH>
                  <wp:positionV relativeFrom="paragraph">
                    <wp:posOffset>17780</wp:posOffset>
                  </wp:positionV>
                  <wp:extent cx="4043045" cy="2884170"/>
                  <wp:effectExtent l="0" t="0" r="0" b="0"/>
                  <wp:wrapSquare wrapText="bothSides"/>
                  <wp:docPr id="58" name="Picture 58" descr="Figure 4: Image of six different confectionery-like items displaying the energy icon, showing the different serve sizes used within this category of foods.&#10;&#10;Berry &amp; Coconut bar displays an HSR of 5; Bounty displays the energy icon based on a serve size of ‘one piece’ (28.5g) showing 592kJ; Kit-Kat displays the energy icon based on a serve size of ‘two fingers’ (22.5g) showing 490kJ; Turkish Delight displays the energy icon based on a serve size of ‘one bar’ (55g) showing 868kJ; Twirl displays the energy icon based on a serve size of ‘one stick’ (19.5g) showing 438kJ; and Nutella with breadsticks displays the energy icon based on a serve size of 48g showing 1012kJ. However, the Review considers it likely all of these items would be consumed as a single s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hqprint">
                            <a:extLst>
                              <a:ext uri="{28A0092B-C50C-407E-A947-70E740481C1C}">
                                <a14:useLocalDpi xmlns:a14="http://schemas.microsoft.com/office/drawing/2010/main" val="0"/>
                              </a:ext>
                            </a:extLst>
                          </a:blip>
                          <a:srcRect l="3007" t="1974" r="5987"/>
                          <a:stretch/>
                        </pic:blipFill>
                        <pic:spPr bwMode="auto">
                          <a:xfrm>
                            <a:off x="0" y="0"/>
                            <a:ext cx="4043045" cy="2884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520" w:type="dxa"/>
          </w:tcPr>
          <w:p w14:paraId="4260EE12" w14:textId="62DB3BF5" w:rsidR="00DC4980" w:rsidRPr="00654C50" w:rsidRDefault="00DC4980" w:rsidP="00DC4980">
            <w:pPr>
              <w:pStyle w:val="mpcNormal"/>
              <w:keepNext w:val="0"/>
            </w:pPr>
            <w:r w:rsidRPr="00DC778B">
              <w:rPr>
                <w:b/>
                <w:sz w:val="20"/>
              </w:rPr>
              <w:t xml:space="preserve">Figure </w:t>
            </w:r>
            <w:r w:rsidR="00357932">
              <w:rPr>
                <w:b/>
                <w:sz w:val="20"/>
              </w:rPr>
              <w:t>4</w:t>
            </w:r>
            <w:r w:rsidRPr="00DC778B">
              <w:rPr>
                <w:b/>
                <w:sz w:val="20"/>
              </w:rPr>
              <w:t>:</w:t>
            </w:r>
            <w:r w:rsidRPr="00DC778B">
              <w:rPr>
                <w:sz w:val="20"/>
              </w:rPr>
              <w:t xml:space="preserve"> Berry &amp; Coconut bar displays an HSR of 5; Bounty displays the energy icon based on a serve size of ‘one piece’ (28.5g) showing 592kJ; Kit-Kat displays the energy icon based on a serve size of ‘two fingers’ (22.5g) showing 490kJ; Turkish Delight displays the energy icon based on a serve size of ‘one bar’ (55g) showing 868kJ; Twirl displays the energy icon based on a serve size of ‘one stick’ (19.5g) showing 438kJ; and Nutella with breadsticks displays the energy icon based on a serve size of 48g showing 1012kJ. </w:t>
            </w:r>
            <w:r>
              <w:rPr>
                <w:sz w:val="20"/>
              </w:rPr>
              <w:t>However, the Review considers it likely all of these items would be consumed as a single serve.</w:t>
            </w:r>
            <w:r>
              <w:rPr>
                <w:rStyle w:val="FootnoteReference"/>
              </w:rPr>
              <w:footnoteReference w:id="38"/>
            </w:r>
            <w:r w:rsidRPr="00DC778B">
              <w:rPr>
                <w:sz w:val="20"/>
                <w:vertAlign w:val="superscript"/>
              </w:rPr>
              <w:t>,</w:t>
            </w:r>
            <w:r>
              <w:rPr>
                <w:rStyle w:val="FootnoteReference"/>
              </w:rPr>
              <w:footnoteReference w:id="39"/>
            </w:r>
          </w:p>
        </w:tc>
      </w:tr>
    </w:tbl>
    <w:p w14:paraId="745FA895" w14:textId="77777777" w:rsidR="00DC4980" w:rsidRDefault="00DC4980" w:rsidP="00F720A0">
      <w:pPr>
        <w:pStyle w:val="mpcbullets1"/>
        <w:numPr>
          <w:ilvl w:val="0"/>
          <w:numId w:val="0"/>
        </w:numPr>
        <w:ind w:left="360"/>
      </w:pPr>
    </w:p>
    <w:p w14:paraId="44A0D69A" w14:textId="535645CE" w:rsidR="00F101DD" w:rsidRDefault="00F101DD" w:rsidP="00F720A0">
      <w:pPr>
        <w:pStyle w:val="mpcbullets1"/>
      </w:pPr>
      <w:r w:rsidRPr="00554655">
        <w:t>campaigns and promotion</w:t>
      </w:r>
      <w:r>
        <w:t>al</w:t>
      </w:r>
      <w:r w:rsidRPr="00554655">
        <w:t xml:space="preserve"> materials </w:t>
      </w:r>
      <w:r>
        <w:t>regarding</w:t>
      </w:r>
      <w:r w:rsidRPr="00554655">
        <w:t xml:space="preserve"> the HSR System </w:t>
      </w:r>
      <w:r>
        <w:t>focus on</w:t>
      </w:r>
      <w:r w:rsidRPr="00554655">
        <w:t xml:space="preserve"> reco</w:t>
      </w:r>
      <w:r>
        <w:t>gnising</w:t>
      </w:r>
      <w:r w:rsidRPr="00554655">
        <w:t xml:space="preserve"> and unde</w:t>
      </w:r>
      <w:r>
        <w:t xml:space="preserve">rstanding </w:t>
      </w:r>
      <w:r w:rsidRPr="00554655">
        <w:t>how to use the stars. Few stake</w:t>
      </w:r>
      <w:r>
        <w:t xml:space="preserve">holders </w:t>
      </w:r>
      <w:r w:rsidRPr="00554655">
        <w:t>re</w:t>
      </w:r>
      <w:r>
        <w:t xml:space="preserve">cognise </w:t>
      </w:r>
      <w:r w:rsidRPr="00554655">
        <w:t>th</w:t>
      </w:r>
      <w:r>
        <w:t>e</w:t>
      </w:r>
      <w:r w:rsidRPr="00554655">
        <w:t xml:space="preserve"> e</w:t>
      </w:r>
      <w:r>
        <w:t>nergy</w:t>
      </w:r>
      <w:r w:rsidRPr="00554655">
        <w:t xml:space="preserve"> icon as </w:t>
      </w:r>
      <w:r w:rsidR="008C5CBA">
        <w:t>an alternative to the stars</w:t>
      </w:r>
      <w:r w:rsidRPr="00554655">
        <w:t xml:space="preserve">. </w:t>
      </w:r>
    </w:p>
    <w:p w14:paraId="6955BE5D" w14:textId="5AA60FE4" w:rsidR="00F101DD" w:rsidRDefault="00F101DD" w:rsidP="00DC778B">
      <w:pPr>
        <w:pStyle w:val="mpcbullets2"/>
        <w:keepNext w:val="0"/>
      </w:pPr>
      <w:r>
        <w:t>Some industry stakeholders have</w:t>
      </w:r>
      <w:r w:rsidRPr="00554655">
        <w:t xml:space="preserve"> suggested the e</w:t>
      </w:r>
      <w:r>
        <w:t>nergy</w:t>
      </w:r>
      <w:r w:rsidRPr="00554655">
        <w:t xml:space="preserve"> icon could be better promoted as part of the HSR System and have offered to contribute to b</w:t>
      </w:r>
      <w:r>
        <w:t>uilding</w:t>
      </w:r>
      <w:r w:rsidRPr="00554655">
        <w:t xml:space="preserve"> awareness around the ene</w:t>
      </w:r>
      <w:r>
        <w:t>rgy</w:t>
      </w:r>
      <w:r w:rsidRPr="00554655">
        <w:t xml:space="preserve"> icon. </w:t>
      </w:r>
    </w:p>
    <w:p w14:paraId="1974EF9F" w14:textId="6640EF8C" w:rsidR="00F101DD" w:rsidRDefault="00F101DD" w:rsidP="00DC778B">
      <w:pPr>
        <w:pStyle w:val="mpcbullets2"/>
        <w:keepNext w:val="0"/>
      </w:pPr>
      <w:r w:rsidRPr="00554655">
        <w:t>The Review doe</w:t>
      </w:r>
      <w:r>
        <w:t>s</w:t>
      </w:r>
      <w:r w:rsidRPr="00554655">
        <w:t xml:space="preserve"> not cons</w:t>
      </w:r>
      <w:r>
        <w:t xml:space="preserve">ider </w:t>
      </w:r>
      <w:r w:rsidRPr="00554655">
        <w:t xml:space="preserve">it viable to promote both the stars and the energy icon </w:t>
      </w:r>
      <w:r>
        <w:t xml:space="preserve">as part of the HSR System </w:t>
      </w:r>
      <w:r w:rsidRPr="00554655">
        <w:t xml:space="preserve">and explain to consumers when they should look for one graphic or another. </w:t>
      </w:r>
    </w:p>
    <w:p w14:paraId="36196793" w14:textId="4A55B460" w:rsidR="00F101DD" w:rsidRDefault="00F101DD" w:rsidP="00DC778B">
      <w:pPr>
        <w:pStyle w:val="mpcbullets2"/>
        <w:keepNext w:val="0"/>
      </w:pPr>
      <w:r>
        <w:t>I</w:t>
      </w:r>
      <w:r w:rsidRPr="00554655">
        <w:t>t is n</w:t>
      </w:r>
      <w:r>
        <w:t>ot</w:t>
      </w:r>
      <w:r w:rsidRPr="00554655">
        <w:t xml:space="preserve"> clear what message would b</w:t>
      </w:r>
      <w:r>
        <w:t xml:space="preserve">e communicated </w:t>
      </w:r>
      <w:r w:rsidRPr="00554655">
        <w:t>to consumers about</w:t>
      </w:r>
      <w:r>
        <w:t xml:space="preserve"> the</w:t>
      </w:r>
      <w:r w:rsidRPr="00554655">
        <w:t xml:space="preserve"> energy value they shoul</w:t>
      </w:r>
      <w:r>
        <w:t>d</w:t>
      </w:r>
      <w:r w:rsidRPr="00554655">
        <w:t xml:space="preserve"> </w:t>
      </w:r>
      <w:r>
        <w:t>seek for different products. While s</w:t>
      </w:r>
      <w:r w:rsidRPr="00D403A3">
        <w:t>ome stakeholders have suggested that consumers could be encouraged to look across a range of products and select the lowest energy product</w:t>
      </w:r>
      <w:r>
        <w:t xml:space="preserve">, the Review does not consider this </w:t>
      </w:r>
      <w:r w:rsidR="000C64AF">
        <w:t>feasible</w:t>
      </w:r>
      <w:r>
        <w:t xml:space="preserve"> in a </w:t>
      </w:r>
      <w:r w:rsidRPr="00D403A3">
        <w:t xml:space="preserve">supermarket </w:t>
      </w:r>
      <w:r>
        <w:t xml:space="preserve">setting </w:t>
      </w:r>
      <w:r w:rsidRPr="00D403A3">
        <w:t>whe</w:t>
      </w:r>
      <w:r w:rsidR="0097756D">
        <w:t>re</w:t>
      </w:r>
      <w:r w:rsidRPr="00D403A3">
        <w:t xml:space="preserve"> consumers are selecting </w:t>
      </w:r>
      <w:r>
        <w:t>many i</w:t>
      </w:r>
      <w:r w:rsidRPr="00D403A3">
        <w:t>ndividual products</w:t>
      </w:r>
      <w:r>
        <w:t xml:space="preserve"> </w:t>
      </w:r>
      <w:r w:rsidR="0097756D">
        <w:t>and when the unit sizes being compared can differ markedly</w:t>
      </w:r>
      <w:r w:rsidRPr="00D403A3">
        <w:t xml:space="preserve">. </w:t>
      </w:r>
      <w:r w:rsidR="00752513">
        <w:t>W</w:t>
      </w:r>
      <w:r w:rsidRPr="00D403A3">
        <w:t>hile sugar and energy are signif</w:t>
      </w:r>
      <w:r>
        <w:t xml:space="preserve">icant </w:t>
      </w:r>
      <w:r w:rsidRPr="00D403A3">
        <w:t>drive</w:t>
      </w:r>
      <w:r>
        <w:t>r</w:t>
      </w:r>
      <w:r w:rsidRPr="00D403A3">
        <w:t>s of the HSR in confection</w:t>
      </w:r>
      <w:r>
        <w:t>e</w:t>
      </w:r>
      <w:r w:rsidRPr="00D403A3">
        <w:t>ry</w:t>
      </w:r>
      <w:r w:rsidR="00752513">
        <w:t xml:space="preserve"> and non-dairy beverages</w:t>
      </w:r>
      <w:r w:rsidRPr="00D403A3">
        <w:t xml:space="preserve">, </w:t>
      </w:r>
      <w:r w:rsidR="00752513">
        <w:t xml:space="preserve">the energy icon does not consider other important </w:t>
      </w:r>
      <w:r w:rsidR="000B2F42">
        <w:t>components</w:t>
      </w:r>
      <w:r w:rsidR="00752513">
        <w:t xml:space="preserve"> of</w:t>
      </w:r>
      <w:r w:rsidR="000B2F42">
        <w:t xml:space="preserve"> the products</w:t>
      </w:r>
      <w:r w:rsidR="00752513">
        <w:t xml:space="preserve"> </w:t>
      </w:r>
      <w:r w:rsidR="000B2F42">
        <w:t>(</w:t>
      </w:r>
      <w:r w:rsidR="00752513">
        <w:t xml:space="preserve">for example, </w:t>
      </w:r>
      <w:r w:rsidRPr="00D403A3">
        <w:t>saturated fat is also relevant</w:t>
      </w:r>
      <w:r w:rsidR="00752513">
        <w:t xml:space="preserve"> </w:t>
      </w:r>
      <w:r w:rsidRPr="00D403A3">
        <w:t>for chocolate-based confec</w:t>
      </w:r>
      <w:r>
        <w:t>tionery</w:t>
      </w:r>
      <w:r w:rsidR="00752513">
        <w:t>)</w:t>
      </w:r>
      <w:r>
        <w:t xml:space="preserve">. </w:t>
      </w:r>
      <w:r w:rsidRPr="00D403A3">
        <w:t xml:space="preserve">  </w:t>
      </w:r>
    </w:p>
    <w:p w14:paraId="6484DB31" w14:textId="4FFF16B2" w:rsidR="009D7C9F" w:rsidRDefault="009D7C9F" w:rsidP="005A3631">
      <w:pPr>
        <w:pStyle w:val="mpcbullets2"/>
        <w:keepNext w:val="0"/>
      </w:pPr>
      <w:r>
        <w:t>The energy icon is also easily confused with the DIG implemented by industry in 2006.</w:t>
      </w:r>
    </w:p>
    <w:p w14:paraId="07A750D1" w14:textId="77777777" w:rsidR="00F101DD" w:rsidRPr="00D403A3" w:rsidRDefault="00F101DD" w:rsidP="00DC778B">
      <w:pPr>
        <w:pStyle w:val="mpcNormal"/>
        <w:keepNext w:val="0"/>
      </w:pPr>
    </w:p>
    <w:p w14:paraId="705057DF" w14:textId="06FA6014" w:rsidR="00633485" w:rsidRDefault="00633485" w:rsidP="00DC778B">
      <w:pPr>
        <w:pStyle w:val="mpcNormal"/>
        <w:keepNext w:val="0"/>
      </w:pPr>
      <w:r>
        <w:t>The stars are easily recognised as the HSR System and provide interpretive information that is able to be easily and quickly compared across products by consumers as they shop. It is logical that all products using the HSR System display the stars.</w:t>
      </w:r>
    </w:p>
    <w:p w14:paraId="554808D6" w14:textId="77777777" w:rsidR="00633485" w:rsidRDefault="00633485" w:rsidP="00DC4980">
      <w:pPr>
        <w:pStyle w:val="mpcNormal"/>
        <w:keepNext w:val="0"/>
      </w:pPr>
    </w:p>
    <w:p w14:paraId="26E15898" w14:textId="17693B4E" w:rsidR="004C4894" w:rsidRDefault="004C4894" w:rsidP="00DC4980">
      <w:pPr>
        <w:pStyle w:val="mpcNormal"/>
        <w:keepNext w:val="0"/>
      </w:pPr>
      <w:r w:rsidRPr="006F251B">
        <w:t>The confection</w:t>
      </w:r>
      <w:r>
        <w:t>e</w:t>
      </w:r>
      <w:r w:rsidRPr="006F251B">
        <w:t>ry industry has noted that confection</w:t>
      </w:r>
      <w:r>
        <w:t>e</w:t>
      </w:r>
      <w:r w:rsidRPr="006F251B">
        <w:t xml:space="preserve">ry is a treat food and </w:t>
      </w:r>
      <w:r>
        <w:t>contributes</w:t>
      </w:r>
      <w:r w:rsidRPr="006F251B">
        <w:t xml:space="preserve"> a small amount of total dietary energy </w:t>
      </w:r>
      <w:r>
        <w:t xml:space="preserve">to Australian diets </w:t>
      </w:r>
      <w:r w:rsidRPr="006F251B">
        <w:t>(</w:t>
      </w:r>
      <w:r>
        <w:t xml:space="preserve">between </w:t>
      </w:r>
      <w:r w:rsidRPr="006F251B">
        <w:t>2</w:t>
      </w:r>
      <w:r>
        <w:t xml:space="preserve"> to </w:t>
      </w:r>
      <w:r w:rsidRPr="006F251B">
        <w:t>3%).</w:t>
      </w:r>
      <w:r>
        <w:t xml:space="preserve"> </w:t>
      </w:r>
      <w:r w:rsidR="00A84FB4">
        <w:t>A</w:t>
      </w:r>
      <w:r w:rsidR="00F101DD" w:rsidRPr="00D42DD2">
        <w:t>rgume</w:t>
      </w:r>
      <w:r w:rsidR="00F101DD">
        <w:t>n</w:t>
      </w:r>
      <w:r w:rsidR="00F101DD" w:rsidRPr="00D42DD2">
        <w:t>ts have been made</w:t>
      </w:r>
      <w:r w:rsidR="00F101DD">
        <w:t xml:space="preserve"> </w:t>
      </w:r>
      <w:r w:rsidR="00F101DD" w:rsidRPr="00D42DD2">
        <w:t>by industry that Opt</w:t>
      </w:r>
      <w:r w:rsidR="00F101DD">
        <w:t>i</w:t>
      </w:r>
      <w:r w:rsidR="00F101DD" w:rsidRPr="00D42DD2">
        <w:t>on 5 is nec</w:t>
      </w:r>
      <w:r w:rsidR="00F101DD">
        <w:t>es</w:t>
      </w:r>
      <w:r w:rsidR="00F101DD" w:rsidRPr="00D42DD2">
        <w:t>sary for flexibility, to align with other messaging inclu</w:t>
      </w:r>
      <w:r w:rsidR="00F101DD">
        <w:t>d</w:t>
      </w:r>
      <w:r w:rsidR="00F101DD" w:rsidRPr="00D42DD2">
        <w:t>ing th</w:t>
      </w:r>
      <w:r w:rsidR="00F101DD">
        <w:t>e</w:t>
      </w:r>
      <w:r w:rsidR="00F101DD" w:rsidRPr="00D42DD2">
        <w:t xml:space="preserve"> </w:t>
      </w:r>
      <w:r w:rsidR="00F101DD">
        <w:t>‘</w:t>
      </w:r>
      <w:r w:rsidR="00F101DD" w:rsidRPr="00D42DD2">
        <w:t>Tre</w:t>
      </w:r>
      <w:r w:rsidR="00F101DD">
        <w:t>a</w:t>
      </w:r>
      <w:r w:rsidR="00F101DD" w:rsidRPr="00D42DD2">
        <w:t>t</w:t>
      </w:r>
      <w:r w:rsidR="00F101DD">
        <w:t>w</w:t>
      </w:r>
      <w:r w:rsidR="00F101DD" w:rsidRPr="00D42DD2">
        <w:t>ise</w:t>
      </w:r>
      <w:r w:rsidR="00F101DD">
        <w:t>’</w:t>
      </w:r>
      <w:r w:rsidR="00F101DD" w:rsidRPr="00D42DD2">
        <w:t xml:space="preserve"> campa</w:t>
      </w:r>
      <w:r w:rsidR="00F101DD">
        <w:t xml:space="preserve">ign </w:t>
      </w:r>
      <w:r w:rsidR="00F101DD" w:rsidRPr="00D42DD2">
        <w:t xml:space="preserve">and </w:t>
      </w:r>
      <w:r w:rsidR="002801A0">
        <w:t>to accommodate</w:t>
      </w:r>
      <w:r w:rsidR="00F101DD" w:rsidRPr="00D42DD2">
        <w:t xml:space="preserve"> small pack sizes. However, confection</w:t>
      </w:r>
      <w:r w:rsidR="00F101DD">
        <w:t>e</w:t>
      </w:r>
      <w:r w:rsidR="00F101DD" w:rsidRPr="00D42DD2">
        <w:t xml:space="preserve">ry is not unique in terms of being a </w:t>
      </w:r>
      <w:r w:rsidR="00A84FB4">
        <w:t>‘</w:t>
      </w:r>
      <w:r w:rsidR="00F101DD">
        <w:t xml:space="preserve">treat’ or </w:t>
      </w:r>
      <w:r w:rsidR="00A84FB4">
        <w:t xml:space="preserve">a </w:t>
      </w:r>
      <w:r w:rsidR="00F101DD">
        <w:t xml:space="preserve">discretionary </w:t>
      </w:r>
      <w:r w:rsidR="00A84FB4" w:rsidRPr="004C4894">
        <w:t xml:space="preserve">food </w:t>
      </w:r>
      <w:r w:rsidR="00F101DD" w:rsidRPr="004C4894">
        <w:t xml:space="preserve">(noting that other foods such as chips, cakes and sweet biscuits generally </w:t>
      </w:r>
      <w:r w:rsidR="00A84FB4" w:rsidRPr="004C4894">
        <w:t>do not use</w:t>
      </w:r>
      <w:r w:rsidR="00F101DD" w:rsidRPr="004C4894">
        <w:t xml:space="preserve"> the energy icon)</w:t>
      </w:r>
      <w:r>
        <w:t xml:space="preserve"> and t</w:t>
      </w:r>
      <w:r w:rsidRPr="004C4894">
        <w:t xml:space="preserve">he removal of </w:t>
      </w:r>
      <w:r>
        <w:t>Option 5</w:t>
      </w:r>
      <w:r w:rsidRPr="004C4894">
        <w:t xml:space="preserve"> from the HSR System does not preclude manufacturers from displaying the recommended portion size on the front of packaging for confectionery products.</w:t>
      </w:r>
      <w:r>
        <w:t xml:space="preserve"> </w:t>
      </w:r>
    </w:p>
    <w:p w14:paraId="4BD2BCE2" w14:textId="77777777" w:rsidR="004C4894" w:rsidRDefault="004C4894" w:rsidP="00DC4980">
      <w:pPr>
        <w:pStyle w:val="mpcNormal"/>
        <w:keepNext w:val="0"/>
      </w:pPr>
    </w:p>
    <w:p w14:paraId="38D4104F" w14:textId="2A9A8247" w:rsidR="00F101DD" w:rsidRPr="004C4894" w:rsidRDefault="00F101DD" w:rsidP="00DC4980">
      <w:pPr>
        <w:pStyle w:val="mpcNormal"/>
        <w:keepNext w:val="0"/>
      </w:pPr>
      <w:r w:rsidRPr="004C4894">
        <w:t xml:space="preserve">As demonstrated by the </w:t>
      </w:r>
      <w:r w:rsidR="00C9086B" w:rsidRPr="004C4894">
        <w:t>Figure 4</w:t>
      </w:r>
      <w:r w:rsidRPr="004C4894">
        <w:t xml:space="preserve">, </w:t>
      </w:r>
      <w:r w:rsidR="00DC778B" w:rsidRPr="004C4894">
        <w:t xml:space="preserve">the Review does not consider that </w:t>
      </w:r>
      <w:r w:rsidRPr="004C4894">
        <w:t xml:space="preserve">the energy icon </w:t>
      </w:r>
      <w:r w:rsidR="00633485" w:rsidRPr="004C4894">
        <w:t xml:space="preserve">and use of </w:t>
      </w:r>
      <w:r w:rsidR="004C4894" w:rsidRPr="004C4894">
        <w:t xml:space="preserve">industry standardised serve sizes </w:t>
      </w:r>
      <w:r w:rsidRPr="004C4894">
        <w:t>enable consumers to compare products in any meaningful way.</w:t>
      </w:r>
    </w:p>
    <w:p w14:paraId="18A3A4F9" w14:textId="58FC9AEE" w:rsidR="00180ED0" w:rsidRPr="004C4894" w:rsidRDefault="00180ED0" w:rsidP="00DC4980">
      <w:pPr>
        <w:pStyle w:val="mpcNormal"/>
        <w:keepNext w:val="0"/>
      </w:pPr>
    </w:p>
    <w:p w14:paraId="08E23AC9" w14:textId="16C2D288" w:rsidR="002801A0" w:rsidRDefault="00C9086B" w:rsidP="004C4894">
      <w:pPr>
        <w:pStyle w:val="mpcNormal"/>
        <w:keepNext w:val="0"/>
      </w:pPr>
      <w:r w:rsidRPr="004C4894">
        <w:t xml:space="preserve">While the Review considers the </w:t>
      </w:r>
      <w:r w:rsidR="004C4894">
        <w:t xml:space="preserve">presentation of energy and nutrient information </w:t>
      </w:r>
      <w:r w:rsidRPr="004C4894">
        <w:t xml:space="preserve">based on pack </w:t>
      </w:r>
      <w:r w:rsidR="004C4894">
        <w:t xml:space="preserve">(where </w:t>
      </w:r>
      <w:r w:rsidR="004C4894" w:rsidRPr="00560CB6">
        <w:t>the product is presented as an individual</w:t>
      </w:r>
      <w:r w:rsidR="004C4894" w:rsidRPr="00554655">
        <w:t xml:space="preserve"> serve for consumption by one person in a single sitting</w:t>
      </w:r>
      <w:r w:rsidR="004C4894">
        <w:t xml:space="preserve">) may be useful to consumers, </w:t>
      </w:r>
      <w:r w:rsidRPr="004C4894">
        <w:t xml:space="preserve">it is essential </w:t>
      </w:r>
      <w:r w:rsidR="008C5CBA">
        <w:t xml:space="preserve">this information is </w:t>
      </w:r>
      <w:r w:rsidRPr="004C4894">
        <w:t>accompanied by the stars</w:t>
      </w:r>
      <w:r w:rsidR="0030513A">
        <w:t>.</w:t>
      </w:r>
    </w:p>
    <w:p w14:paraId="52F994D6" w14:textId="651B3A44" w:rsidR="00F904AA" w:rsidRPr="00CC1ADD" w:rsidRDefault="00F904AA" w:rsidP="00DC4980">
      <w:pPr>
        <w:pStyle w:val="mpcNormal"/>
        <w:keepNext w:val="0"/>
      </w:pPr>
    </w:p>
    <w:p w14:paraId="13BB1AC8" w14:textId="4BCFAE3B" w:rsidR="00B36208" w:rsidRPr="00CC1ADD" w:rsidRDefault="00B36208">
      <w:pPr>
        <w:pStyle w:val="mpcheading1"/>
      </w:pPr>
      <w:r w:rsidRPr="00CC1ADD">
        <w:br w:type="column"/>
      </w:r>
      <w:bookmarkStart w:id="81" w:name="Chapter4"/>
      <w:bookmarkStart w:id="82" w:name="_Toc1746492"/>
      <w:bookmarkEnd w:id="81"/>
      <w:r w:rsidRPr="00CC1ADD">
        <w:t>Chapter 4 – Promotion of the Health Star Rating System</w:t>
      </w:r>
      <w:bookmarkEnd w:id="82"/>
      <w:r w:rsidRPr="00CC1ADD">
        <w:t xml:space="preserve"> </w:t>
      </w:r>
    </w:p>
    <w:p w14:paraId="0BFF1D16" w14:textId="77777777" w:rsidR="00B36208" w:rsidRPr="00CC1ADD" w:rsidRDefault="00B36208">
      <w:pPr>
        <w:pStyle w:val="mpcheading2"/>
      </w:pPr>
      <w:bookmarkStart w:id="83" w:name="Summary4"/>
      <w:bookmarkStart w:id="84" w:name="_Toc1746493"/>
      <w:bookmarkEnd w:id="83"/>
      <w:r w:rsidRPr="00CC1ADD">
        <w:t>Summary</w:t>
      </w:r>
      <w:bookmarkEnd w:id="84"/>
    </w:p>
    <w:p w14:paraId="37E6851A" w14:textId="77777777" w:rsidR="00B36208" w:rsidRPr="00CC1ADD" w:rsidRDefault="00B36208" w:rsidP="002C3CBC">
      <w:pPr>
        <w:pStyle w:val="mpcNormal"/>
        <w:keepNext w:val="0"/>
      </w:pPr>
      <w:r w:rsidRPr="00CC1ADD">
        <w:t>There was limited promotional support when the HSR System was first implemented in June 2014. Since this time, a wide range of campaigns and other resources have been launched – some funded by the FRSC (formal campaigns in Australia and New Zealand), some implemented by jurisdictions and some led by industry and public health educators. These have included print and online advertisements and information, in-store advertisements, social media communications and an information phoneline and email address.</w:t>
      </w:r>
    </w:p>
    <w:p w14:paraId="218CFF6D" w14:textId="77777777" w:rsidR="00B36208" w:rsidRPr="00CC1ADD" w:rsidRDefault="00B36208" w:rsidP="002C3CBC">
      <w:pPr>
        <w:pStyle w:val="mpcNormal"/>
        <w:keepNext w:val="0"/>
      </w:pPr>
    </w:p>
    <w:p w14:paraId="392FCF4A" w14:textId="457866FB" w:rsidR="00B36208" w:rsidRPr="00CC1ADD" w:rsidRDefault="00B36208" w:rsidP="002C3CBC">
      <w:pPr>
        <w:pStyle w:val="mpcNormal"/>
        <w:keepNext w:val="0"/>
      </w:pPr>
      <w:r w:rsidRPr="00CC1ADD">
        <w:t xml:space="preserve">The formal HSR System campaigns have been evaluated at regular intervals with the results published and used to inform subsequent HSR System messaging. </w:t>
      </w:r>
      <w:r w:rsidR="00CF0666">
        <w:rPr>
          <w:rFonts w:cstheme="minorBidi"/>
        </w:rPr>
        <w:t xml:space="preserve">The results of </w:t>
      </w:r>
      <w:r w:rsidR="00CF0666" w:rsidRPr="00CC1ADD">
        <w:rPr>
          <w:rFonts w:cstheme="minorBidi"/>
        </w:rPr>
        <w:t>HSR System campaign evaluations</w:t>
      </w:r>
      <w:r w:rsidR="00CF0666">
        <w:rPr>
          <w:rFonts w:cstheme="minorBidi"/>
        </w:rPr>
        <w:t xml:space="preserve"> </w:t>
      </w:r>
      <w:r w:rsidR="00CF0666" w:rsidRPr="00CC1ADD">
        <w:rPr>
          <w:rFonts w:cstheme="minorBidi"/>
        </w:rPr>
        <w:t xml:space="preserve">are available on the </w:t>
      </w:r>
      <w:hyperlink r:id="rId43" w:history="1">
        <w:r w:rsidR="00CF0666" w:rsidRPr="00063F3C">
          <w:rPr>
            <w:rStyle w:val="Hyperlink"/>
            <w:rFonts w:cstheme="minorBidi"/>
          </w:rPr>
          <w:t>HSR System website</w:t>
        </w:r>
      </w:hyperlink>
      <w:r w:rsidR="00CF0666">
        <w:rPr>
          <w:rFonts w:cstheme="minorBidi"/>
        </w:rPr>
        <w:t xml:space="preserve">. </w:t>
      </w:r>
      <w:r w:rsidRPr="00CC1ADD">
        <w:t>Overall, these evaluations found that the campaigns were well structured to suit the initial implementation of the HSR System. The evaluations also identified areas where consumer responses highlighted gaps in knowledge or understanding and assisted in setting the direction for subsequent phases of the campaigns.</w:t>
      </w:r>
    </w:p>
    <w:p w14:paraId="7A3029CA" w14:textId="77777777" w:rsidR="00B36208" w:rsidRPr="00CC1ADD" w:rsidRDefault="00B36208" w:rsidP="005A3631">
      <w:pPr>
        <w:pStyle w:val="Default"/>
        <w:rPr>
          <w:rFonts w:asciiTheme="minorHAnsi" w:hAnsiTheme="minorHAnsi" w:cstheme="minorBidi"/>
          <w:color w:val="auto"/>
          <w:sz w:val="22"/>
          <w:szCs w:val="22"/>
          <w:lang w:val="en-AU"/>
        </w:rPr>
      </w:pPr>
    </w:p>
    <w:p w14:paraId="24C01768" w14:textId="300CB4EC" w:rsidR="00B36208" w:rsidRPr="00CC1ADD" w:rsidRDefault="00B36208" w:rsidP="005A3631">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The Review acknowledges stakeholders</w:t>
      </w:r>
      <w:r w:rsidR="00153CBD">
        <w:rPr>
          <w:rFonts w:asciiTheme="minorHAnsi" w:hAnsiTheme="minorHAnsi" w:cstheme="minorBidi"/>
          <w:color w:val="auto"/>
          <w:sz w:val="22"/>
          <w:szCs w:val="22"/>
          <w:lang w:val="en-AU"/>
        </w:rPr>
        <w:t>’</w:t>
      </w:r>
      <w:r w:rsidRPr="00CC1ADD">
        <w:rPr>
          <w:rFonts w:asciiTheme="minorHAnsi" w:hAnsiTheme="minorHAnsi" w:cstheme="minorBidi"/>
          <w:color w:val="auto"/>
          <w:sz w:val="22"/>
          <w:szCs w:val="22"/>
          <w:lang w:val="en-AU"/>
        </w:rPr>
        <w:t xml:space="preserve"> concerns about </w:t>
      </w:r>
      <w:r w:rsidR="00141A52">
        <w:rPr>
          <w:rFonts w:asciiTheme="minorHAnsi" w:hAnsiTheme="minorHAnsi" w:cstheme="minorBidi"/>
          <w:color w:val="auto"/>
          <w:sz w:val="22"/>
          <w:szCs w:val="22"/>
          <w:lang w:val="en-AU"/>
        </w:rPr>
        <w:t xml:space="preserve">the </w:t>
      </w:r>
      <w:r w:rsidRPr="00CC1ADD">
        <w:rPr>
          <w:rFonts w:asciiTheme="minorHAnsi" w:hAnsiTheme="minorHAnsi" w:cstheme="minorBidi"/>
          <w:color w:val="auto"/>
          <w:sz w:val="22"/>
          <w:szCs w:val="22"/>
          <w:lang w:val="en-AU"/>
        </w:rPr>
        <w:t>initial campaigns</w:t>
      </w:r>
      <w:r w:rsidR="00063F3C">
        <w:rPr>
          <w:rFonts w:asciiTheme="minorHAnsi" w:hAnsiTheme="minorHAnsi" w:cstheme="minorBidi"/>
          <w:color w:val="auto"/>
          <w:sz w:val="22"/>
          <w:szCs w:val="22"/>
          <w:lang w:val="en-AU"/>
        </w:rPr>
        <w:t>,</w:t>
      </w:r>
      <w:r w:rsidRPr="00CC1ADD">
        <w:rPr>
          <w:rFonts w:asciiTheme="minorHAnsi" w:hAnsiTheme="minorHAnsi" w:cstheme="minorBidi"/>
          <w:color w:val="auto"/>
          <w:sz w:val="22"/>
          <w:szCs w:val="22"/>
          <w:lang w:val="en-AU"/>
        </w:rPr>
        <w:t xml:space="preserve"> including:</w:t>
      </w:r>
    </w:p>
    <w:p w14:paraId="784EAF58" w14:textId="77777777" w:rsidR="00B36208" w:rsidRPr="00CC1ADD" w:rsidRDefault="00B36208">
      <w:pPr>
        <w:pStyle w:val="Default"/>
        <w:rPr>
          <w:rFonts w:asciiTheme="minorHAnsi" w:hAnsiTheme="minorHAnsi" w:cstheme="minorBidi"/>
          <w:color w:val="auto"/>
          <w:sz w:val="22"/>
          <w:szCs w:val="22"/>
          <w:lang w:val="en-AU"/>
        </w:rPr>
      </w:pPr>
    </w:p>
    <w:p w14:paraId="7DA9B681" w14:textId="77777777" w:rsidR="00B36208" w:rsidRPr="00CC1ADD" w:rsidRDefault="00B36208" w:rsidP="00F720A0">
      <w:pPr>
        <w:pStyle w:val="mpcbullets1"/>
      </w:pPr>
      <w:r w:rsidRPr="00CC1ADD">
        <w:t>the focus of the campaigns in promoting the HSR System, rather than positioning the System in the context of healthy eating more broadly or as ‘one tool in the toolbox’ to support healthy eating</w:t>
      </w:r>
    </w:p>
    <w:p w14:paraId="72CB76A9" w14:textId="77777777" w:rsidR="00B36208" w:rsidRPr="00CC1ADD" w:rsidRDefault="00B36208" w:rsidP="00F720A0">
      <w:pPr>
        <w:pStyle w:val="mpcbullets1"/>
      </w:pPr>
      <w:r w:rsidRPr="00CC1ADD">
        <w:t>the level of investment (with some criticising the lack of investment and others criticising the perceived high level of investment to promote the HSR System relative to investment to promote healthy eating)</w:t>
      </w:r>
    </w:p>
    <w:p w14:paraId="02941EB8" w14:textId="77777777" w:rsidR="00B36208" w:rsidRPr="00CC1ADD" w:rsidRDefault="00B36208" w:rsidP="00F720A0">
      <w:pPr>
        <w:pStyle w:val="mpcbullets1"/>
      </w:pPr>
      <w:r w:rsidRPr="00CC1ADD">
        <w:t xml:space="preserve">the lack of promotion of Dietary Guidelines and the complementary value of the HSR System </w:t>
      </w:r>
    </w:p>
    <w:p w14:paraId="076B2CEC" w14:textId="72859D85" w:rsidR="00B36208" w:rsidRPr="00CC1ADD" w:rsidRDefault="00B36208" w:rsidP="00F720A0">
      <w:pPr>
        <w:pStyle w:val="mpcbullets1"/>
      </w:pPr>
      <w:r w:rsidRPr="00CC1ADD">
        <w:t xml:space="preserve">the tagline of the Australian campaign lacking nuance, i.e. </w:t>
      </w:r>
      <w:r w:rsidR="00063F3C">
        <w:t>‘</w:t>
      </w:r>
      <w:r w:rsidRPr="00CC1ADD">
        <w:t>the more stars the healthier</w:t>
      </w:r>
      <w:r w:rsidR="00063F3C">
        <w:t>’</w:t>
      </w:r>
      <w:r w:rsidRPr="00CC1ADD">
        <w:t xml:space="preserve"> does not support consumers to understand that they should compare HSRs within rather than across </w:t>
      </w:r>
      <w:r w:rsidR="00153CBD">
        <w:t>c</w:t>
      </w:r>
      <w:r w:rsidRPr="00CC1ADD">
        <w:t>ategories.</w:t>
      </w:r>
    </w:p>
    <w:p w14:paraId="35A7166E" w14:textId="77777777" w:rsidR="00B36208" w:rsidRPr="00CC1ADD" w:rsidRDefault="00B36208">
      <w:pPr>
        <w:pStyle w:val="Default"/>
        <w:rPr>
          <w:rFonts w:asciiTheme="minorHAnsi" w:hAnsiTheme="minorHAnsi" w:cstheme="minorBidi"/>
          <w:color w:val="auto"/>
          <w:sz w:val="22"/>
          <w:szCs w:val="22"/>
          <w:lang w:val="en-AU"/>
        </w:rPr>
      </w:pPr>
    </w:p>
    <w:p w14:paraId="66144960" w14:textId="00886EA7" w:rsidR="00B36208" w:rsidRPr="00CC1ADD"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 xml:space="preserve">Some of these concerns have since been addressed, with campaign messaging adjusted and a range of initiatives implemented </w:t>
      </w:r>
      <w:r w:rsidR="0097756D">
        <w:rPr>
          <w:rFonts w:asciiTheme="minorHAnsi" w:hAnsiTheme="minorHAnsi" w:cstheme="minorBidi"/>
          <w:color w:val="auto"/>
          <w:sz w:val="22"/>
          <w:szCs w:val="22"/>
          <w:lang w:val="en-AU"/>
        </w:rPr>
        <w:t>(</w:t>
      </w:r>
      <w:r w:rsidRPr="00CC1ADD">
        <w:rPr>
          <w:rFonts w:asciiTheme="minorHAnsi" w:hAnsiTheme="minorHAnsi" w:cstheme="minorBidi"/>
          <w:color w:val="auto"/>
          <w:sz w:val="22"/>
          <w:szCs w:val="22"/>
          <w:lang w:val="en-AU"/>
        </w:rPr>
        <w:t>by governments and others</w:t>
      </w:r>
      <w:r w:rsidR="0097756D">
        <w:rPr>
          <w:rFonts w:asciiTheme="minorHAnsi" w:hAnsiTheme="minorHAnsi" w:cstheme="minorBidi"/>
          <w:color w:val="auto"/>
          <w:sz w:val="22"/>
          <w:szCs w:val="22"/>
          <w:lang w:val="en-AU"/>
        </w:rPr>
        <w:t>)</w:t>
      </w:r>
      <w:r w:rsidRPr="00CC1ADD">
        <w:rPr>
          <w:rFonts w:asciiTheme="minorHAnsi" w:hAnsiTheme="minorHAnsi" w:cstheme="minorBidi"/>
          <w:color w:val="auto"/>
          <w:sz w:val="22"/>
          <w:szCs w:val="22"/>
          <w:lang w:val="en-AU"/>
        </w:rPr>
        <w:t xml:space="preserve"> promoting the HSR System in the context of healthy eating more broadly. </w:t>
      </w:r>
    </w:p>
    <w:p w14:paraId="334FC71C" w14:textId="77777777" w:rsidR="00B36208" w:rsidRPr="00CC1ADD" w:rsidRDefault="00B36208">
      <w:pPr>
        <w:pStyle w:val="Default"/>
        <w:rPr>
          <w:rFonts w:asciiTheme="minorHAnsi" w:hAnsiTheme="minorHAnsi" w:cstheme="minorBidi"/>
          <w:color w:val="auto"/>
          <w:sz w:val="22"/>
          <w:szCs w:val="22"/>
          <w:lang w:val="en-AU"/>
        </w:rPr>
      </w:pPr>
    </w:p>
    <w:p w14:paraId="169651D8" w14:textId="77D03B3E" w:rsidR="00B36208"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 xml:space="preserve">The Review also acknowledges the significant investment of many retailers, manufacturers and public health professionals in promoting the HSR System, educating consumers and addressing queries and concerns regarding the System. A summary is provided at </w:t>
      </w:r>
      <w:r w:rsidRPr="00CC1ADD">
        <w:rPr>
          <w:rFonts w:asciiTheme="minorHAnsi" w:hAnsiTheme="minorHAnsi" w:cstheme="minorBidi"/>
          <w:color w:val="auto"/>
          <w:sz w:val="22"/>
          <w:szCs w:val="22"/>
          <w:u w:val="single"/>
          <w:lang w:val="en-AU"/>
        </w:rPr>
        <w:t>Appendix C</w:t>
      </w:r>
      <w:r w:rsidRPr="00CC1ADD">
        <w:rPr>
          <w:rFonts w:asciiTheme="minorHAnsi" w:hAnsiTheme="minorHAnsi" w:cstheme="minorBidi"/>
          <w:color w:val="auto"/>
          <w:sz w:val="22"/>
          <w:szCs w:val="22"/>
          <w:lang w:val="en-AU"/>
        </w:rPr>
        <w:t>.</w:t>
      </w:r>
      <w:r w:rsidR="00CF0666">
        <w:rPr>
          <w:rFonts w:asciiTheme="minorHAnsi" w:hAnsiTheme="minorHAnsi" w:cstheme="minorBidi"/>
          <w:color w:val="auto"/>
          <w:sz w:val="22"/>
          <w:szCs w:val="22"/>
          <w:lang w:val="en-AU"/>
        </w:rPr>
        <w:t xml:space="preserve"> It is important that these key stakeholders continue to promote the HSR System in this manner, such that messages are communicated in a way that suits the specific needs and concerns of each stakeholder group. </w:t>
      </w:r>
    </w:p>
    <w:p w14:paraId="0A7DB156" w14:textId="77777777" w:rsidR="00D81AD0" w:rsidRDefault="00D81AD0">
      <w:pPr>
        <w:pStyle w:val="Default"/>
        <w:rPr>
          <w:rFonts w:asciiTheme="minorHAnsi" w:hAnsiTheme="minorHAnsi" w:cstheme="minorBidi"/>
          <w:color w:val="auto"/>
          <w:sz w:val="22"/>
          <w:szCs w:val="22"/>
          <w:lang w:val="en-AU"/>
        </w:rPr>
      </w:pPr>
    </w:p>
    <w:tbl>
      <w:tblPr>
        <w:tblStyle w:val="TableGrid"/>
        <w:tblW w:w="0" w:type="auto"/>
        <w:tblLook w:val="04A0" w:firstRow="1" w:lastRow="0" w:firstColumn="1" w:lastColumn="0" w:noHBand="0" w:noVBand="1"/>
      </w:tblPr>
      <w:tblGrid>
        <w:gridCol w:w="9736"/>
      </w:tblGrid>
      <w:tr w:rsidR="00B36208" w:rsidRPr="00CC1ADD" w14:paraId="343C4161" w14:textId="77777777" w:rsidTr="00372E4A">
        <w:trPr>
          <w:trHeight w:val="2201"/>
        </w:trPr>
        <w:tc>
          <w:tcPr>
            <w:tcW w:w="9736" w:type="dxa"/>
            <w:shd w:val="clear" w:color="auto" w:fill="D9E2F3" w:themeFill="accent1" w:themeFillTint="33"/>
            <w:vAlign w:val="center"/>
          </w:tcPr>
          <w:p w14:paraId="3048760C" w14:textId="5A95C426" w:rsidR="00C626CB" w:rsidRDefault="00C626CB" w:rsidP="00C626CB">
            <w:pPr>
              <w:pStyle w:val="mpcNormal"/>
              <w:ind w:left="2160" w:hanging="2160"/>
            </w:pPr>
            <w:r w:rsidRPr="00672C60">
              <w:rPr>
                <w:b/>
              </w:rPr>
              <w:t xml:space="preserve">Recommendation 3: </w:t>
            </w:r>
            <w:r w:rsidRPr="00672C60">
              <w:rPr>
                <w:b/>
              </w:rPr>
              <w:tab/>
            </w:r>
            <w:r w:rsidRPr="00C626CB">
              <w:rPr>
                <w:b/>
              </w:rPr>
              <w:t xml:space="preserve">Governments, industry, public health and consumer bodies continue to promote the HSR System. Government </w:t>
            </w:r>
            <w:r w:rsidR="00372E4A">
              <w:rPr>
                <w:b/>
              </w:rPr>
              <w:t>promotion</w:t>
            </w:r>
            <w:r w:rsidRPr="00C626CB">
              <w:rPr>
                <w:b/>
              </w:rPr>
              <w:t xml:space="preserve"> over the next two years </w:t>
            </w:r>
            <w:r w:rsidR="00372E4A">
              <w:rPr>
                <w:b/>
              </w:rPr>
              <w:t>should</w:t>
            </w:r>
            <w:r w:rsidRPr="00C626CB">
              <w:rPr>
                <w:b/>
              </w:rPr>
              <w:t>:</w:t>
            </w:r>
          </w:p>
          <w:p w14:paraId="66E589F7" w14:textId="77777777" w:rsidR="00C626CB" w:rsidRPr="00C626CB" w:rsidRDefault="00C626CB" w:rsidP="00C626CB">
            <w:pPr>
              <w:rPr>
                <w:sz w:val="22"/>
                <w:szCs w:val="22"/>
              </w:rPr>
            </w:pPr>
          </w:p>
          <w:p w14:paraId="32AD6B0D" w14:textId="77777777" w:rsidR="00372E4A" w:rsidRPr="00372E4A" w:rsidRDefault="00372E4A" w:rsidP="00F720A0">
            <w:pPr>
              <w:pStyle w:val="mpcbullets1"/>
              <w:rPr>
                <w:i/>
              </w:rPr>
            </w:pPr>
            <w:r w:rsidRPr="00372E4A">
              <w:t xml:space="preserve">communicate the reason for changes to the HSR System </w:t>
            </w:r>
          </w:p>
          <w:p w14:paraId="41F0A14C" w14:textId="77777777" w:rsidR="00372E4A" w:rsidRPr="00372E4A" w:rsidRDefault="00372E4A" w:rsidP="00F720A0">
            <w:pPr>
              <w:pStyle w:val="mpcbullets1"/>
              <w:rPr>
                <w:i/>
              </w:rPr>
            </w:pPr>
            <w:r w:rsidRPr="00372E4A">
              <w:t xml:space="preserve">target specific areas of consumer misunderstanding or gaps in awareness </w:t>
            </w:r>
          </w:p>
          <w:p w14:paraId="4768B6B4" w14:textId="77777777" w:rsidR="00372E4A" w:rsidRPr="00372E4A" w:rsidRDefault="00372E4A" w:rsidP="00F720A0">
            <w:pPr>
              <w:pStyle w:val="mpcbullets1"/>
              <w:rPr>
                <w:i/>
              </w:rPr>
            </w:pPr>
            <w:r w:rsidRPr="00372E4A">
              <w:t>highlight government endorsement of the HSR System</w:t>
            </w:r>
          </w:p>
          <w:p w14:paraId="7904479D" w14:textId="1735E5EB" w:rsidR="00C626CB" w:rsidRPr="00D81AD0" w:rsidRDefault="00372E4A" w:rsidP="00F720A0">
            <w:pPr>
              <w:pStyle w:val="mpcbullets1"/>
              <w:rPr>
                <w:rFonts w:cstheme="minorBidi"/>
                <w:color w:val="auto"/>
              </w:rPr>
            </w:pPr>
            <w:r w:rsidRPr="00372E4A">
              <w:t>position the HSR System in the context of broader healthy eating messages.</w:t>
            </w:r>
          </w:p>
        </w:tc>
      </w:tr>
    </w:tbl>
    <w:p w14:paraId="06A4FD16" w14:textId="77777777" w:rsidR="00B36208" w:rsidRPr="00CC1ADD" w:rsidRDefault="00B36208" w:rsidP="005A3631">
      <w:pPr>
        <w:pStyle w:val="Default"/>
        <w:rPr>
          <w:rFonts w:asciiTheme="minorHAnsi" w:hAnsiTheme="minorHAnsi" w:cstheme="minorBidi"/>
          <w:color w:val="auto"/>
          <w:sz w:val="22"/>
          <w:szCs w:val="22"/>
          <w:lang w:val="en-AU"/>
        </w:rPr>
      </w:pPr>
    </w:p>
    <w:p w14:paraId="4DC9E86E" w14:textId="77777777" w:rsidR="00D81AD0" w:rsidRPr="00D81AD0" w:rsidRDefault="00D81AD0" w:rsidP="00D81AD0">
      <w:pPr>
        <w:pStyle w:val="mpcNormal"/>
      </w:pPr>
      <w:r w:rsidRPr="00D81AD0">
        <w:t>This would enable the benefits of the investment to date to be fully realised, while acknowledging that contribution can be reduced as the System is further embedded.</w:t>
      </w:r>
    </w:p>
    <w:p w14:paraId="0C7CC4EC" w14:textId="77777777" w:rsidR="00D81AD0" w:rsidRPr="00D81AD0" w:rsidRDefault="00D81AD0" w:rsidP="00D81AD0">
      <w:pPr>
        <w:pStyle w:val="mpcNormal"/>
      </w:pPr>
    </w:p>
    <w:p w14:paraId="028DD61D" w14:textId="55E6A60B" w:rsidR="00B36208" w:rsidRPr="00CC1ADD"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 xml:space="preserve">The above recommendation relies on effective, responsive and appropriately resourced governance arrangements </w:t>
      </w:r>
      <w:r w:rsidR="000B2F42">
        <w:rPr>
          <w:rFonts w:asciiTheme="minorHAnsi" w:hAnsiTheme="minorHAnsi" w:cstheme="minorBidi"/>
          <w:color w:val="auto"/>
          <w:sz w:val="22"/>
          <w:szCs w:val="22"/>
          <w:lang w:val="en-AU"/>
        </w:rPr>
        <w:t>(refer</w:t>
      </w:r>
      <w:r w:rsidRPr="00CC1ADD">
        <w:rPr>
          <w:rFonts w:asciiTheme="minorHAnsi" w:hAnsiTheme="minorHAnsi" w:cstheme="minorBidi"/>
          <w:color w:val="auto"/>
          <w:sz w:val="22"/>
          <w:szCs w:val="22"/>
          <w:lang w:val="en-AU"/>
        </w:rPr>
        <w:t xml:space="preserve"> Chapter </w:t>
      </w:r>
      <w:r w:rsidR="001439DA" w:rsidRPr="00CC1ADD">
        <w:rPr>
          <w:rFonts w:asciiTheme="minorHAnsi" w:hAnsiTheme="minorHAnsi" w:cstheme="minorBidi"/>
          <w:color w:val="auto"/>
          <w:sz w:val="22"/>
          <w:szCs w:val="22"/>
          <w:lang w:val="en-AU"/>
        </w:rPr>
        <w:t>6</w:t>
      </w:r>
      <w:r w:rsidR="000B2F42">
        <w:rPr>
          <w:rFonts w:asciiTheme="minorHAnsi" w:hAnsiTheme="minorHAnsi" w:cstheme="minorBidi"/>
          <w:color w:val="auto"/>
          <w:sz w:val="22"/>
          <w:szCs w:val="22"/>
          <w:lang w:val="en-AU"/>
        </w:rPr>
        <w:t>)</w:t>
      </w:r>
      <w:r w:rsidRPr="00CC1ADD">
        <w:rPr>
          <w:rFonts w:asciiTheme="minorHAnsi" w:hAnsiTheme="minorHAnsi" w:cstheme="minorBidi"/>
          <w:color w:val="auto"/>
          <w:sz w:val="22"/>
          <w:szCs w:val="22"/>
          <w:lang w:val="en-AU"/>
        </w:rPr>
        <w:t>.</w:t>
      </w:r>
    </w:p>
    <w:p w14:paraId="165BD4F4" w14:textId="77777777" w:rsidR="00B36208" w:rsidRPr="00CC1ADD" w:rsidRDefault="00B36208" w:rsidP="004C4894">
      <w:pPr>
        <w:pStyle w:val="mpcNormal"/>
        <w:keepNext w:val="0"/>
      </w:pPr>
    </w:p>
    <w:p w14:paraId="5C0553E2" w14:textId="77777777" w:rsidR="00B36208" w:rsidRPr="00CC1ADD" w:rsidRDefault="00B36208" w:rsidP="00672C60">
      <w:pPr>
        <w:pStyle w:val="mpcheading2"/>
        <w:keepNext/>
        <w:spacing w:after="0"/>
      </w:pPr>
      <w:bookmarkStart w:id="85" w:name="Campaigns"/>
      <w:bookmarkStart w:id="86" w:name="_Toc1746494"/>
      <w:bookmarkEnd w:id="85"/>
      <w:r w:rsidRPr="00CC1ADD">
        <w:t>HSR System campaigns</w:t>
      </w:r>
      <w:bookmarkEnd w:id="86"/>
    </w:p>
    <w:p w14:paraId="536FDB45" w14:textId="77777777" w:rsidR="00B36208" w:rsidRPr="00CC1ADD" w:rsidRDefault="00B36208" w:rsidP="00672C60">
      <w:pPr>
        <w:pStyle w:val="mpcNormal"/>
      </w:pPr>
    </w:p>
    <w:p w14:paraId="053BBB90" w14:textId="77777777" w:rsidR="00B36208" w:rsidRPr="00CC1ADD" w:rsidRDefault="00B36208" w:rsidP="00672C60">
      <w:pPr>
        <w:pStyle w:val="mpcheading3"/>
        <w:keepNext/>
      </w:pPr>
      <w:r w:rsidRPr="00CC1ADD">
        <w:t>Australia</w:t>
      </w:r>
    </w:p>
    <w:p w14:paraId="01A344D5" w14:textId="77777777" w:rsidR="00BA0AFA" w:rsidRPr="00CC1ADD" w:rsidRDefault="00BA0AFA" w:rsidP="00C84928">
      <w:pPr>
        <w:pStyle w:val="mpcNormal"/>
        <w:keepNext w:val="0"/>
      </w:pPr>
    </w:p>
    <w:p w14:paraId="5F974074" w14:textId="1B2867D3" w:rsidR="00B36208" w:rsidRPr="00CC1ADD" w:rsidRDefault="00B36208" w:rsidP="00C84928">
      <w:pPr>
        <w:pStyle w:val="mpcNormal"/>
        <w:keepNext w:val="0"/>
      </w:pPr>
      <w:r w:rsidRPr="00CC1ADD">
        <w:t xml:space="preserve">In Australia, the </w:t>
      </w:r>
      <w:r w:rsidR="00BA0AFA" w:rsidRPr="00CC1ADD">
        <w:t xml:space="preserve">first </w:t>
      </w:r>
      <w:r w:rsidRPr="00CC1ADD">
        <w:t xml:space="preserve">HSR System campaign was launched in 2014 with online advertising. A second phase of the campaign </w:t>
      </w:r>
      <w:r w:rsidRPr="003A051A">
        <w:t>was</w:t>
      </w:r>
      <w:r w:rsidRPr="00CC1ADD">
        <w:t xml:space="preserve"> delivered from </w:t>
      </w:r>
      <w:r w:rsidR="0022792E" w:rsidRPr="00CC1ADD">
        <w:t>June to August</w:t>
      </w:r>
      <w:r w:rsidRPr="00CC1ADD">
        <w:t xml:space="preserve"> 2015 and a third phase occurred from April to </w:t>
      </w:r>
      <w:r w:rsidR="0022792E" w:rsidRPr="00CC1ADD">
        <w:t>June</w:t>
      </w:r>
      <w:r w:rsidRPr="00CC1ADD">
        <w:t xml:space="preserve"> 2016. The fourth phase of the campaign took place from February to </w:t>
      </w:r>
      <w:r w:rsidR="0022792E" w:rsidRPr="00CC1ADD">
        <w:t>June</w:t>
      </w:r>
      <w:r w:rsidRPr="00CC1ADD">
        <w:t xml:space="preserve"> 2017. A further phase </w:t>
      </w:r>
      <w:r w:rsidR="00830C60">
        <w:t>(launched on 6 February 2019) includes</w:t>
      </w:r>
      <w:r w:rsidRPr="00CC1ADD">
        <w:t xml:space="preserve"> television</w:t>
      </w:r>
      <w:r w:rsidR="00C8700B" w:rsidRPr="00CC1ADD">
        <w:t>, digital/online and in-store</w:t>
      </w:r>
      <w:r w:rsidRPr="00CC1ADD">
        <w:t xml:space="preserve"> advertisements</w:t>
      </w:r>
      <w:r w:rsidR="00C8700B" w:rsidRPr="00CC1ADD">
        <w:t xml:space="preserve"> and stakeholder</w:t>
      </w:r>
      <w:r w:rsidRPr="00CC1ADD">
        <w:t xml:space="preserve"> kits.</w:t>
      </w:r>
    </w:p>
    <w:p w14:paraId="4890845F" w14:textId="77777777" w:rsidR="00B36208" w:rsidRPr="00CC1ADD" w:rsidRDefault="00B36208" w:rsidP="00C84928">
      <w:pPr>
        <w:pStyle w:val="mpcNormal"/>
        <w:keepNext w:val="0"/>
      </w:pPr>
    </w:p>
    <w:p w14:paraId="6B330F5E" w14:textId="10B8E8FE" w:rsidR="00B36208" w:rsidRPr="004C4894" w:rsidRDefault="00B36208" w:rsidP="00C84928">
      <w:pPr>
        <w:pStyle w:val="mpcNormal"/>
        <w:keepNext w:val="0"/>
      </w:pPr>
      <w:r w:rsidRPr="00CC1ADD">
        <w:t xml:space="preserve">The initial phase of the campaign aimed to support the implementation of the HSR System through activities designed to educate consumers and encourage increased industry participation. More specifically, the primary objectives of the </w:t>
      </w:r>
      <w:r w:rsidR="00DD0E98">
        <w:t xml:space="preserve">initial </w:t>
      </w:r>
      <w:r w:rsidR="004C4894" w:rsidRPr="004C4894">
        <w:t xml:space="preserve">phases of the </w:t>
      </w:r>
      <w:r w:rsidRPr="004C4894">
        <w:t xml:space="preserve">campaign </w:t>
      </w:r>
      <w:r w:rsidR="0030513A">
        <w:t>were</w:t>
      </w:r>
      <w:r w:rsidRPr="004C4894">
        <w:t xml:space="preserve"> to:</w:t>
      </w:r>
    </w:p>
    <w:p w14:paraId="20E187B4" w14:textId="77777777" w:rsidR="00B36208" w:rsidRPr="004C4894" w:rsidRDefault="00B36208" w:rsidP="00C84928">
      <w:pPr>
        <w:pStyle w:val="mpcNormal"/>
        <w:keepNext w:val="0"/>
      </w:pPr>
    </w:p>
    <w:p w14:paraId="071FD64B" w14:textId="77777777" w:rsidR="00B36208" w:rsidRPr="004C4894" w:rsidRDefault="00B36208" w:rsidP="00F720A0">
      <w:pPr>
        <w:pStyle w:val="mpcbullets1"/>
      </w:pPr>
      <w:r w:rsidRPr="004C4894">
        <w:t>raise awareness of the HSR System’s implementation</w:t>
      </w:r>
    </w:p>
    <w:p w14:paraId="6B6C9CD0" w14:textId="77777777" w:rsidR="00B36208" w:rsidRPr="004C4894" w:rsidRDefault="00B36208" w:rsidP="00F720A0">
      <w:pPr>
        <w:pStyle w:val="mpcbullets1"/>
      </w:pPr>
      <w:r w:rsidRPr="004C4894">
        <w:t>develop an understanding of how to interpret the HSR</w:t>
      </w:r>
    </w:p>
    <w:p w14:paraId="0EB93BE5" w14:textId="4CD9B98F" w:rsidR="00DD0E98" w:rsidRPr="004C4894" w:rsidRDefault="00B36208" w:rsidP="00F720A0">
      <w:pPr>
        <w:pStyle w:val="mpcbullets1"/>
      </w:pPr>
      <w:r w:rsidRPr="004C4894">
        <w:t xml:space="preserve">prompt consideration of </w:t>
      </w:r>
      <w:r w:rsidR="00DD0E98" w:rsidRPr="004C4894">
        <w:t>nutrition and how the HSR System can support decision making in this area</w:t>
      </w:r>
    </w:p>
    <w:p w14:paraId="70727555" w14:textId="77777777" w:rsidR="00B36208" w:rsidRPr="004C4894" w:rsidRDefault="00B36208" w:rsidP="00F720A0">
      <w:pPr>
        <w:pStyle w:val="mpcbullets1"/>
      </w:pPr>
      <w:r w:rsidRPr="004C4894">
        <w:t>develop consumer confidence in the HSR System as an independent, informative and easy to use nutritional guide.</w:t>
      </w:r>
      <w:r w:rsidRPr="004C4894">
        <w:rPr>
          <w:rStyle w:val="FootnoteReference"/>
          <w:sz w:val="22"/>
        </w:rPr>
        <w:footnoteReference w:id="40"/>
      </w:r>
    </w:p>
    <w:p w14:paraId="720C2C9F" w14:textId="77777777" w:rsidR="00B36208" w:rsidRPr="004C4894" w:rsidRDefault="00B36208" w:rsidP="00C84928">
      <w:pPr>
        <w:pStyle w:val="mpcNormal"/>
        <w:keepNext w:val="0"/>
      </w:pPr>
    </w:p>
    <w:p w14:paraId="24548E6B" w14:textId="655ABD40" w:rsidR="00B36208" w:rsidRPr="004C4894" w:rsidRDefault="00BA0AFA" w:rsidP="00C84928">
      <w:pPr>
        <w:pStyle w:val="mpcNormal"/>
        <w:keepNext w:val="0"/>
      </w:pPr>
      <w:r w:rsidRPr="004C4894">
        <w:t>C</w:t>
      </w:r>
      <w:r w:rsidR="00B36208" w:rsidRPr="004C4894">
        <w:t xml:space="preserve">ampaign </w:t>
      </w:r>
      <w:r w:rsidRPr="004C4894">
        <w:t xml:space="preserve">development is informed </w:t>
      </w:r>
      <w:r w:rsidR="00B36208" w:rsidRPr="004C4894">
        <w:t xml:space="preserve">by </w:t>
      </w:r>
      <w:r w:rsidR="00063F3C" w:rsidRPr="004C4894">
        <w:t xml:space="preserve">the </w:t>
      </w:r>
      <w:r w:rsidR="00B36208" w:rsidRPr="004C4894">
        <w:t>SMAG</w:t>
      </w:r>
      <w:r w:rsidR="00063F3C" w:rsidRPr="004C4894">
        <w:t>, while t</w:t>
      </w:r>
      <w:r w:rsidR="00B36208" w:rsidRPr="004C4894">
        <w:t xml:space="preserve">he messaging and delivery </w:t>
      </w:r>
      <w:r w:rsidR="00DD0E98" w:rsidRPr="004C4894">
        <w:t>a</w:t>
      </w:r>
      <w:r w:rsidRPr="004C4894">
        <w:t>re</w:t>
      </w:r>
      <w:r w:rsidR="00B36208" w:rsidRPr="004C4894">
        <w:t xml:space="preserve"> informed by market research and testing, including to ensure that communication materials appeal to, and </w:t>
      </w:r>
      <w:r w:rsidR="00DD0E98" w:rsidRPr="004C4894">
        <w:t xml:space="preserve">can </w:t>
      </w:r>
      <w:r w:rsidR="00B36208" w:rsidRPr="004C4894">
        <w:t>be readily understood by</w:t>
      </w:r>
      <w:r w:rsidR="00C8700B" w:rsidRPr="004C4894">
        <w:t xml:space="preserve"> key target groups</w:t>
      </w:r>
      <w:r w:rsidR="00063F3C" w:rsidRPr="004C4894">
        <w:t>. Target groups</w:t>
      </w:r>
      <w:r w:rsidR="00C8700B" w:rsidRPr="004C4894">
        <w:t xml:space="preserve"> included</w:t>
      </w:r>
      <w:r w:rsidR="00B36208" w:rsidRPr="004C4894">
        <w:t xml:space="preserve"> groups experiencing</w:t>
      </w:r>
      <w:r w:rsidR="00DD0E98" w:rsidRPr="004C4894">
        <w:t>,</w:t>
      </w:r>
      <w:r w:rsidR="00B36208" w:rsidRPr="004C4894">
        <w:t xml:space="preserve"> </w:t>
      </w:r>
      <w:r w:rsidRPr="004C4894">
        <w:t>or at risk of</w:t>
      </w:r>
      <w:r w:rsidR="00DD0E98" w:rsidRPr="004C4894">
        <w:t>,</w:t>
      </w:r>
      <w:r w:rsidRPr="004C4894">
        <w:t xml:space="preserve"> </w:t>
      </w:r>
      <w:r w:rsidR="00B36208" w:rsidRPr="004C4894">
        <w:t>higher rates of obesity or nutrition-related chronic illness</w:t>
      </w:r>
      <w:r w:rsidR="00DD0E98" w:rsidRPr="004C4894">
        <w:t xml:space="preserve">. This included </w:t>
      </w:r>
      <w:r w:rsidR="00B36208" w:rsidRPr="004C4894">
        <w:t xml:space="preserve">lower socio-economic consumers, Indigenous people, </w:t>
      </w:r>
      <w:r w:rsidRPr="004C4894">
        <w:t>culturally and linguistically diverse</w:t>
      </w:r>
      <w:r w:rsidR="00B36208" w:rsidRPr="004C4894">
        <w:t xml:space="preserve"> groups</w:t>
      </w:r>
      <w:r w:rsidR="00C8700B" w:rsidRPr="004C4894">
        <w:t xml:space="preserve"> and</w:t>
      </w:r>
      <w:r w:rsidRPr="004C4894">
        <w:t xml:space="preserve"> rural and remote populations</w:t>
      </w:r>
      <w:r w:rsidR="00B36208" w:rsidRPr="004C4894">
        <w:t>.</w:t>
      </w:r>
    </w:p>
    <w:p w14:paraId="5AE87629" w14:textId="77777777" w:rsidR="00B36208" w:rsidRPr="004C4894" w:rsidRDefault="00B36208" w:rsidP="005A3631">
      <w:pPr>
        <w:pStyle w:val="mpcNormal"/>
        <w:keepNext w:val="0"/>
      </w:pPr>
    </w:p>
    <w:p w14:paraId="2309F430" w14:textId="7013059E" w:rsidR="00B36208" w:rsidRPr="00CC1ADD" w:rsidRDefault="00B36208" w:rsidP="005A3631">
      <w:pPr>
        <w:pStyle w:val="mpcNormal"/>
        <w:keepNext w:val="0"/>
      </w:pPr>
      <w:r w:rsidRPr="004C4894">
        <w:t xml:space="preserve">While the focus of the messaging </w:t>
      </w:r>
      <w:r w:rsidR="00DD0E98" w:rsidRPr="004C4894">
        <w:t>differs</w:t>
      </w:r>
      <w:r w:rsidRPr="004C4894">
        <w:t xml:space="preserve"> depending on the phase of the campaign</w:t>
      </w:r>
      <w:r w:rsidRPr="00CC1ADD">
        <w:t xml:space="preserve">, the key messages communicated through the </w:t>
      </w:r>
      <w:r w:rsidR="00DD0E98">
        <w:t xml:space="preserve">initial </w:t>
      </w:r>
      <w:r w:rsidR="004C4894">
        <w:t xml:space="preserve">phases of </w:t>
      </w:r>
      <w:r w:rsidR="004C4894" w:rsidRPr="004C4894">
        <w:t>the campaign</w:t>
      </w:r>
      <w:r w:rsidRPr="004C4894">
        <w:t xml:space="preserve"> include</w:t>
      </w:r>
      <w:r w:rsidR="00DD0E98" w:rsidRPr="004C4894">
        <w:t>d</w:t>
      </w:r>
      <w:r w:rsidRPr="00CC1ADD">
        <w:t>:</w:t>
      </w:r>
    </w:p>
    <w:p w14:paraId="7230266F" w14:textId="3C3F6BBB" w:rsidR="00CF0CDF" w:rsidRPr="00CC1ADD" w:rsidRDefault="00CF0CDF" w:rsidP="00C84928">
      <w:pPr>
        <w:pStyle w:val="mpcNormal"/>
        <w:keepNext w:val="0"/>
      </w:pPr>
    </w:p>
    <w:tbl>
      <w:tblPr>
        <w:tblStyle w:val="TableGrid"/>
        <w:tblW w:w="0" w:type="auto"/>
        <w:tblLook w:val="04A0" w:firstRow="1" w:lastRow="0" w:firstColumn="1" w:lastColumn="0" w:noHBand="0" w:noVBand="1"/>
      </w:tblPr>
      <w:tblGrid>
        <w:gridCol w:w="9736"/>
      </w:tblGrid>
      <w:tr w:rsidR="00CF0CDF" w:rsidRPr="00CC1ADD" w14:paraId="2DDBF693" w14:textId="77777777" w:rsidTr="00D81AD0">
        <w:trPr>
          <w:trHeight w:val="2965"/>
        </w:trPr>
        <w:tc>
          <w:tcPr>
            <w:tcW w:w="9736" w:type="dxa"/>
            <w:tcBorders>
              <w:top w:val="nil"/>
              <w:left w:val="nil"/>
              <w:bottom w:val="nil"/>
              <w:right w:val="nil"/>
            </w:tcBorders>
            <w:shd w:val="clear" w:color="auto" w:fill="D9E2F3" w:themeFill="accent1" w:themeFillTint="33"/>
            <w:vAlign w:val="center"/>
          </w:tcPr>
          <w:p w14:paraId="71253072" w14:textId="77777777" w:rsidR="00CF0CDF" w:rsidRPr="00C84928" w:rsidRDefault="00CF0CDF" w:rsidP="00D81AD0">
            <w:pPr>
              <w:pStyle w:val="mpcNormal"/>
              <w:keepNext w:val="0"/>
              <w:spacing w:line="360" w:lineRule="auto"/>
              <w:ind w:left="720"/>
              <w:rPr>
                <w:i/>
              </w:rPr>
            </w:pPr>
            <w:r w:rsidRPr="00C84928">
              <w:rPr>
                <w:i/>
              </w:rPr>
              <w:t>The more stars, the healthier the choice.</w:t>
            </w:r>
          </w:p>
          <w:p w14:paraId="07BE858B" w14:textId="77777777" w:rsidR="00CF0CDF" w:rsidRPr="00C84928" w:rsidRDefault="00CF0CDF" w:rsidP="00D81AD0">
            <w:pPr>
              <w:pStyle w:val="mpcNormal"/>
              <w:keepNext w:val="0"/>
              <w:spacing w:line="360" w:lineRule="auto"/>
              <w:ind w:left="720"/>
              <w:rPr>
                <w:i/>
              </w:rPr>
            </w:pPr>
            <w:r w:rsidRPr="00C84928">
              <w:rPr>
                <w:i/>
              </w:rPr>
              <w:t>Choosing healthier food is getting easier with the introduction of Health Star Ratings on the front of many packaged foods.</w:t>
            </w:r>
          </w:p>
          <w:p w14:paraId="6A456234" w14:textId="77777777" w:rsidR="00CF0CDF" w:rsidRPr="00C84928" w:rsidRDefault="00CF0CDF" w:rsidP="00D81AD0">
            <w:pPr>
              <w:pStyle w:val="mpcNormal"/>
              <w:keepNext w:val="0"/>
              <w:spacing w:line="360" w:lineRule="auto"/>
              <w:ind w:left="720"/>
              <w:rPr>
                <w:i/>
              </w:rPr>
            </w:pPr>
            <w:r w:rsidRPr="00C84928">
              <w:rPr>
                <w:i/>
              </w:rPr>
              <w:t>Ranging from ½ to 5 stars, Health Stars help you make healthier choices at a glance.</w:t>
            </w:r>
          </w:p>
          <w:p w14:paraId="4A7DF5FA" w14:textId="13615D05" w:rsidR="00CF0CDF" w:rsidRPr="00C84928" w:rsidRDefault="00CF0CDF" w:rsidP="00D81AD0">
            <w:pPr>
              <w:pStyle w:val="mpcNormal"/>
              <w:keepNext w:val="0"/>
              <w:spacing w:line="360" w:lineRule="auto"/>
              <w:ind w:left="720"/>
              <w:rPr>
                <w:i/>
              </w:rPr>
            </w:pPr>
            <w:r w:rsidRPr="00C84928">
              <w:rPr>
                <w:i/>
              </w:rPr>
              <w:t>The number of stars is based on energy, nutrients such as saturated fat, sugars, sodium and protein and the fruit and vegetable content.</w:t>
            </w:r>
          </w:p>
          <w:p w14:paraId="41CB4327" w14:textId="22F4C40B" w:rsidR="00CF0CDF" w:rsidRPr="00CC1ADD" w:rsidRDefault="00CF0CDF" w:rsidP="00D81AD0">
            <w:pPr>
              <w:pStyle w:val="mpcNormal"/>
              <w:keepNext w:val="0"/>
              <w:spacing w:line="360" w:lineRule="auto"/>
              <w:ind w:left="720"/>
            </w:pPr>
            <w:r w:rsidRPr="00C84928">
              <w:rPr>
                <w:i/>
              </w:rPr>
              <w:t>To find out more, visit the Health Star Rating website.</w:t>
            </w:r>
          </w:p>
        </w:tc>
      </w:tr>
    </w:tbl>
    <w:p w14:paraId="603A9783" w14:textId="77777777" w:rsidR="00B36208" w:rsidRPr="00CC1ADD" w:rsidRDefault="00B36208" w:rsidP="00C84928">
      <w:pPr>
        <w:pStyle w:val="mpcNormal"/>
        <w:keepNext w:val="0"/>
      </w:pPr>
    </w:p>
    <w:p w14:paraId="42D36304" w14:textId="6D0D798D" w:rsidR="00B36208" w:rsidRPr="00CC1ADD" w:rsidRDefault="00B36208" w:rsidP="00C84928">
      <w:pPr>
        <w:pStyle w:val="mpcNormal"/>
        <w:keepNext w:val="0"/>
      </w:pPr>
      <w:r w:rsidRPr="00CC1ADD">
        <w:t>In more recent years, the campaign has focused on messages about how best to use the HSR and on addressing areas of confusion such as how the stars are calculated. In 2019, the messaging continue</w:t>
      </w:r>
      <w:r w:rsidR="00C84928">
        <w:t>s</w:t>
      </w:r>
      <w:r w:rsidRPr="00CC1ADD">
        <w:t xml:space="preserve"> to focus on how to use the HSR</w:t>
      </w:r>
      <w:r w:rsidR="00340091" w:rsidRPr="00CC1ADD">
        <w:t xml:space="preserve"> to compare similar products</w:t>
      </w:r>
      <w:r w:rsidRPr="00CC1ADD">
        <w:t xml:space="preserve"> in the </w:t>
      </w:r>
      <w:r w:rsidR="00340091" w:rsidRPr="00CC1ADD">
        <w:t>c</w:t>
      </w:r>
      <w:r w:rsidRPr="00CC1ADD">
        <w:t xml:space="preserve">ontext of a </w:t>
      </w:r>
      <w:r w:rsidR="00340091" w:rsidRPr="00CC1ADD">
        <w:t xml:space="preserve">broader </w:t>
      </w:r>
      <w:r w:rsidRPr="00CC1ADD">
        <w:t>healthy diet.</w:t>
      </w:r>
    </w:p>
    <w:p w14:paraId="428A75E8" w14:textId="77777777" w:rsidR="00B36208" w:rsidRPr="00CC1ADD" w:rsidRDefault="00B36208" w:rsidP="00C84928">
      <w:pPr>
        <w:pStyle w:val="mpcNormal"/>
        <w:keepNext w:val="0"/>
      </w:pPr>
    </w:p>
    <w:p w14:paraId="54DA1CDF" w14:textId="195A3373" w:rsidR="00B36208" w:rsidRPr="00CC1ADD" w:rsidRDefault="00B36208" w:rsidP="00C84928">
      <w:pPr>
        <w:pStyle w:val="mpcNormal"/>
        <w:keepNext w:val="0"/>
      </w:pPr>
      <w:r w:rsidRPr="00CC1ADD">
        <w:t xml:space="preserve">Over the first four phases </w:t>
      </w:r>
      <w:r w:rsidRPr="004C4894">
        <w:t>of the campaign</w:t>
      </w:r>
      <w:r w:rsidRPr="00CC1ADD">
        <w:t xml:space="preserve"> (</w:t>
      </w:r>
      <w:r w:rsidR="00063F3C">
        <w:t xml:space="preserve">from </w:t>
      </w:r>
      <w:r w:rsidRPr="00CC1ADD">
        <w:t>2013</w:t>
      </w:r>
      <w:r w:rsidR="00357932">
        <w:t>-14</w:t>
      </w:r>
      <w:r w:rsidR="00063F3C">
        <w:t xml:space="preserve"> to </w:t>
      </w:r>
      <w:r w:rsidRPr="00CC1ADD">
        <w:t>2018</w:t>
      </w:r>
      <w:r w:rsidR="00357932">
        <w:t>-19</w:t>
      </w:r>
      <w:r w:rsidRPr="00CC1ADD">
        <w:t xml:space="preserve">) </w:t>
      </w:r>
      <w:r w:rsidRPr="00357932">
        <w:t>approximately $7.6 million</w:t>
      </w:r>
      <w:r w:rsidR="00357932" w:rsidRPr="00357932">
        <w:rPr>
          <w:rStyle w:val="FootnoteReference"/>
        </w:rPr>
        <w:footnoteReference w:id="41"/>
      </w:r>
      <w:r w:rsidRPr="00357932">
        <w:t xml:space="preserve"> has been</w:t>
      </w:r>
      <w:r w:rsidRPr="00CC1ADD">
        <w:t xml:space="preserve"> expended on the development and delivery of the social marketing including through:</w:t>
      </w:r>
    </w:p>
    <w:p w14:paraId="4E927DD0" w14:textId="77777777" w:rsidR="00B36208" w:rsidRPr="00CC1ADD" w:rsidRDefault="00B36208" w:rsidP="00C84928">
      <w:pPr>
        <w:pStyle w:val="mpcNormal"/>
        <w:keepNext w:val="0"/>
      </w:pPr>
    </w:p>
    <w:p w14:paraId="64F1767E" w14:textId="77777777" w:rsidR="00B36208" w:rsidRPr="00CC1ADD" w:rsidRDefault="00B36208" w:rsidP="00C84928">
      <w:pPr>
        <w:pStyle w:val="mpcNormal"/>
        <w:keepNext w:val="0"/>
        <w:numPr>
          <w:ilvl w:val="0"/>
          <w:numId w:val="13"/>
        </w:numPr>
      </w:pPr>
      <w:r w:rsidRPr="00CC1ADD">
        <w:t>print advertisements</w:t>
      </w:r>
    </w:p>
    <w:p w14:paraId="1E5BA920" w14:textId="77777777" w:rsidR="00B36208" w:rsidRPr="00CC1ADD" w:rsidRDefault="00B36208" w:rsidP="00C84928">
      <w:pPr>
        <w:pStyle w:val="mpcNormal"/>
        <w:keepNext w:val="0"/>
        <w:numPr>
          <w:ilvl w:val="0"/>
          <w:numId w:val="13"/>
        </w:numPr>
      </w:pPr>
      <w:r w:rsidRPr="00CC1ADD">
        <w:t>out of home advertisements</w:t>
      </w:r>
    </w:p>
    <w:p w14:paraId="3D73F2F0" w14:textId="77777777" w:rsidR="00B36208" w:rsidRPr="00CC1ADD" w:rsidRDefault="00B36208" w:rsidP="00C84928">
      <w:pPr>
        <w:pStyle w:val="mpcNormal"/>
        <w:keepNext w:val="0"/>
        <w:numPr>
          <w:ilvl w:val="0"/>
          <w:numId w:val="13"/>
        </w:numPr>
      </w:pPr>
      <w:r w:rsidRPr="00CC1ADD">
        <w:t>online advertisements (square and ‘sky-scraper’ formats)</w:t>
      </w:r>
    </w:p>
    <w:p w14:paraId="243BB183" w14:textId="77777777" w:rsidR="00B36208" w:rsidRPr="00CC1ADD" w:rsidRDefault="00B36208" w:rsidP="00C84928">
      <w:pPr>
        <w:pStyle w:val="mpcNormal"/>
        <w:keepNext w:val="0"/>
        <w:numPr>
          <w:ilvl w:val="0"/>
          <w:numId w:val="13"/>
        </w:numPr>
      </w:pPr>
      <w:r w:rsidRPr="00CC1ADD">
        <w:t>mobile specific advertisements</w:t>
      </w:r>
    </w:p>
    <w:p w14:paraId="2115BDA4" w14:textId="77777777" w:rsidR="00B36208" w:rsidRPr="00CC1ADD" w:rsidRDefault="00B36208" w:rsidP="00C84928">
      <w:pPr>
        <w:pStyle w:val="mpcNormal"/>
        <w:keepNext w:val="0"/>
        <w:numPr>
          <w:ilvl w:val="0"/>
          <w:numId w:val="13"/>
        </w:numPr>
      </w:pPr>
      <w:r w:rsidRPr="00CC1ADD">
        <w:t>online pre-roll videos (played in full before YouTube videos, within catch-up TV etc.)</w:t>
      </w:r>
    </w:p>
    <w:p w14:paraId="5A190841" w14:textId="77777777" w:rsidR="00B36208" w:rsidRPr="00CC1ADD" w:rsidRDefault="00B36208" w:rsidP="00C84928">
      <w:pPr>
        <w:pStyle w:val="mpcNormal"/>
        <w:keepNext w:val="0"/>
        <w:numPr>
          <w:ilvl w:val="0"/>
          <w:numId w:val="13"/>
        </w:numPr>
      </w:pPr>
      <w:r w:rsidRPr="00CC1ADD">
        <w:t>a taste.com.au Taste Health Hotline</w:t>
      </w:r>
    </w:p>
    <w:p w14:paraId="7FECF88C" w14:textId="6C01B2A7" w:rsidR="00B36208" w:rsidRPr="00CC1ADD" w:rsidRDefault="00B36208" w:rsidP="00C84928">
      <w:pPr>
        <w:pStyle w:val="mpcNormal"/>
        <w:keepNext w:val="0"/>
        <w:numPr>
          <w:ilvl w:val="0"/>
          <w:numId w:val="13"/>
        </w:numPr>
      </w:pPr>
      <w:r w:rsidRPr="00CC1ADD">
        <w:t xml:space="preserve">in-store </w:t>
      </w:r>
      <w:r w:rsidR="00955189">
        <w:t xml:space="preserve">shelf </w:t>
      </w:r>
      <w:r w:rsidRPr="00CC1ADD">
        <w:t>and trolley advertisements</w:t>
      </w:r>
    </w:p>
    <w:p w14:paraId="41080D5E" w14:textId="77777777" w:rsidR="00B36208" w:rsidRPr="00CC1ADD" w:rsidRDefault="00B36208" w:rsidP="00C84928">
      <w:pPr>
        <w:pStyle w:val="mpcNormal"/>
        <w:keepNext w:val="0"/>
        <w:numPr>
          <w:ilvl w:val="0"/>
          <w:numId w:val="13"/>
        </w:numPr>
      </w:pPr>
      <w:r w:rsidRPr="00CC1ADD">
        <w:t>Twitter and Pinterest communications (including tips and links to Dietary Guidelines messaging).</w:t>
      </w:r>
    </w:p>
    <w:p w14:paraId="6CF5A863" w14:textId="77777777" w:rsidR="00B36208" w:rsidRPr="00CC1ADD" w:rsidRDefault="00B36208" w:rsidP="004C4894">
      <w:pPr>
        <w:pStyle w:val="mpcNormal"/>
        <w:keepNext w:val="0"/>
      </w:pPr>
    </w:p>
    <w:p w14:paraId="2749C49E" w14:textId="4E44750B" w:rsidR="00B36208" w:rsidRPr="00CC1ADD" w:rsidRDefault="00B36208" w:rsidP="00357932">
      <w:pPr>
        <w:jc w:val="center"/>
        <w:rPr>
          <w:rFonts w:ascii="Times New Roman" w:hAnsi="Times New Roman"/>
        </w:rPr>
      </w:pPr>
      <w:r w:rsidRPr="00CC1ADD">
        <w:rPr>
          <w:rFonts w:ascii="Times New Roman" w:hAnsi="Times New Roman"/>
          <w:noProof/>
          <w:lang w:eastAsia="en-AU"/>
        </w:rPr>
        <w:drawing>
          <wp:inline distT="0" distB="0" distL="0" distR="0" wp14:anchorId="456257FF" wp14:editId="33D4CE4A">
            <wp:extent cx="3094942" cy="2856066"/>
            <wp:effectExtent l="0" t="0" r="1905" b="0"/>
            <wp:docPr id="22" name="Picture 22" descr="Figure 5: Image from the HSR System Twitter feed providing a healthy eating mess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email">
                      <a:extLst>
                        <a:ext uri="{28A0092B-C50C-407E-A947-70E740481C1C}">
                          <a14:useLocalDpi xmlns:a14="http://schemas.microsoft.com/office/drawing/2010/main"/>
                        </a:ext>
                      </a:extLst>
                    </a:blip>
                    <a:srcRect/>
                    <a:stretch/>
                  </pic:blipFill>
                  <pic:spPr bwMode="auto">
                    <a:xfrm>
                      <a:off x="0" y="0"/>
                      <a:ext cx="3094942" cy="2856066"/>
                    </a:xfrm>
                    <a:prstGeom prst="rect">
                      <a:avLst/>
                    </a:prstGeom>
                    <a:ln>
                      <a:noFill/>
                    </a:ln>
                    <a:extLst>
                      <a:ext uri="{53640926-AAD7-44D8-BBD7-CCE9431645EC}">
                        <a14:shadowObscured xmlns:a14="http://schemas.microsoft.com/office/drawing/2010/main"/>
                      </a:ext>
                    </a:extLst>
                  </pic:spPr>
                </pic:pic>
              </a:graphicData>
            </a:graphic>
          </wp:inline>
        </w:drawing>
      </w:r>
      <w:r w:rsidRPr="00CC1ADD">
        <w:rPr>
          <w:rFonts w:ascii="Times New Roman" w:hAnsi="Times New Roman"/>
          <w:noProof/>
          <w:lang w:eastAsia="en-AU"/>
        </w:rPr>
        <w:drawing>
          <wp:inline distT="0" distB="0" distL="0" distR="0" wp14:anchorId="0D2168A5" wp14:editId="7E5910E1">
            <wp:extent cx="2933198" cy="2863450"/>
            <wp:effectExtent l="0" t="0" r="0" b="0"/>
            <wp:docPr id="24" name="Picture 24" descr="Figure 5: Image from the HSR System Twitter feed providing a healthy eating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2933198" cy="2863450"/>
                    </a:xfrm>
                    <a:prstGeom prst="rect">
                      <a:avLst/>
                    </a:prstGeom>
                    <a:ln>
                      <a:noFill/>
                    </a:ln>
                    <a:extLst>
                      <a:ext uri="{53640926-AAD7-44D8-BBD7-CCE9431645EC}">
                        <a14:shadowObscured xmlns:a14="http://schemas.microsoft.com/office/drawing/2010/main"/>
                      </a:ext>
                    </a:extLst>
                  </pic:spPr>
                </pic:pic>
              </a:graphicData>
            </a:graphic>
          </wp:inline>
        </w:drawing>
      </w:r>
      <w:r w:rsidRPr="00CC1ADD">
        <w:rPr>
          <w:rFonts w:ascii="Times New Roman" w:hAnsi="Times New Roman"/>
        </w:rPr>
        <w:fldChar w:fldCharType="begin"/>
      </w:r>
      <w:r w:rsidRPr="00CC1ADD">
        <w:rPr>
          <w:rFonts w:ascii="Times New Roman" w:hAnsi="Times New Roman"/>
        </w:rPr>
        <w:instrText xml:space="preserve"> INCLUDEPICTURE "cid:4FAEB610-6B22-41DD-8147-AE87D63EF470" \* MERGEFORMATINET </w:instrText>
      </w:r>
      <w:r w:rsidRPr="00CC1ADD">
        <w:rPr>
          <w:rFonts w:ascii="Times New Roman" w:hAnsi="Times New Roman"/>
        </w:rPr>
        <w:fldChar w:fldCharType="end"/>
      </w:r>
    </w:p>
    <w:p w14:paraId="5408B58B" w14:textId="2F83CC2E" w:rsidR="00B36208" w:rsidRPr="00C84928" w:rsidRDefault="00B36208" w:rsidP="00C84928">
      <w:pPr>
        <w:pStyle w:val="mpcNormal"/>
        <w:keepNext w:val="0"/>
        <w:rPr>
          <w:sz w:val="20"/>
        </w:rPr>
      </w:pPr>
      <w:r w:rsidRPr="00C84928">
        <w:rPr>
          <w:b/>
          <w:sz w:val="20"/>
        </w:rPr>
        <w:t xml:space="preserve">Figure </w:t>
      </w:r>
      <w:r w:rsidR="00357932">
        <w:rPr>
          <w:b/>
          <w:sz w:val="20"/>
        </w:rPr>
        <w:t>5</w:t>
      </w:r>
      <w:r w:rsidRPr="00C84928">
        <w:rPr>
          <w:b/>
          <w:sz w:val="20"/>
        </w:rPr>
        <w:t>:</w:t>
      </w:r>
      <w:r w:rsidRPr="00C84928">
        <w:rPr>
          <w:sz w:val="20"/>
        </w:rPr>
        <w:t xml:space="preserve"> Examples of Twitter communications about the HSR System</w:t>
      </w:r>
      <w:r w:rsidR="00CF0CDF" w:rsidRPr="00C84928">
        <w:rPr>
          <w:sz w:val="20"/>
        </w:rPr>
        <w:t>.</w:t>
      </w:r>
    </w:p>
    <w:p w14:paraId="6D296EA9" w14:textId="77777777" w:rsidR="00B36208" w:rsidRPr="00CC1ADD" w:rsidRDefault="00B36208" w:rsidP="00C84928">
      <w:pPr>
        <w:pStyle w:val="mpcNormal"/>
        <w:keepNext w:val="0"/>
      </w:pPr>
    </w:p>
    <w:p w14:paraId="69872913" w14:textId="38FCFA8D" w:rsidR="00B36208" w:rsidRPr="00CC1ADD" w:rsidRDefault="00B36208" w:rsidP="00C84928">
      <w:pPr>
        <w:pStyle w:val="mpcNormal"/>
        <w:keepNext w:val="0"/>
      </w:pPr>
      <w:r w:rsidRPr="00CC1ADD">
        <w:t>Throughout the campaign, monitoring and evaluations were undertaken to assess the impact of the campaign and to inform adjustments to the campaign materials. Th</w:t>
      </w:r>
      <w:r w:rsidR="00DD0E98">
        <w:t>ese</w:t>
      </w:r>
      <w:r w:rsidRPr="00CC1ADD">
        <w:t xml:space="preserve"> included a number of surveys</w:t>
      </w:r>
      <w:r w:rsidR="00DD0E98">
        <w:t>, each</w:t>
      </w:r>
      <w:r w:rsidRPr="00CC1ADD">
        <w:t xml:space="preserve"> based on a nationally representative sample of </w:t>
      </w:r>
      <w:r w:rsidR="00C8700B" w:rsidRPr="00CC1ADD">
        <w:t>approximately</w:t>
      </w:r>
      <w:r w:rsidRPr="00CC1ADD">
        <w:t xml:space="preserve"> 1</w:t>
      </w:r>
      <w:r w:rsidR="00DD0E98">
        <w:t>,</w:t>
      </w:r>
      <w:r w:rsidRPr="00CC1ADD">
        <w:t>000 main/joint grocery buyers aged 18 years and older across Australia</w:t>
      </w:r>
      <w:r w:rsidR="00955189">
        <w:t>,</w:t>
      </w:r>
      <w:r w:rsidRPr="00CC1ADD">
        <w:t xml:space="preserve"> </w:t>
      </w:r>
      <w:r w:rsidR="00C8700B" w:rsidRPr="00CC1ADD">
        <w:t>including</w:t>
      </w:r>
      <w:r w:rsidRPr="00CC1ADD">
        <w:t xml:space="preserve"> representat</w:t>
      </w:r>
      <w:r w:rsidR="00C8700B" w:rsidRPr="00CC1ADD">
        <w:t>ion from key target groups</w:t>
      </w:r>
      <w:r w:rsidRPr="00CC1ADD">
        <w:t xml:space="preserve">. </w:t>
      </w:r>
    </w:p>
    <w:p w14:paraId="013FBC76" w14:textId="77777777" w:rsidR="00B36208" w:rsidRPr="00CC1ADD" w:rsidRDefault="00B36208" w:rsidP="00C84928">
      <w:pPr>
        <w:pStyle w:val="mpcNormal"/>
        <w:keepNext w:val="0"/>
      </w:pPr>
    </w:p>
    <w:p w14:paraId="052DA654" w14:textId="7AFFB0BF" w:rsidR="00B36208" w:rsidRPr="00CC1ADD" w:rsidRDefault="00B36208" w:rsidP="00C84928">
      <w:pPr>
        <w:pStyle w:val="mpcNormal"/>
        <w:keepNext w:val="0"/>
      </w:pPr>
      <w:r w:rsidRPr="00CC1ADD">
        <w:t xml:space="preserve">The results of campaign evaluations were reported to the HSRAC and </w:t>
      </w:r>
      <w:r w:rsidR="00A84FB4">
        <w:t xml:space="preserve">the </w:t>
      </w:r>
      <w:r w:rsidRPr="00CC1ADD">
        <w:t xml:space="preserve">FRSC and were also made publicly available on the </w:t>
      </w:r>
      <w:hyperlink r:id="rId46" w:history="1">
        <w:r w:rsidRPr="00CC1ADD">
          <w:rPr>
            <w:rStyle w:val="Hyperlink"/>
          </w:rPr>
          <w:t>HSR System website</w:t>
        </w:r>
      </w:hyperlink>
      <w:r w:rsidRPr="00CC1ADD">
        <w:t>.</w:t>
      </w:r>
    </w:p>
    <w:p w14:paraId="4352A57B" w14:textId="77777777" w:rsidR="00B36208" w:rsidRPr="00CC1ADD" w:rsidRDefault="00B36208" w:rsidP="00C84928">
      <w:pPr>
        <w:pStyle w:val="mpcNormal"/>
        <w:keepNext w:val="0"/>
      </w:pPr>
    </w:p>
    <w:p w14:paraId="54A3312A" w14:textId="77777777" w:rsidR="00B36208" w:rsidRPr="00CC1ADD" w:rsidRDefault="00B36208" w:rsidP="00C84928">
      <w:pPr>
        <w:pStyle w:val="mpcNormal"/>
        <w:keepNext w:val="0"/>
      </w:pPr>
      <w:r w:rsidRPr="00CC1ADD">
        <w:t>From 2015 to 2017, the campaign evaluations found that:</w:t>
      </w:r>
    </w:p>
    <w:p w14:paraId="13A1EBCE" w14:textId="77777777" w:rsidR="00B36208" w:rsidRPr="00CC1ADD" w:rsidRDefault="00B36208" w:rsidP="00C84928">
      <w:pPr>
        <w:pStyle w:val="mpcNormal"/>
        <w:keepNext w:val="0"/>
      </w:pPr>
    </w:p>
    <w:p w14:paraId="45E0059E" w14:textId="77777777" w:rsidR="00B36208" w:rsidRPr="00CC1ADD" w:rsidRDefault="00B36208" w:rsidP="00F720A0">
      <w:pPr>
        <w:pStyle w:val="mpcbullets1"/>
      </w:pPr>
      <w:r w:rsidRPr="00CC1ADD">
        <w:t xml:space="preserve">between 18% and 25% of respondents had seen the HSR System campaigns (with awareness levels relatively even across the population) </w:t>
      </w:r>
    </w:p>
    <w:p w14:paraId="3E4458B0" w14:textId="77777777" w:rsidR="00B36208" w:rsidRPr="00CC1ADD" w:rsidRDefault="00B36208" w:rsidP="00F720A0">
      <w:pPr>
        <w:pStyle w:val="mpcbullets1"/>
      </w:pPr>
      <w:r w:rsidRPr="00CC1ADD">
        <w:t>respondents considered the campaign advertisements to be clear, easy to understand and informative</w:t>
      </w:r>
    </w:p>
    <w:p w14:paraId="5F0B2D0E" w14:textId="77777777" w:rsidR="00B36208" w:rsidRPr="00CC1ADD" w:rsidRDefault="00B36208" w:rsidP="00F720A0">
      <w:pPr>
        <w:pStyle w:val="mpcbullets1"/>
      </w:pPr>
      <w:r w:rsidRPr="00CC1ADD">
        <w:t>over 73% (up to 77% in 2017) of respondents who recognised the campaign materials carried out at least one of the behavioural objectives of the campaign: using the HSR in-store and trying to eat healthier being the strongest outcomes.</w:t>
      </w:r>
    </w:p>
    <w:p w14:paraId="4ACC591D" w14:textId="77777777" w:rsidR="00B36208" w:rsidRPr="00CC1ADD" w:rsidRDefault="00B36208">
      <w:pPr>
        <w:pStyle w:val="Default"/>
        <w:rPr>
          <w:rFonts w:asciiTheme="minorHAnsi" w:hAnsiTheme="minorHAnsi" w:cstheme="minorBidi"/>
          <w:color w:val="auto"/>
          <w:sz w:val="22"/>
          <w:szCs w:val="22"/>
          <w:lang w:val="en-AU"/>
        </w:rPr>
      </w:pPr>
    </w:p>
    <w:p w14:paraId="1C837E03" w14:textId="77777777" w:rsidR="00B36208" w:rsidRPr="00CC1ADD"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The most recent evaluation found that messaging should no longer focus on driving awareness (with 75% of grocery shoppers aware of the campaign). Rather, future communications should focus on correct use of the HSR System and correcting areas of confusion and misconceptions, including clarification around:</w:t>
      </w:r>
    </w:p>
    <w:p w14:paraId="7B85EFB6" w14:textId="77777777" w:rsidR="00B36208" w:rsidRPr="00CC1ADD" w:rsidRDefault="00B36208">
      <w:pPr>
        <w:pStyle w:val="Default"/>
        <w:rPr>
          <w:rFonts w:asciiTheme="minorHAnsi" w:hAnsiTheme="minorHAnsi" w:cstheme="minorBidi"/>
          <w:color w:val="auto"/>
          <w:sz w:val="22"/>
          <w:szCs w:val="22"/>
          <w:lang w:val="en-AU"/>
        </w:rPr>
      </w:pPr>
    </w:p>
    <w:p w14:paraId="5C4A02EA" w14:textId="77777777" w:rsidR="00B36208" w:rsidRPr="00CC1ADD" w:rsidRDefault="00B36208" w:rsidP="00F720A0">
      <w:pPr>
        <w:pStyle w:val="mpcbullets1"/>
      </w:pPr>
      <w:r w:rsidRPr="00CC1ADD">
        <w:t>which products can display the HSR, given 41% of respondents agreed that ‘food is healthy if it displays the HSR’ and 35% of respondents agreed that ‘you should only purchase foods with an HSR’</w:t>
      </w:r>
    </w:p>
    <w:p w14:paraId="1E5EB722" w14:textId="77777777" w:rsidR="00B36208" w:rsidRPr="00CC1ADD" w:rsidRDefault="00B36208" w:rsidP="00F720A0">
      <w:pPr>
        <w:pStyle w:val="mpcbullets1"/>
      </w:pPr>
      <w:r w:rsidRPr="00CC1ADD">
        <w:t>how the HSR should be used to compare products within a category, given that 48% of respondents agreed that the HSR ‘makes it easier for me to compare products that are in different sections of the supermarket’.</w:t>
      </w:r>
      <w:r w:rsidRPr="00CC1ADD">
        <w:rPr>
          <w:rStyle w:val="FootnoteReference"/>
          <w:sz w:val="22"/>
        </w:rPr>
        <w:footnoteReference w:id="42"/>
      </w:r>
    </w:p>
    <w:p w14:paraId="32A44AF3" w14:textId="0F13FA31" w:rsidR="00B36208" w:rsidRPr="00CC1ADD" w:rsidRDefault="00B36208">
      <w:pPr>
        <w:pStyle w:val="Default"/>
        <w:rPr>
          <w:rFonts w:asciiTheme="minorHAnsi" w:hAnsiTheme="minorHAnsi" w:cstheme="minorBidi"/>
          <w:color w:val="auto"/>
          <w:sz w:val="22"/>
          <w:szCs w:val="22"/>
          <w:lang w:val="en-AU"/>
        </w:rPr>
      </w:pPr>
    </w:p>
    <w:p w14:paraId="6D52CEEC" w14:textId="4F72CCD4" w:rsidR="00672C60" w:rsidRPr="00672C60" w:rsidRDefault="00340091" w:rsidP="00672C60">
      <w:pPr>
        <w:pStyle w:val="Default"/>
        <w:rPr>
          <w:rFonts w:asciiTheme="minorHAnsi" w:hAnsiTheme="minorHAnsi" w:cstheme="minorBidi"/>
          <w:color w:val="auto"/>
          <w:sz w:val="22"/>
          <w:szCs w:val="22"/>
          <w:lang w:val="en-AU"/>
        </w:rPr>
      </w:pPr>
      <w:r w:rsidRPr="004C4894">
        <w:rPr>
          <w:rFonts w:asciiTheme="minorHAnsi" w:hAnsiTheme="minorHAnsi" w:cstheme="minorBidi"/>
          <w:color w:val="auto"/>
          <w:sz w:val="22"/>
          <w:szCs w:val="22"/>
          <w:lang w:val="en-AU"/>
        </w:rPr>
        <w:t xml:space="preserve">The </w:t>
      </w:r>
      <w:r w:rsidR="004C4894" w:rsidRPr="004C4894">
        <w:rPr>
          <w:rFonts w:asciiTheme="minorHAnsi" w:hAnsiTheme="minorHAnsi" w:cstheme="minorBidi"/>
          <w:color w:val="auto"/>
          <w:sz w:val="22"/>
          <w:szCs w:val="22"/>
          <w:lang w:val="en-AU"/>
        </w:rPr>
        <w:t xml:space="preserve">most </w:t>
      </w:r>
      <w:r w:rsidR="004C4894" w:rsidRPr="00672C60">
        <w:rPr>
          <w:rFonts w:asciiTheme="minorHAnsi" w:hAnsiTheme="minorHAnsi" w:cstheme="minorBidi"/>
          <w:color w:val="auto"/>
          <w:sz w:val="22"/>
          <w:szCs w:val="22"/>
          <w:lang w:val="en-AU"/>
        </w:rPr>
        <w:t xml:space="preserve">recent phase of the </w:t>
      </w:r>
      <w:r w:rsidRPr="00672C60">
        <w:rPr>
          <w:rFonts w:asciiTheme="minorHAnsi" w:hAnsiTheme="minorHAnsi" w:cstheme="minorBidi"/>
          <w:color w:val="auto"/>
          <w:sz w:val="22"/>
          <w:szCs w:val="22"/>
          <w:lang w:val="en-AU"/>
        </w:rPr>
        <w:t>campaign commenc</w:t>
      </w:r>
      <w:r w:rsidR="0097756D" w:rsidRPr="00672C60">
        <w:rPr>
          <w:rFonts w:asciiTheme="minorHAnsi" w:hAnsiTheme="minorHAnsi" w:cstheme="minorBidi"/>
          <w:color w:val="auto"/>
          <w:sz w:val="22"/>
          <w:szCs w:val="22"/>
          <w:lang w:val="en-AU"/>
        </w:rPr>
        <w:t>ed</w:t>
      </w:r>
      <w:r w:rsidRPr="00672C60">
        <w:rPr>
          <w:rFonts w:asciiTheme="minorHAnsi" w:hAnsiTheme="minorHAnsi" w:cstheme="minorBidi"/>
          <w:color w:val="auto"/>
          <w:sz w:val="22"/>
          <w:szCs w:val="22"/>
          <w:lang w:val="en-AU"/>
        </w:rPr>
        <w:t xml:space="preserve"> in </w:t>
      </w:r>
      <w:r w:rsidR="0097756D" w:rsidRPr="00672C60">
        <w:rPr>
          <w:rFonts w:asciiTheme="minorHAnsi" w:hAnsiTheme="minorHAnsi" w:cstheme="minorBidi"/>
          <w:color w:val="auto"/>
          <w:sz w:val="22"/>
          <w:szCs w:val="22"/>
          <w:lang w:val="en-AU"/>
        </w:rPr>
        <w:t xml:space="preserve">February </w:t>
      </w:r>
      <w:r w:rsidRPr="00672C60">
        <w:rPr>
          <w:rFonts w:asciiTheme="minorHAnsi" w:hAnsiTheme="minorHAnsi" w:cstheme="minorBidi"/>
          <w:color w:val="auto"/>
          <w:sz w:val="22"/>
          <w:szCs w:val="22"/>
          <w:lang w:val="en-AU"/>
        </w:rPr>
        <w:t>2019</w:t>
      </w:r>
      <w:r w:rsidR="00C8700B" w:rsidRPr="00672C60">
        <w:rPr>
          <w:rFonts w:asciiTheme="minorHAnsi" w:hAnsiTheme="minorHAnsi" w:cstheme="minorBidi"/>
          <w:color w:val="auto"/>
          <w:sz w:val="22"/>
          <w:szCs w:val="22"/>
          <w:lang w:val="en-AU"/>
        </w:rPr>
        <w:t xml:space="preserve"> </w:t>
      </w:r>
      <w:r w:rsidR="004C4894" w:rsidRPr="00672C60">
        <w:rPr>
          <w:rFonts w:asciiTheme="minorHAnsi" w:hAnsiTheme="minorHAnsi" w:cstheme="minorBidi"/>
          <w:color w:val="auto"/>
          <w:sz w:val="22"/>
          <w:szCs w:val="22"/>
          <w:lang w:val="en-AU"/>
        </w:rPr>
        <w:t xml:space="preserve">and </w:t>
      </w:r>
      <w:r w:rsidR="00C8700B" w:rsidRPr="00672C60">
        <w:rPr>
          <w:rFonts w:asciiTheme="minorHAnsi" w:hAnsiTheme="minorHAnsi" w:cstheme="minorBidi"/>
          <w:color w:val="auto"/>
          <w:sz w:val="22"/>
          <w:szCs w:val="22"/>
          <w:lang w:val="en-AU"/>
        </w:rPr>
        <w:t>aim</w:t>
      </w:r>
      <w:r w:rsidR="00A648C4" w:rsidRPr="00672C60">
        <w:rPr>
          <w:rFonts w:asciiTheme="minorHAnsi" w:hAnsiTheme="minorHAnsi" w:cstheme="minorBidi"/>
          <w:color w:val="auto"/>
          <w:sz w:val="22"/>
          <w:szCs w:val="22"/>
          <w:lang w:val="en-AU"/>
        </w:rPr>
        <w:t>s</w:t>
      </w:r>
      <w:r w:rsidRPr="00672C60">
        <w:rPr>
          <w:rFonts w:asciiTheme="minorHAnsi" w:hAnsiTheme="minorHAnsi" w:cstheme="minorBidi"/>
          <w:color w:val="auto"/>
          <w:sz w:val="22"/>
          <w:szCs w:val="22"/>
          <w:lang w:val="en-AU"/>
        </w:rPr>
        <w:t xml:space="preserve"> to address these misconceptions.</w:t>
      </w:r>
      <w:r w:rsidR="00672C60" w:rsidRPr="00672C60">
        <w:rPr>
          <w:rFonts w:asciiTheme="minorHAnsi" w:hAnsiTheme="minorHAnsi" w:cstheme="minorBidi"/>
          <w:color w:val="auto"/>
          <w:sz w:val="22"/>
          <w:szCs w:val="22"/>
          <w:lang w:val="en-AU"/>
        </w:rPr>
        <w:t xml:space="preserve"> The advertisements will be accompanied by media kits available to industry, public health and consumer groups so that the key messages can be reinforced by these groups. </w:t>
      </w:r>
    </w:p>
    <w:p w14:paraId="69AA44ED" w14:textId="77777777" w:rsidR="00340091" w:rsidRPr="00CC1ADD" w:rsidRDefault="00340091">
      <w:pPr>
        <w:pStyle w:val="Default"/>
        <w:rPr>
          <w:rFonts w:asciiTheme="minorHAnsi" w:hAnsiTheme="minorHAnsi" w:cstheme="minorBidi"/>
          <w:color w:val="auto"/>
          <w:sz w:val="22"/>
          <w:szCs w:val="22"/>
          <w:lang w:val="en-AU"/>
        </w:rPr>
      </w:pPr>
    </w:p>
    <w:p w14:paraId="63DC1D93" w14:textId="77777777" w:rsidR="00B36208" w:rsidRPr="00CC1ADD" w:rsidRDefault="00B36208">
      <w:pPr>
        <w:pStyle w:val="mpcheading3"/>
      </w:pPr>
      <w:r w:rsidRPr="00CC1ADD">
        <w:t xml:space="preserve">New Zealand </w:t>
      </w:r>
    </w:p>
    <w:p w14:paraId="3E32F2A9" w14:textId="77777777" w:rsidR="007F7F96" w:rsidRPr="00CC1ADD" w:rsidRDefault="007F7F96" w:rsidP="00C84928">
      <w:pPr>
        <w:pStyle w:val="mpcNormal"/>
        <w:keepNext w:val="0"/>
      </w:pPr>
    </w:p>
    <w:p w14:paraId="0E676D51" w14:textId="346C201C" w:rsidR="00B36208" w:rsidRPr="00CC1ADD" w:rsidRDefault="00B36208" w:rsidP="00C84928">
      <w:pPr>
        <w:pStyle w:val="mpcNormal"/>
        <w:keepNext w:val="0"/>
      </w:pPr>
      <w:r w:rsidRPr="00CC1ADD">
        <w:t xml:space="preserve">In New Zealand, a separate HSR System campaign was developed by the </w:t>
      </w:r>
      <w:r w:rsidR="00656682" w:rsidRPr="00CC1ADD">
        <w:t>HPA</w:t>
      </w:r>
      <w:r w:rsidRPr="00CC1ADD">
        <w:t>, commencing in March 2016</w:t>
      </w:r>
      <w:r w:rsidR="00B21062">
        <w:t xml:space="preserve">. </w:t>
      </w:r>
      <w:r w:rsidRPr="00CC1ADD">
        <w:t xml:space="preserve">The </w:t>
      </w:r>
      <w:r w:rsidR="00656682" w:rsidRPr="00CC1ADD">
        <w:t>first phase</w:t>
      </w:r>
      <w:r w:rsidRPr="00CC1ADD">
        <w:t xml:space="preserve"> of the campaign </w:t>
      </w:r>
      <w:r w:rsidR="00656682" w:rsidRPr="00CC1ADD">
        <w:t>featured</w:t>
      </w:r>
      <w:r w:rsidRPr="00CC1ADD">
        <w:t xml:space="preserve"> a series of videos </w:t>
      </w:r>
      <w:r w:rsidR="00DD0E98" w:rsidRPr="00CC1ADD">
        <w:t xml:space="preserve">playing as advertisements on TV-on-demand web channels and </w:t>
      </w:r>
      <w:hyperlink r:id="rId47" w:history="1">
        <w:r w:rsidR="00DD0E98" w:rsidRPr="00CC1ADD">
          <w:rPr>
            <w:rStyle w:val="Hyperlink"/>
          </w:rPr>
          <w:t>YouTube</w:t>
        </w:r>
      </w:hyperlink>
      <w:r w:rsidR="00DD0E98">
        <w:rPr>
          <w:rStyle w:val="Hyperlink"/>
        </w:rPr>
        <w:t xml:space="preserve"> </w:t>
      </w:r>
      <w:r w:rsidRPr="00CC1ADD">
        <w:t>depicting animated breakfast cereal boxes.</w:t>
      </w:r>
      <w:r w:rsidRPr="00CC1ADD">
        <w:rPr>
          <w:rStyle w:val="FootnoteReference"/>
          <w:sz w:val="22"/>
        </w:rPr>
        <w:footnoteReference w:id="43"/>
      </w:r>
      <w:r w:rsidR="00656682" w:rsidRPr="00CC1ADD">
        <w:t xml:space="preserve"> The final phase </w:t>
      </w:r>
      <w:r w:rsidR="00141A52">
        <w:t>from</w:t>
      </w:r>
      <w:r w:rsidR="00656682" w:rsidRPr="00CC1ADD">
        <w:t xml:space="preserve"> late 2017</w:t>
      </w:r>
      <w:r w:rsidR="00141A52">
        <w:t xml:space="preserve"> to </w:t>
      </w:r>
      <w:r w:rsidR="00656682" w:rsidRPr="00CC1ADD">
        <w:t xml:space="preserve">early 2018 </w:t>
      </w:r>
      <w:r w:rsidR="00DD0E98">
        <w:t>included</w:t>
      </w:r>
      <w:r w:rsidR="00DD0E98" w:rsidRPr="00CC1ADD">
        <w:t xml:space="preserve"> </w:t>
      </w:r>
      <w:r w:rsidR="00656682" w:rsidRPr="00CC1ADD">
        <w:t xml:space="preserve">television advertisements </w:t>
      </w:r>
      <w:r w:rsidR="00DD0E98">
        <w:t>featuring</w:t>
      </w:r>
      <w:r w:rsidR="00656682" w:rsidRPr="00CC1ADD">
        <w:t xml:space="preserve"> the animated breakfast cereal boxes from the online clips in the earlier phases. The early phases of the campaign aimed to set the scene, engage key stakeholders and initiate public awareness, whilst the later phase aimed to increase trust in the System.</w:t>
      </w:r>
    </w:p>
    <w:p w14:paraId="30D978E5" w14:textId="77777777" w:rsidR="00B36208" w:rsidRPr="00CC1ADD" w:rsidRDefault="00B36208" w:rsidP="00C84928">
      <w:pPr>
        <w:pStyle w:val="mpcNormal"/>
        <w:keepNext w:val="0"/>
      </w:pPr>
    </w:p>
    <w:p w14:paraId="21FFB313" w14:textId="77777777" w:rsidR="00B36208" w:rsidRPr="00CC1ADD" w:rsidRDefault="00B36208" w:rsidP="00C84928">
      <w:pPr>
        <w:pStyle w:val="mpcNormal"/>
        <w:keepNext w:val="0"/>
      </w:pPr>
      <w:r w:rsidRPr="00CC1ADD">
        <w:t>The campaign also included:</w:t>
      </w:r>
    </w:p>
    <w:p w14:paraId="6985971F" w14:textId="77777777" w:rsidR="00B36208" w:rsidRPr="00CC1ADD" w:rsidRDefault="00B36208" w:rsidP="00C84928">
      <w:pPr>
        <w:pStyle w:val="mpcNormal"/>
        <w:keepNext w:val="0"/>
      </w:pPr>
    </w:p>
    <w:p w14:paraId="45037B72" w14:textId="77777777" w:rsidR="00B36208" w:rsidRPr="00CC1ADD" w:rsidRDefault="00B36208" w:rsidP="00F720A0">
      <w:pPr>
        <w:pStyle w:val="mpcbullets1"/>
      </w:pPr>
      <w:r w:rsidRPr="00CC1ADD">
        <w:t>posters in bus shelters in Auckland, Wellington and Christchurch</w:t>
      </w:r>
    </w:p>
    <w:p w14:paraId="31A38F91" w14:textId="77777777" w:rsidR="00B36208" w:rsidRPr="00CC1ADD" w:rsidRDefault="00B36208" w:rsidP="00F720A0">
      <w:pPr>
        <w:pStyle w:val="mpcbullets1"/>
      </w:pPr>
      <w:r w:rsidRPr="00CC1ADD">
        <w:t>vertical fins and floor banners in the cereal aisle of Countdown stores in 174 stores for one month and in 50 stores for approximately three months</w:t>
      </w:r>
    </w:p>
    <w:p w14:paraId="6AC78EA1" w14:textId="77777777" w:rsidR="00B36208" w:rsidRPr="00CC1ADD" w:rsidRDefault="00B36208" w:rsidP="00F720A0">
      <w:pPr>
        <w:pStyle w:val="mpcbullets1"/>
      </w:pPr>
      <w:r w:rsidRPr="00CC1ADD">
        <w:t>a targeted digital mailer to New World shoppers</w:t>
      </w:r>
    </w:p>
    <w:p w14:paraId="04B7B858" w14:textId="77777777" w:rsidR="00B36208" w:rsidRPr="00CC1ADD" w:rsidRDefault="00B36208" w:rsidP="00F720A0">
      <w:pPr>
        <w:pStyle w:val="mpcbullets1"/>
      </w:pPr>
      <w:r w:rsidRPr="00CC1ADD">
        <w:t>advertisements in Countdown’s household grocery mailers (over three months)</w:t>
      </w:r>
    </w:p>
    <w:p w14:paraId="1727B335" w14:textId="77777777" w:rsidR="00B36208" w:rsidRPr="00CC1ADD" w:rsidRDefault="00B36208" w:rsidP="00F720A0">
      <w:pPr>
        <w:pStyle w:val="mpcbullets1"/>
      </w:pPr>
      <w:r w:rsidRPr="00CC1ADD">
        <w:t>cinema advertising through Val Morgan for three weeks</w:t>
      </w:r>
    </w:p>
    <w:p w14:paraId="6912A44F" w14:textId="77777777" w:rsidR="00B36208" w:rsidRPr="00CC1ADD" w:rsidRDefault="00B36208" w:rsidP="00F720A0">
      <w:pPr>
        <w:pStyle w:val="mpcbullets1"/>
      </w:pPr>
      <w:r w:rsidRPr="00CC1ADD">
        <w:t>in-store radio advertisements</w:t>
      </w:r>
    </w:p>
    <w:p w14:paraId="0B36636A" w14:textId="77777777" w:rsidR="00B36208" w:rsidRPr="00CC1ADD" w:rsidRDefault="00B36208" w:rsidP="00F720A0">
      <w:pPr>
        <w:pStyle w:val="mpcbullets1"/>
      </w:pPr>
      <w:r w:rsidRPr="00CC1ADD">
        <w:t>online shopping web banners and bag inserts.</w:t>
      </w:r>
    </w:p>
    <w:p w14:paraId="40907E86" w14:textId="77777777" w:rsidR="00B36208" w:rsidRPr="00CC1ADD" w:rsidRDefault="00B36208" w:rsidP="00C84928">
      <w:pPr>
        <w:pStyle w:val="mpcNormal"/>
        <w:keepNext w:val="0"/>
      </w:pPr>
    </w:p>
    <w:p w14:paraId="0252AA2F" w14:textId="6632828B" w:rsidR="00B36208" w:rsidRPr="00CC1ADD" w:rsidRDefault="00B36208" w:rsidP="00C84928">
      <w:pPr>
        <w:pStyle w:val="mpcNormal"/>
        <w:keepNext w:val="0"/>
      </w:pPr>
      <w:r w:rsidRPr="00CC1ADD">
        <w:t>Key messages from the New Zealand campaigns were:</w:t>
      </w:r>
    </w:p>
    <w:p w14:paraId="3AC6EEEE" w14:textId="77777777" w:rsidR="00CF0CDF" w:rsidRPr="00CC1ADD" w:rsidRDefault="00CF0CDF" w:rsidP="00C84928">
      <w:pPr>
        <w:pStyle w:val="mpcNormal"/>
        <w:keepNext w:val="0"/>
      </w:pPr>
    </w:p>
    <w:tbl>
      <w:tblPr>
        <w:tblStyle w:val="TableGrid"/>
        <w:tblW w:w="0" w:type="auto"/>
        <w:tblLook w:val="04A0" w:firstRow="1" w:lastRow="0" w:firstColumn="1" w:lastColumn="0" w:noHBand="0" w:noVBand="1"/>
      </w:tblPr>
      <w:tblGrid>
        <w:gridCol w:w="9736"/>
      </w:tblGrid>
      <w:tr w:rsidR="00CF0CDF" w:rsidRPr="00CC1ADD" w14:paraId="0B0BDCDD" w14:textId="77777777" w:rsidTr="00D81AD0">
        <w:trPr>
          <w:trHeight w:val="1698"/>
        </w:trPr>
        <w:tc>
          <w:tcPr>
            <w:tcW w:w="9736" w:type="dxa"/>
            <w:tcBorders>
              <w:top w:val="nil"/>
              <w:left w:val="nil"/>
              <w:bottom w:val="nil"/>
              <w:right w:val="nil"/>
            </w:tcBorders>
            <w:shd w:val="clear" w:color="auto" w:fill="D9E2F3" w:themeFill="accent1" w:themeFillTint="33"/>
            <w:vAlign w:val="center"/>
          </w:tcPr>
          <w:p w14:paraId="233ADF0B" w14:textId="77777777" w:rsidR="00CF0CDF" w:rsidRPr="00C84928" w:rsidRDefault="00CF0CDF" w:rsidP="00D81AD0">
            <w:pPr>
              <w:pStyle w:val="mpcNormal"/>
              <w:keepNext w:val="0"/>
              <w:spacing w:line="360" w:lineRule="auto"/>
              <w:ind w:left="720"/>
              <w:rPr>
                <w:i/>
              </w:rPr>
            </w:pPr>
            <w:r w:rsidRPr="00C84928">
              <w:rPr>
                <w:i/>
              </w:rPr>
              <w:t>The more stars the healthier the food.</w:t>
            </w:r>
          </w:p>
          <w:p w14:paraId="1558523D" w14:textId="77777777" w:rsidR="00CF0CDF" w:rsidRPr="00C84928" w:rsidRDefault="00CF0CDF" w:rsidP="00D81AD0">
            <w:pPr>
              <w:pStyle w:val="mpcNormal"/>
              <w:keepNext w:val="0"/>
              <w:spacing w:line="360" w:lineRule="auto"/>
              <w:ind w:left="720"/>
              <w:rPr>
                <w:i/>
              </w:rPr>
            </w:pPr>
            <w:r w:rsidRPr="00C84928">
              <w:rPr>
                <w:i/>
              </w:rPr>
              <w:t>The stars come from independent food experts.</w:t>
            </w:r>
          </w:p>
          <w:p w14:paraId="56818922" w14:textId="77777777" w:rsidR="00CF0CDF" w:rsidRPr="00C84928" w:rsidRDefault="00CF0CDF" w:rsidP="00D81AD0">
            <w:pPr>
              <w:pStyle w:val="mpcNormal"/>
              <w:keepNext w:val="0"/>
              <w:spacing w:line="360" w:lineRule="auto"/>
              <w:ind w:left="720"/>
              <w:rPr>
                <w:i/>
              </w:rPr>
            </w:pPr>
            <w:r w:rsidRPr="00C84928">
              <w:rPr>
                <w:i/>
              </w:rPr>
              <w:t>Stars give an indication of how healthy the ingredients of the food are.</w:t>
            </w:r>
          </w:p>
          <w:p w14:paraId="3DDAB984" w14:textId="7CC8F188" w:rsidR="00CF0CDF" w:rsidRPr="00CC1ADD" w:rsidRDefault="00CF0CDF" w:rsidP="00D81AD0">
            <w:pPr>
              <w:pStyle w:val="mpcNormal"/>
              <w:keepNext w:val="0"/>
              <w:spacing w:line="360" w:lineRule="auto"/>
              <w:ind w:left="720"/>
            </w:pPr>
            <w:r w:rsidRPr="00C84928">
              <w:rPr>
                <w:i/>
              </w:rPr>
              <w:t>Healthier is easy when you look for the stars.</w:t>
            </w:r>
          </w:p>
        </w:tc>
      </w:tr>
    </w:tbl>
    <w:p w14:paraId="6F35AB7A" w14:textId="77777777" w:rsidR="00B36208" w:rsidRPr="00CC1ADD" w:rsidRDefault="00B36208" w:rsidP="00C84928">
      <w:pPr>
        <w:pStyle w:val="mpcNormal"/>
        <w:keepNext w:val="0"/>
      </w:pPr>
    </w:p>
    <w:p w14:paraId="616F2E69" w14:textId="5E57EFD4" w:rsidR="00123A09" w:rsidRPr="00CC1ADD" w:rsidRDefault="00123A09" w:rsidP="00357932">
      <w:pPr>
        <w:pStyle w:val="mpcNormal"/>
        <w:keepNext w:val="0"/>
        <w:jc w:val="center"/>
      </w:pPr>
      <w:r w:rsidRPr="00CC1ADD">
        <w:rPr>
          <w:rFonts w:ascii="Times New Roman" w:hAnsi="Times New Roman" w:cs="Times New Roman"/>
          <w:b/>
          <w:noProof/>
          <w:lang w:eastAsia="en-AU"/>
        </w:rPr>
        <w:drawing>
          <wp:inline distT="0" distB="0" distL="0" distR="0" wp14:anchorId="0154567A" wp14:editId="662CEB7A">
            <wp:extent cx="1923608" cy="2510472"/>
            <wp:effectExtent l="0" t="0" r="0" b="4445"/>
            <wp:docPr id="5" name="Picture 5" descr="Figure 6: Example of campaign print to promote Health Star Rating system in New Zea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rettj\AppData\Local\Microsoft\Windows\Temporary Internet Files\Content.Outlook\C1WBBPYO\Health Promo Agency - Healfy Bits - Metrolite - QTY 6-LR.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1980034" cy="2584112"/>
                    </a:xfrm>
                    <a:prstGeom prst="rect">
                      <a:avLst/>
                    </a:prstGeom>
                    <a:noFill/>
                    <a:ln>
                      <a:noFill/>
                    </a:ln>
                  </pic:spPr>
                </pic:pic>
              </a:graphicData>
            </a:graphic>
          </wp:inline>
        </w:drawing>
      </w:r>
      <w:r w:rsidRPr="00CC1ADD">
        <w:rPr>
          <w:rFonts w:ascii="Times New Roman" w:hAnsi="Times New Roman" w:cs="Times New Roman"/>
          <w:b/>
          <w:noProof/>
          <w:lang w:eastAsia="en-AU"/>
        </w:rPr>
        <w:drawing>
          <wp:inline distT="0" distB="0" distL="0" distR="0" wp14:anchorId="08A32A6E" wp14:editId="04F56E2D">
            <wp:extent cx="2168012" cy="2484409"/>
            <wp:effectExtent l="0" t="0" r="3810" b="5080"/>
            <wp:docPr id="7" name="Picture 7" descr="Figure 6: Web tile used to promote the Health Star Rating system in New Zea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rettj\AppData\Local\Microsoft\Windows\Temporary Internet Files\Content.Outlook\EOIFCQU1\web tile 1.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187233" cy="2506435"/>
                    </a:xfrm>
                    <a:prstGeom prst="rect">
                      <a:avLst/>
                    </a:prstGeom>
                    <a:noFill/>
                    <a:ln>
                      <a:noFill/>
                    </a:ln>
                  </pic:spPr>
                </pic:pic>
              </a:graphicData>
            </a:graphic>
          </wp:inline>
        </w:drawing>
      </w:r>
      <w:r w:rsidRPr="00CC1ADD">
        <w:rPr>
          <w:noProof/>
          <w:lang w:eastAsia="en-AU"/>
        </w:rPr>
        <w:drawing>
          <wp:inline distT="0" distB="0" distL="0" distR="0" wp14:anchorId="5FE7BF3D" wp14:editId="2590B091">
            <wp:extent cx="2510909" cy="2016465"/>
            <wp:effectExtent l="6032" t="0" r="0" b="0"/>
            <wp:docPr id="10" name="Picture 10" descr="Figure 6: Picture of vertical fin and floor banner in the cereal aisle of a Countdown store in New Zea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brettj\AppData\Local\Microsoft\Windows\Temporary Internet Files\Content.Outlook\C1WBBPYO\HSR floor decal in store.jpg"/>
                    <pic:cNvPicPr>
                      <a:picLocks noChangeAspect="1" noChangeArrowheads="1"/>
                    </pic:cNvPicPr>
                  </pic:nvPicPr>
                  <pic:blipFill rotWithShape="1">
                    <a:blip r:embed="rId50" cstate="email">
                      <a:extLst>
                        <a:ext uri="{28A0092B-C50C-407E-A947-70E740481C1C}">
                          <a14:useLocalDpi xmlns:a14="http://schemas.microsoft.com/office/drawing/2010/main"/>
                        </a:ext>
                      </a:extLst>
                    </a:blip>
                    <a:srcRect l="5357"/>
                    <a:stretch/>
                  </pic:blipFill>
                  <pic:spPr bwMode="auto">
                    <a:xfrm rot="5400000">
                      <a:off x="0" y="0"/>
                      <a:ext cx="2511307" cy="2016785"/>
                    </a:xfrm>
                    <a:prstGeom prst="rect">
                      <a:avLst/>
                    </a:prstGeom>
                    <a:noFill/>
                    <a:ln>
                      <a:noFill/>
                    </a:ln>
                    <a:extLst>
                      <a:ext uri="{53640926-AAD7-44D8-BBD7-CCE9431645EC}">
                        <a14:shadowObscured xmlns:a14="http://schemas.microsoft.com/office/drawing/2010/main"/>
                      </a:ext>
                    </a:extLst>
                  </pic:spPr>
                </pic:pic>
              </a:graphicData>
            </a:graphic>
          </wp:inline>
        </w:drawing>
      </w:r>
    </w:p>
    <w:p w14:paraId="7F7903AC" w14:textId="6B0F5C50" w:rsidR="00F904AA" w:rsidRPr="000A22C3" w:rsidRDefault="00F904AA" w:rsidP="000A22C3">
      <w:pPr>
        <w:pStyle w:val="mpcNormal"/>
        <w:keepNext w:val="0"/>
        <w:rPr>
          <w:sz w:val="20"/>
        </w:rPr>
      </w:pPr>
      <w:r w:rsidRPr="000A22C3">
        <w:rPr>
          <w:b/>
          <w:sz w:val="20"/>
        </w:rPr>
        <w:t xml:space="preserve">Figure </w:t>
      </w:r>
      <w:r w:rsidR="00357932">
        <w:rPr>
          <w:b/>
          <w:sz w:val="20"/>
        </w:rPr>
        <w:t>6</w:t>
      </w:r>
      <w:r w:rsidRPr="000A22C3">
        <w:rPr>
          <w:b/>
          <w:sz w:val="20"/>
        </w:rPr>
        <w:t>:</w:t>
      </w:r>
      <w:r w:rsidRPr="000A22C3">
        <w:rPr>
          <w:sz w:val="20"/>
        </w:rPr>
        <w:t xml:space="preserve"> Examples of campaign print, web tiles and out of home advertising in New Zealand.</w:t>
      </w:r>
    </w:p>
    <w:p w14:paraId="14298483" w14:textId="77777777" w:rsidR="00F904AA" w:rsidRPr="00CC1ADD" w:rsidRDefault="00F904AA" w:rsidP="000A22C3">
      <w:pPr>
        <w:pStyle w:val="mpcNormal"/>
        <w:keepNext w:val="0"/>
      </w:pPr>
    </w:p>
    <w:p w14:paraId="08033579" w14:textId="010018B6" w:rsidR="00B36208" w:rsidRPr="00CC1ADD" w:rsidRDefault="00B36208" w:rsidP="00C84928">
      <w:pPr>
        <w:pStyle w:val="mpcNormal"/>
        <w:keepNext w:val="0"/>
      </w:pPr>
      <w:r w:rsidRPr="00CC1ADD">
        <w:t xml:space="preserve">Ongoing evaluations of the campaigns were undertaken, relying on surveys </w:t>
      </w:r>
      <w:r w:rsidR="00DD0E98">
        <w:t xml:space="preserve">each </w:t>
      </w:r>
      <w:r w:rsidRPr="00CC1ADD">
        <w:t>representing a cross section of over 1</w:t>
      </w:r>
      <w:r w:rsidR="00DD0E98">
        <w:t>,</w:t>
      </w:r>
      <w:r w:rsidRPr="00CC1ADD">
        <w:t>600 New Zealand consumers. A baseline survey was conducted in 2015 with two follow up waves in 2016 and 2018. All three waves monitored awareness, recognition, understanding and correct use of the HSR System. The 2016 and 2018 survey waves also measured perceptions and possible impacts of the HSR System campaign.</w:t>
      </w:r>
      <w:r w:rsidR="00A84FB4">
        <w:t xml:space="preserve"> Evaluations are available on the </w:t>
      </w:r>
      <w:hyperlink r:id="rId51" w:history="1">
        <w:r w:rsidR="00A84FB4" w:rsidRPr="00A84FB4">
          <w:rPr>
            <w:rStyle w:val="Hyperlink"/>
          </w:rPr>
          <w:t>MPI website</w:t>
        </w:r>
      </w:hyperlink>
      <w:r w:rsidR="00A84FB4">
        <w:t>.</w:t>
      </w:r>
    </w:p>
    <w:p w14:paraId="7E2705DF" w14:textId="77777777" w:rsidR="00B36208" w:rsidRPr="00CC1ADD" w:rsidRDefault="00B36208" w:rsidP="00C84928">
      <w:pPr>
        <w:pStyle w:val="mpcNormal"/>
        <w:keepNext w:val="0"/>
      </w:pPr>
    </w:p>
    <w:p w14:paraId="3A192E94" w14:textId="77777777" w:rsidR="00B36208" w:rsidRPr="00CC1ADD" w:rsidRDefault="00B36208" w:rsidP="00C84928">
      <w:pPr>
        <w:pStyle w:val="mpcNormal"/>
        <w:keepNext w:val="0"/>
      </w:pPr>
      <w:r w:rsidRPr="00CC1ADD">
        <w:t>Some of the key findings from the most recent evaluation of the campaign impacts include:</w:t>
      </w:r>
    </w:p>
    <w:p w14:paraId="731CB343" w14:textId="77777777" w:rsidR="00B36208" w:rsidRPr="00CC1ADD" w:rsidRDefault="00B36208" w:rsidP="00C84928">
      <w:pPr>
        <w:pStyle w:val="mpcNormal"/>
        <w:keepNext w:val="0"/>
      </w:pPr>
    </w:p>
    <w:p w14:paraId="2F1606D4" w14:textId="77777777" w:rsidR="00B36208" w:rsidRPr="00CC1ADD" w:rsidRDefault="00B36208" w:rsidP="00C84928">
      <w:pPr>
        <w:pStyle w:val="mpcNormal"/>
        <w:keepNext w:val="0"/>
        <w:numPr>
          <w:ilvl w:val="0"/>
          <w:numId w:val="13"/>
        </w:numPr>
      </w:pPr>
      <w:r w:rsidRPr="00CC1ADD">
        <w:t>respondents who had seen the 2018 campaign had higher levels of awareness, use, trust and understanding of the HSR System and generally found the System easier to use than respondents who had not seen the campaign</w:t>
      </w:r>
    </w:p>
    <w:p w14:paraId="7B10C5A9" w14:textId="77777777" w:rsidR="00B36208" w:rsidRPr="00CC1ADD" w:rsidRDefault="00B36208" w:rsidP="00C84928">
      <w:pPr>
        <w:pStyle w:val="mpcNormal"/>
        <w:keepNext w:val="0"/>
        <w:numPr>
          <w:ilvl w:val="0"/>
          <w:numId w:val="13"/>
        </w:numPr>
      </w:pPr>
      <w:r w:rsidRPr="00CC1ADD">
        <w:t>when asked what the campaign advertising was trying to tell them, responses indicated that the majority of respondents broadly understood the key messages about the System (noting some specific areas of confusion highlighted below)</w:t>
      </w:r>
    </w:p>
    <w:p w14:paraId="4D7BCBA5" w14:textId="61B16ABC" w:rsidR="00B36208" w:rsidRPr="00CC1ADD" w:rsidRDefault="00B36208" w:rsidP="00C84928">
      <w:pPr>
        <w:pStyle w:val="mpcNormal"/>
        <w:keepNext w:val="0"/>
        <w:numPr>
          <w:ilvl w:val="0"/>
          <w:numId w:val="13"/>
        </w:numPr>
      </w:pPr>
      <w:r w:rsidRPr="00CC1ADD">
        <w:t>amongst low income shoppers, those who ha</w:t>
      </w:r>
      <w:r w:rsidR="0097756D">
        <w:t>d</w:t>
      </w:r>
      <w:r w:rsidRPr="00CC1ADD">
        <w:t xml:space="preserve"> seen the campaign advertising </w:t>
      </w:r>
      <w:r w:rsidR="0097756D">
        <w:t>were</w:t>
      </w:r>
      <w:r w:rsidR="0097756D" w:rsidRPr="00CC1ADD">
        <w:t xml:space="preserve"> </w:t>
      </w:r>
      <w:r w:rsidRPr="00CC1ADD">
        <w:t>more likely to check whether packaged food is healthy compared with those who ha</w:t>
      </w:r>
      <w:r w:rsidR="0097756D">
        <w:t>d</w:t>
      </w:r>
      <w:r w:rsidRPr="00CC1ADD">
        <w:t xml:space="preserve"> not seen the campaign. </w:t>
      </w:r>
    </w:p>
    <w:p w14:paraId="21405E79" w14:textId="77777777" w:rsidR="00B36208" w:rsidRPr="00CC1ADD" w:rsidRDefault="00B36208" w:rsidP="00C84928">
      <w:pPr>
        <w:pStyle w:val="mpcNormal"/>
        <w:keepNext w:val="0"/>
      </w:pPr>
    </w:p>
    <w:p w14:paraId="3D750027" w14:textId="77777777" w:rsidR="00B36208" w:rsidRPr="00CC1ADD" w:rsidRDefault="00B36208" w:rsidP="005A3631">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The evaluation further highlighted some areas of confusion that could be clarified by future communication around the HSR System, including:</w:t>
      </w:r>
    </w:p>
    <w:p w14:paraId="4C93BAD9" w14:textId="77777777" w:rsidR="00B36208" w:rsidRPr="00CC1ADD" w:rsidRDefault="00B36208">
      <w:pPr>
        <w:pStyle w:val="Default"/>
        <w:rPr>
          <w:rFonts w:asciiTheme="minorHAnsi" w:hAnsiTheme="minorHAnsi" w:cstheme="minorBidi"/>
          <w:color w:val="auto"/>
          <w:sz w:val="22"/>
          <w:szCs w:val="22"/>
          <w:lang w:val="en-AU"/>
        </w:rPr>
      </w:pPr>
    </w:p>
    <w:p w14:paraId="5A73F923" w14:textId="55433A32" w:rsidR="00B36208" w:rsidRPr="00CC1ADD" w:rsidRDefault="00B36208" w:rsidP="00F720A0">
      <w:pPr>
        <w:pStyle w:val="mpcbullets1"/>
      </w:pPr>
      <w:r w:rsidRPr="00CC1ADD">
        <w:t xml:space="preserve">reinforcing that the HSR System was developed by government with industry and public health, given that only </w:t>
      </w:r>
      <w:r w:rsidR="004F6651" w:rsidRPr="00CC1ADD">
        <w:t>2</w:t>
      </w:r>
      <w:r w:rsidRPr="00CC1ADD">
        <w:t xml:space="preserve">9% of respondents agreed that ‘the HSR System is backed by government’ and </w:t>
      </w:r>
      <w:r w:rsidR="004F6651" w:rsidRPr="00CC1ADD">
        <w:t>close to half (4</w:t>
      </w:r>
      <w:r w:rsidR="00963D76">
        <w:t>4</w:t>
      </w:r>
      <w:r w:rsidR="004F6651" w:rsidRPr="00CC1ADD">
        <w:t>%) o</w:t>
      </w:r>
      <w:r w:rsidRPr="00CC1ADD">
        <w:t>f respondents agreed that the HSR is ‘just something companies use to sell more products’</w:t>
      </w:r>
    </w:p>
    <w:p w14:paraId="2E29998B" w14:textId="0F1C7CE3" w:rsidR="00B36208" w:rsidRPr="00CC1ADD" w:rsidRDefault="00B36208" w:rsidP="00F720A0">
      <w:pPr>
        <w:pStyle w:val="mpcbullets1"/>
      </w:pPr>
      <w:r w:rsidRPr="00CC1ADD">
        <w:t xml:space="preserve">how the HSR should be used to compare products within a category, given that </w:t>
      </w:r>
      <w:r w:rsidR="004F6651" w:rsidRPr="00CC1ADD">
        <w:t>33</w:t>
      </w:r>
      <w:r w:rsidRPr="00CC1ADD">
        <w:t>% of respondents understood that the HSR couldn’t be used to compare dissimilar products.</w:t>
      </w:r>
      <w:r w:rsidRPr="00CC1ADD">
        <w:rPr>
          <w:rStyle w:val="FootnoteReference"/>
          <w:sz w:val="22"/>
        </w:rPr>
        <w:footnoteReference w:id="44"/>
      </w:r>
    </w:p>
    <w:p w14:paraId="0CF43D92" w14:textId="0228BA7C" w:rsidR="00B36208" w:rsidRDefault="00B36208" w:rsidP="00C84928">
      <w:pPr>
        <w:pStyle w:val="mpcNormal"/>
        <w:keepNext w:val="0"/>
      </w:pPr>
    </w:p>
    <w:p w14:paraId="21CEF564" w14:textId="77777777" w:rsidR="00672C60" w:rsidRPr="00672C60" w:rsidRDefault="00672C60" w:rsidP="00672C60">
      <w:pPr>
        <w:pStyle w:val="Default"/>
        <w:rPr>
          <w:rFonts w:asciiTheme="minorHAnsi" w:hAnsiTheme="minorHAnsi" w:cstheme="minorBidi"/>
          <w:color w:val="auto"/>
          <w:sz w:val="22"/>
          <w:szCs w:val="22"/>
          <w:lang w:val="en-AU"/>
        </w:rPr>
      </w:pPr>
      <w:r w:rsidRPr="00672C60">
        <w:rPr>
          <w:rFonts w:asciiTheme="minorHAnsi" w:hAnsiTheme="minorHAnsi" w:cstheme="minorBidi"/>
          <w:color w:val="auto"/>
          <w:sz w:val="22"/>
          <w:szCs w:val="22"/>
          <w:lang w:val="en-AU"/>
        </w:rPr>
        <w:t>There are no further HSR campaign activities funded for New Zealand.</w:t>
      </w:r>
    </w:p>
    <w:p w14:paraId="68F77FF0" w14:textId="77777777" w:rsidR="00672C60" w:rsidRPr="00CC1ADD" w:rsidRDefault="00672C60" w:rsidP="00C84928">
      <w:pPr>
        <w:pStyle w:val="mpcNormal"/>
        <w:keepNext w:val="0"/>
      </w:pPr>
    </w:p>
    <w:p w14:paraId="10EAB5E0" w14:textId="77777777" w:rsidR="00B36208" w:rsidRPr="00CC1ADD" w:rsidRDefault="00B36208" w:rsidP="0030513A">
      <w:pPr>
        <w:pStyle w:val="mpcheading2"/>
        <w:keepNext/>
      </w:pPr>
      <w:bookmarkStart w:id="87" w:name="Other_promotion"/>
      <w:bookmarkStart w:id="88" w:name="_Toc1746495"/>
      <w:bookmarkEnd w:id="87"/>
      <w:r w:rsidRPr="00CC1ADD">
        <w:t>Other promotion of the HSR System</w:t>
      </w:r>
      <w:bookmarkEnd w:id="88"/>
      <w:r w:rsidRPr="00CC1ADD">
        <w:t xml:space="preserve"> </w:t>
      </w:r>
    </w:p>
    <w:p w14:paraId="757B9CAA" w14:textId="4ADAB06E" w:rsidR="00B36208" w:rsidRPr="00CC1ADD" w:rsidRDefault="00B36208" w:rsidP="0030513A">
      <w:pPr>
        <w:pStyle w:val="mpcNormal"/>
      </w:pPr>
      <w:r w:rsidRPr="00CC1ADD">
        <w:t>In addition to the campaigns, a wide range of information resources ha</w:t>
      </w:r>
      <w:r w:rsidR="00DD0E98">
        <w:t>s</w:t>
      </w:r>
      <w:r w:rsidRPr="00CC1ADD">
        <w:t xml:space="preserve"> been developed to support industry to implement the </w:t>
      </w:r>
      <w:r w:rsidR="00A84FB4">
        <w:t xml:space="preserve">HSR </w:t>
      </w:r>
      <w:r w:rsidRPr="00CC1ADD">
        <w:t>System and to assist consumers to understand and use the HSR.</w:t>
      </w:r>
    </w:p>
    <w:p w14:paraId="22361A80" w14:textId="77777777" w:rsidR="00B36208" w:rsidRPr="00CC1ADD" w:rsidRDefault="00B36208" w:rsidP="0030513A">
      <w:pPr>
        <w:pStyle w:val="mpcNormal"/>
      </w:pPr>
    </w:p>
    <w:p w14:paraId="10A353FB" w14:textId="583B2254" w:rsidR="00B36208" w:rsidRPr="00CC1ADD" w:rsidRDefault="00B36208" w:rsidP="0030513A">
      <w:pPr>
        <w:pStyle w:val="mpcNormal"/>
      </w:pPr>
      <w:r w:rsidRPr="00CC1ADD">
        <w:t xml:space="preserve">The development and dissemination of this information is largely managed by the </w:t>
      </w:r>
      <w:r w:rsidR="00C8700B" w:rsidRPr="00CC1ADD">
        <w:t>HSR</w:t>
      </w:r>
      <w:r w:rsidRPr="00CC1ADD">
        <w:t xml:space="preserve"> Secretariat in Australia and </w:t>
      </w:r>
      <w:r w:rsidR="00141A52">
        <w:t xml:space="preserve">the </w:t>
      </w:r>
      <w:r w:rsidRPr="00CC1ADD">
        <w:t>MPI in New Zealand.</w:t>
      </w:r>
      <w:r w:rsidR="00141A52">
        <w:t xml:space="preserve"> </w:t>
      </w:r>
    </w:p>
    <w:p w14:paraId="64D96F7D" w14:textId="77777777" w:rsidR="00B36208" w:rsidRPr="00CC1ADD" w:rsidRDefault="00B36208" w:rsidP="00C84928">
      <w:pPr>
        <w:pStyle w:val="mpcNormal"/>
        <w:keepNext w:val="0"/>
      </w:pPr>
    </w:p>
    <w:p w14:paraId="04970E2B" w14:textId="77777777" w:rsidR="00B36208" w:rsidRPr="00CC1ADD" w:rsidRDefault="00B36208" w:rsidP="00C84928">
      <w:pPr>
        <w:pStyle w:val="mpcNormal"/>
        <w:keepNext w:val="0"/>
      </w:pPr>
      <w:r w:rsidRPr="00CC1ADD">
        <w:t>Some of the activities and resources include:</w:t>
      </w:r>
    </w:p>
    <w:p w14:paraId="32072F7C" w14:textId="77777777" w:rsidR="00B36208" w:rsidRPr="00CC1ADD" w:rsidRDefault="00B36208" w:rsidP="005A3631">
      <w:pPr>
        <w:pStyle w:val="Default"/>
        <w:rPr>
          <w:sz w:val="22"/>
          <w:szCs w:val="22"/>
          <w:lang w:val="en-AU"/>
        </w:rPr>
      </w:pPr>
    </w:p>
    <w:p w14:paraId="58B573CC" w14:textId="77777777" w:rsidR="00B36208" w:rsidRPr="00CC1ADD" w:rsidRDefault="00B36208" w:rsidP="00C84928">
      <w:pPr>
        <w:pStyle w:val="mpcNormal"/>
        <w:keepNext w:val="0"/>
        <w:numPr>
          <w:ilvl w:val="0"/>
          <w:numId w:val="13"/>
        </w:numPr>
      </w:pPr>
      <w:r w:rsidRPr="00CC1ADD">
        <w:t>a consumer and industry information/enquiry service</w:t>
      </w:r>
    </w:p>
    <w:p w14:paraId="44284B73" w14:textId="45B98B6B" w:rsidR="00B36208" w:rsidRPr="00CC1ADD" w:rsidRDefault="00B36208" w:rsidP="00C84928">
      <w:pPr>
        <w:pStyle w:val="mpcbullets2"/>
        <w:keepNext w:val="0"/>
      </w:pPr>
      <w:r w:rsidRPr="00CC1ADD">
        <w:t xml:space="preserve">Each year the service receives approximately </w:t>
      </w:r>
      <w:r w:rsidR="00340091" w:rsidRPr="00CC1ADD">
        <w:t>500</w:t>
      </w:r>
      <w:r w:rsidRPr="00CC1ADD">
        <w:t xml:space="preserve"> calls and </w:t>
      </w:r>
      <w:r w:rsidR="00340091" w:rsidRPr="00CC1ADD">
        <w:t>500</w:t>
      </w:r>
      <w:r w:rsidRPr="00CC1ADD">
        <w:t xml:space="preserve"> emails from industry</w:t>
      </w:r>
      <w:r w:rsidR="00340091" w:rsidRPr="00CC1ADD">
        <w:t>, public health, consumer organisations</w:t>
      </w:r>
      <w:r w:rsidRPr="00CC1ADD">
        <w:t xml:space="preserve"> and members of the public seeking information about the HSR</w:t>
      </w:r>
      <w:r w:rsidR="00340091" w:rsidRPr="00CC1ADD">
        <w:t xml:space="preserve"> System</w:t>
      </w:r>
      <w:r w:rsidRPr="00CC1ADD">
        <w:t>.</w:t>
      </w:r>
    </w:p>
    <w:p w14:paraId="58E35BA9" w14:textId="52EFD972" w:rsidR="00B36208" w:rsidRPr="00CC1ADD" w:rsidRDefault="00B36208" w:rsidP="00C84928">
      <w:pPr>
        <w:pStyle w:val="mpcNormal"/>
        <w:keepNext w:val="0"/>
        <w:numPr>
          <w:ilvl w:val="0"/>
          <w:numId w:val="13"/>
        </w:numPr>
      </w:pPr>
      <w:r w:rsidRPr="00CC1ADD">
        <w:t xml:space="preserve">HSR </w:t>
      </w:r>
      <w:r w:rsidR="00A84FB4">
        <w:t xml:space="preserve">System </w:t>
      </w:r>
      <w:r w:rsidR="00C8700B" w:rsidRPr="00CC1ADD">
        <w:t>stakeholder</w:t>
      </w:r>
      <w:r w:rsidR="00340091" w:rsidRPr="00CC1ADD">
        <w:t xml:space="preserve"> kits</w:t>
      </w:r>
      <w:r w:rsidRPr="00CC1ADD">
        <w:t xml:space="preserve"> (</w:t>
      </w:r>
      <w:r w:rsidR="00340091" w:rsidRPr="00CC1ADD">
        <w:t>for use in both Australia and New Zealand</w:t>
      </w:r>
      <w:r w:rsidRPr="00CC1ADD">
        <w:t xml:space="preserve">) that </w:t>
      </w:r>
      <w:r w:rsidR="00A84FB4">
        <w:t>include</w:t>
      </w:r>
      <w:r w:rsidRPr="00CC1ADD">
        <w:t xml:space="preserve">: </w:t>
      </w:r>
    </w:p>
    <w:p w14:paraId="254036EA" w14:textId="77777777" w:rsidR="00B36208" w:rsidRPr="00CC1ADD" w:rsidRDefault="00B36208" w:rsidP="00C84928">
      <w:pPr>
        <w:pStyle w:val="mpcbullets2"/>
        <w:keepNext w:val="0"/>
      </w:pPr>
      <w:r w:rsidRPr="00CC1ADD">
        <w:t xml:space="preserve">media fact sheets and key HSR messages </w:t>
      </w:r>
    </w:p>
    <w:p w14:paraId="2B8784A7" w14:textId="77777777" w:rsidR="00B36208" w:rsidRPr="00CC1ADD" w:rsidRDefault="00B36208" w:rsidP="00C84928">
      <w:pPr>
        <w:pStyle w:val="mpcbullets2"/>
        <w:keepNext w:val="0"/>
      </w:pPr>
      <w:r w:rsidRPr="00CC1ADD">
        <w:t>industry and consumer frequently asked questions</w:t>
      </w:r>
    </w:p>
    <w:p w14:paraId="08F8C5C0" w14:textId="77777777" w:rsidR="00B36208" w:rsidRPr="00CC1ADD" w:rsidRDefault="00B36208" w:rsidP="00C84928">
      <w:pPr>
        <w:pStyle w:val="mpcbullets2"/>
        <w:keepNext w:val="0"/>
      </w:pPr>
      <w:r w:rsidRPr="00CC1ADD">
        <w:t>example tweets and posts</w:t>
      </w:r>
    </w:p>
    <w:p w14:paraId="4AC70A60" w14:textId="77777777" w:rsidR="00B36208" w:rsidRPr="00CC1ADD" w:rsidRDefault="00B36208" w:rsidP="00C84928">
      <w:pPr>
        <w:pStyle w:val="mpcbullets2"/>
        <w:keepNext w:val="0"/>
      </w:pPr>
      <w:r w:rsidRPr="00CC1ADD">
        <w:t>infographics describing how to use the HSR System</w:t>
      </w:r>
    </w:p>
    <w:p w14:paraId="50E5E47C" w14:textId="77777777" w:rsidR="00B36208" w:rsidRPr="00CC1ADD" w:rsidRDefault="00B36208" w:rsidP="00C84928">
      <w:pPr>
        <w:pStyle w:val="mpcNormal"/>
        <w:keepNext w:val="0"/>
        <w:numPr>
          <w:ilvl w:val="0"/>
          <w:numId w:val="13"/>
        </w:numPr>
      </w:pPr>
      <w:r w:rsidRPr="00CC1ADD">
        <w:t>a range of fact sheets available on both the HSR System website and the MPI website</w:t>
      </w:r>
    </w:p>
    <w:p w14:paraId="1E7B3A32" w14:textId="4376FB3B" w:rsidR="00B36208" w:rsidRPr="00CC1ADD" w:rsidRDefault="00B36208" w:rsidP="00C84928">
      <w:pPr>
        <w:pStyle w:val="mpcNormal"/>
        <w:keepNext w:val="0"/>
        <w:numPr>
          <w:ilvl w:val="0"/>
          <w:numId w:val="13"/>
        </w:numPr>
      </w:pPr>
      <w:r w:rsidRPr="00CC1ADD">
        <w:t xml:space="preserve">a Nutrition and Activity Hub (through the </w:t>
      </w:r>
      <w:hyperlink r:id="rId52" w:history="1">
        <w:r w:rsidRPr="00A84FB4">
          <w:rPr>
            <w:rStyle w:val="Hyperlink"/>
          </w:rPr>
          <w:t>H</w:t>
        </w:r>
        <w:r w:rsidR="0030513A">
          <w:rPr>
            <w:rStyle w:val="Hyperlink"/>
          </w:rPr>
          <w:t>PA</w:t>
        </w:r>
        <w:r w:rsidRPr="00A84FB4">
          <w:rPr>
            <w:rStyle w:val="Hyperlink"/>
          </w:rPr>
          <w:t xml:space="preserve"> website</w:t>
        </w:r>
      </w:hyperlink>
      <w:r w:rsidRPr="00CC1ADD">
        <w:t>) that includes campaign materials (videos, web tiles, articles for newsletters, webinar</w:t>
      </w:r>
      <w:r w:rsidR="00E506E7">
        <w:t>s</w:t>
      </w:r>
      <w:r w:rsidRPr="00CC1ADD">
        <w:t xml:space="preserve"> and other information about the System)</w:t>
      </w:r>
    </w:p>
    <w:p w14:paraId="78745F23" w14:textId="77777777" w:rsidR="00B36208" w:rsidRPr="00CC1ADD" w:rsidRDefault="00B36208" w:rsidP="00C84928">
      <w:pPr>
        <w:pStyle w:val="mpcNormal"/>
        <w:keepNext w:val="0"/>
        <w:numPr>
          <w:ilvl w:val="0"/>
          <w:numId w:val="13"/>
        </w:numPr>
      </w:pPr>
      <w:r w:rsidRPr="00CC1ADD">
        <w:t>regular workshops and public forums on the HSR System</w:t>
      </w:r>
    </w:p>
    <w:p w14:paraId="3ADA2AAA" w14:textId="1173A176" w:rsidR="00340091" w:rsidRPr="00CC1ADD" w:rsidRDefault="00B36208" w:rsidP="00C84928">
      <w:pPr>
        <w:pStyle w:val="mpcbullets2"/>
        <w:keepNext w:val="0"/>
      </w:pPr>
      <w:r w:rsidRPr="00CC1ADD">
        <w:t>In 2014 and 2015 these largely focused on disseminating information about the HSR System and obtaining feedback from stakeholders about their experiences or issues with the System. In 2016, 2017 and 2018 many of these workshops have focused on opportunities to improve the System, including in relation to the rules relating to the form of the food (‘as prepared’)</w:t>
      </w:r>
      <w:r w:rsidR="00A84FB4">
        <w:t>.</w:t>
      </w:r>
    </w:p>
    <w:p w14:paraId="061C0FE2" w14:textId="77777777" w:rsidR="00340091" w:rsidRPr="00CC1ADD" w:rsidRDefault="00340091" w:rsidP="00C84928">
      <w:pPr>
        <w:pStyle w:val="mpcNormal"/>
        <w:keepNext w:val="0"/>
        <w:numPr>
          <w:ilvl w:val="0"/>
          <w:numId w:val="4"/>
        </w:numPr>
      </w:pPr>
      <w:r w:rsidRPr="00CC1ADD">
        <w:t>presentations and posters at public health and industry conferences and forums</w:t>
      </w:r>
    </w:p>
    <w:p w14:paraId="2372ACCA" w14:textId="2F78D7A0" w:rsidR="00B36208" w:rsidRPr="00CC1ADD" w:rsidRDefault="00340091" w:rsidP="00C84928">
      <w:pPr>
        <w:pStyle w:val="mpcNormal"/>
        <w:keepNext w:val="0"/>
        <w:numPr>
          <w:ilvl w:val="0"/>
          <w:numId w:val="4"/>
        </w:numPr>
      </w:pPr>
      <w:r w:rsidRPr="00CC1ADD">
        <w:t>a peer-reviewed paper on the development and implementation of the system to be published in an Australian and New Zealand journal on public health practice</w:t>
      </w:r>
      <w:r w:rsidR="00B36208" w:rsidRPr="00CC1ADD">
        <w:t>.</w:t>
      </w:r>
    </w:p>
    <w:p w14:paraId="015B8A98" w14:textId="77777777" w:rsidR="00B36208" w:rsidRPr="00CC1ADD" w:rsidRDefault="00B36208" w:rsidP="00C84928">
      <w:pPr>
        <w:pStyle w:val="mpcNormal"/>
        <w:keepNext w:val="0"/>
      </w:pPr>
    </w:p>
    <w:p w14:paraId="2FE08817" w14:textId="7E7E08B7" w:rsidR="00B36208" w:rsidRPr="00CC1ADD" w:rsidRDefault="00B36208" w:rsidP="00C84928">
      <w:pPr>
        <w:pStyle w:val="mpcNormal"/>
        <w:keepNext w:val="0"/>
      </w:pPr>
      <w:r w:rsidRPr="00CC1ADD">
        <w:t>Over the course of the Review, stakeholders have provided numerous examples of how they promote the HSR. Th</w:t>
      </w:r>
      <w:r w:rsidR="00E506E7">
        <w:t>ese have</w:t>
      </w:r>
      <w:r w:rsidRPr="00CC1ADD">
        <w:t xml:space="preserve"> included:</w:t>
      </w:r>
    </w:p>
    <w:p w14:paraId="53D1ADE7" w14:textId="77777777" w:rsidR="00B36208" w:rsidRPr="00CC1ADD" w:rsidRDefault="00B36208" w:rsidP="00C84928">
      <w:pPr>
        <w:pStyle w:val="mpcNormal"/>
        <w:keepNext w:val="0"/>
      </w:pPr>
    </w:p>
    <w:p w14:paraId="2E094A34" w14:textId="77777777" w:rsidR="00B36208" w:rsidRPr="00CC1ADD" w:rsidRDefault="00B36208" w:rsidP="00F720A0">
      <w:pPr>
        <w:pStyle w:val="mpcbullets1"/>
      </w:pPr>
      <w:r w:rsidRPr="00CC1ADD">
        <w:t xml:space="preserve">large retailers educating consumers about the HSR though in-store radio </w:t>
      </w:r>
    </w:p>
    <w:p w14:paraId="559A93F4" w14:textId="262AD8D3" w:rsidR="00235D47" w:rsidRDefault="00235D47" w:rsidP="00F720A0">
      <w:pPr>
        <w:pStyle w:val="mpcbullets1"/>
      </w:pPr>
      <w:r>
        <w:t>industry sponsored print materials, product inserts and packaging information about the HSR</w:t>
      </w:r>
    </w:p>
    <w:p w14:paraId="54CCE0AE" w14:textId="1E57A17E" w:rsidR="00235D47" w:rsidRDefault="00235D47" w:rsidP="00F720A0">
      <w:pPr>
        <w:pStyle w:val="mpcbullets1"/>
      </w:pPr>
      <w:r>
        <w:t xml:space="preserve">industry peak body support for manufacturers wanting to use the HSR </w:t>
      </w:r>
    </w:p>
    <w:p w14:paraId="35706F6E" w14:textId="4CB4F7FD" w:rsidR="00B36208" w:rsidRPr="00CC1ADD" w:rsidRDefault="00B36208" w:rsidP="00F720A0">
      <w:pPr>
        <w:pStyle w:val="mpcbullets1"/>
      </w:pPr>
      <w:r w:rsidRPr="00CC1ADD">
        <w:t>HSR System related promotions in-store including on-shelf promotions</w:t>
      </w:r>
    </w:p>
    <w:p w14:paraId="52D6DE8B" w14:textId="44214180" w:rsidR="00340091" w:rsidRPr="00CC1ADD" w:rsidRDefault="00B36208" w:rsidP="00F720A0">
      <w:pPr>
        <w:pStyle w:val="mpcbullets1"/>
      </w:pPr>
      <w:r w:rsidRPr="00CC1ADD">
        <w:t>information on the websites of manufacturers and peak bodies about the HSR</w:t>
      </w:r>
    </w:p>
    <w:p w14:paraId="45781A3B" w14:textId="77777777" w:rsidR="00340091" w:rsidRPr="00CC1ADD" w:rsidRDefault="00340091" w:rsidP="00F720A0">
      <w:pPr>
        <w:pStyle w:val="mpcbullets1"/>
      </w:pPr>
      <w:r w:rsidRPr="00CC1ADD">
        <w:t>more than 35 peer-reviewed journal articles investigating various aspects of the HSR System</w:t>
      </w:r>
    </w:p>
    <w:p w14:paraId="356F8DD4" w14:textId="57377810" w:rsidR="00B36208" w:rsidRPr="00CC1ADD" w:rsidRDefault="00340091" w:rsidP="00F720A0">
      <w:pPr>
        <w:pStyle w:val="mpcbullets1"/>
      </w:pPr>
      <w:r w:rsidRPr="00CC1ADD">
        <w:t>presentations on the HSR System by public health experts and nutritionists at conferences</w:t>
      </w:r>
      <w:r w:rsidR="00B36208" w:rsidRPr="00CC1ADD">
        <w:t>.</w:t>
      </w:r>
    </w:p>
    <w:p w14:paraId="13A0C0B4" w14:textId="77777777" w:rsidR="00B36208" w:rsidRPr="00CC1ADD" w:rsidRDefault="00B36208" w:rsidP="00C84928">
      <w:pPr>
        <w:pStyle w:val="mpcNormal"/>
        <w:keepNext w:val="0"/>
      </w:pPr>
      <w:r w:rsidRPr="00CC1ADD">
        <w:br/>
      </w:r>
      <w:r w:rsidRPr="00CC1ADD">
        <w:rPr>
          <w:u w:val="single"/>
        </w:rPr>
        <w:t>Appendix C</w:t>
      </w:r>
      <w:r w:rsidRPr="00CC1ADD">
        <w:t xml:space="preserve"> includes examples of the different ways stakeholders promote the HSR System.</w:t>
      </w:r>
    </w:p>
    <w:p w14:paraId="190D8632" w14:textId="77777777" w:rsidR="00B36208" w:rsidRPr="00CC1ADD" w:rsidRDefault="00B36208" w:rsidP="004C4894">
      <w:pPr>
        <w:pStyle w:val="mpcNormal"/>
        <w:keepNext w:val="0"/>
      </w:pPr>
    </w:p>
    <w:p w14:paraId="36E1E69C" w14:textId="77777777" w:rsidR="00B36208" w:rsidRPr="00CC1ADD" w:rsidRDefault="00B36208" w:rsidP="005A3631">
      <w:pPr>
        <w:pStyle w:val="mpcheading2"/>
      </w:pPr>
      <w:bookmarkStart w:id="89" w:name="Initiatives"/>
      <w:bookmarkStart w:id="90" w:name="_Toc1746496"/>
      <w:bookmarkEnd w:id="89"/>
      <w:r w:rsidRPr="00CC1ADD">
        <w:t>Complementary initiatives</w:t>
      </w:r>
      <w:bookmarkEnd w:id="90"/>
    </w:p>
    <w:p w14:paraId="4E39B078" w14:textId="0E7398B4" w:rsidR="00B36208" w:rsidRPr="00CC1ADD" w:rsidRDefault="00B36208" w:rsidP="00C84928">
      <w:pPr>
        <w:pStyle w:val="mpcNormal"/>
        <w:keepNext w:val="0"/>
      </w:pPr>
      <w:r w:rsidRPr="00CC1ADD">
        <w:t>In the first round of submissions to the Review (2017)</w:t>
      </w:r>
      <w:r w:rsidR="00A84FB4">
        <w:t>,</w:t>
      </w:r>
      <w:r w:rsidRPr="00CC1ADD">
        <w:t xml:space="preserve"> a number of stakeholders expressed concern about the lack of broader healthy eating initiatives. </w:t>
      </w:r>
      <w:r w:rsidR="008B6118">
        <w:t>A</w:t>
      </w:r>
      <w:r w:rsidRPr="00CC1ADD">
        <w:t xml:space="preserve"> range of initiatives </w:t>
      </w:r>
      <w:r w:rsidR="008B6118">
        <w:t>now exist</w:t>
      </w:r>
      <w:r w:rsidRPr="00CC1ADD">
        <w:t xml:space="preserve"> that promote healthier eating and drinking.</w:t>
      </w:r>
    </w:p>
    <w:p w14:paraId="1633DCAA" w14:textId="77777777" w:rsidR="00B36208" w:rsidRPr="00CC1ADD" w:rsidRDefault="00B36208" w:rsidP="00C84928">
      <w:pPr>
        <w:pStyle w:val="mpcNormal"/>
        <w:keepNext w:val="0"/>
      </w:pPr>
    </w:p>
    <w:p w14:paraId="5EA51CE7" w14:textId="431BEE98" w:rsidR="00B36208" w:rsidRPr="00CC1ADD" w:rsidRDefault="00E506E7" w:rsidP="00090135">
      <w:pPr>
        <w:pStyle w:val="mpcNormal"/>
      </w:pPr>
      <w:r>
        <w:t>This include</w:t>
      </w:r>
      <w:r w:rsidR="00C84928">
        <w:t>s</w:t>
      </w:r>
      <w:r w:rsidR="00B36208" w:rsidRPr="00CC1ADD">
        <w:t>:</w:t>
      </w:r>
    </w:p>
    <w:p w14:paraId="7F52BE21" w14:textId="77777777" w:rsidR="00B36208" w:rsidRPr="00CC1ADD" w:rsidRDefault="00B36208" w:rsidP="00090135">
      <w:pPr>
        <w:pStyle w:val="mpcNormal"/>
      </w:pPr>
    </w:p>
    <w:p w14:paraId="2454EDA1" w14:textId="77777777" w:rsidR="00B36208" w:rsidRPr="00CC1ADD" w:rsidRDefault="00B36208" w:rsidP="00090135">
      <w:pPr>
        <w:pStyle w:val="mpcbullets1"/>
        <w:keepNext/>
      </w:pPr>
      <w:r w:rsidRPr="00CC1ADD">
        <w:t xml:space="preserve">joint initiatives between government, food industry bodies and public health groups focusing on increased health knowledge, healthier choices and better health outcomes. In both Australia and New Zealand this has included initiatives aimed at: </w:t>
      </w:r>
    </w:p>
    <w:p w14:paraId="692CF3DB" w14:textId="77777777" w:rsidR="00B36208" w:rsidRPr="00CC1ADD" w:rsidRDefault="00B36208" w:rsidP="00C84928">
      <w:pPr>
        <w:pStyle w:val="mpcbullets2"/>
        <w:keepNext w:val="0"/>
        <w:ind w:left="850"/>
      </w:pPr>
      <w:r w:rsidRPr="00CC1ADD">
        <w:t xml:space="preserve">portion control </w:t>
      </w:r>
    </w:p>
    <w:p w14:paraId="7C940580" w14:textId="77777777" w:rsidR="00B36208" w:rsidRPr="00CC1ADD" w:rsidRDefault="00B36208" w:rsidP="00C84928">
      <w:pPr>
        <w:pStyle w:val="mpcbullets2"/>
        <w:keepNext w:val="0"/>
        <w:ind w:left="850"/>
      </w:pPr>
      <w:r w:rsidRPr="00CC1ADD">
        <w:t>communication, education and meal planning on whole foods and total diet – based on Dietary Guidelines (including limiting intakes of added sugar, salt and saturated fat)</w:t>
      </w:r>
    </w:p>
    <w:p w14:paraId="55A403BF" w14:textId="50C19B2D" w:rsidR="00B36208" w:rsidRPr="00CC1ADD" w:rsidRDefault="00B36208" w:rsidP="00C84928">
      <w:pPr>
        <w:pStyle w:val="mpcbullets2"/>
        <w:keepNext w:val="0"/>
        <w:ind w:left="850"/>
      </w:pPr>
      <w:r w:rsidRPr="00CC1ADD">
        <w:t xml:space="preserve">reformulation to optimise the appropriate balance of nutrients and ingredients in foods, including </w:t>
      </w:r>
      <w:r w:rsidR="00E506E7">
        <w:t xml:space="preserve">to reduce </w:t>
      </w:r>
      <w:r w:rsidRPr="00CC1ADD">
        <w:t>added sugar</w:t>
      </w:r>
      <w:r w:rsidR="00E506E7">
        <w:t>s</w:t>
      </w:r>
    </w:p>
    <w:p w14:paraId="1030A728" w14:textId="5B091F90" w:rsidR="00B36208" w:rsidRPr="00CC1ADD" w:rsidRDefault="00B36208" w:rsidP="00F720A0">
      <w:pPr>
        <w:pStyle w:val="mpcbullets1"/>
      </w:pPr>
      <w:r w:rsidRPr="00CC1ADD">
        <w:t>a dedicated Australian Government website (</w:t>
      </w:r>
      <w:hyperlink r:id="rId53" w:history="1">
        <w:r w:rsidRPr="00CC1ADD">
          <w:rPr>
            <w:rStyle w:val="Hyperlink"/>
          </w:rPr>
          <w:t>Eat for Health</w:t>
        </w:r>
      </w:hyperlink>
      <w:r w:rsidRPr="00CC1ADD">
        <w:t>) promot</w:t>
      </w:r>
      <w:r w:rsidR="00141A52">
        <w:t>ing</w:t>
      </w:r>
      <w:r w:rsidRPr="00CC1ADD">
        <w:t xml:space="preserve"> the </w:t>
      </w:r>
      <w:r w:rsidR="00141A52">
        <w:t>ADG</w:t>
      </w:r>
      <w:r w:rsidRPr="00CC1ADD">
        <w:t>, includ</w:t>
      </w:r>
      <w:r w:rsidR="00141A52">
        <w:t>ing</w:t>
      </w:r>
      <w:r w:rsidRPr="00CC1ADD">
        <w:t xml:space="preserve"> downloadable posters and brochures for use in different settings and tips for eating well</w:t>
      </w:r>
    </w:p>
    <w:p w14:paraId="35896B2B" w14:textId="5C1EBD2E" w:rsidR="00B36208" w:rsidRPr="00CC1ADD" w:rsidRDefault="00880923" w:rsidP="00F720A0">
      <w:pPr>
        <w:pStyle w:val="mpcbullets1"/>
      </w:pPr>
      <w:r>
        <w:t xml:space="preserve">a </w:t>
      </w:r>
      <w:r w:rsidR="00B36208" w:rsidRPr="00CC1ADD">
        <w:t>wide range of initiatives aimed at encouraging consumption of water and reducing consumption of sugary drinks. For example, the Australian Government ‘</w:t>
      </w:r>
      <w:r w:rsidR="00B36208" w:rsidRPr="00141A52">
        <w:t>Healthy Bodies Need Healthy Drinks</w:t>
      </w:r>
      <w:r w:rsidR="00B36208" w:rsidRPr="00CC1ADD">
        <w:t>’ initiative, the Northern Territory ‘Swap Soft Drinks for Water’, the New Zealand Government ‘100% water’ resources health promotion and the Tasmanian ‘Think before you drink’ campaign.</w:t>
      </w:r>
    </w:p>
    <w:p w14:paraId="73E12EF4" w14:textId="77777777" w:rsidR="00B36208" w:rsidRPr="00CC1ADD" w:rsidRDefault="00B36208" w:rsidP="00C84928">
      <w:pPr>
        <w:pStyle w:val="mpcNormal"/>
        <w:keepNext w:val="0"/>
      </w:pPr>
    </w:p>
    <w:p w14:paraId="20D33AC8" w14:textId="1C32B291" w:rsidR="00B36208" w:rsidRPr="00CC1ADD" w:rsidRDefault="00B36208" w:rsidP="00C84928">
      <w:pPr>
        <w:pStyle w:val="mpcNormal"/>
        <w:keepNext w:val="0"/>
      </w:pPr>
      <w:r w:rsidRPr="00CC1ADD">
        <w:t xml:space="preserve">Further details about some of the initiatives </w:t>
      </w:r>
      <w:r w:rsidR="00E506E7">
        <w:t>are</w:t>
      </w:r>
      <w:r w:rsidRPr="00CC1ADD">
        <w:t xml:space="preserve"> included at </w:t>
      </w:r>
      <w:r w:rsidRPr="00CC1ADD">
        <w:rPr>
          <w:u w:val="single"/>
        </w:rPr>
        <w:t>Appendix C</w:t>
      </w:r>
      <w:r w:rsidRPr="00CC1ADD">
        <w:t>.</w:t>
      </w:r>
    </w:p>
    <w:p w14:paraId="6282D31C" w14:textId="77777777" w:rsidR="00B36208" w:rsidRPr="00CC1ADD" w:rsidRDefault="00B36208" w:rsidP="005A3631">
      <w:pPr>
        <w:pStyle w:val="Default"/>
        <w:rPr>
          <w:rFonts w:asciiTheme="minorHAnsi" w:hAnsiTheme="minorHAnsi" w:cstheme="minorBidi"/>
          <w:color w:val="auto"/>
          <w:sz w:val="22"/>
          <w:szCs w:val="22"/>
          <w:lang w:val="en-AU"/>
        </w:rPr>
      </w:pPr>
    </w:p>
    <w:p w14:paraId="4FE9CBD0" w14:textId="77777777" w:rsidR="00B36208" w:rsidRPr="00CC1ADD" w:rsidRDefault="00B36208">
      <w:pPr>
        <w:pStyle w:val="mpcheading2"/>
      </w:pPr>
      <w:bookmarkStart w:id="91" w:name="Future_promotion"/>
      <w:bookmarkStart w:id="92" w:name="_Toc1746497"/>
      <w:bookmarkEnd w:id="91"/>
      <w:r w:rsidRPr="00CC1ADD">
        <w:t>Future promotion</w:t>
      </w:r>
      <w:bookmarkEnd w:id="92"/>
      <w:r w:rsidRPr="00CC1ADD">
        <w:t xml:space="preserve"> </w:t>
      </w:r>
    </w:p>
    <w:p w14:paraId="50C33B0A" w14:textId="5FF926D6" w:rsidR="00B36208" w:rsidRPr="00CC1ADD"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 xml:space="preserve">Significant resources have been invested by governments, </w:t>
      </w:r>
      <w:r w:rsidR="00633485">
        <w:rPr>
          <w:rFonts w:asciiTheme="minorHAnsi" w:hAnsiTheme="minorHAnsi" w:cstheme="minorBidi"/>
          <w:color w:val="auto"/>
          <w:sz w:val="22"/>
          <w:szCs w:val="22"/>
          <w:lang w:val="en-AU"/>
        </w:rPr>
        <w:t xml:space="preserve">industry, </w:t>
      </w:r>
      <w:r w:rsidRPr="00CC1ADD">
        <w:rPr>
          <w:rFonts w:asciiTheme="minorHAnsi" w:hAnsiTheme="minorHAnsi" w:cstheme="minorBidi"/>
          <w:color w:val="auto"/>
          <w:sz w:val="22"/>
          <w:szCs w:val="22"/>
          <w:lang w:val="en-AU"/>
        </w:rPr>
        <w:t xml:space="preserve">public health professionals and others promoting healthy eating and the HSR System. </w:t>
      </w:r>
    </w:p>
    <w:p w14:paraId="6CBCC5C6" w14:textId="77777777" w:rsidR="00B36208" w:rsidRPr="00CC1ADD" w:rsidRDefault="00B36208">
      <w:pPr>
        <w:pStyle w:val="Default"/>
        <w:rPr>
          <w:rFonts w:asciiTheme="minorHAnsi" w:hAnsiTheme="minorHAnsi" w:cstheme="minorBidi"/>
          <w:color w:val="auto"/>
          <w:sz w:val="22"/>
          <w:szCs w:val="22"/>
          <w:lang w:val="en-AU"/>
        </w:rPr>
      </w:pPr>
    </w:p>
    <w:p w14:paraId="20FC2049" w14:textId="7453C87D" w:rsidR="00B36208" w:rsidRPr="00CC1ADD"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The Review recognises that many stakeholders consider this investment to be inadequate relative to the impact of diet on health and the burden of disease due to poor nutrition</w:t>
      </w:r>
      <w:r w:rsidR="00E506E7">
        <w:rPr>
          <w:rFonts w:asciiTheme="minorHAnsi" w:hAnsiTheme="minorHAnsi" w:cstheme="minorBidi"/>
          <w:color w:val="auto"/>
          <w:sz w:val="22"/>
          <w:szCs w:val="22"/>
          <w:lang w:val="en-AU"/>
        </w:rPr>
        <w:t>, w</w:t>
      </w:r>
      <w:r w:rsidRPr="00CC1ADD">
        <w:rPr>
          <w:rFonts w:asciiTheme="minorHAnsi" w:hAnsiTheme="minorHAnsi" w:cstheme="minorBidi"/>
          <w:color w:val="auto"/>
          <w:sz w:val="22"/>
          <w:szCs w:val="22"/>
          <w:lang w:val="en-AU"/>
        </w:rPr>
        <w:t>hereas other stakeholders seek a wind-back of government investment in the HSR System and a redirection of resources to the promotion of healthy eating more broadly.</w:t>
      </w:r>
    </w:p>
    <w:p w14:paraId="036F64F8" w14:textId="77777777" w:rsidR="00B36208" w:rsidRPr="00CC1ADD" w:rsidRDefault="00B36208">
      <w:pPr>
        <w:pStyle w:val="Default"/>
        <w:rPr>
          <w:rFonts w:asciiTheme="minorHAnsi" w:hAnsiTheme="minorHAnsi" w:cstheme="minorBidi"/>
          <w:color w:val="auto"/>
          <w:sz w:val="22"/>
          <w:szCs w:val="22"/>
          <w:lang w:val="en-AU"/>
        </w:rPr>
      </w:pPr>
    </w:p>
    <w:p w14:paraId="63812667" w14:textId="7939F650" w:rsidR="00B36208" w:rsidRPr="00672C60" w:rsidRDefault="00B36208">
      <w:pPr>
        <w:pStyle w:val="Default"/>
        <w:rPr>
          <w:rFonts w:asciiTheme="minorHAnsi" w:hAnsiTheme="minorHAnsi" w:cstheme="minorBidi"/>
          <w:color w:val="auto"/>
          <w:sz w:val="22"/>
          <w:szCs w:val="22"/>
          <w:lang w:val="en-AU"/>
        </w:rPr>
      </w:pPr>
      <w:r w:rsidRPr="00CC1ADD">
        <w:rPr>
          <w:rFonts w:asciiTheme="minorHAnsi" w:hAnsiTheme="minorHAnsi" w:cstheme="minorBidi"/>
          <w:color w:val="auto"/>
          <w:sz w:val="22"/>
          <w:szCs w:val="22"/>
          <w:lang w:val="en-AU"/>
        </w:rPr>
        <w:t xml:space="preserve">Like most stakeholders, the Review considers that with some changes (to better align the HSR System with </w:t>
      </w:r>
      <w:r w:rsidRPr="00672C60">
        <w:rPr>
          <w:rFonts w:asciiTheme="minorHAnsi" w:hAnsiTheme="minorHAnsi" w:cstheme="minorBidi"/>
          <w:color w:val="auto"/>
          <w:sz w:val="22"/>
          <w:szCs w:val="22"/>
          <w:lang w:val="en-AU"/>
        </w:rPr>
        <w:t xml:space="preserve">Dietary Guidelines, </w:t>
      </w:r>
      <w:r w:rsidR="00E506E7" w:rsidRPr="00672C60">
        <w:rPr>
          <w:rFonts w:asciiTheme="minorHAnsi" w:hAnsiTheme="minorHAnsi" w:cstheme="minorBidi"/>
          <w:color w:val="auto"/>
          <w:sz w:val="22"/>
          <w:szCs w:val="22"/>
          <w:lang w:val="en-AU"/>
        </w:rPr>
        <w:t xml:space="preserve">improve </w:t>
      </w:r>
      <w:r w:rsidRPr="00672C60">
        <w:rPr>
          <w:rFonts w:asciiTheme="minorHAnsi" w:hAnsiTheme="minorHAnsi" w:cstheme="minorBidi"/>
          <w:color w:val="auto"/>
          <w:sz w:val="22"/>
          <w:szCs w:val="22"/>
          <w:lang w:val="en-AU"/>
        </w:rPr>
        <w:t>public confidence and drive increased uptake), the System has significant potential as an ongoing, effective public health intervention.</w:t>
      </w:r>
    </w:p>
    <w:p w14:paraId="3FAB4C0E" w14:textId="29918BA1" w:rsidR="00672C60" w:rsidRPr="00672C60" w:rsidRDefault="00672C60">
      <w:pPr>
        <w:pStyle w:val="Default"/>
        <w:rPr>
          <w:rFonts w:asciiTheme="minorHAnsi" w:hAnsiTheme="minorHAnsi" w:cstheme="minorBidi"/>
          <w:color w:val="auto"/>
          <w:sz w:val="22"/>
          <w:szCs w:val="22"/>
          <w:lang w:val="en-AU"/>
        </w:rPr>
      </w:pPr>
    </w:p>
    <w:p w14:paraId="3F5B8AC4" w14:textId="3F8F8C12" w:rsidR="00672C60" w:rsidRPr="00672C60" w:rsidRDefault="00672C60" w:rsidP="00672C60">
      <w:pPr>
        <w:pStyle w:val="Default"/>
        <w:rPr>
          <w:rFonts w:asciiTheme="minorHAnsi" w:hAnsiTheme="minorHAnsi" w:cstheme="minorBidi"/>
          <w:color w:val="auto"/>
          <w:sz w:val="22"/>
          <w:szCs w:val="22"/>
          <w:lang w:val="en-AU"/>
        </w:rPr>
      </w:pPr>
      <w:r w:rsidRPr="00672C60">
        <w:rPr>
          <w:rFonts w:asciiTheme="minorHAnsi" w:hAnsiTheme="minorHAnsi" w:cstheme="minorBidi"/>
          <w:color w:val="auto"/>
          <w:sz w:val="22"/>
          <w:szCs w:val="22"/>
          <w:lang w:val="en-AU"/>
        </w:rPr>
        <w:t xml:space="preserve">If the recommendations of the Review are accepted, this will result in changes to the HSR System and the graphics that consumers see on some products. This could potentially generate confusion during the transition period, which must be addressed by clear messaging advising consumers that changes are being made to </w:t>
      </w:r>
      <w:r w:rsidR="00C626CB">
        <w:rPr>
          <w:rFonts w:asciiTheme="minorHAnsi" w:hAnsiTheme="minorHAnsi" w:cstheme="minorBidi"/>
          <w:color w:val="auto"/>
          <w:sz w:val="22"/>
          <w:szCs w:val="22"/>
          <w:lang w:val="en-AU"/>
        </w:rPr>
        <w:t xml:space="preserve">improve </w:t>
      </w:r>
      <w:r w:rsidRPr="00672C60">
        <w:rPr>
          <w:rFonts w:asciiTheme="minorHAnsi" w:hAnsiTheme="minorHAnsi" w:cstheme="minorBidi"/>
          <w:color w:val="auto"/>
          <w:sz w:val="22"/>
          <w:szCs w:val="22"/>
          <w:lang w:val="en-AU"/>
        </w:rPr>
        <w:t xml:space="preserve">the System </w:t>
      </w:r>
      <w:r w:rsidR="00C626CB">
        <w:rPr>
          <w:rFonts w:asciiTheme="minorHAnsi" w:hAnsiTheme="minorHAnsi" w:cstheme="minorBidi"/>
          <w:color w:val="auto"/>
          <w:sz w:val="22"/>
          <w:szCs w:val="22"/>
          <w:lang w:val="en-AU"/>
        </w:rPr>
        <w:t>and make it easier for consumers to make healthier choices.</w:t>
      </w:r>
    </w:p>
    <w:p w14:paraId="35E7654F" w14:textId="77777777" w:rsidR="00672C60" w:rsidRPr="00672C60" w:rsidRDefault="00672C60" w:rsidP="00672C60">
      <w:pPr>
        <w:pStyle w:val="Default"/>
        <w:rPr>
          <w:rFonts w:asciiTheme="minorHAnsi" w:hAnsiTheme="minorHAnsi" w:cstheme="minorBidi"/>
          <w:color w:val="auto"/>
          <w:sz w:val="22"/>
          <w:szCs w:val="22"/>
          <w:lang w:val="en-AU"/>
        </w:rPr>
      </w:pPr>
    </w:p>
    <w:p w14:paraId="092654F4" w14:textId="00770E3C" w:rsidR="00672C60" w:rsidRPr="00CC1ADD" w:rsidRDefault="00672C60" w:rsidP="00672C60">
      <w:pPr>
        <w:pStyle w:val="Default"/>
        <w:rPr>
          <w:rFonts w:asciiTheme="minorHAnsi" w:hAnsiTheme="minorHAnsi" w:cstheme="minorBidi"/>
          <w:color w:val="auto"/>
          <w:sz w:val="22"/>
          <w:szCs w:val="22"/>
          <w:lang w:val="en-AU"/>
        </w:rPr>
      </w:pPr>
      <w:r w:rsidRPr="00672C60">
        <w:rPr>
          <w:rFonts w:asciiTheme="minorHAnsi" w:hAnsiTheme="minorHAnsi" w:cstheme="minorBidi"/>
          <w:color w:val="auto"/>
          <w:sz w:val="22"/>
          <w:szCs w:val="22"/>
          <w:lang w:val="en-AU"/>
        </w:rPr>
        <w:t xml:space="preserve">The Review recommends that the HSRAC and the SMAG in Australia and the MPI and HPA in New Zealand work with creative agencies to identify simple messages to explain to consumers that they may see changes to </w:t>
      </w:r>
      <w:r w:rsidR="00C626CB">
        <w:rPr>
          <w:rFonts w:asciiTheme="minorHAnsi" w:hAnsiTheme="minorHAnsi" w:cstheme="minorBidi"/>
          <w:color w:val="auto"/>
          <w:sz w:val="22"/>
          <w:szCs w:val="22"/>
          <w:lang w:val="en-AU"/>
        </w:rPr>
        <w:t>HSRs,</w:t>
      </w:r>
      <w:r w:rsidRPr="00672C60">
        <w:rPr>
          <w:rFonts w:asciiTheme="minorHAnsi" w:hAnsiTheme="minorHAnsi" w:cstheme="minorBidi"/>
          <w:color w:val="auto"/>
          <w:sz w:val="22"/>
          <w:szCs w:val="22"/>
          <w:lang w:val="en-AU"/>
        </w:rPr>
        <w:t xml:space="preserve"> and this reflects the fact that improvements have been made to the System to better meet their needs.</w:t>
      </w:r>
    </w:p>
    <w:p w14:paraId="2B631CD5" w14:textId="1455D31A" w:rsidR="00227857" w:rsidRDefault="00227857">
      <w:pPr>
        <w:pStyle w:val="Default"/>
        <w:rPr>
          <w:rFonts w:asciiTheme="minorHAnsi" w:hAnsiTheme="minorHAnsi" w:cstheme="minorBidi"/>
          <w:color w:val="auto"/>
          <w:sz w:val="22"/>
          <w:szCs w:val="22"/>
          <w:lang w:val="en-AU"/>
        </w:rPr>
      </w:pPr>
    </w:p>
    <w:p w14:paraId="3B903701" w14:textId="11652C27" w:rsidR="00227857" w:rsidRDefault="00227857">
      <w:pPr>
        <w:pStyle w:val="Default"/>
        <w:rPr>
          <w:rFonts w:asciiTheme="minorHAnsi" w:hAnsiTheme="minorHAnsi" w:cstheme="minorBidi"/>
          <w:color w:val="auto"/>
          <w:sz w:val="22"/>
          <w:szCs w:val="22"/>
          <w:lang w:val="en-AU"/>
        </w:rPr>
      </w:pPr>
      <w:r>
        <w:rPr>
          <w:rFonts w:asciiTheme="minorHAnsi" w:hAnsiTheme="minorHAnsi" w:cstheme="minorBidi"/>
          <w:color w:val="auto"/>
          <w:sz w:val="22"/>
          <w:szCs w:val="22"/>
          <w:lang w:val="en-AU"/>
        </w:rPr>
        <w:t xml:space="preserve">The Review recommends that governments, industry, public health and consumer bodies continue to promote the HSR System </w:t>
      </w:r>
      <w:r w:rsidR="00090904">
        <w:rPr>
          <w:rFonts w:asciiTheme="minorHAnsi" w:hAnsiTheme="minorHAnsi" w:cstheme="minorBidi"/>
          <w:color w:val="auto"/>
          <w:sz w:val="22"/>
          <w:szCs w:val="22"/>
          <w:lang w:val="en-AU"/>
        </w:rPr>
        <w:t>in a way that meets the needs of their stakeholders. Government investment should be targeted over the next two years to</w:t>
      </w:r>
      <w:r w:rsidR="00C626CB">
        <w:rPr>
          <w:rFonts w:asciiTheme="minorHAnsi" w:hAnsiTheme="minorHAnsi" w:cstheme="minorBidi"/>
          <w:color w:val="auto"/>
          <w:sz w:val="22"/>
          <w:szCs w:val="22"/>
          <w:lang w:val="en-AU"/>
        </w:rPr>
        <w:t>:</w:t>
      </w:r>
    </w:p>
    <w:p w14:paraId="77D121AA" w14:textId="77777777" w:rsidR="00227857" w:rsidRPr="00C626CB" w:rsidRDefault="00227857" w:rsidP="00227857">
      <w:pPr>
        <w:rPr>
          <w:sz w:val="22"/>
          <w:szCs w:val="22"/>
        </w:rPr>
      </w:pPr>
    </w:p>
    <w:p w14:paraId="2D056AF9" w14:textId="77777777" w:rsidR="00227857" w:rsidRPr="00090904" w:rsidRDefault="00227857" w:rsidP="00F720A0">
      <w:pPr>
        <w:pStyle w:val="mpcbullets1"/>
      </w:pPr>
      <w:r w:rsidRPr="00090904">
        <w:t xml:space="preserve">communicate simply the reason why changes are being made to improve the HSR System </w:t>
      </w:r>
    </w:p>
    <w:p w14:paraId="43E5A1CE" w14:textId="77777777" w:rsidR="00227857" w:rsidRPr="00090904" w:rsidRDefault="00227857" w:rsidP="00F720A0">
      <w:pPr>
        <w:pStyle w:val="mpcbullets1"/>
      </w:pPr>
      <w:r w:rsidRPr="00090904">
        <w:t>target specific areas of consumer misunderstanding or gaps in awareness and highlight government endorsement of the HSR System</w:t>
      </w:r>
    </w:p>
    <w:p w14:paraId="5B7D4363" w14:textId="77777777" w:rsidR="00227857" w:rsidRPr="00090904" w:rsidRDefault="00227857" w:rsidP="00F720A0">
      <w:pPr>
        <w:pStyle w:val="mpcbullets1"/>
      </w:pPr>
      <w:r w:rsidRPr="00090904">
        <w:t xml:space="preserve">be responsive to the outcomes of monitoring and public criticism of the HSR System </w:t>
      </w:r>
    </w:p>
    <w:p w14:paraId="28F00251" w14:textId="77777777" w:rsidR="00672C60" w:rsidRPr="00672C60" w:rsidRDefault="00672C60" w:rsidP="00F720A0">
      <w:pPr>
        <w:pStyle w:val="mpcbullets1"/>
        <w:rPr>
          <w:rFonts w:cstheme="minorBidi"/>
          <w:color w:val="auto"/>
        </w:rPr>
      </w:pPr>
      <w:r w:rsidRPr="00672C60">
        <w:t>highlight government endorsement of the HSR System</w:t>
      </w:r>
      <w:r w:rsidRPr="00672C60">
        <w:rPr>
          <w:rFonts w:cstheme="minorBidi"/>
          <w:color w:val="auto"/>
        </w:rPr>
        <w:t xml:space="preserve"> </w:t>
      </w:r>
    </w:p>
    <w:p w14:paraId="7A209A57" w14:textId="77777777" w:rsidR="00672C60" w:rsidRPr="00672C60" w:rsidRDefault="00090904" w:rsidP="00F720A0">
      <w:pPr>
        <w:pStyle w:val="mpcbullets1"/>
      </w:pPr>
      <w:r w:rsidRPr="00090904">
        <w:t xml:space="preserve">be positioned in the context of broader healthy eating messages </w:t>
      </w:r>
    </w:p>
    <w:p w14:paraId="2C8CC296" w14:textId="77777777" w:rsidR="00672C60" w:rsidRPr="00672C60" w:rsidRDefault="00227857" w:rsidP="00F720A0">
      <w:pPr>
        <w:pStyle w:val="mpcbullets1"/>
      </w:pPr>
      <w:r w:rsidRPr="00090904">
        <w:t xml:space="preserve">continue to use a range of </w:t>
      </w:r>
      <w:r w:rsidR="00090904" w:rsidRPr="00090904">
        <w:t xml:space="preserve">include a range of readily accessible, reliable resources that stakeholders can use to inform their own promotion of the HSR System </w:t>
      </w:r>
    </w:p>
    <w:p w14:paraId="677427EE" w14:textId="4FCDFDC1" w:rsidR="00227857" w:rsidRPr="00672C60" w:rsidRDefault="00227857" w:rsidP="00F720A0">
      <w:pPr>
        <w:pStyle w:val="mpcbullets1"/>
        <w:rPr>
          <w:rFonts w:cstheme="minorBidi"/>
          <w:color w:val="auto"/>
        </w:rPr>
      </w:pPr>
      <w:r w:rsidRPr="00672C60">
        <w:t>cost-effective mediums that respond to stakeholder needs.</w:t>
      </w:r>
    </w:p>
    <w:p w14:paraId="471982EF" w14:textId="77777777" w:rsidR="00227857" w:rsidRPr="00672C60" w:rsidRDefault="00227857">
      <w:pPr>
        <w:pStyle w:val="Default"/>
        <w:rPr>
          <w:rFonts w:asciiTheme="minorHAnsi" w:hAnsiTheme="minorHAnsi" w:cstheme="minorBidi"/>
          <w:color w:val="auto"/>
          <w:sz w:val="22"/>
          <w:szCs w:val="22"/>
          <w:lang w:val="en-AU"/>
        </w:rPr>
      </w:pPr>
    </w:p>
    <w:p w14:paraId="27622AFD" w14:textId="45317744" w:rsidR="00B36208" w:rsidRPr="00672C60" w:rsidRDefault="00B36208">
      <w:pPr>
        <w:pStyle w:val="Default"/>
        <w:rPr>
          <w:rFonts w:asciiTheme="minorHAnsi" w:hAnsiTheme="minorHAnsi" w:cstheme="minorBidi"/>
          <w:color w:val="auto"/>
          <w:sz w:val="22"/>
          <w:szCs w:val="22"/>
          <w:lang w:val="en-AU"/>
        </w:rPr>
      </w:pPr>
      <w:r w:rsidRPr="00672C60">
        <w:rPr>
          <w:rFonts w:asciiTheme="minorHAnsi" w:hAnsiTheme="minorHAnsi" w:cstheme="minorBidi"/>
          <w:color w:val="auto"/>
          <w:sz w:val="22"/>
          <w:szCs w:val="22"/>
          <w:lang w:val="en-AU"/>
        </w:rPr>
        <w:t>This would enable the benefits of the investment to date to be fully realised, while acknowledging that contribution can be reduced as the System is further embedded.</w:t>
      </w:r>
    </w:p>
    <w:p w14:paraId="7C18000D" w14:textId="77777777" w:rsidR="00B36208" w:rsidRPr="00C84928" w:rsidRDefault="00B36208">
      <w:pPr>
        <w:pStyle w:val="Default"/>
        <w:rPr>
          <w:rFonts w:asciiTheme="minorHAnsi" w:hAnsiTheme="minorHAnsi" w:cstheme="minorBidi"/>
          <w:color w:val="auto"/>
          <w:sz w:val="22"/>
          <w:szCs w:val="22"/>
          <w:highlight w:val="yellow"/>
          <w:lang w:val="en-AU"/>
        </w:rPr>
      </w:pPr>
    </w:p>
    <w:p w14:paraId="4961C924" w14:textId="77777777" w:rsidR="00B36208" w:rsidRPr="00C84928" w:rsidRDefault="00B36208">
      <w:pPr>
        <w:pStyle w:val="Default"/>
        <w:rPr>
          <w:rFonts w:asciiTheme="minorHAnsi" w:hAnsiTheme="minorHAnsi" w:cstheme="minorBidi"/>
          <w:color w:val="auto"/>
          <w:sz w:val="22"/>
          <w:szCs w:val="22"/>
          <w:highlight w:val="yellow"/>
          <w:lang w:val="en-AU"/>
        </w:rPr>
      </w:pPr>
    </w:p>
    <w:p w14:paraId="04EAF915" w14:textId="77777777" w:rsidR="00B36208" w:rsidRPr="00CC1ADD" w:rsidRDefault="00B36208" w:rsidP="009959A5">
      <w:pPr>
        <w:pStyle w:val="mpcNormal"/>
        <w:keepNext w:val="0"/>
      </w:pPr>
    </w:p>
    <w:p w14:paraId="0CDEBA90" w14:textId="366B6707" w:rsidR="000A3464" w:rsidRPr="00CC1ADD" w:rsidRDefault="00B36208">
      <w:pPr>
        <w:pStyle w:val="mpcheading1"/>
        <w:spacing w:after="0"/>
      </w:pPr>
      <w:r w:rsidRPr="00CC1ADD">
        <w:br w:type="column"/>
      </w:r>
      <w:bookmarkStart w:id="93" w:name="Chapter5"/>
      <w:bookmarkStart w:id="94" w:name="_Toc1746498"/>
      <w:bookmarkEnd w:id="93"/>
      <w:r w:rsidR="000A3464" w:rsidRPr="00CC1ADD">
        <w:t>Chapter 5 – The Health Star Rating Calculator</w:t>
      </w:r>
      <w:bookmarkEnd w:id="94"/>
    </w:p>
    <w:p w14:paraId="57A7D105" w14:textId="77777777" w:rsidR="000A3464" w:rsidRPr="00CC1ADD" w:rsidRDefault="000A3464" w:rsidP="005711B7">
      <w:pPr>
        <w:pStyle w:val="mpcNormal"/>
        <w:keepNext w:val="0"/>
      </w:pPr>
    </w:p>
    <w:p w14:paraId="5C0A9B2F" w14:textId="77777777" w:rsidR="000A3464" w:rsidRPr="00CC1ADD" w:rsidRDefault="000A3464" w:rsidP="005A3631">
      <w:pPr>
        <w:pStyle w:val="mpcheading2"/>
        <w:spacing w:after="0"/>
        <w:rPr>
          <w:szCs w:val="22"/>
        </w:rPr>
      </w:pPr>
      <w:bookmarkStart w:id="95" w:name="Summary5"/>
      <w:bookmarkStart w:id="96" w:name="_Toc1746499"/>
      <w:bookmarkEnd w:id="95"/>
      <w:r w:rsidRPr="00CC1ADD">
        <w:rPr>
          <w:szCs w:val="22"/>
        </w:rPr>
        <w:t>Summary</w:t>
      </w:r>
      <w:bookmarkEnd w:id="96"/>
    </w:p>
    <w:p w14:paraId="1DF04945" w14:textId="77777777" w:rsidR="000A3464" w:rsidRPr="00CC1ADD" w:rsidRDefault="000A3464" w:rsidP="005711B7">
      <w:pPr>
        <w:pStyle w:val="mpcNormal"/>
        <w:keepNext w:val="0"/>
      </w:pPr>
    </w:p>
    <w:p w14:paraId="2637A4D3" w14:textId="77777777" w:rsidR="000A3464" w:rsidRPr="00CC1ADD" w:rsidRDefault="000A3464" w:rsidP="002D01CF">
      <w:pPr>
        <w:pStyle w:val="mpcNormal"/>
        <w:keepNext w:val="0"/>
      </w:pPr>
      <w:r w:rsidRPr="00CC1ADD">
        <w:t>As discussed in Chapter 3, the HSR System is generally performing well in terms of uptake, consumer awareness and use, and driving positive reformulation. TAG modelling and other research also indicates that the HSR System broadly aligns with Dietary Guidelines in terms of calculating HSRs in line with scientific evidence regarding nutrition. There are, however, some areas where:</w:t>
      </w:r>
    </w:p>
    <w:p w14:paraId="3FBAF471" w14:textId="77777777" w:rsidR="000A3464" w:rsidRPr="00CC1ADD" w:rsidRDefault="000A3464" w:rsidP="002D01CF">
      <w:pPr>
        <w:pStyle w:val="mpcNormal"/>
        <w:keepNext w:val="0"/>
      </w:pPr>
    </w:p>
    <w:p w14:paraId="024058F7" w14:textId="77777777" w:rsidR="000A3464" w:rsidRPr="00CC1ADD" w:rsidRDefault="000A3464" w:rsidP="00F720A0">
      <w:pPr>
        <w:pStyle w:val="mpcbullets1"/>
      </w:pPr>
      <w:r w:rsidRPr="00CC1ADD">
        <w:t xml:space="preserve">the HSR Calculator does not perform as expected </w:t>
      </w:r>
    </w:p>
    <w:p w14:paraId="79A19AE6" w14:textId="77777777" w:rsidR="000A3464" w:rsidRPr="00CC1ADD" w:rsidRDefault="000A3464" w:rsidP="00F720A0">
      <w:pPr>
        <w:pStyle w:val="mpcbullets1"/>
      </w:pPr>
      <w:r w:rsidRPr="00CC1ADD">
        <w:t>Dietary Guidelines do not align with consumer expectations and consumers have expressed concerns about the HSR on certain products</w:t>
      </w:r>
    </w:p>
    <w:p w14:paraId="47C058FA" w14:textId="77777777" w:rsidR="000A3464" w:rsidRPr="00CC1ADD" w:rsidRDefault="000A3464" w:rsidP="00F720A0">
      <w:pPr>
        <w:pStyle w:val="mpcbullets1"/>
      </w:pPr>
      <w:r w:rsidRPr="00CC1ADD">
        <w:t>changes could be made to reflect current nutrition science, address legitimate stakeholder concerns about the System and further drive uptake and positive reformulation by manufacturers.</w:t>
      </w:r>
    </w:p>
    <w:p w14:paraId="39223D1F" w14:textId="77777777" w:rsidR="000A3464" w:rsidRPr="00CC1ADD" w:rsidRDefault="000A3464" w:rsidP="005711B7">
      <w:pPr>
        <w:pStyle w:val="mpcNormal"/>
        <w:keepNext w:val="0"/>
      </w:pPr>
    </w:p>
    <w:p w14:paraId="718FA0FB" w14:textId="1285FE0A" w:rsidR="000A3464" w:rsidRPr="00CC1ADD" w:rsidRDefault="000A3464" w:rsidP="005711B7">
      <w:pPr>
        <w:pStyle w:val="mpcNormal"/>
        <w:keepNext w:val="0"/>
      </w:pPr>
      <w:r w:rsidRPr="00CC1ADD">
        <w:t xml:space="preserve">Based on the above, the Review recommends a package of </w:t>
      </w:r>
      <w:r w:rsidR="00BF11EE">
        <w:t>S</w:t>
      </w:r>
      <w:r w:rsidRPr="00CC1ADD">
        <w:t>ystem enhancements that achieve the following outcomes.</w:t>
      </w:r>
      <w:r w:rsidR="006C6A0E">
        <w:t xml:space="preserve"> </w:t>
      </w:r>
    </w:p>
    <w:p w14:paraId="2E1FAB68" w14:textId="77777777" w:rsidR="000A3464" w:rsidRPr="00CC1ADD" w:rsidRDefault="000A3464" w:rsidP="005711B7">
      <w:pPr>
        <w:pStyle w:val="mpcNormal"/>
        <w:keepNext w:val="0"/>
      </w:pPr>
    </w:p>
    <w:p w14:paraId="0FFF6FC1" w14:textId="634B7A89" w:rsidR="000A3464" w:rsidRPr="00CC1ADD" w:rsidRDefault="000A3464" w:rsidP="005A3631">
      <w:pPr>
        <w:rPr>
          <w:rFonts w:cstheme="minorHAnsi"/>
          <w:b/>
          <w:sz w:val="22"/>
          <w:szCs w:val="22"/>
        </w:rPr>
      </w:pPr>
      <w:r w:rsidRPr="00CC1ADD">
        <w:rPr>
          <w:rFonts w:cstheme="minorHAnsi"/>
          <w:b/>
          <w:sz w:val="22"/>
          <w:szCs w:val="22"/>
        </w:rPr>
        <w:t>Improve</w:t>
      </w:r>
      <w:r w:rsidR="00A84FB4">
        <w:rPr>
          <w:rFonts w:cstheme="minorHAnsi"/>
          <w:b/>
          <w:sz w:val="22"/>
          <w:szCs w:val="22"/>
        </w:rPr>
        <w:t>d</w:t>
      </w:r>
      <w:r w:rsidRPr="00CC1ADD">
        <w:rPr>
          <w:rFonts w:cstheme="minorHAnsi"/>
          <w:b/>
          <w:sz w:val="22"/>
          <w:szCs w:val="22"/>
        </w:rPr>
        <w:t xml:space="preserve"> alignment with Dietary Guidelines </w:t>
      </w:r>
    </w:p>
    <w:p w14:paraId="556EF0B7" w14:textId="77777777" w:rsidR="000A3464" w:rsidRPr="00CC1ADD" w:rsidRDefault="000A3464">
      <w:pPr>
        <w:rPr>
          <w:rFonts w:cstheme="minorHAnsi"/>
          <w:sz w:val="22"/>
          <w:szCs w:val="22"/>
        </w:rPr>
      </w:pPr>
    </w:p>
    <w:p w14:paraId="1C157FC3" w14:textId="77777777" w:rsidR="000A3464" w:rsidRPr="00CC1ADD" w:rsidRDefault="000A3464">
      <w:pPr>
        <w:rPr>
          <w:rFonts w:cstheme="minorHAnsi"/>
          <w:sz w:val="22"/>
          <w:szCs w:val="22"/>
        </w:rPr>
      </w:pPr>
      <w:r w:rsidRPr="00CC1ADD">
        <w:rPr>
          <w:rFonts w:cstheme="minorHAnsi"/>
          <w:sz w:val="22"/>
          <w:szCs w:val="22"/>
        </w:rPr>
        <w:t>The proposed changes better align with Dietary Guidelines by:</w:t>
      </w:r>
    </w:p>
    <w:p w14:paraId="7FD3292A" w14:textId="77777777" w:rsidR="000A3464" w:rsidRPr="00CC1ADD" w:rsidRDefault="000A3464">
      <w:pPr>
        <w:rPr>
          <w:rFonts w:cstheme="minorHAnsi"/>
          <w:sz w:val="22"/>
          <w:szCs w:val="22"/>
        </w:rPr>
      </w:pPr>
    </w:p>
    <w:p w14:paraId="62DF1B7A" w14:textId="77777777" w:rsidR="000A3464" w:rsidRPr="00CC1ADD" w:rsidRDefault="000A3464" w:rsidP="00C3403E">
      <w:pPr>
        <w:pStyle w:val="ListParagraph"/>
        <w:numPr>
          <w:ilvl w:val="0"/>
          <w:numId w:val="23"/>
        </w:numPr>
        <w:rPr>
          <w:rFonts w:cstheme="minorHAnsi"/>
          <w:sz w:val="22"/>
          <w:szCs w:val="22"/>
        </w:rPr>
      </w:pPr>
      <w:r w:rsidRPr="00CC1ADD">
        <w:rPr>
          <w:rFonts w:cstheme="minorHAnsi"/>
          <w:sz w:val="22"/>
          <w:szCs w:val="22"/>
        </w:rPr>
        <w:t>ensuring that fruits and vegetables that are fresh, frozen or canned without added fat, sugars or sodium receive an HSR of 5</w:t>
      </w:r>
    </w:p>
    <w:p w14:paraId="242E14D4" w14:textId="0CE29F79" w:rsidR="000A3464" w:rsidRPr="00CC1ADD" w:rsidRDefault="000A3464" w:rsidP="00C3403E">
      <w:pPr>
        <w:pStyle w:val="ListParagraph"/>
        <w:numPr>
          <w:ilvl w:val="0"/>
          <w:numId w:val="23"/>
        </w:numPr>
        <w:rPr>
          <w:rFonts w:cstheme="minorHAnsi"/>
          <w:sz w:val="22"/>
          <w:szCs w:val="22"/>
        </w:rPr>
      </w:pPr>
      <w:r w:rsidRPr="00CC1ADD">
        <w:rPr>
          <w:rFonts w:cstheme="minorHAnsi"/>
          <w:sz w:val="22"/>
          <w:szCs w:val="22"/>
        </w:rPr>
        <w:t xml:space="preserve">increasing the HSRs of FFG dairy </w:t>
      </w:r>
      <w:r w:rsidR="00E11933">
        <w:rPr>
          <w:rFonts w:cstheme="minorHAnsi"/>
          <w:sz w:val="22"/>
          <w:szCs w:val="22"/>
        </w:rPr>
        <w:t>foods</w:t>
      </w:r>
      <w:r w:rsidRPr="00CC1ADD">
        <w:rPr>
          <w:rFonts w:cstheme="minorHAnsi"/>
          <w:sz w:val="22"/>
          <w:szCs w:val="22"/>
        </w:rPr>
        <w:t xml:space="preserve"> (such as yoghurts and cheeses), while reducing the HSRs for less healthy alternatives</w:t>
      </w:r>
    </w:p>
    <w:p w14:paraId="16E1C603" w14:textId="77777777" w:rsidR="000A3464" w:rsidRPr="00CC1ADD" w:rsidRDefault="000A3464" w:rsidP="00C3403E">
      <w:pPr>
        <w:pStyle w:val="ListParagraph"/>
        <w:numPr>
          <w:ilvl w:val="0"/>
          <w:numId w:val="23"/>
        </w:numPr>
        <w:rPr>
          <w:rFonts w:cstheme="minorHAnsi"/>
          <w:sz w:val="22"/>
          <w:szCs w:val="22"/>
        </w:rPr>
      </w:pPr>
      <w:r w:rsidRPr="00CC1ADD">
        <w:rPr>
          <w:rFonts w:cstheme="minorHAnsi"/>
          <w:sz w:val="22"/>
          <w:szCs w:val="22"/>
        </w:rPr>
        <w:t>strengthening the negative impact of total sugars and high levels of sodium in the HSR Calculator, consistent with Dietary Guideline recommendations to limit intake of foods containing added salt and sugars</w:t>
      </w:r>
    </w:p>
    <w:p w14:paraId="6E760F05" w14:textId="77777777" w:rsidR="000A3464" w:rsidRPr="00CC1ADD" w:rsidRDefault="000A3464" w:rsidP="00C3403E">
      <w:pPr>
        <w:pStyle w:val="ListParagraph"/>
        <w:numPr>
          <w:ilvl w:val="0"/>
          <w:numId w:val="23"/>
        </w:numPr>
        <w:rPr>
          <w:rFonts w:cstheme="minorHAnsi"/>
          <w:sz w:val="22"/>
          <w:szCs w:val="22"/>
        </w:rPr>
      </w:pPr>
      <w:r w:rsidRPr="00CC1ADD">
        <w:rPr>
          <w:rFonts w:cstheme="minorHAnsi"/>
          <w:sz w:val="22"/>
          <w:szCs w:val="22"/>
        </w:rPr>
        <w:t>providing a more nuanced way of calculating the HSRs for non-dairy beverages, such that products high in sugars have lower HSRs than water and similar products.</w:t>
      </w:r>
    </w:p>
    <w:p w14:paraId="422B19EB" w14:textId="77777777" w:rsidR="000A3464" w:rsidRPr="00CC1ADD" w:rsidRDefault="000A3464">
      <w:pPr>
        <w:rPr>
          <w:rFonts w:cstheme="minorHAnsi"/>
          <w:sz w:val="22"/>
          <w:szCs w:val="22"/>
        </w:rPr>
      </w:pPr>
    </w:p>
    <w:p w14:paraId="0A8E23D1" w14:textId="79299646" w:rsidR="000A3464" w:rsidRPr="00CC1ADD" w:rsidRDefault="000A3464">
      <w:pPr>
        <w:rPr>
          <w:rFonts w:cstheme="minorHAnsi"/>
          <w:sz w:val="22"/>
          <w:szCs w:val="22"/>
        </w:rPr>
      </w:pPr>
      <w:r w:rsidRPr="00CC1ADD">
        <w:rPr>
          <w:rFonts w:cstheme="minorHAnsi"/>
          <w:sz w:val="22"/>
          <w:szCs w:val="22"/>
        </w:rPr>
        <w:t xml:space="preserve">These changes would result in a greater proportion of FFG foods scoring HSRs of 3.5 and above, and a greater proportion of discretionary foods scoring HSRs of 3 and below. Based on modelling in the TAG database, the number of FFG </w:t>
      </w:r>
      <w:r w:rsidR="0030513A">
        <w:rPr>
          <w:rFonts w:cstheme="minorHAnsi"/>
          <w:sz w:val="22"/>
          <w:szCs w:val="22"/>
        </w:rPr>
        <w:t>foods</w:t>
      </w:r>
      <w:r w:rsidRPr="00CC1ADD">
        <w:rPr>
          <w:rFonts w:cstheme="minorHAnsi"/>
          <w:sz w:val="22"/>
          <w:szCs w:val="22"/>
        </w:rPr>
        <w:t xml:space="preserve"> scoring 3.5 </w:t>
      </w:r>
      <w:r w:rsidR="00A84FB4">
        <w:rPr>
          <w:rFonts w:cstheme="minorHAnsi"/>
          <w:sz w:val="22"/>
          <w:szCs w:val="22"/>
        </w:rPr>
        <w:t xml:space="preserve">and above </w:t>
      </w:r>
      <w:r w:rsidRPr="00CC1ADD">
        <w:rPr>
          <w:rFonts w:cstheme="minorHAnsi"/>
          <w:sz w:val="22"/>
          <w:szCs w:val="22"/>
        </w:rPr>
        <w:t xml:space="preserve">would increase from 2,479 to 2,715 and the number of discretionary </w:t>
      </w:r>
      <w:r w:rsidR="0030513A">
        <w:rPr>
          <w:rFonts w:cstheme="minorHAnsi"/>
          <w:sz w:val="22"/>
          <w:szCs w:val="22"/>
        </w:rPr>
        <w:t>foods</w:t>
      </w:r>
      <w:r w:rsidRPr="00CC1ADD">
        <w:rPr>
          <w:rFonts w:cstheme="minorHAnsi"/>
          <w:sz w:val="22"/>
          <w:szCs w:val="22"/>
        </w:rPr>
        <w:t xml:space="preserve"> scoring </w:t>
      </w:r>
      <w:r w:rsidR="00A84FB4">
        <w:rPr>
          <w:rFonts w:cstheme="minorHAnsi"/>
          <w:sz w:val="22"/>
          <w:szCs w:val="22"/>
        </w:rPr>
        <w:t>less than</w:t>
      </w:r>
      <w:r w:rsidRPr="00CC1ADD">
        <w:rPr>
          <w:rFonts w:cstheme="minorHAnsi"/>
          <w:sz w:val="22"/>
          <w:szCs w:val="22"/>
        </w:rPr>
        <w:t xml:space="preserve"> 3.5 would increase from 1,568 to 1,589.</w:t>
      </w:r>
    </w:p>
    <w:p w14:paraId="0A00BB6E" w14:textId="77777777" w:rsidR="000A3464" w:rsidRPr="00CC1ADD" w:rsidRDefault="000A3464">
      <w:pPr>
        <w:rPr>
          <w:rFonts w:cstheme="minorHAnsi"/>
          <w:sz w:val="22"/>
          <w:szCs w:val="22"/>
        </w:rPr>
      </w:pPr>
    </w:p>
    <w:p w14:paraId="59232EC5" w14:textId="5FACF814" w:rsidR="000A3464" w:rsidRPr="00CC1ADD" w:rsidRDefault="000A3464">
      <w:pPr>
        <w:rPr>
          <w:rFonts w:cstheme="minorHAnsi"/>
          <w:b/>
          <w:sz w:val="22"/>
          <w:szCs w:val="22"/>
        </w:rPr>
      </w:pPr>
      <w:r w:rsidRPr="00CC1ADD">
        <w:rPr>
          <w:rFonts w:cstheme="minorHAnsi"/>
          <w:b/>
          <w:sz w:val="22"/>
          <w:szCs w:val="22"/>
        </w:rPr>
        <w:t>Increase</w:t>
      </w:r>
      <w:r w:rsidR="00A84FB4">
        <w:rPr>
          <w:rFonts w:cstheme="minorHAnsi"/>
          <w:b/>
          <w:sz w:val="22"/>
          <w:szCs w:val="22"/>
        </w:rPr>
        <w:t>d</w:t>
      </w:r>
      <w:r w:rsidRPr="00CC1ADD">
        <w:rPr>
          <w:rFonts w:cstheme="minorHAnsi"/>
          <w:b/>
          <w:sz w:val="22"/>
          <w:szCs w:val="22"/>
        </w:rPr>
        <w:t xml:space="preserve"> influence of total sugars on a product’s HSR</w:t>
      </w:r>
    </w:p>
    <w:p w14:paraId="35C6242B" w14:textId="77777777" w:rsidR="000A3464" w:rsidRPr="00CC1ADD" w:rsidRDefault="000A3464">
      <w:pPr>
        <w:rPr>
          <w:rFonts w:cstheme="minorHAnsi"/>
          <w:sz w:val="22"/>
          <w:szCs w:val="22"/>
        </w:rPr>
      </w:pPr>
    </w:p>
    <w:p w14:paraId="0D664EFB" w14:textId="276C0685" w:rsidR="000A3464" w:rsidRPr="00CC1ADD" w:rsidRDefault="000A3464" w:rsidP="00F720A0">
      <w:pPr>
        <w:pStyle w:val="mpcbullets1"/>
        <w:rPr>
          <w:bCs/>
        </w:rPr>
      </w:pPr>
      <w:r w:rsidRPr="00CC1ADD">
        <w:t>The most significant area of stakeholder concern with respect to the HSR Calculator relates to the treatment of sugars, with concerns raised around the perceived i</w:t>
      </w:r>
      <w:r w:rsidRPr="00CC1ADD">
        <w:rPr>
          <w:bCs/>
        </w:rPr>
        <w:t>nappropriately high HSRs of some products with relatively high levels of sugars. This issue was most commonly raised in relation to breakfast cereals and ready to eat foods particularly in relation to some breakfast cereals with over 30g of sugars per 100g and some snack bars with over 20g of sugars per 100g scoring an HSR of 4.</w:t>
      </w:r>
    </w:p>
    <w:p w14:paraId="28F09FFE" w14:textId="77777777" w:rsidR="000A3464" w:rsidRPr="00CC1ADD" w:rsidRDefault="000A3464">
      <w:pPr>
        <w:rPr>
          <w:rFonts w:cstheme="minorHAnsi"/>
          <w:sz w:val="22"/>
          <w:szCs w:val="22"/>
        </w:rPr>
      </w:pPr>
    </w:p>
    <w:p w14:paraId="32369E94" w14:textId="77777777" w:rsidR="000A3464" w:rsidRPr="00CC1ADD" w:rsidRDefault="000A3464">
      <w:pPr>
        <w:rPr>
          <w:rFonts w:cstheme="minorHAnsi"/>
          <w:sz w:val="22"/>
          <w:szCs w:val="22"/>
        </w:rPr>
      </w:pPr>
      <w:r w:rsidRPr="00CC1ADD">
        <w:rPr>
          <w:rFonts w:cstheme="minorHAnsi"/>
          <w:sz w:val="22"/>
          <w:szCs w:val="22"/>
        </w:rPr>
        <w:t>While these HSRs are accurate based on the HSR Calculator, they do not align with consumer expectations, which has impacted confidence in the System.</w:t>
      </w:r>
      <w:r w:rsidRPr="00CC1ADD">
        <w:rPr>
          <w:rStyle w:val="FootnoteReference"/>
          <w:rFonts w:cstheme="minorHAnsi"/>
          <w:sz w:val="22"/>
          <w:szCs w:val="22"/>
        </w:rPr>
        <w:footnoteReference w:id="45"/>
      </w:r>
    </w:p>
    <w:p w14:paraId="746E5C4B" w14:textId="77777777" w:rsidR="000A3464" w:rsidRPr="00CC1ADD" w:rsidRDefault="000A3464">
      <w:pPr>
        <w:rPr>
          <w:rFonts w:cstheme="minorHAnsi"/>
          <w:sz w:val="22"/>
          <w:szCs w:val="22"/>
        </w:rPr>
      </w:pPr>
    </w:p>
    <w:p w14:paraId="48D7A2DB" w14:textId="77777777" w:rsidR="000A3464" w:rsidRPr="00CC1ADD" w:rsidRDefault="000A3464">
      <w:pPr>
        <w:rPr>
          <w:rFonts w:cstheme="minorHAnsi"/>
          <w:sz w:val="22"/>
          <w:szCs w:val="22"/>
        </w:rPr>
      </w:pPr>
      <w:r w:rsidRPr="00CC1ADD">
        <w:rPr>
          <w:rFonts w:cstheme="minorHAnsi"/>
          <w:sz w:val="22"/>
          <w:szCs w:val="22"/>
        </w:rPr>
        <w:t>Strengthening treatment of sugars is consistent with Dietary Guideline recommendations to limit intake of foods with added sugars and the worldwide effort to reduce consumption of free sugars, noting the impact on energy and obesity.</w:t>
      </w:r>
    </w:p>
    <w:p w14:paraId="138F7DE8" w14:textId="77777777" w:rsidR="000A3464" w:rsidRPr="00CC1ADD" w:rsidRDefault="000A3464">
      <w:pPr>
        <w:rPr>
          <w:rFonts w:cstheme="minorHAnsi"/>
          <w:sz w:val="22"/>
          <w:szCs w:val="22"/>
        </w:rPr>
      </w:pPr>
    </w:p>
    <w:p w14:paraId="02DDF8AA" w14:textId="552AA4C1" w:rsidR="000A3464" w:rsidRPr="00CC1ADD" w:rsidRDefault="00E11933" w:rsidP="002D01CF">
      <w:pPr>
        <w:rPr>
          <w:rFonts w:cstheme="minorHAnsi"/>
          <w:b/>
          <w:sz w:val="22"/>
          <w:szCs w:val="22"/>
        </w:rPr>
      </w:pPr>
      <w:r>
        <w:rPr>
          <w:rFonts w:cstheme="minorHAnsi"/>
          <w:b/>
          <w:sz w:val="22"/>
          <w:szCs w:val="22"/>
        </w:rPr>
        <w:t>M</w:t>
      </w:r>
      <w:r w:rsidR="000A3464" w:rsidRPr="00CC1ADD">
        <w:rPr>
          <w:rFonts w:cstheme="minorHAnsi"/>
          <w:b/>
          <w:sz w:val="22"/>
          <w:szCs w:val="22"/>
        </w:rPr>
        <w:t>aintain</w:t>
      </w:r>
      <w:r>
        <w:rPr>
          <w:rFonts w:cstheme="minorHAnsi"/>
          <w:b/>
          <w:sz w:val="22"/>
          <w:szCs w:val="22"/>
        </w:rPr>
        <w:t>s</w:t>
      </w:r>
      <w:r w:rsidR="000A3464" w:rsidRPr="00CC1ADD">
        <w:rPr>
          <w:rFonts w:cstheme="minorHAnsi"/>
          <w:b/>
          <w:sz w:val="22"/>
          <w:szCs w:val="22"/>
        </w:rPr>
        <w:t xml:space="preserve"> existing risk and positive nutrients</w:t>
      </w:r>
      <w:r>
        <w:rPr>
          <w:rFonts w:cstheme="minorHAnsi"/>
          <w:b/>
          <w:sz w:val="22"/>
          <w:szCs w:val="22"/>
        </w:rPr>
        <w:t>, avoiding</w:t>
      </w:r>
      <w:r w:rsidRPr="00CC1ADD">
        <w:rPr>
          <w:rFonts w:cstheme="minorHAnsi"/>
          <w:b/>
          <w:sz w:val="22"/>
          <w:szCs w:val="22"/>
        </w:rPr>
        <w:t xml:space="preserve"> </w:t>
      </w:r>
      <w:r>
        <w:rPr>
          <w:rFonts w:cstheme="minorHAnsi"/>
          <w:b/>
          <w:sz w:val="22"/>
          <w:szCs w:val="22"/>
        </w:rPr>
        <w:t>added</w:t>
      </w:r>
      <w:r w:rsidRPr="00CC1ADD">
        <w:rPr>
          <w:rFonts w:cstheme="minorHAnsi"/>
          <w:b/>
          <w:sz w:val="22"/>
          <w:szCs w:val="22"/>
        </w:rPr>
        <w:t xml:space="preserve"> complexity</w:t>
      </w:r>
    </w:p>
    <w:p w14:paraId="18993AE5" w14:textId="77777777" w:rsidR="000A3464" w:rsidRPr="00CC1ADD" w:rsidRDefault="000A3464" w:rsidP="002D01CF">
      <w:pPr>
        <w:rPr>
          <w:rFonts w:cstheme="minorHAnsi"/>
          <w:b/>
          <w:sz w:val="22"/>
          <w:szCs w:val="22"/>
        </w:rPr>
      </w:pPr>
    </w:p>
    <w:p w14:paraId="49753251" w14:textId="18BF5B7B" w:rsidR="000A3464" w:rsidRPr="00CC1ADD" w:rsidRDefault="000A3464" w:rsidP="002D01CF">
      <w:pPr>
        <w:rPr>
          <w:rFonts w:cstheme="minorHAnsi"/>
          <w:sz w:val="22"/>
          <w:szCs w:val="22"/>
        </w:rPr>
      </w:pPr>
      <w:r w:rsidRPr="00CC1ADD">
        <w:rPr>
          <w:rFonts w:cstheme="minorHAnsi"/>
          <w:sz w:val="22"/>
          <w:szCs w:val="22"/>
        </w:rPr>
        <w:t>The Review acknowledges the strong stakeholder support for including both added sugars and wholegrain in the HSR Calculator</w:t>
      </w:r>
      <w:r w:rsidR="00E11933">
        <w:rPr>
          <w:rFonts w:cstheme="minorHAnsi"/>
          <w:sz w:val="22"/>
          <w:szCs w:val="22"/>
        </w:rPr>
        <w:t>.</w:t>
      </w:r>
    </w:p>
    <w:p w14:paraId="30183713" w14:textId="77777777" w:rsidR="000A3464" w:rsidRPr="00CC1ADD" w:rsidRDefault="000A3464" w:rsidP="005A3631">
      <w:pPr>
        <w:rPr>
          <w:rFonts w:cstheme="minorHAnsi"/>
          <w:sz w:val="22"/>
          <w:szCs w:val="22"/>
        </w:rPr>
      </w:pPr>
    </w:p>
    <w:p w14:paraId="2C05B217" w14:textId="54021684" w:rsidR="000A3464" w:rsidRPr="00CC1ADD" w:rsidRDefault="000A3464">
      <w:pPr>
        <w:rPr>
          <w:rFonts w:cstheme="minorHAnsi"/>
          <w:sz w:val="22"/>
          <w:szCs w:val="22"/>
        </w:rPr>
      </w:pPr>
      <w:r w:rsidRPr="00CC1ADD">
        <w:rPr>
          <w:rFonts w:cstheme="minorHAnsi"/>
          <w:sz w:val="22"/>
          <w:szCs w:val="22"/>
        </w:rPr>
        <w:t xml:space="preserve">The Review has examined these options in detail. Compelling arguments have been made regarding the contribution of added sugars to overweight and obesity as well as poor dental health and the importance of wholegrain in reducing </w:t>
      </w:r>
      <w:r w:rsidR="005A3631">
        <w:rPr>
          <w:rFonts w:cstheme="minorHAnsi"/>
          <w:sz w:val="22"/>
          <w:szCs w:val="22"/>
        </w:rPr>
        <w:t xml:space="preserve">the </w:t>
      </w:r>
      <w:r w:rsidRPr="00CC1ADD">
        <w:rPr>
          <w:rFonts w:cstheme="minorHAnsi"/>
          <w:sz w:val="22"/>
          <w:szCs w:val="22"/>
        </w:rPr>
        <w:t xml:space="preserve">risk of cardiovascular disease. However, </w:t>
      </w:r>
      <w:r w:rsidR="00880923">
        <w:rPr>
          <w:rFonts w:cstheme="minorHAnsi"/>
          <w:sz w:val="22"/>
          <w:szCs w:val="22"/>
        </w:rPr>
        <w:t xml:space="preserve">including added sugars and wholegrain in the HSR System </w:t>
      </w:r>
      <w:r w:rsidRPr="00CC1ADD">
        <w:rPr>
          <w:rFonts w:cstheme="minorHAnsi"/>
          <w:sz w:val="22"/>
          <w:szCs w:val="22"/>
        </w:rPr>
        <w:t xml:space="preserve">entail </w:t>
      </w:r>
      <w:r w:rsidR="00880923">
        <w:rPr>
          <w:rFonts w:cstheme="minorHAnsi"/>
          <w:sz w:val="22"/>
          <w:szCs w:val="22"/>
        </w:rPr>
        <w:t>significant</w:t>
      </w:r>
      <w:r w:rsidR="00880923" w:rsidRPr="00CC1ADD">
        <w:rPr>
          <w:rFonts w:cstheme="minorHAnsi"/>
          <w:sz w:val="22"/>
          <w:szCs w:val="22"/>
        </w:rPr>
        <w:t xml:space="preserve"> </w:t>
      </w:r>
      <w:r w:rsidRPr="00CC1ADD">
        <w:rPr>
          <w:rFonts w:cstheme="minorHAnsi"/>
          <w:sz w:val="22"/>
          <w:szCs w:val="22"/>
        </w:rPr>
        <w:t>challenges</w:t>
      </w:r>
      <w:r w:rsidR="00880923">
        <w:rPr>
          <w:rFonts w:cstheme="minorHAnsi"/>
          <w:sz w:val="22"/>
          <w:szCs w:val="22"/>
        </w:rPr>
        <w:t xml:space="preserve">. For example, </w:t>
      </w:r>
      <w:r w:rsidRPr="00CC1ADD">
        <w:rPr>
          <w:rFonts w:cstheme="minorHAnsi"/>
          <w:sz w:val="22"/>
          <w:szCs w:val="22"/>
        </w:rPr>
        <w:t xml:space="preserve">there </w:t>
      </w:r>
      <w:r w:rsidR="00880923">
        <w:rPr>
          <w:rFonts w:cstheme="minorHAnsi"/>
          <w:sz w:val="22"/>
          <w:szCs w:val="22"/>
        </w:rPr>
        <w:t>is</w:t>
      </w:r>
      <w:r w:rsidR="00E506E7" w:rsidRPr="00CC1ADD">
        <w:rPr>
          <w:rFonts w:cstheme="minorHAnsi"/>
          <w:sz w:val="22"/>
          <w:szCs w:val="22"/>
        </w:rPr>
        <w:t xml:space="preserve"> </w:t>
      </w:r>
      <w:r w:rsidRPr="00CC1ADD">
        <w:rPr>
          <w:rFonts w:cstheme="minorHAnsi"/>
          <w:sz w:val="22"/>
          <w:szCs w:val="22"/>
        </w:rPr>
        <w:t>no agreed definition</w:t>
      </w:r>
      <w:r w:rsidR="00E506E7">
        <w:rPr>
          <w:rFonts w:cstheme="minorHAnsi"/>
          <w:sz w:val="22"/>
          <w:szCs w:val="22"/>
        </w:rPr>
        <w:t xml:space="preserve"> of</w:t>
      </w:r>
      <w:r w:rsidRPr="00CC1ADD">
        <w:rPr>
          <w:rFonts w:cstheme="minorHAnsi"/>
          <w:sz w:val="22"/>
          <w:szCs w:val="22"/>
        </w:rPr>
        <w:t xml:space="preserve"> added or free sugars</w:t>
      </w:r>
      <w:r w:rsidR="00880923">
        <w:rPr>
          <w:rFonts w:cstheme="minorHAnsi"/>
          <w:sz w:val="22"/>
          <w:szCs w:val="22"/>
        </w:rPr>
        <w:t>,</w:t>
      </w:r>
      <w:r w:rsidRPr="00CC1ADD">
        <w:rPr>
          <w:rFonts w:cstheme="minorHAnsi"/>
          <w:sz w:val="22"/>
          <w:szCs w:val="22"/>
        </w:rPr>
        <w:t xml:space="preserve"> or wholegrain</w:t>
      </w:r>
      <w:r w:rsidR="00880923">
        <w:rPr>
          <w:rFonts w:cstheme="minorHAnsi"/>
          <w:sz w:val="22"/>
          <w:szCs w:val="22"/>
        </w:rPr>
        <w:t>;</w:t>
      </w:r>
      <w:r w:rsidRPr="00CC1ADD">
        <w:rPr>
          <w:rFonts w:cstheme="minorHAnsi"/>
          <w:sz w:val="22"/>
          <w:szCs w:val="22"/>
        </w:rPr>
        <w:t xml:space="preserve"> and </w:t>
      </w:r>
      <w:r w:rsidR="00E506E7">
        <w:rPr>
          <w:rFonts w:cstheme="minorHAnsi"/>
          <w:sz w:val="22"/>
          <w:szCs w:val="22"/>
        </w:rPr>
        <w:t xml:space="preserve">no requirement to declare </w:t>
      </w:r>
      <w:r w:rsidRPr="00CC1ADD">
        <w:rPr>
          <w:rFonts w:cstheme="minorHAnsi"/>
          <w:sz w:val="22"/>
          <w:szCs w:val="22"/>
        </w:rPr>
        <w:t xml:space="preserve">these components </w:t>
      </w:r>
      <w:r w:rsidR="00885AF1">
        <w:rPr>
          <w:rFonts w:cstheme="minorHAnsi"/>
          <w:sz w:val="22"/>
          <w:szCs w:val="22"/>
        </w:rPr>
        <w:t>i</w:t>
      </w:r>
      <w:r w:rsidRPr="00CC1ADD">
        <w:rPr>
          <w:rFonts w:cstheme="minorHAnsi"/>
          <w:sz w:val="22"/>
          <w:szCs w:val="22"/>
        </w:rPr>
        <w:t xml:space="preserve">n the NIP. Modelling of various options to include added sugars </w:t>
      </w:r>
      <w:r w:rsidR="00E506E7">
        <w:rPr>
          <w:rFonts w:cstheme="minorHAnsi"/>
          <w:sz w:val="22"/>
          <w:szCs w:val="22"/>
        </w:rPr>
        <w:t xml:space="preserve">and </w:t>
      </w:r>
      <w:r w:rsidR="00E506E7" w:rsidRPr="00CC1ADD">
        <w:rPr>
          <w:rFonts w:cstheme="minorHAnsi"/>
          <w:sz w:val="22"/>
          <w:szCs w:val="22"/>
        </w:rPr>
        <w:t xml:space="preserve">wholegrain </w:t>
      </w:r>
      <w:r w:rsidRPr="00CC1ADD">
        <w:rPr>
          <w:rFonts w:cstheme="minorHAnsi"/>
          <w:sz w:val="22"/>
          <w:szCs w:val="22"/>
        </w:rPr>
        <w:t xml:space="preserve">in the HSR Calculator also highlighted that </w:t>
      </w:r>
      <w:r w:rsidR="00E11933">
        <w:rPr>
          <w:rFonts w:cstheme="minorHAnsi"/>
          <w:sz w:val="22"/>
          <w:szCs w:val="22"/>
        </w:rPr>
        <w:t>the inclusion would</w:t>
      </w:r>
      <w:r w:rsidRPr="00CC1ADD">
        <w:rPr>
          <w:rFonts w:cstheme="minorHAnsi"/>
          <w:sz w:val="22"/>
          <w:szCs w:val="22"/>
        </w:rPr>
        <w:t xml:space="preserve"> not have the desired </w:t>
      </w:r>
      <w:r w:rsidR="00E506E7">
        <w:rPr>
          <w:rFonts w:cstheme="minorHAnsi"/>
          <w:sz w:val="22"/>
          <w:szCs w:val="22"/>
        </w:rPr>
        <w:t>effect because</w:t>
      </w:r>
      <w:r w:rsidRPr="00CC1ADD">
        <w:rPr>
          <w:rFonts w:cstheme="minorHAnsi"/>
          <w:sz w:val="22"/>
          <w:szCs w:val="22"/>
        </w:rPr>
        <w:t>:</w:t>
      </w:r>
    </w:p>
    <w:p w14:paraId="718DDC31" w14:textId="77777777" w:rsidR="000A3464" w:rsidRPr="00CC1ADD" w:rsidRDefault="000A3464">
      <w:pPr>
        <w:rPr>
          <w:rFonts w:cstheme="minorHAnsi"/>
          <w:sz w:val="22"/>
          <w:szCs w:val="22"/>
        </w:rPr>
      </w:pPr>
    </w:p>
    <w:p w14:paraId="6A453AB6" w14:textId="4B770632" w:rsidR="000A3464" w:rsidRPr="00CC1ADD" w:rsidRDefault="000A3464" w:rsidP="00C3403E">
      <w:pPr>
        <w:pStyle w:val="ListParagraph"/>
        <w:numPr>
          <w:ilvl w:val="0"/>
          <w:numId w:val="24"/>
        </w:numPr>
        <w:rPr>
          <w:rFonts w:cstheme="minorHAnsi"/>
          <w:sz w:val="22"/>
          <w:szCs w:val="22"/>
        </w:rPr>
      </w:pPr>
      <w:r w:rsidRPr="00CC1ADD">
        <w:rPr>
          <w:rFonts w:cstheme="minorHAnsi"/>
          <w:sz w:val="22"/>
          <w:szCs w:val="22"/>
        </w:rPr>
        <w:t>inclusion of wholegrain increased the HSRs for many discretionary products with high levels of wholegrain (for example</w:t>
      </w:r>
      <w:r w:rsidR="0030513A">
        <w:rPr>
          <w:rFonts w:cstheme="minorHAnsi"/>
          <w:sz w:val="22"/>
          <w:szCs w:val="22"/>
        </w:rPr>
        <w:t>,</w:t>
      </w:r>
      <w:r w:rsidRPr="00CC1ADD">
        <w:rPr>
          <w:rFonts w:cstheme="minorHAnsi"/>
          <w:sz w:val="22"/>
          <w:szCs w:val="22"/>
        </w:rPr>
        <w:t xml:space="preserve"> biscuits, salty snacks and muesli bars)</w:t>
      </w:r>
    </w:p>
    <w:p w14:paraId="7CEA3C25" w14:textId="6F269FCA" w:rsidR="000A3464" w:rsidRPr="00CC1ADD" w:rsidRDefault="000A3464" w:rsidP="00C3403E">
      <w:pPr>
        <w:pStyle w:val="ListParagraph"/>
        <w:numPr>
          <w:ilvl w:val="0"/>
          <w:numId w:val="24"/>
        </w:numPr>
        <w:rPr>
          <w:rFonts w:cstheme="minorHAnsi"/>
          <w:sz w:val="22"/>
          <w:szCs w:val="22"/>
        </w:rPr>
      </w:pPr>
      <w:r w:rsidRPr="00CC1ADD">
        <w:rPr>
          <w:rFonts w:cstheme="minorHAnsi"/>
          <w:sz w:val="22"/>
          <w:szCs w:val="22"/>
        </w:rPr>
        <w:t xml:space="preserve">substituting total sugars with added sugars resulted in a mean increase in HSRs across most product categories (as added sugars content is necessarily lower than total sugars content and therefore fewer negative points are scored). </w:t>
      </w:r>
    </w:p>
    <w:p w14:paraId="246690B3" w14:textId="77777777" w:rsidR="000A3464" w:rsidRPr="00CC1ADD" w:rsidRDefault="000A3464">
      <w:pPr>
        <w:rPr>
          <w:rFonts w:cstheme="minorHAnsi"/>
          <w:sz w:val="22"/>
          <w:szCs w:val="22"/>
        </w:rPr>
      </w:pPr>
    </w:p>
    <w:p w14:paraId="0DC9E544" w14:textId="3DA75490" w:rsidR="000A3464" w:rsidRPr="00CC1ADD" w:rsidRDefault="00E11933">
      <w:pPr>
        <w:rPr>
          <w:rFonts w:cstheme="minorHAnsi"/>
          <w:b/>
          <w:sz w:val="22"/>
          <w:szCs w:val="22"/>
        </w:rPr>
      </w:pPr>
      <w:r>
        <w:rPr>
          <w:rFonts w:cstheme="minorHAnsi"/>
          <w:b/>
          <w:sz w:val="22"/>
          <w:szCs w:val="22"/>
        </w:rPr>
        <w:t>A</w:t>
      </w:r>
      <w:r w:rsidR="000A3464" w:rsidRPr="00CC1ADD">
        <w:rPr>
          <w:rFonts w:cstheme="minorHAnsi"/>
          <w:b/>
          <w:sz w:val="22"/>
          <w:szCs w:val="22"/>
        </w:rPr>
        <w:t xml:space="preserve"> more nuanced way of calculating the HSRs for non-dairy beverages to better reflect their relative nutritional value</w:t>
      </w:r>
    </w:p>
    <w:p w14:paraId="156D2B10" w14:textId="77777777" w:rsidR="000A3464" w:rsidRPr="00CC1ADD" w:rsidRDefault="000A3464">
      <w:pPr>
        <w:rPr>
          <w:rFonts w:cstheme="minorHAnsi"/>
          <w:b/>
          <w:sz w:val="22"/>
          <w:szCs w:val="22"/>
        </w:rPr>
      </w:pPr>
    </w:p>
    <w:p w14:paraId="1819B19F" w14:textId="3035954A" w:rsidR="000A3464" w:rsidRPr="00CC1ADD" w:rsidRDefault="000A3464">
      <w:pPr>
        <w:rPr>
          <w:rFonts w:cstheme="minorHAnsi"/>
          <w:sz w:val="22"/>
          <w:szCs w:val="22"/>
        </w:rPr>
      </w:pPr>
      <w:r w:rsidRPr="00CC1ADD">
        <w:rPr>
          <w:rFonts w:cstheme="minorHAnsi"/>
          <w:sz w:val="22"/>
          <w:szCs w:val="22"/>
        </w:rPr>
        <w:t>The HSR Calculator does not work effectively to support consumers to choose healthier options in the non</w:t>
      </w:r>
      <w:r w:rsidRPr="00CC1ADD">
        <w:rPr>
          <w:rFonts w:cstheme="minorHAnsi"/>
          <w:sz w:val="22"/>
          <w:szCs w:val="22"/>
        </w:rPr>
        <w:noBreakHyphen/>
        <w:t>dairy beverages category. Dietary Guidelines clearly indicate water as the healthiest beverage</w:t>
      </w:r>
      <w:r w:rsidR="00880923">
        <w:rPr>
          <w:rFonts w:cstheme="minorHAnsi"/>
          <w:sz w:val="22"/>
          <w:szCs w:val="22"/>
        </w:rPr>
        <w:t xml:space="preserve"> and, due to a policy decision made prior to implementation of the System</w:t>
      </w:r>
      <w:r w:rsidR="0030513A">
        <w:rPr>
          <w:rFonts w:cstheme="minorHAnsi"/>
          <w:sz w:val="22"/>
          <w:szCs w:val="22"/>
        </w:rPr>
        <w:t>,</w:t>
      </w:r>
      <w:r w:rsidR="00880923">
        <w:rPr>
          <w:rFonts w:cstheme="minorHAnsi"/>
          <w:sz w:val="22"/>
          <w:szCs w:val="22"/>
        </w:rPr>
        <w:t xml:space="preserve"> water has an automatic HSR of 5. H</w:t>
      </w:r>
      <w:r w:rsidRPr="00CC1ADD">
        <w:rPr>
          <w:rFonts w:cstheme="minorHAnsi"/>
          <w:sz w:val="22"/>
          <w:szCs w:val="22"/>
        </w:rPr>
        <w:t>owever, beverages closest in nutritional profile to water score HSRs of around 2, while high sugar fruit juices can score HSR</w:t>
      </w:r>
      <w:r w:rsidR="00880923">
        <w:rPr>
          <w:rFonts w:cstheme="minorHAnsi"/>
          <w:sz w:val="22"/>
          <w:szCs w:val="22"/>
        </w:rPr>
        <w:t>s</w:t>
      </w:r>
      <w:r w:rsidRPr="00CC1ADD">
        <w:rPr>
          <w:rFonts w:cstheme="minorHAnsi"/>
          <w:sz w:val="22"/>
          <w:szCs w:val="22"/>
        </w:rPr>
        <w:t xml:space="preserve"> of 5. This is of particular concern given that 52% of free sugars in Australian diets</w:t>
      </w:r>
      <w:r w:rsidRPr="00CC1ADD">
        <w:rPr>
          <w:rStyle w:val="FootnoteReference"/>
          <w:rFonts w:cstheme="minorHAnsi"/>
          <w:sz w:val="22"/>
          <w:szCs w:val="22"/>
        </w:rPr>
        <w:footnoteReference w:id="46"/>
      </w:r>
      <w:r w:rsidRPr="00CC1ADD">
        <w:rPr>
          <w:rFonts w:cstheme="minorHAnsi"/>
          <w:sz w:val="22"/>
          <w:szCs w:val="22"/>
        </w:rPr>
        <w:t xml:space="preserve"> and 17% of total sugars in New Zealand diets</w:t>
      </w:r>
      <w:r w:rsidRPr="00CC1ADD">
        <w:rPr>
          <w:rStyle w:val="FootnoteReference"/>
          <w:rFonts w:cstheme="minorHAnsi"/>
          <w:sz w:val="22"/>
          <w:szCs w:val="22"/>
        </w:rPr>
        <w:footnoteReference w:id="47"/>
      </w:r>
      <w:r w:rsidRPr="00CC1ADD">
        <w:rPr>
          <w:rFonts w:cstheme="minorHAnsi"/>
          <w:sz w:val="22"/>
          <w:szCs w:val="22"/>
        </w:rPr>
        <w:t xml:space="preserve"> comes from </w:t>
      </w:r>
      <w:r w:rsidRPr="009959A5">
        <w:rPr>
          <w:rFonts w:cstheme="minorHAnsi"/>
          <w:sz w:val="22"/>
          <w:szCs w:val="22"/>
        </w:rPr>
        <w:t>non</w:t>
      </w:r>
      <w:r w:rsidR="009959A5" w:rsidRPr="009959A5">
        <w:rPr>
          <w:rFonts w:cstheme="minorHAnsi"/>
          <w:sz w:val="22"/>
          <w:szCs w:val="22"/>
        </w:rPr>
        <w:t>-dairy/non-alcoholic</w:t>
      </w:r>
      <w:r w:rsidR="00963D76" w:rsidRPr="009959A5">
        <w:rPr>
          <w:rFonts w:cstheme="minorHAnsi"/>
          <w:sz w:val="22"/>
          <w:szCs w:val="22"/>
        </w:rPr>
        <w:t xml:space="preserve"> </w:t>
      </w:r>
      <w:r w:rsidRPr="009959A5">
        <w:rPr>
          <w:rFonts w:cstheme="minorHAnsi"/>
          <w:sz w:val="22"/>
          <w:szCs w:val="22"/>
        </w:rPr>
        <w:t>beverages.</w:t>
      </w:r>
      <w:r w:rsidRPr="00CC1ADD">
        <w:rPr>
          <w:rFonts w:cstheme="minorHAnsi"/>
          <w:i/>
          <w:sz w:val="22"/>
          <w:szCs w:val="22"/>
        </w:rPr>
        <w:t xml:space="preserve"> </w:t>
      </w:r>
      <w:r w:rsidRPr="00CC1ADD">
        <w:rPr>
          <w:rFonts w:cstheme="minorHAnsi"/>
          <w:sz w:val="22"/>
          <w:szCs w:val="22"/>
        </w:rPr>
        <w:t>In Australia, the majority comes from soft drinks, electrolyte and energy drinks (19%), fruit and vegetable juices and drinks (13%) and cordials (</w:t>
      </w:r>
      <w:r w:rsidR="00E506E7">
        <w:rPr>
          <w:rFonts w:cstheme="minorHAnsi"/>
          <w:sz w:val="22"/>
          <w:szCs w:val="22"/>
        </w:rPr>
        <w:t>5</w:t>
      </w:r>
      <w:r w:rsidRPr="00CC1ADD">
        <w:rPr>
          <w:rFonts w:cstheme="minorHAnsi"/>
          <w:sz w:val="22"/>
          <w:szCs w:val="22"/>
        </w:rPr>
        <w:t>%)</w:t>
      </w:r>
      <w:r w:rsidRPr="00CC1ADD">
        <w:rPr>
          <w:rStyle w:val="FootnoteReference"/>
          <w:rFonts w:cstheme="minorHAnsi"/>
          <w:sz w:val="22"/>
          <w:szCs w:val="22"/>
        </w:rPr>
        <w:footnoteReference w:id="48"/>
      </w:r>
      <w:r w:rsidRPr="00CC1ADD">
        <w:rPr>
          <w:rFonts w:cstheme="minorHAnsi"/>
          <w:sz w:val="22"/>
          <w:szCs w:val="22"/>
        </w:rPr>
        <w:t>.</w:t>
      </w:r>
    </w:p>
    <w:p w14:paraId="2CBFEC11" w14:textId="77777777" w:rsidR="000A3464" w:rsidRPr="00CC1ADD" w:rsidRDefault="000A3464">
      <w:pPr>
        <w:rPr>
          <w:rFonts w:cstheme="minorHAnsi"/>
          <w:sz w:val="22"/>
          <w:szCs w:val="22"/>
        </w:rPr>
      </w:pPr>
    </w:p>
    <w:p w14:paraId="59D010B5" w14:textId="4037477A" w:rsidR="000A3464" w:rsidRDefault="000A3464">
      <w:pPr>
        <w:rPr>
          <w:rFonts w:cstheme="minorHAnsi"/>
          <w:sz w:val="22"/>
          <w:szCs w:val="22"/>
        </w:rPr>
      </w:pPr>
      <w:r w:rsidRPr="00CC1ADD">
        <w:rPr>
          <w:rFonts w:cstheme="minorHAnsi"/>
          <w:sz w:val="22"/>
          <w:szCs w:val="22"/>
        </w:rPr>
        <w:t>The Review recommends that changes be made to the HSR Calculator such that those products closest in nutritional profile to water, with the same hydrating qualities and no or low calories (</w:t>
      </w:r>
      <w:r w:rsidR="0030513A">
        <w:rPr>
          <w:rFonts w:cstheme="minorHAnsi"/>
          <w:sz w:val="22"/>
          <w:szCs w:val="22"/>
        </w:rPr>
        <w:t>for example,</w:t>
      </w:r>
      <w:r w:rsidRPr="00CC1ADD">
        <w:rPr>
          <w:rFonts w:cstheme="minorHAnsi"/>
          <w:sz w:val="22"/>
          <w:szCs w:val="22"/>
        </w:rPr>
        <w:t xml:space="preserve"> unsweetened flavoured waters) would score high HSRs, followed by low sugar fruit and vegetable juices </w:t>
      </w:r>
      <w:r w:rsidR="00963D76">
        <w:rPr>
          <w:rFonts w:cstheme="minorHAnsi"/>
          <w:sz w:val="22"/>
          <w:szCs w:val="22"/>
        </w:rPr>
        <w:t xml:space="preserve">(such as tomato or grapefruit juices) </w:t>
      </w:r>
      <w:r w:rsidRPr="00CC1ADD">
        <w:rPr>
          <w:rFonts w:cstheme="minorHAnsi"/>
          <w:sz w:val="22"/>
          <w:szCs w:val="22"/>
        </w:rPr>
        <w:t>and other low sugar beverages, with high sugar beverages (</w:t>
      </w:r>
      <w:r w:rsidR="0030513A">
        <w:rPr>
          <w:rFonts w:cstheme="minorHAnsi"/>
          <w:sz w:val="22"/>
          <w:szCs w:val="22"/>
        </w:rPr>
        <w:t>for example,</w:t>
      </w:r>
      <w:r w:rsidR="0030513A" w:rsidRPr="00CC1ADD">
        <w:rPr>
          <w:rFonts w:cstheme="minorHAnsi"/>
          <w:sz w:val="22"/>
          <w:szCs w:val="22"/>
        </w:rPr>
        <w:t xml:space="preserve"> </w:t>
      </w:r>
      <w:r w:rsidRPr="00CC1ADD">
        <w:rPr>
          <w:rFonts w:cstheme="minorHAnsi"/>
          <w:sz w:val="22"/>
          <w:szCs w:val="22"/>
        </w:rPr>
        <w:t>soft drinks, sports drinks and iced teas) scoring low HSRs.</w:t>
      </w:r>
    </w:p>
    <w:p w14:paraId="53602582" w14:textId="77777777" w:rsidR="00963D76" w:rsidRPr="00CC1ADD" w:rsidRDefault="00963D76">
      <w:pPr>
        <w:rPr>
          <w:rFonts w:cstheme="minorHAnsi"/>
          <w:sz w:val="22"/>
          <w:szCs w:val="22"/>
        </w:rPr>
      </w:pPr>
    </w:p>
    <w:p w14:paraId="1E1DC300" w14:textId="77777777" w:rsidR="000A3464" w:rsidRPr="00CC1ADD" w:rsidRDefault="000A3464">
      <w:pPr>
        <w:rPr>
          <w:rFonts w:cstheme="minorHAnsi"/>
          <w:sz w:val="22"/>
          <w:szCs w:val="22"/>
        </w:rPr>
      </w:pPr>
      <w:r w:rsidRPr="00CC1ADD">
        <w:rPr>
          <w:rFonts w:cstheme="minorHAnsi"/>
          <w:sz w:val="22"/>
          <w:szCs w:val="22"/>
        </w:rPr>
        <w:t>This addresses ongoing stakeholder concerns and provides a solution in a category of products that are intrinsically difficult to nutritionally profile.</w:t>
      </w:r>
    </w:p>
    <w:p w14:paraId="76CEA945" w14:textId="77777777" w:rsidR="000A3464" w:rsidRPr="00CC1ADD" w:rsidRDefault="000A3464">
      <w:pPr>
        <w:rPr>
          <w:rFonts w:cstheme="minorHAnsi"/>
          <w:sz w:val="22"/>
          <w:szCs w:val="22"/>
        </w:rPr>
      </w:pPr>
    </w:p>
    <w:p w14:paraId="7140A6D6" w14:textId="396EC829" w:rsidR="000A3464" w:rsidRPr="00CC1ADD" w:rsidRDefault="00E11933">
      <w:pPr>
        <w:rPr>
          <w:rFonts w:cstheme="minorHAnsi"/>
          <w:b/>
          <w:sz w:val="22"/>
          <w:szCs w:val="22"/>
        </w:rPr>
      </w:pPr>
      <w:r>
        <w:rPr>
          <w:rFonts w:cstheme="minorHAnsi"/>
          <w:b/>
          <w:sz w:val="22"/>
          <w:szCs w:val="22"/>
        </w:rPr>
        <w:t>C</w:t>
      </w:r>
      <w:r w:rsidR="000A3464" w:rsidRPr="00CC1ADD">
        <w:rPr>
          <w:rFonts w:cstheme="minorHAnsi"/>
          <w:b/>
          <w:sz w:val="22"/>
          <w:szCs w:val="22"/>
        </w:rPr>
        <w:t>hanges to target some specific product categories identified as outliers</w:t>
      </w:r>
    </w:p>
    <w:p w14:paraId="584D59CD" w14:textId="77777777" w:rsidR="000A3464" w:rsidRPr="00CC1ADD" w:rsidRDefault="000A3464">
      <w:pPr>
        <w:rPr>
          <w:rFonts w:cstheme="minorHAnsi"/>
          <w:b/>
          <w:sz w:val="22"/>
          <w:szCs w:val="22"/>
        </w:rPr>
      </w:pPr>
    </w:p>
    <w:p w14:paraId="2A7AE344" w14:textId="513A0EB6" w:rsidR="000A3464" w:rsidRPr="00CC1ADD" w:rsidRDefault="000A3464">
      <w:pPr>
        <w:rPr>
          <w:rFonts w:cstheme="minorHAnsi"/>
          <w:sz w:val="22"/>
          <w:szCs w:val="22"/>
        </w:rPr>
      </w:pPr>
      <w:r w:rsidRPr="00CC1ADD">
        <w:rPr>
          <w:rFonts w:cstheme="minorHAnsi"/>
          <w:sz w:val="22"/>
          <w:szCs w:val="22"/>
        </w:rPr>
        <w:t>Research and modelling have identified some product types as outliers in that their HSRs are too low or too high relative to Dietary Guideline recommendations. Targeted changes have been made to address these areas of concern, including to:</w:t>
      </w:r>
    </w:p>
    <w:p w14:paraId="476D80B8" w14:textId="77777777" w:rsidR="000A3464" w:rsidRPr="00CC1ADD" w:rsidRDefault="000A3464">
      <w:pPr>
        <w:rPr>
          <w:rFonts w:cstheme="minorHAnsi"/>
          <w:sz w:val="22"/>
          <w:szCs w:val="22"/>
        </w:rPr>
      </w:pPr>
    </w:p>
    <w:p w14:paraId="4EEFE497" w14:textId="77777777" w:rsidR="000A3464" w:rsidRPr="00CC1ADD" w:rsidRDefault="000A3464" w:rsidP="00C3403E">
      <w:pPr>
        <w:pStyle w:val="ListParagraph"/>
        <w:numPr>
          <w:ilvl w:val="0"/>
          <w:numId w:val="25"/>
        </w:numPr>
        <w:rPr>
          <w:rFonts w:cstheme="minorHAnsi"/>
          <w:sz w:val="22"/>
          <w:szCs w:val="22"/>
        </w:rPr>
      </w:pPr>
      <w:r w:rsidRPr="00CC1ADD">
        <w:rPr>
          <w:rFonts w:cstheme="minorHAnsi"/>
          <w:sz w:val="22"/>
          <w:szCs w:val="22"/>
        </w:rPr>
        <w:t>increase the HSRs of FFG dairy foods such as yoghurts and cheeses, such that comparability is improved between similar dairy products</w:t>
      </w:r>
    </w:p>
    <w:p w14:paraId="64215536" w14:textId="0588844E" w:rsidR="000A3464" w:rsidRPr="00CC1ADD" w:rsidRDefault="000A3464" w:rsidP="00C3403E">
      <w:pPr>
        <w:pStyle w:val="ListParagraph"/>
        <w:numPr>
          <w:ilvl w:val="0"/>
          <w:numId w:val="25"/>
        </w:numPr>
        <w:rPr>
          <w:rFonts w:cstheme="minorHAnsi"/>
          <w:sz w:val="22"/>
          <w:szCs w:val="22"/>
        </w:rPr>
      </w:pPr>
      <w:r w:rsidRPr="00CC1ADD">
        <w:rPr>
          <w:rFonts w:cstheme="minorHAnsi"/>
          <w:sz w:val="22"/>
          <w:szCs w:val="22"/>
        </w:rPr>
        <w:t xml:space="preserve">increase </w:t>
      </w:r>
      <w:r w:rsidR="00D83FE0">
        <w:rPr>
          <w:rFonts w:cstheme="minorHAnsi"/>
          <w:sz w:val="22"/>
          <w:szCs w:val="22"/>
        </w:rPr>
        <w:t xml:space="preserve">the </w:t>
      </w:r>
      <w:r w:rsidRPr="00CC1ADD">
        <w:rPr>
          <w:rFonts w:cstheme="minorHAnsi"/>
          <w:sz w:val="22"/>
          <w:szCs w:val="22"/>
        </w:rPr>
        <w:t xml:space="preserve">HSRs </w:t>
      </w:r>
      <w:r w:rsidR="00D83FE0">
        <w:rPr>
          <w:rFonts w:cstheme="minorHAnsi"/>
          <w:sz w:val="22"/>
          <w:szCs w:val="22"/>
        </w:rPr>
        <w:t xml:space="preserve">and narrow the range of HSRs </w:t>
      </w:r>
      <w:r w:rsidRPr="00CC1ADD">
        <w:rPr>
          <w:rFonts w:cstheme="minorHAnsi"/>
          <w:sz w:val="22"/>
          <w:szCs w:val="22"/>
        </w:rPr>
        <w:t>for oils and oil</w:t>
      </w:r>
      <w:r w:rsidRPr="00CC1ADD">
        <w:rPr>
          <w:rFonts w:cstheme="minorHAnsi"/>
          <w:sz w:val="22"/>
          <w:szCs w:val="22"/>
        </w:rPr>
        <w:noBreakHyphen/>
        <w:t>based spreads so that healthy oils receive higher HSRs t</w:t>
      </w:r>
      <w:r w:rsidR="00D83FE0">
        <w:rPr>
          <w:rFonts w:cstheme="minorHAnsi"/>
          <w:sz w:val="22"/>
          <w:szCs w:val="22"/>
        </w:rPr>
        <w:t>hat</w:t>
      </w:r>
      <w:r w:rsidRPr="00CC1ADD">
        <w:rPr>
          <w:rFonts w:cstheme="minorHAnsi"/>
          <w:sz w:val="22"/>
          <w:szCs w:val="22"/>
        </w:rPr>
        <w:t xml:space="preserve"> better represent their relative nutritional value</w:t>
      </w:r>
    </w:p>
    <w:p w14:paraId="6DCEE915" w14:textId="77777777" w:rsidR="000A3464" w:rsidRPr="00CC1ADD" w:rsidRDefault="000A3464" w:rsidP="00C3403E">
      <w:pPr>
        <w:pStyle w:val="ListParagraph"/>
        <w:numPr>
          <w:ilvl w:val="0"/>
          <w:numId w:val="25"/>
        </w:numPr>
        <w:rPr>
          <w:rFonts w:cstheme="minorHAnsi"/>
          <w:sz w:val="22"/>
          <w:szCs w:val="22"/>
        </w:rPr>
      </w:pPr>
      <w:r w:rsidRPr="00CC1ADD">
        <w:rPr>
          <w:rFonts w:cstheme="minorHAnsi"/>
          <w:sz w:val="22"/>
          <w:szCs w:val="22"/>
        </w:rPr>
        <w:t>decrease the HSRs for jellies and water-based ice confections so their HSRs align with nutritionally similar non</w:t>
      </w:r>
      <w:r w:rsidRPr="00CC1ADD">
        <w:rPr>
          <w:rFonts w:cstheme="minorHAnsi"/>
          <w:sz w:val="22"/>
          <w:szCs w:val="22"/>
        </w:rPr>
        <w:noBreakHyphen/>
        <w:t>dairy beverages.</w:t>
      </w:r>
    </w:p>
    <w:p w14:paraId="35D0BD1F" w14:textId="10E97ABB" w:rsidR="000A3464" w:rsidRDefault="000A3464" w:rsidP="002D01CF">
      <w:pPr>
        <w:pStyle w:val="mpcNormal"/>
        <w:keepNext w:val="0"/>
      </w:pPr>
    </w:p>
    <w:p w14:paraId="68161B84" w14:textId="36AC105C" w:rsidR="00771605" w:rsidRDefault="00771605" w:rsidP="002D01CF">
      <w:pPr>
        <w:pStyle w:val="mpcNormal"/>
        <w:keepNext w:val="0"/>
      </w:pPr>
      <w:r w:rsidRPr="00372E4A">
        <w:t xml:space="preserve">The combination of recommended changes to the HSR Calculator described in this Chapter </w:t>
      </w:r>
      <w:r w:rsidR="006C6A0E" w:rsidRPr="00372E4A">
        <w:t xml:space="preserve">are interdependent to </w:t>
      </w:r>
      <w:r w:rsidRPr="00372E4A">
        <w:t>achieve the above outcomes and</w:t>
      </w:r>
      <w:r w:rsidR="002D01CF" w:rsidRPr="00372E4A">
        <w:t xml:space="preserve"> should </w:t>
      </w:r>
      <w:r w:rsidRPr="00372E4A">
        <w:t>be implemented as a consolidated package.</w:t>
      </w:r>
    </w:p>
    <w:p w14:paraId="70249356" w14:textId="77777777" w:rsidR="001F53B9" w:rsidRPr="00CC1ADD" w:rsidRDefault="001F53B9" w:rsidP="002D01CF">
      <w:pPr>
        <w:pStyle w:val="mpcNormal"/>
        <w:keepNext w:val="0"/>
      </w:pPr>
    </w:p>
    <w:tbl>
      <w:tblPr>
        <w:tblStyle w:val="TableGrid"/>
        <w:tblW w:w="0" w:type="auto"/>
        <w:tblLook w:val="04A0" w:firstRow="1" w:lastRow="0" w:firstColumn="1" w:lastColumn="0" w:noHBand="0" w:noVBand="1"/>
      </w:tblPr>
      <w:tblGrid>
        <w:gridCol w:w="9736"/>
      </w:tblGrid>
      <w:tr w:rsidR="000A3464" w:rsidRPr="00CC1ADD" w14:paraId="66185D1E" w14:textId="77777777" w:rsidTr="00E11933">
        <w:trPr>
          <w:trHeight w:val="1034"/>
        </w:trPr>
        <w:tc>
          <w:tcPr>
            <w:tcW w:w="9736" w:type="dxa"/>
            <w:tcBorders>
              <w:bottom w:val="single" w:sz="4" w:space="0" w:color="auto"/>
            </w:tcBorders>
            <w:shd w:val="clear" w:color="auto" w:fill="D9E2F3" w:themeFill="accent1" w:themeFillTint="33"/>
            <w:vAlign w:val="center"/>
          </w:tcPr>
          <w:p w14:paraId="23F416B8" w14:textId="71EF02F7" w:rsidR="000A3464" w:rsidRPr="001F53B9" w:rsidRDefault="001F53B9" w:rsidP="002D01CF">
            <w:pPr>
              <w:pStyle w:val="mpcNormal"/>
              <w:keepNext w:val="0"/>
              <w:ind w:left="2160" w:hanging="2160"/>
            </w:pPr>
            <w:r w:rsidRPr="006868BE">
              <w:rPr>
                <w:b/>
              </w:rPr>
              <w:t xml:space="preserve">Recommendation 4: </w:t>
            </w:r>
            <w:r w:rsidRPr="006868BE">
              <w:rPr>
                <w:b/>
              </w:rPr>
              <w:tab/>
            </w:r>
            <w:r w:rsidR="00372E4A">
              <w:rPr>
                <w:b/>
              </w:rPr>
              <w:t>A package of</w:t>
            </w:r>
            <w:r w:rsidRPr="006868BE">
              <w:rPr>
                <w:b/>
              </w:rPr>
              <w:t xml:space="preserve"> changes be made to the way the HSR is calculated for foods to better align with Dietary Guidelines, reflect emerging evidence, address consumer concerns and encourage positive reformulation.</w:t>
            </w:r>
          </w:p>
        </w:tc>
      </w:tr>
    </w:tbl>
    <w:p w14:paraId="4FB944A7" w14:textId="00C14638" w:rsidR="000A3464" w:rsidRDefault="000A3464" w:rsidP="005A3631">
      <w:pPr>
        <w:rPr>
          <w:rFonts w:cstheme="minorHAnsi"/>
          <w:b/>
          <w:sz w:val="22"/>
          <w:szCs w:val="22"/>
        </w:rPr>
      </w:pPr>
    </w:p>
    <w:tbl>
      <w:tblPr>
        <w:tblStyle w:val="TableGrid"/>
        <w:tblW w:w="0" w:type="auto"/>
        <w:tblLook w:val="04A0" w:firstRow="1" w:lastRow="0" w:firstColumn="1" w:lastColumn="0" w:noHBand="0" w:noVBand="1"/>
      </w:tblPr>
      <w:tblGrid>
        <w:gridCol w:w="9736"/>
      </w:tblGrid>
      <w:tr w:rsidR="000A3464" w:rsidRPr="00CC1ADD" w14:paraId="35485452" w14:textId="77777777" w:rsidTr="00372E4A">
        <w:trPr>
          <w:trHeight w:val="1168"/>
        </w:trPr>
        <w:tc>
          <w:tcPr>
            <w:tcW w:w="9736" w:type="dxa"/>
            <w:shd w:val="clear" w:color="auto" w:fill="D9E2F3" w:themeFill="accent1" w:themeFillTint="33"/>
            <w:vAlign w:val="center"/>
          </w:tcPr>
          <w:p w14:paraId="118BA512" w14:textId="7951B8FC" w:rsidR="00A35EB9" w:rsidRPr="002D01CF" w:rsidRDefault="001F53B9" w:rsidP="002D01CF">
            <w:pPr>
              <w:pStyle w:val="mpcNormal"/>
              <w:keepNext w:val="0"/>
              <w:ind w:left="2160" w:hanging="2160"/>
              <w:rPr>
                <w:b/>
              </w:rPr>
            </w:pPr>
            <w:r w:rsidRPr="006868BE">
              <w:rPr>
                <w:b/>
              </w:rPr>
              <w:t xml:space="preserve">Recommendation 5: </w:t>
            </w:r>
            <w:r w:rsidRPr="006868BE">
              <w:rPr>
                <w:b/>
              </w:rPr>
              <w:tab/>
              <w:t>Changes be made to the way the HSR is calculated for non-dairy beverages, based on adjusted sugars, energy and FVNL points, to better discern water (and beverages similar in nutritional profile to water) from high energy drinks.</w:t>
            </w:r>
          </w:p>
        </w:tc>
      </w:tr>
    </w:tbl>
    <w:p w14:paraId="050CC1D2" w14:textId="77777777" w:rsidR="004A580D" w:rsidRPr="00CC1ADD" w:rsidRDefault="004A580D" w:rsidP="002D01CF">
      <w:pPr>
        <w:pStyle w:val="mpcNormal"/>
        <w:keepNext w:val="0"/>
      </w:pPr>
    </w:p>
    <w:p w14:paraId="6A5A4557" w14:textId="77777777" w:rsidR="000A3464" w:rsidRPr="00CC1ADD" w:rsidRDefault="000A3464" w:rsidP="005A3631">
      <w:pPr>
        <w:pStyle w:val="mpcheading2"/>
        <w:rPr>
          <w:rFonts w:cstheme="minorHAnsi"/>
          <w:szCs w:val="22"/>
        </w:rPr>
      </w:pPr>
      <w:bookmarkStart w:id="97" w:name="Calculator"/>
      <w:bookmarkStart w:id="98" w:name="_Toc1746500"/>
      <w:bookmarkEnd w:id="97"/>
      <w:r w:rsidRPr="00CC1ADD">
        <w:t>The HSR Calculator</w:t>
      </w:r>
      <w:bookmarkEnd w:id="98"/>
    </w:p>
    <w:p w14:paraId="7007DD0B" w14:textId="42D6537F" w:rsidR="000A3464" w:rsidRPr="00CC1ADD" w:rsidRDefault="000A3464">
      <w:pPr>
        <w:rPr>
          <w:color w:val="000000"/>
          <w:sz w:val="22"/>
          <w:szCs w:val="22"/>
        </w:rPr>
      </w:pPr>
      <w:r w:rsidRPr="00CC1ADD">
        <w:rPr>
          <w:rFonts w:cstheme="minorHAnsi"/>
          <w:sz w:val="22"/>
          <w:szCs w:val="22"/>
        </w:rPr>
        <w:t xml:space="preserve">The HSR Calculator is based on the NPSC algorithm, </w:t>
      </w:r>
      <w:r w:rsidRPr="00CC1ADD">
        <w:rPr>
          <w:sz w:val="22"/>
          <w:szCs w:val="22"/>
        </w:rPr>
        <w:t>with modifications made in such a way as to create a graduated system to describe the ‘healthiness’ of a food (the HSR).</w:t>
      </w:r>
      <w:r w:rsidRPr="00CC1ADD">
        <w:rPr>
          <w:rFonts w:cstheme="minorHAnsi"/>
          <w:sz w:val="22"/>
          <w:szCs w:val="22"/>
        </w:rPr>
        <w:t xml:space="preserve"> </w:t>
      </w:r>
      <w:r w:rsidRPr="00CC1ADD">
        <w:rPr>
          <w:color w:val="000000"/>
          <w:sz w:val="22"/>
          <w:szCs w:val="22"/>
        </w:rPr>
        <w:t xml:space="preserve">The same nutrient and ingredient information is required for both labelling schemes. </w:t>
      </w:r>
      <w:r w:rsidRPr="00CC1ADD">
        <w:rPr>
          <w:rFonts w:eastAsia="Times New Roman"/>
          <w:sz w:val="22"/>
          <w:szCs w:val="22"/>
        </w:rPr>
        <w:t xml:space="preserve">This approach has the advantage of using the same risk associated (negative) and health benefit (positive) components and ingredients originally derived from the ADG, thus </w:t>
      </w:r>
      <w:r w:rsidRPr="00CC1ADD">
        <w:rPr>
          <w:color w:val="000000"/>
          <w:sz w:val="22"/>
          <w:szCs w:val="22"/>
        </w:rPr>
        <w:t xml:space="preserve">aligning the HSR System with the ADG as far as possible. It also aligns well with </w:t>
      </w:r>
      <w:hyperlink r:id="rId54" w:history="1">
        <w:r w:rsidRPr="00E11933">
          <w:rPr>
            <w:rStyle w:val="Hyperlink"/>
            <w:i/>
            <w:sz w:val="22"/>
            <w:szCs w:val="22"/>
          </w:rPr>
          <w:t xml:space="preserve">Standard 1.2.7 </w:t>
        </w:r>
        <w:r w:rsidR="00E11933" w:rsidRPr="00E11933">
          <w:rPr>
            <w:rStyle w:val="Hyperlink"/>
            <w:i/>
            <w:sz w:val="22"/>
            <w:szCs w:val="22"/>
          </w:rPr>
          <w:t>N</w:t>
        </w:r>
        <w:r w:rsidRPr="00E11933">
          <w:rPr>
            <w:rStyle w:val="Hyperlink"/>
            <w:i/>
            <w:sz w:val="22"/>
            <w:szCs w:val="22"/>
          </w:rPr>
          <w:t>utrition, health and related claims</w:t>
        </w:r>
      </w:hyperlink>
      <w:r w:rsidR="00E11933">
        <w:rPr>
          <w:color w:val="000000"/>
          <w:sz w:val="22"/>
          <w:szCs w:val="22"/>
        </w:rPr>
        <w:t xml:space="preserve"> of the Code</w:t>
      </w:r>
      <w:r w:rsidRPr="00CC1ADD">
        <w:rPr>
          <w:i/>
          <w:color w:val="000000"/>
          <w:sz w:val="22"/>
          <w:szCs w:val="22"/>
        </w:rPr>
        <w:t xml:space="preserve"> </w:t>
      </w:r>
      <w:r w:rsidRPr="00CC1ADD">
        <w:rPr>
          <w:color w:val="000000"/>
          <w:sz w:val="22"/>
          <w:szCs w:val="22"/>
        </w:rPr>
        <w:t>and with industry codes, meeting one of the stated objectives for a FoPL scheme.</w:t>
      </w:r>
      <w:r w:rsidRPr="00CC1ADD">
        <w:rPr>
          <w:rStyle w:val="FootnoteReference"/>
          <w:sz w:val="22"/>
          <w:szCs w:val="22"/>
        </w:rPr>
        <w:footnoteReference w:id="49"/>
      </w:r>
      <w:r w:rsidRPr="00CC1ADD">
        <w:rPr>
          <w:rFonts w:cstheme="minorHAnsi"/>
          <w:sz w:val="22"/>
          <w:szCs w:val="22"/>
        </w:rPr>
        <w:t xml:space="preserve"> </w:t>
      </w:r>
      <w:r w:rsidRPr="00CC1ADD">
        <w:rPr>
          <w:color w:val="000000"/>
          <w:sz w:val="22"/>
          <w:szCs w:val="22"/>
        </w:rPr>
        <w:t xml:space="preserve"> </w:t>
      </w:r>
    </w:p>
    <w:p w14:paraId="78B7E574" w14:textId="77777777" w:rsidR="000A3464" w:rsidRPr="00CC1ADD" w:rsidRDefault="000A3464">
      <w:pPr>
        <w:rPr>
          <w:rFonts w:cstheme="minorHAnsi"/>
          <w:sz w:val="22"/>
          <w:szCs w:val="22"/>
        </w:rPr>
      </w:pPr>
    </w:p>
    <w:p w14:paraId="41EA9A16" w14:textId="77777777" w:rsidR="000A3464" w:rsidRPr="00CC1ADD" w:rsidRDefault="000A3464">
      <w:pPr>
        <w:rPr>
          <w:rFonts w:cstheme="minorHAnsi"/>
          <w:sz w:val="22"/>
          <w:szCs w:val="22"/>
        </w:rPr>
      </w:pPr>
      <w:r w:rsidRPr="00CC1ADD">
        <w:rPr>
          <w:rFonts w:cstheme="minorHAnsi"/>
          <w:sz w:val="22"/>
          <w:szCs w:val="22"/>
        </w:rPr>
        <w:t>The HSR Calculator requires consideration of the:</w:t>
      </w:r>
    </w:p>
    <w:p w14:paraId="60261D13" w14:textId="77777777" w:rsidR="000A3464" w:rsidRPr="00CC1ADD" w:rsidRDefault="000A3464">
      <w:pPr>
        <w:rPr>
          <w:rFonts w:cstheme="minorHAnsi"/>
          <w:sz w:val="22"/>
          <w:szCs w:val="22"/>
        </w:rPr>
      </w:pPr>
    </w:p>
    <w:p w14:paraId="31364F00" w14:textId="334E0ADA" w:rsidR="000A3464" w:rsidRPr="00CC1ADD" w:rsidRDefault="000A3464" w:rsidP="00C3403E">
      <w:pPr>
        <w:pStyle w:val="ListParagraph"/>
        <w:numPr>
          <w:ilvl w:val="0"/>
          <w:numId w:val="25"/>
        </w:numPr>
        <w:rPr>
          <w:sz w:val="22"/>
          <w:szCs w:val="22"/>
        </w:rPr>
      </w:pPr>
      <w:r w:rsidRPr="00CC1ADD">
        <w:rPr>
          <w:sz w:val="22"/>
          <w:szCs w:val="22"/>
        </w:rPr>
        <w:t xml:space="preserve">category of the food (the HSR Calculator is based on six </w:t>
      </w:r>
      <w:r w:rsidR="00071CC5" w:rsidRPr="00CC1ADD">
        <w:rPr>
          <w:sz w:val="22"/>
          <w:szCs w:val="22"/>
        </w:rPr>
        <w:t>food</w:t>
      </w:r>
      <w:r w:rsidR="00071CC5">
        <w:rPr>
          <w:sz w:val="22"/>
          <w:szCs w:val="22"/>
        </w:rPr>
        <w:t xml:space="preserve"> </w:t>
      </w:r>
      <w:r w:rsidR="00E11933">
        <w:rPr>
          <w:sz w:val="22"/>
          <w:szCs w:val="22"/>
        </w:rPr>
        <w:t>c</w:t>
      </w:r>
      <w:r w:rsidRPr="00CC1ADD">
        <w:rPr>
          <w:sz w:val="22"/>
          <w:szCs w:val="22"/>
        </w:rPr>
        <w:t>ategories)</w:t>
      </w:r>
    </w:p>
    <w:p w14:paraId="0B817876" w14:textId="77777777" w:rsidR="000A3464" w:rsidRPr="00CC1ADD" w:rsidRDefault="000A3464" w:rsidP="00C3403E">
      <w:pPr>
        <w:pStyle w:val="ListParagraph"/>
        <w:numPr>
          <w:ilvl w:val="0"/>
          <w:numId w:val="25"/>
        </w:numPr>
        <w:rPr>
          <w:sz w:val="22"/>
          <w:szCs w:val="22"/>
        </w:rPr>
      </w:pPr>
      <w:r w:rsidRPr="00CC1ADD">
        <w:rPr>
          <w:sz w:val="22"/>
          <w:szCs w:val="22"/>
        </w:rPr>
        <w:t>form of the food (specifically whether the HSR should be calculated for a product ‘as sold’ or ‘as prepared’)</w:t>
      </w:r>
    </w:p>
    <w:p w14:paraId="00F708F5" w14:textId="1424EA5E" w:rsidR="000A3464" w:rsidRPr="00CC1ADD" w:rsidRDefault="000A3464" w:rsidP="00C3403E">
      <w:pPr>
        <w:pStyle w:val="ListParagraph"/>
        <w:numPr>
          <w:ilvl w:val="0"/>
          <w:numId w:val="25"/>
        </w:numPr>
        <w:rPr>
          <w:sz w:val="22"/>
          <w:szCs w:val="22"/>
        </w:rPr>
      </w:pPr>
      <w:r w:rsidRPr="00CC1ADD">
        <w:rPr>
          <w:sz w:val="22"/>
          <w:szCs w:val="22"/>
        </w:rPr>
        <w:t xml:space="preserve">risk associated components of foods that Dietary Guidelines recommend reducing intake of (saturated fat, sugars, sodium) </w:t>
      </w:r>
      <w:r w:rsidRPr="009959A5">
        <w:rPr>
          <w:sz w:val="22"/>
          <w:szCs w:val="22"/>
        </w:rPr>
        <w:t>and energy</w:t>
      </w:r>
    </w:p>
    <w:p w14:paraId="201F5A6D" w14:textId="77777777" w:rsidR="000A3464" w:rsidRPr="00CC1ADD" w:rsidRDefault="000A3464" w:rsidP="00C3403E">
      <w:pPr>
        <w:pStyle w:val="ListParagraph"/>
        <w:numPr>
          <w:ilvl w:val="0"/>
          <w:numId w:val="25"/>
        </w:numPr>
        <w:rPr>
          <w:sz w:val="22"/>
          <w:szCs w:val="22"/>
        </w:rPr>
      </w:pPr>
      <w:r w:rsidRPr="00CC1ADD">
        <w:rPr>
          <w:sz w:val="22"/>
          <w:szCs w:val="22"/>
        </w:rPr>
        <w:t>positive components that Dietary Guidelines recommend eating more of (protein, dietary fibre, FVNL).</w:t>
      </w:r>
    </w:p>
    <w:p w14:paraId="6DDCBCA5" w14:textId="77777777" w:rsidR="000A3464" w:rsidRPr="00CC1ADD" w:rsidRDefault="000A3464">
      <w:pPr>
        <w:rPr>
          <w:rFonts w:cstheme="minorHAnsi"/>
          <w:sz w:val="22"/>
          <w:szCs w:val="22"/>
          <w:highlight w:val="yellow"/>
        </w:rPr>
      </w:pPr>
    </w:p>
    <w:p w14:paraId="483E025C" w14:textId="77777777" w:rsidR="000A3464" w:rsidRPr="00CC1ADD" w:rsidRDefault="000A3464">
      <w:pPr>
        <w:rPr>
          <w:rFonts w:cstheme="minorHAnsi"/>
          <w:sz w:val="22"/>
          <w:szCs w:val="22"/>
        </w:rPr>
      </w:pPr>
      <w:r w:rsidRPr="00CC1ADD">
        <w:rPr>
          <w:rFonts w:cstheme="minorHAnsi"/>
          <w:sz w:val="22"/>
          <w:szCs w:val="22"/>
        </w:rPr>
        <w:t>The Review considered the appropriateness of each of these elements of the HSR Calculator.</w:t>
      </w:r>
    </w:p>
    <w:p w14:paraId="0DED61C3" w14:textId="77777777" w:rsidR="000A3464" w:rsidRPr="00CC1ADD" w:rsidRDefault="000A3464">
      <w:pPr>
        <w:rPr>
          <w:rFonts w:cstheme="minorHAnsi"/>
          <w:sz w:val="22"/>
          <w:szCs w:val="22"/>
        </w:rPr>
      </w:pPr>
    </w:p>
    <w:p w14:paraId="66CC1D40" w14:textId="77777777" w:rsidR="000A3464" w:rsidRPr="00CC1ADD" w:rsidRDefault="000A3464" w:rsidP="002D01CF">
      <w:pPr>
        <w:pStyle w:val="mpcheading3"/>
      </w:pPr>
      <w:r w:rsidRPr="00CC1ADD">
        <w:t xml:space="preserve">Categories of food </w:t>
      </w:r>
    </w:p>
    <w:p w14:paraId="3F8B0EEB" w14:textId="77777777" w:rsidR="000A3464" w:rsidRPr="00CC1ADD" w:rsidRDefault="000A3464" w:rsidP="002D01CF">
      <w:pPr>
        <w:rPr>
          <w:rFonts w:cstheme="minorHAnsi"/>
          <w:b/>
          <w:sz w:val="22"/>
          <w:szCs w:val="22"/>
          <w:u w:val="single"/>
        </w:rPr>
      </w:pPr>
    </w:p>
    <w:p w14:paraId="54C83213" w14:textId="3DB52E79" w:rsidR="000A3464" w:rsidRPr="00CC1ADD" w:rsidRDefault="000A3464" w:rsidP="002D01CF">
      <w:pPr>
        <w:pStyle w:val="mpcNormal"/>
        <w:keepNext w:val="0"/>
      </w:pPr>
      <w:r w:rsidRPr="00CC1ADD">
        <w:t xml:space="preserve">The HSR Calculator is adjusted for different HSR </w:t>
      </w:r>
      <w:r w:rsidR="00E11933">
        <w:t>c</w:t>
      </w:r>
      <w:r w:rsidRPr="00CC1ADD">
        <w:t xml:space="preserve">ategories to account for the differing nutrient compositions of different types of foods. </w:t>
      </w:r>
      <w:r w:rsidR="00880923">
        <w:t>An overview of each of the HSR categories is provided in the Glossary to this Report.</w:t>
      </w:r>
    </w:p>
    <w:p w14:paraId="1F35E18A" w14:textId="77777777" w:rsidR="000A3464" w:rsidRPr="00CC1ADD" w:rsidRDefault="000A3464" w:rsidP="002D01CF">
      <w:pPr>
        <w:pStyle w:val="mpcNormal"/>
        <w:keepNext w:val="0"/>
      </w:pPr>
    </w:p>
    <w:p w14:paraId="711A2E6A" w14:textId="0205B0CC" w:rsidR="000A3464" w:rsidRPr="00CC1ADD" w:rsidRDefault="000A3464" w:rsidP="002D01CF">
      <w:pPr>
        <w:pStyle w:val="mpcNormal"/>
        <w:keepNext w:val="0"/>
      </w:pPr>
      <w:r w:rsidRPr="00CC1ADD">
        <w:t xml:space="preserve">When the HSR Calculator was adapted from the NPSC, three new dairy categories were created. </w:t>
      </w:r>
      <w:r w:rsidR="00830C60">
        <w:t>Dairy categories were created to provide advantages to FFG dairy products relative to non-dairy products with similar nutritional content</w:t>
      </w:r>
      <w:r w:rsidRPr="00CC1ADD">
        <w:t>. The additional categories are based on definitions in the Code and have set criteria to distinguish dairy from other foods and a slightly different way of assigning HSRs so as to better align with Dietary Guidelines.</w:t>
      </w:r>
      <w:r w:rsidRPr="00CC1ADD">
        <w:rPr>
          <w:rStyle w:val="FootnoteReference"/>
          <w:sz w:val="22"/>
        </w:rPr>
        <w:footnoteReference w:id="50"/>
      </w:r>
      <w:r w:rsidRPr="00CC1ADD">
        <w:t xml:space="preserve"> </w:t>
      </w:r>
    </w:p>
    <w:p w14:paraId="14739D0F" w14:textId="77777777" w:rsidR="000A3464" w:rsidRPr="00CC1ADD" w:rsidRDefault="000A3464" w:rsidP="002D01CF">
      <w:pPr>
        <w:pStyle w:val="mpcNormal"/>
        <w:keepNext w:val="0"/>
      </w:pPr>
    </w:p>
    <w:p w14:paraId="325D085D" w14:textId="4875BAB3" w:rsidR="000A3464" w:rsidRPr="00CC1ADD" w:rsidRDefault="000A3464" w:rsidP="002D01CF">
      <w:pPr>
        <w:pStyle w:val="mpcNormal"/>
        <w:keepNext w:val="0"/>
      </w:pPr>
      <w:r w:rsidRPr="00CC1ADD">
        <w:t xml:space="preserve">For the most part, these </w:t>
      </w:r>
      <w:r w:rsidR="00153CBD">
        <w:t>c</w:t>
      </w:r>
      <w:r w:rsidRPr="00CC1ADD">
        <w:t xml:space="preserve">ategories are working well in distinguishing FFG dairy </w:t>
      </w:r>
      <w:r w:rsidR="0030513A">
        <w:t xml:space="preserve">foods </w:t>
      </w:r>
      <w:r w:rsidRPr="00CC1ADD">
        <w:t>from discretionary foods</w:t>
      </w:r>
      <w:r w:rsidR="0030513A">
        <w:t>. H</w:t>
      </w:r>
      <w:r w:rsidRPr="00CC1ADD">
        <w:t xml:space="preserve">owever </w:t>
      </w:r>
      <w:r w:rsidR="0030513A">
        <w:t>,</w:t>
      </w:r>
      <w:r w:rsidRPr="00CC1ADD">
        <w:t>some issues have been raised by stakeholders regarding the treatment of dairy desserts and cheeses. These are discussed later in this Chapter.</w:t>
      </w:r>
    </w:p>
    <w:p w14:paraId="3616AF4D" w14:textId="77777777" w:rsidR="000A3464" w:rsidRPr="00CC1ADD" w:rsidRDefault="000A3464" w:rsidP="002D01CF">
      <w:pPr>
        <w:pStyle w:val="mpcNormal"/>
        <w:keepNext w:val="0"/>
      </w:pPr>
    </w:p>
    <w:p w14:paraId="1F4FFCCF" w14:textId="706AC19F" w:rsidR="000A3464" w:rsidRPr="00CC1ADD" w:rsidRDefault="000A3464" w:rsidP="002D01CF">
      <w:pPr>
        <w:pStyle w:val="mpcNormal"/>
        <w:keepNext w:val="0"/>
      </w:pPr>
      <w:r w:rsidRPr="00CC1ADD">
        <w:t>Other stakeholders have suggested that Category 2 is too large</w:t>
      </w:r>
      <w:r w:rsidR="00E11933">
        <w:t xml:space="preserve"> and</w:t>
      </w:r>
      <w:r w:rsidRPr="00CC1ADD">
        <w:t xml:space="preserve"> cover</w:t>
      </w:r>
      <w:r w:rsidR="00E11933">
        <w:t>s</w:t>
      </w:r>
      <w:r w:rsidRPr="00CC1ADD">
        <w:t xml:space="preserve"> a diverse range of foods</w:t>
      </w:r>
      <w:r w:rsidR="00E11933">
        <w:t>,</w:t>
      </w:r>
      <w:r w:rsidRPr="00CC1ADD">
        <w:t xml:space="preserve"> which makes it difficult for the Calculator to accurately score all foods in this </w:t>
      </w:r>
      <w:r w:rsidR="0030513A">
        <w:t>c</w:t>
      </w:r>
      <w:r w:rsidRPr="00CC1ADD">
        <w:t xml:space="preserve">ategory. To address this, the Review explored the creation of additional categories or sub-categories. However, this would require further </w:t>
      </w:r>
      <w:r w:rsidR="00880923">
        <w:t>definition of</w:t>
      </w:r>
      <w:r w:rsidR="00880923" w:rsidRPr="00CC1ADD">
        <w:t xml:space="preserve"> </w:t>
      </w:r>
      <w:r w:rsidRPr="00CC1ADD">
        <w:t xml:space="preserve">what is included/excluded in each </w:t>
      </w:r>
      <w:r w:rsidR="00153CBD">
        <w:t>c</w:t>
      </w:r>
      <w:r w:rsidRPr="00CC1ADD">
        <w:t xml:space="preserve">ategory, which </w:t>
      </w:r>
      <w:r w:rsidR="00880923">
        <w:t xml:space="preserve">in turn </w:t>
      </w:r>
      <w:r w:rsidRPr="00CC1ADD">
        <w:t xml:space="preserve">would likely exacerbate existing challenges </w:t>
      </w:r>
      <w:r w:rsidR="00880923">
        <w:t>experienced in determining</w:t>
      </w:r>
      <w:r w:rsidR="00880923" w:rsidRPr="00CC1ADD">
        <w:t xml:space="preserve"> </w:t>
      </w:r>
      <w:r w:rsidRPr="00CC1ADD">
        <w:t xml:space="preserve">which </w:t>
      </w:r>
      <w:r w:rsidR="00153CBD">
        <w:t>c</w:t>
      </w:r>
      <w:r w:rsidRPr="00CC1ADD">
        <w:t xml:space="preserve">ategory certain foods belong to and the intersection between </w:t>
      </w:r>
      <w:r w:rsidR="00955189">
        <w:t>c</w:t>
      </w:r>
      <w:r w:rsidRPr="00CC1ADD">
        <w:t xml:space="preserve">ategories. </w:t>
      </w:r>
    </w:p>
    <w:p w14:paraId="5AA250E3" w14:textId="77777777" w:rsidR="000A3464" w:rsidRPr="00CC1ADD" w:rsidRDefault="000A3464" w:rsidP="002D01CF">
      <w:pPr>
        <w:pStyle w:val="mpcNormal"/>
        <w:keepNext w:val="0"/>
      </w:pPr>
    </w:p>
    <w:p w14:paraId="2005FD71" w14:textId="76858602" w:rsidR="000A3464" w:rsidRPr="00CC1ADD" w:rsidRDefault="000A3464" w:rsidP="002D01CF">
      <w:pPr>
        <w:pStyle w:val="mpcNormal"/>
        <w:keepNext w:val="0"/>
      </w:pPr>
      <w:r w:rsidRPr="00CC1ADD">
        <w:t>A UK study published in 2010</w:t>
      </w:r>
      <w:r w:rsidR="00E11933" w:rsidRPr="00CC1ADD">
        <w:rPr>
          <w:rFonts w:cs="Times New Roman (Body CS)"/>
          <w:vertAlign w:val="superscript"/>
        </w:rPr>
        <w:footnoteReference w:id="51"/>
      </w:r>
      <w:r w:rsidRPr="00CC1ADD">
        <w:t xml:space="preserve"> found that nutrient profile models should be category specific but with a limited number of categories; models using a large number of categories are unhelpful for promoting a healthy diet.</w:t>
      </w:r>
    </w:p>
    <w:p w14:paraId="20D89DE3" w14:textId="4A62940B" w:rsidR="000A3464" w:rsidRPr="00CC1ADD" w:rsidRDefault="000A3464" w:rsidP="002D01CF">
      <w:pPr>
        <w:pStyle w:val="mpcNormal"/>
        <w:keepNext w:val="0"/>
      </w:pPr>
      <w:r w:rsidRPr="00CC1ADD">
        <w:br/>
        <w:t xml:space="preserve">The Review concludes that the HSR </w:t>
      </w:r>
      <w:r w:rsidR="00153CBD">
        <w:t>c</w:t>
      </w:r>
      <w:r w:rsidRPr="00CC1ADD">
        <w:t>ategories should remain as they are but, as discussed below, adjustments be made to address the specific issues in Category 2D and 3D.</w:t>
      </w:r>
    </w:p>
    <w:p w14:paraId="312DCC08" w14:textId="77777777" w:rsidR="000A3464" w:rsidRPr="00CC1ADD" w:rsidRDefault="000A3464" w:rsidP="005A3631">
      <w:pPr>
        <w:rPr>
          <w:rFonts w:cstheme="minorHAnsi"/>
          <w:szCs w:val="22"/>
        </w:rPr>
      </w:pPr>
    </w:p>
    <w:p w14:paraId="44F91C15" w14:textId="77777777" w:rsidR="000A3464" w:rsidRPr="00CC1ADD" w:rsidRDefault="000A3464" w:rsidP="002D01CF">
      <w:pPr>
        <w:pStyle w:val="mpcheading3"/>
      </w:pPr>
      <w:r w:rsidRPr="00CC1ADD">
        <w:t xml:space="preserve">Form of the food </w:t>
      </w:r>
    </w:p>
    <w:p w14:paraId="23B72EEB" w14:textId="77777777" w:rsidR="000A3464" w:rsidRPr="00CC1ADD" w:rsidRDefault="000A3464" w:rsidP="002D01CF">
      <w:pPr>
        <w:rPr>
          <w:rFonts w:cstheme="minorHAnsi"/>
          <w:b/>
          <w:sz w:val="22"/>
          <w:szCs w:val="22"/>
          <w:u w:val="single"/>
        </w:rPr>
      </w:pPr>
    </w:p>
    <w:p w14:paraId="458FA651" w14:textId="4A92D9A9" w:rsidR="000A3464" w:rsidRPr="00CC1ADD" w:rsidRDefault="000A3464" w:rsidP="002D01CF">
      <w:pPr>
        <w:rPr>
          <w:sz w:val="22"/>
          <w:szCs w:val="22"/>
        </w:rPr>
      </w:pPr>
      <w:r w:rsidRPr="00CC1ADD">
        <w:rPr>
          <w:rFonts w:cstheme="minorHAnsi"/>
          <w:sz w:val="22"/>
          <w:szCs w:val="22"/>
        </w:rPr>
        <w:t xml:space="preserve">The HSR Calculator requires users </w:t>
      </w:r>
      <w:bookmarkStart w:id="99" w:name="_Toc369617142"/>
      <w:bookmarkStart w:id="100" w:name="_Toc453063415"/>
      <w:r w:rsidRPr="00CC1ADD">
        <w:rPr>
          <w:rFonts w:cstheme="minorHAnsi"/>
          <w:sz w:val="22"/>
          <w:szCs w:val="22"/>
        </w:rPr>
        <w:t>to determine the form of the food for which the HSR</w:t>
      </w:r>
      <w:bookmarkEnd w:id="99"/>
      <w:bookmarkEnd w:id="100"/>
      <w:r w:rsidRPr="00CC1ADD">
        <w:rPr>
          <w:rFonts w:cstheme="minorHAnsi"/>
          <w:sz w:val="22"/>
          <w:szCs w:val="22"/>
        </w:rPr>
        <w:t xml:space="preserve"> will be calculated. For example, whether the food requires preparation with other foods, consumed as sold, prepared and consumed according to the label</w:t>
      </w:r>
      <w:r w:rsidR="00885AF1">
        <w:rPr>
          <w:rFonts w:cstheme="minorHAnsi"/>
          <w:sz w:val="22"/>
          <w:szCs w:val="22"/>
        </w:rPr>
        <w:t xml:space="preserve"> directions</w:t>
      </w:r>
      <w:r w:rsidRPr="00CC1ADD">
        <w:rPr>
          <w:rFonts w:cstheme="minorHAnsi"/>
          <w:sz w:val="22"/>
          <w:szCs w:val="22"/>
        </w:rPr>
        <w:t xml:space="preserve">, reconstituted with water or drained. </w:t>
      </w:r>
      <w:r w:rsidRPr="00CC1ADD">
        <w:rPr>
          <w:sz w:val="22"/>
          <w:szCs w:val="22"/>
        </w:rPr>
        <w:t>This is commonly known as the ‘as prepared’ rules.</w:t>
      </w:r>
    </w:p>
    <w:p w14:paraId="32EC4D10" w14:textId="77777777" w:rsidR="000A3464" w:rsidRPr="00CC1ADD" w:rsidRDefault="000A3464" w:rsidP="002D01CF">
      <w:pPr>
        <w:pStyle w:val="mpcNormal"/>
        <w:keepNext w:val="0"/>
      </w:pPr>
    </w:p>
    <w:p w14:paraId="2E553E46" w14:textId="77777777" w:rsidR="000A3464" w:rsidRPr="00CC1ADD" w:rsidRDefault="000A3464" w:rsidP="002D01CF">
      <w:pPr>
        <w:pStyle w:val="mpcNormal"/>
        <w:keepNext w:val="0"/>
      </w:pPr>
      <w:r w:rsidRPr="00CC1ADD">
        <w:t xml:space="preserve">In parallel to the Review, the HSRAC has reappraised these rules. This issue was progressed in advance of the Review due to significant stakeholder interest. </w:t>
      </w:r>
    </w:p>
    <w:p w14:paraId="1742C6A5" w14:textId="77777777" w:rsidR="000A3464" w:rsidRPr="00CC1ADD" w:rsidRDefault="000A3464" w:rsidP="002D01CF">
      <w:pPr>
        <w:pStyle w:val="mpcNormal"/>
        <w:keepNext w:val="0"/>
      </w:pPr>
    </w:p>
    <w:p w14:paraId="77CB58CB" w14:textId="3E388D8D" w:rsidR="000A3464" w:rsidRPr="00CC1ADD" w:rsidRDefault="000A3464" w:rsidP="002D01CF">
      <w:pPr>
        <w:pStyle w:val="mpcNormal"/>
        <w:keepNext w:val="0"/>
      </w:pPr>
      <w:r w:rsidRPr="00CC1ADD">
        <w:t xml:space="preserve">In September-October 2017, the HSRAC consulted with stakeholders (through a public submission process and workshops) to discuss potential options and to seek feedback on the appropriateness of various </w:t>
      </w:r>
      <w:r w:rsidR="005A25A2" w:rsidRPr="00CC1ADD">
        <w:t xml:space="preserve">proposed </w:t>
      </w:r>
      <w:r w:rsidRPr="00CC1ADD">
        <w:t xml:space="preserve">solutions. </w:t>
      </w:r>
      <w:r w:rsidRPr="009959A5">
        <w:t xml:space="preserve">Four options were </w:t>
      </w:r>
      <w:r w:rsidR="005A25A2" w:rsidRPr="009959A5">
        <w:t xml:space="preserve">put forward </w:t>
      </w:r>
      <w:r w:rsidRPr="009959A5">
        <w:t xml:space="preserve">and </w:t>
      </w:r>
      <w:r w:rsidR="00955189" w:rsidRPr="009959A5">
        <w:t>the</w:t>
      </w:r>
      <w:r w:rsidRPr="009959A5">
        <w:t xml:space="preserve"> potential impacts </w:t>
      </w:r>
      <w:r w:rsidR="00955189" w:rsidRPr="009959A5">
        <w:t xml:space="preserve">of each option were </w:t>
      </w:r>
      <w:r w:rsidRPr="009959A5">
        <w:t xml:space="preserve">modelled by the TAG (further information is available at the </w:t>
      </w:r>
      <w:hyperlink r:id="rId55" w:history="1">
        <w:r w:rsidRPr="009959A5">
          <w:rPr>
            <w:rStyle w:val="Hyperlink"/>
          </w:rPr>
          <w:t>HSR website</w:t>
        </w:r>
      </w:hyperlink>
      <w:r w:rsidRPr="009959A5">
        <w:t>). The</w:t>
      </w:r>
      <w:r w:rsidRPr="00CC1ADD">
        <w:t xml:space="preserve"> HSRAC sought additional stakeholder feedback on these options before agreeing on a preferred option for recommendation to the Forum.</w:t>
      </w:r>
    </w:p>
    <w:p w14:paraId="4F1A4E12" w14:textId="77777777" w:rsidR="000A3464" w:rsidRPr="00CC1ADD" w:rsidRDefault="000A3464" w:rsidP="002D01CF">
      <w:pPr>
        <w:pStyle w:val="mpcNormal"/>
        <w:keepNext w:val="0"/>
      </w:pPr>
    </w:p>
    <w:p w14:paraId="3F31D8CA" w14:textId="77777777" w:rsidR="000A3464" w:rsidRPr="00CC1ADD" w:rsidRDefault="000A3464" w:rsidP="002D01CF">
      <w:pPr>
        <w:pStyle w:val="mpcNormal"/>
        <w:keepNext w:val="0"/>
      </w:pPr>
      <w:r w:rsidRPr="00CC1ADD">
        <w:t>The Forum agreed in June 2018 to limit the application of the HSR System to the product ‘as sold.’ That is, the HSR should be calculated and displayed on the basis of the product as it appears on the shelf. Specific exemptions were proposed for products that must be rehydrated with water, diluted with water, drained of water or drained of brine.</w:t>
      </w:r>
      <w:r w:rsidRPr="00CC1ADD">
        <w:rPr>
          <w:rStyle w:val="FootnoteReference"/>
          <w:sz w:val="22"/>
        </w:rPr>
        <w:footnoteReference w:id="52"/>
      </w:r>
    </w:p>
    <w:p w14:paraId="76568576" w14:textId="77777777" w:rsidR="000A3464" w:rsidRPr="00CC1ADD" w:rsidRDefault="000A3464" w:rsidP="002D01CF">
      <w:pPr>
        <w:pStyle w:val="mpcNormal"/>
        <w:keepNext w:val="0"/>
      </w:pPr>
    </w:p>
    <w:p w14:paraId="704AF607" w14:textId="30156554" w:rsidR="000A3464" w:rsidRDefault="000A3464" w:rsidP="002D01CF">
      <w:pPr>
        <w:pStyle w:val="mpcNormal"/>
        <w:keepNext w:val="0"/>
      </w:pPr>
      <w:r w:rsidRPr="00CC1ADD">
        <w:t>The Forum also agreed that this decision be implemented alongside any changes resulting from this Review.</w:t>
      </w:r>
    </w:p>
    <w:p w14:paraId="4FEE0160" w14:textId="678A14F7" w:rsidR="00885AF1" w:rsidRDefault="00885AF1" w:rsidP="005A3631">
      <w:pPr>
        <w:rPr>
          <w:sz w:val="22"/>
          <w:szCs w:val="22"/>
          <w:lang w:eastAsia="en-GB"/>
        </w:rPr>
      </w:pPr>
    </w:p>
    <w:p w14:paraId="3E67F42C" w14:textId="2DA50DE4" w:rsidR="009959A5" w:rsidRPr="009959A5" w:rsidRDefault="009959A5" w:rsidP="009959A5">
      <w:pPr>
        <w:pStyle w:val="mpcheading3"/>
        <w:rPr>
          <w:lang w:eastAsia="en-GB"/>
        </w:rPr>
      </w:pPr>
      <w:r w:rsidRPr="009959A5">
        <w:rPr>
          <w:lang w:eastAsia="en-GB"/>
        </w:rPr>
        <w:t>Components of the HSR Calculator</w:t>
      </w:r>
    </w:p>
    <w:p w14:paraId="5032FC58" w14:textId="77777777" w:rsidR="009959A5" w:rsidRPr="009959A5" w:rsidRDefault="009959A5">
      <w:pPr>
        <w:rPr>
          <w:sz w:val="22"/>
          <w:szCs w:val="22"/>
          <w:lang w:eastAsia="en-GB"/>
        </w:rPr>
      </w:pPr>
    </w:p>
    <w:p w14:paraId="4B5A6491" w14:textId="62EA43AC" w:rsidR="00885AF1" w:rsidRPr="00CC1ADD" w:rsidRDefault="00885AF1">
      <w:pPr>
        <w:rPr>
          <w:rFonts w:cstheme="minorHAnsi"/>
          <w:sz w:val="22"/>
          <w:szCs w:val="22"/>
        </w:rPr>
      </w:pPr>
      <w:r w:rsidRPr="009959A5">
        <w:rPr>
          <w:sz w:val="22"/>
          <w:szCs w:val="22"/>
          <w:lang w:eastAsia="en-GB"/>
        </w:rPr>
        <w:t>The components of the HSR Calculator are the same as those considered in the NPSC and are those considered relevant to risk or prevention of diet-related chronic disease (energy, sodium, saturated fat, total sugars, protein, fibre and FVNL ingredients).</w:t>
      </w:r>
      <w:r w:rsidRPr="009959A5">
        <w:rPr>
          <w:rStyle w:val="FootnoteReference"/>
          <w:sz w:val="22"/>
          <w:szCs w:val="22"/>
        </w:rPr>
        <w:footnoteReference w:id="53"/>
      </w:r>
    </w:p>
    <w:p w14:paraId="3020DEB7" w14:textId="77777777" w:rsidR="00317B7D" w:rsidRPr="00CC1ADD" w:rsidRDefault="00317B7D" w:rsidP="009959A5">
      <w:pPr>
        <w:pStyle w:val="mpcNormal"/>
        <w:keepNext w:val="0"/>
      </w:pPr>
    </w:p>
    <w:p w14:paraId="0E5A579B" w14:textId="77777777" w:rsidR="000A3464" w:rsidRPr="00CC1ADD" w:rsidRDefault="000A3464" w:rsidP="009959A5">
      <w:pPr>
        <w:pStyle w:val="mpcheading4"/>
      </w:pPr>
      <w:r w:rsidRPr="00CC1ADD">
        <w:t xml:space="preserve">Risk associated components </w:t>
      </w:r>
    </w:p>
    <w:p w14:paraId="297A5FC7" w14:textId="77777777" w:rsidR="000A3464" w:rsidRPr="00CC1ADD" w:rsidRDefault="000A3464" w:rsidP="005A3631">
      <w:pPr>
        <w:rPr>
          <w:rFonts w:cstheme="minorHAnsi"/>
          <w:sz w:val="22"/>
          <w:szCs w:val="22"/>
        </w:rPr>
      </w:pPr>
    </w:p>
    <w:p w14:paraId="56B92F95" w14:textId="30E6F883" w:rsidR="000A3464" w:rsidRPr="00CC1ADD" w:rsidRDefault="000A3464" w:rsidP="005A3631">
      <w:pPr>
        <w:rPr>
          <w:rFonts w:cstheme="minorHAnsi"/>
          <w:sz w:val="22"/>
          <w:szCs w:val="22"/>
        </w:rPr>
      </w:pPr>
      <w:r w:rsidRPr="00CC1ADD">
        <w:rPr>
          <w:rFonts w:cstheme="minorHAnsi"/>
          <w:sz w:val="22"/>
          <w:szCs w:val="22"/>
        </w:rPr>
        <w:t xml:space="preserve">The rationale for the inclusion </w:t>
      </w:r>
      <w:r w:rsidR="00071CC5">
        <w:rPr>
          <w:rFonts w:cstheme="minorHAnsi"/>
          <w:sz w:val="22"/>
          <w:szCs w:val="22"/>
        </w:rPr>
        <w:t xml:space="preserve">of the risk-associated components </w:t>
      </w:r>
      <w:r w:rsidRPr="00CC1ADD">
        <w:rPr>
          <w:rFonts w:cstheme="minorHAnsi"/>
          <w:sz w:val="22"/>
          <w:szCs w:val="22"/>
        </w:rPr>
        <w:t>in the HSR Calculator is strong and relatively uncontested:</w:t>
      </w:r>
    </w:p>
    <w:p w14:paraId="19633C40" w14:textId="77777777" w:rsidR="000A3464" w:rsidRPr="00CC1ADD" w:rsidRDefault="000A3464">
      <w:pPr>
        <w:rPr>
          <w:rFonts w:cstheme="minorHAnsi"/>
          <w:sz w:val="22"/>
          <w:szCs w:val="22"/>
        </w:rPr>
      </w:pPr>
    </w:p>
    <w:p w14:paraId="0F0B23EB" w14:textId="77777777" w:rsidR="000A3464" w:rsidRPr="00CC1ADD" w:rsidRDefault="000A3464" w:rsidP="00C3403E">
      <w:pPr>
        <w:pStyle w:val="ListParagraph"/>
        <w:numPr>
          <w:ilvl w:val="0"/>
          <w:numId w:val="30"/>
        </w:numPr>
        <w:rPr>
          <w:rFonts w:cstheme="minorHAnsi"/>
          <w:sz w:val="22"/>
          <w:szCs w:val="22"/>
        </w:rPr>
      </w:pPr>
      <w:r w:rsidRPr="00CC1ADD">
        <w:rPr>
          <w:rFonts w:cstheme="minorHAnsi"/>
          <w:sz w:val="22"/>
          <w:szCs w:val="22"/>
        </w:rPr>
        <w:t>Dietary Guidelines recommend limiting intake of foods containing added sugars, sodium and saturated fats</w:t>
      </w:r>
    </w:p>
    <w:p w14:paraId="396D987B" w14:textId="77777777" w:rsidR="000A3464" w:rsidRPr="00CC1ADD" w:rsidRDefault="000A3464" w:rsidP="00C3403E">
      <w:pPr>
        <w:pStyle w:val="ListParagraph"/>
        <w:numPr>
          <w:ilvl w:val="0"/>
          <w:numId w:val="29"/>
        </w:numPr>
        <w:rPr>
          <w:rFonts w:cstheme="minorHAnsi"/>
          <w:sz w:val="22"/>
          <w:szCs w:val="22"/>
        </w:rPr>
      </w:pPr>
      <w:r w:rsidRPr="00CC1ADD">
        <w:rPr>
          <w:rFonts w:cstheme="minorHAnsi"/>
          <w:sz w:val="22"/>
          <w:szCs w:val="22"/>
        </w:rPr>
        <w:t>The reasons for including total sugars rather than added sugars in the HSR Calculator is discussed later in this Chapter.</w:t>
      </w:r>
    </w:p>
    <w:p w14:paraId="3C7F83AC" w14:textId="187B43F0" w:rsidR="000A3464" w:rsidRPr="00CC1ADD" w:rsidRDefault="000A3464" w:rsidP="00C3403E">
      <w:pPr>
        <w:pStyle w:val="ListParagraph"/>
        <w:numPr>
          <w:ilvl w:val="0"/>
          <w:numId w:val="30"/>
        </w:numPr>
        <w:rPr>
          <w:rFonts w:cstheme="minorHAnsi"/>
          <w:sz w:val="22"/>
          <w:szCs w:val="22"/>
        </w:rPr>
      </w:pPr>
      <w:r w:rsidRPr="00CC1ADD">
        <w:rPr>
          <w:rFonts w:cstheme="minorHAnsi"/>
          <w:sz w:val="22"/>
          <w:szCs w:val="22"/>
        </w:rPr>
        <w:t xml:space="preserve">these components are consistent with those most commonly used in international FoPL </w:t>
      </w:r>
      <w:r w:rsidR="0030513A">
        <w:rPr>
          <w:rFonts w:cstheme="minorHAnsi"/>
          <w:sz w:val="22"/>
          <w:szCs w:val="22"/>
        </w:rPr>
        <w:t>schemes</w:t>
      </w:r>
    </w:p>
    <w:p w14:paraId="02EB20ED" w14:textId="7F62DB6F" w:rsidR="000A3464" w:rsidRPr="00CC1ADD" w:rsidRDefault="000A3464" w:rsidP="00C3403E">
      <w:pPr>
        <w:pStyle w:val="ListParagraph"/>
        <w:numPr>
          <w:ilvl w:val="0"/>
          <w:numId w:val="29"/>
        </w:numPr>
        <w:rPr>
          <w:rFonts w:cstheme="minorHAnsi"/>
          <w:sz w:val="22"/>
          <w:szCs w:val="22"/>
        </w:rPr>
      </w:pPr>
      <w:r w:rsidRPr="00CC1ADD">
        <w:rPr>
          <w:rFonts w:cstheme="minorHAnsi"/>
          <w:sz w:val="22"/>
          <w:szCs w:val="22"/>
        </w:rPr>
        <w:t xml:space="preserve">Based on a survey conducted by the WHO, the most commonly used nutrients and ingredients in FoPL </w:t>
      </w:r>
      <w:r w:rsidR="0030513A">
        <w:rPr>
          <w:rFonts w:cstheme="minorHAnsi"/>
          <w:sz w:val="22"/>
          <w:szCs w:val="22"/>
        </w:rPr>
        <w:t>schemes</w:t>
      </w:r>
      <w:r w:rsidRPr="00CC1ADD">
        <w:rPr>
          <w:rFonts w:cstheme="minorHAnsi"/>
          <w:sz w:val="22"/>
          <w:szCs w:val="22"/>
        </w:rPr>
        <w:t xml:space="preserve"> in Codex member countries across the world are: sodium/salt, energy, total sugars and saturated fats</w:t>
      </w:r>
      <w:r w:rsidRPr="00CC1ADD">
        <w:rPr>
          <w:rStyle w:val="FootnoteReference"/>
          <w:rFonts w:cstheme="minorHAnsi"/>
          <w:sz w:val="22"/>
          <w:szCs w:val="22"/>
        </w:rPr>
        <w:footnoteReference w:id="54"/>
      </w:r>
      <w:r w:rsidRPr="00CC1ADD">
        <w:rPr>
          <w:rFonts w:cstheme="minorHAnsi"/>
          <w:sz w:val="22"/>
          <w:szCs w:val="22"/>
        </w:rPr>
        <w:t xml:space="preserve">, which align with </w:t>
      </w:r>
      <w:r w:rsidR="0030513A">
        <w:rPr>
          <w:rFonts w:cstheme="minorHAnsi"/>
          <w:sz w:val="22"/>
          <w:szCs w:val="22"/>
        </w:rPr>
        <w:t>the</w:t>
      </w:r>
      <w:r w:rsidRPr="00CC1ADD">
        <w:rPr>
          <w:rFonts w:cstheme="minorHAnsi"/>
          <w:sz w:val="22"/>
          <w:szCs w:val="22"/>
        </w:rPr>
        <w:t xml:space="preserve"> negative components considered by the HSR System.</w:t>
      </w:r>
    </w:p>
    <w:p w14:paraId="115AC37F" w14:textId="27D87516" w:rsidR="000A3464" w:rsidRPr="00CC1ADD" w:rsidRDefault="000A3464" w:rsidP="00C3403E">
      <w:pPr>
        <w:pStyle w:val="ListParagraph"/>
        <w:numPr>
          <w:ilvl w:val="0"/>
          <w:numId w:val="30"/>
        </w:numPr>
        <w:rPr>
          <w:rFonts w:cstheme="minorHAnsi"/>
          <w:sz w:val="22"/>
          <w:szCs w:val="22"/>
        </w:rPr>
      </w:pPr>
      <w:r w:rsidRPr="00CC1ADD">
        <w:rPr>
          <w:rFonts w:cstheme="minorHAnsi"/>
          <w:sz w:val="22"/>
          <w:szCs w:val="22"/>
        </w:rPr>
        <w:t xml:space="preserve">these components all appear </w:t>
      </w:r>
      <w:r w:rsidR="00885AF1">
        <w:rPr>
          <w:rFonts w:cstheme="minorHAnsi"/>
          <w:sz w:val="22"/>
          <w:szCs w:val="22"/>
        </w:rPr>
        <w:t>i</w:t>
      </w:r>
      <w:r w:rsidRPr="00CC1ADD">
        <w:rPr>
          <w:rFonts w:cstheme="minorHAnsi"/>
          <w:sz w:val="22"/>
          <w:szCs w:val="22"/>
        </w:rPr>
        <w:t>n the NIP.</w:t>
      </w:r>
    </w:p>
    <w:p w14:paraId="620A96BC" w14:textId="77777777" w:rsidR="000A3464" w:rsidRPr="00CC1ADD" w:rsidRDefault="000A3464">
      <w:pPr>
        <w:rPr>
          <w:rFonts w:cstheme="minorHAnsi"/>
          <w:szCs w:val="22"/>
        </w:rPr>
      </w:pPr>
    </w:p>
    <w:p w14:paraId="4B459299" w14:textId="77777777" w:rsidR="000A3464" w:rsidRPr="00CC1ADD" w:rsidRDefault="000A3464" w:rsidP="009959A5">
      <w:pPr>
        <w:pStyle w:val="mpcheading4"/>
      </w:pPr>
      <w:r w:rsidRPr="00CC1ADD">
        <w:t>Positive components</w:t>
      </w:r>
    </w:p>
    <w:p w14:paraId="4715CB6D" w14:textId="77777777" w:rsidR="000A3464" w:rsidRPr="00CC1ADD" w:rsidRDefault="000A3464" w:rsidP="005A3631">
      <w:pPr>
        <w:rPr>
          <w:rFonts w:cstheme="minorHAnsi"/>
          <w:sz w:val="22"/>
          <w:szCs w:val="22"/>
          <w:highlight w:val="yellow"/>
        </w:rPr>
      </w:pPr>
    </w:p>
    <w:p w14:paraId="2A29F841" w14:textId="57D3CD48" w:rsidR="000A3464" w:rsidRPr="00CC1ADD" w:rsidRDefault="000A3464">
      <w:pPr>
        <w:rPr>
          <w:rFonts w:cstheme="minorHAnsi"/>
          <w:sz w:val="22"/>
          <w:szCs w:val="22"/>
        </w:rPr>
      </w:pPr>
      <w:r w:rsidRPr="00CC1ADD">
        <w:rPr>
          <w:rFonts w:cstheme="minorHAnsi"/>
          <w:sz w:val="22"/>
          <w:szCs w:val="22"/>
        </w:rPr>
        <w:t xml:space="preserve">The positive components of </w:t>
      </w:r>
      <w:r w:rsidR="00A648C4" w:rsidRPr="00CC1ADD">
        <w:rPr>
          <w:rFonts w:cstheme="minorHAnsi"/>
          <w:sz w:val="22"/>
          <w:szCs w:val="22"/>
        </w:rPr>
        <w:t xml:space="preserve">the </w:t>
      </w:r>
      <w:r w:rsidRPr="00CC1ADD">
        <w:rPr>
          <w:rFonts w:cstheme="minorHAnsi"/>
          <w:sz w:val="22"/>
          <w:szCs w:val="22"/>
        </w:rPr>
        <w:t>HSR Calculator are:</w:t>
      </w:r>
    </w:p>
    <w:p w14:paraId="27259F6B" w14:textId="77777777" w:rsidR="000A3464" w:rsidRPr="00CC1ADD" w:rsidRDefault="000A3464">
      <w:pPr>
        <w:rPr>
          <w:rFonts w:cstheme="minorHAnsi"/>
          <w:sz w:val="22"/>
          <w:szCs w:val="22"/>
        </w:rPr>
      </w:pPr>
    </w:p>
    <w:p w14:paraId="6961A27C" w14:textId="110534E3" w:rsidR="000A3464" w:rsidRPr="00CC1ADD" w:rsidRDefault="000A3464" w:rsidP="00F720A0">
      <w:pPr>
        <w:pStyle w:val="mpcbullets1"/>
      </w:pPr>
      <w:r w:rsidRPr="00CC1ADD">
        <w:t>FVNL</w:t>
      </w:r>
    </w:p>
    <w:p w14:paraId="61A36E59" w14:textId="3364FE86" w:rsidR="000A3464" w:rsidRPr="00CC1ADD" w:rsidRDefault="000A3464">
      <w:pPr>
        <w:pStyle w:val="mpcbullets2"/>
        <w:keepNext w:val="0"/>
      </w:pPr>
      <w:r w:rsidRPr="00CC1ADD">
        <w:t xml:space="preserve">FVNL content may contribute to a product's HSR. A product must contain </w:t>
      </w:r>
      <w:r w:rsidR="00885AF1">
        <w:t xml:space="preserve">&gt; </w:t>
      </w:r>
      <w:r w:rsidRPr="00CC1ADD">
        <w:t xml:space="preserve">40% FVNL or </w:t>
      </w:r>
      <w:r w:rsidR="00885AF1" w:rsidRPr="00CC1ADD">
        <w:t>≥</w:t>
      </w:r>
      <w:r w:rsidR="00885AF1">
        <w:t xml:space="preserve"> </w:t>
      </w:r>
      <w:r w:rsidRPr="00CC1ADD">
        <w:t>25% concentrated FVNL content before points can be received.</w:t>
      </w:r>
    </w:p>
    <w:p w14:paraId="55CD3D79" w14:textId="12E182D4" w:rsidR="000A3464" w:rsidRPr="00CC1ADD" w:rsidRDefault="000A3464">
      <w:pPr>
        <w:pStyle w:val="mpcbullets2"/>
        <w:keepNext w:val="0"/>
      </w:pPr>
      <w:r w:rsidRPr="00CC1ADD">
        <w:t>The inclusion of FVNL is intended to provide benefit to foods high in FVNL content and offset intrinsic sugars content (for instance, in fruit)</w:t>
      </w:r>
      <w:r w:rsidR="00071CC5">
        <w:t>,</w:t>
      </w:r>
      <w:r w:rsidRPr="00CC1ADD">
        <w:t xml:space="preserve"> which is captured as total sugars.</w:t>
      </w:r>
      <w:r w:rsidRPr="00CC1ADD">
        <w:rPr>
          <w:rStyle w:val="FootnoteReference"/>
          <w:rFonts w:cs="Arial"/>
          <w:sz w:val="22"/>
        </w:rPr>
        <w:footnoteReference w:id="55"/>
      </w:r>
    </w:p>
    <w:p w14:paraId="3DBC2F70" w14:textId="178F8629" w:rsidR="000A3464" w:rsidRPr="00CC1ADD" w:rsidRDefault="000A3464" w:rsidP="005A25A2">
      <w:pPr>
        <w:pStyle w:val="mpcbullets2"/>
        <w:keepNext w:val="0"/>
      </w:pPr>
      <w:r w:rsidRPr="00CC1ADD">
        <w:t>Fruit and vegetable content are considered in the French Nutri</w:t>
      </w:r>
      <w:r w:rsidR="002862B6">
        <w:t>-</w:t>
      </w:r>
      <w:r w:rsidRPr="00CC1ADD">
        <w:t>Score system and Finnish Heart Symbol.</w:t>
      </w:r>
      <w:r w:rsidRPr="00CC1ADD">
        <w:rPr>
          <w:rFonts w:cs="Calibri (Body)"/>
          <w:vertAlign w:val="superscript"/>
        </w:rPr>
        <w:footnoteReference w:id="56"/>
      </w:r>
    </w:p>
    <w:p w14:paraId="7774A56A" w14:textId="27E460D0" w:rsidR="000A3464" w:rsidRPr="00CC1ADD" w:rsidRDefault="0030513A" w:rsidP="00C3403E">
      <w:pPr>
        <w:pStyle w:val="ListParagraph"/>
        <w:numPr>
          <w:ilvl w:val="0"/>
          <w:numId w:val="27"/>
        </w:numPr>
        <w:rPr>
          <w:rFonts w:cstheme="minorHAnsi"/>
          <w:sz w:val="22"/>
          <w:szCs w:val="22"/>
        </w:rPr>
      </w:pPr>
      <w:r>
        <w:rPr>
          <w:rFonts w:cstheme="minorHAnsi"/>
          <w:sz w:val="22"/>
          <w:szCs w:val="22"/>
        </w:rPr>
        <w:t>p</w:t>
      </w:r>
      <w:r w:rsidR="000A3464" w:rsidRPr="00CC1ADD">
        <w:rPr>
          <w:rFonts w:cstheme="minorHAnsi"/>
          <w:sz w:val="22"/>
          <w:szCs w:val="22"/>
        </w:rPr>
        <w:t>rotein</w:t>
      </w:r>
    </w:p>
    <w:p w14:paraId="50FAC985" w14:textId="12D5BF9A" w:rsidR="000A3464" w:rsidRPr="00CC1ADD" w:rsidRDefault="000A3464" w:rsidP="006D135E">
      <w:pPr>
        <w:pStyle w:val="mpcbullets2"/>
        <w:keepNext w:val="0"/>
        <w:widowControl w:val="0"/>
        <w:ind w:left="850"/>
      </w:pPr>
      <w:r w:rsidRPr="00CC1ADD">
        <w:rPr>
          <w:rFonts w:cs="Arial"/>
        </w:rPr>
        <w:t>Protein</w:t>
      </w:r>
      <w:r w:rsidRPr="00CC1ADD">
        <w:t xml:space="preserve"> is an important inclusion in the HSR System as it provides a pragmatic, if indirect, surrogate for iron and calcium content</w:t>
      </w:r>
      <w:r w:rsidRPr="00CC1ADD">
        <w:rPr>
          <w:rStyle w:val="FootnoteReference"/>
          <w:sz w:val="22"/>
        </w:rPr>
        <w:footnoteReference w:id="57"/>
      </w:r>
      <w:r w:rsidRPr="00CC1ADD">
        <w:t xml:space="preserve">, which are not mandated in the NIP and both of which are lacking to some degree in Australian and New Zealander diets. </w:t>
      </w:r>
    </w:p>
    <w:p w14:paraId="4011D074" w14:textId="77777777" w:rsidR="000A3464" w:rsidRPr="00CC1ADD" w:rsidRDefault="000A3464" w:rsidP="006D135E">
      <w:pPr>
        <w:pStyle w:val="mpcbullets2"/>
        <w:keepNext w:val="0"/>
        <w:widowControl w:val="0"/>
        <w:ind w:left="850"/>
      </w:pPr>
      <w:r w:rsidRPr="00CC1ADD">
        <w:t>The inclusion of protein also serves to offset the intrinsic sugars content (lactose) in dairy.</w:t>
      </w:r>
    </w:p>
    <w:p w14:paraId="0676C384" w14:textId="77777777" w:rsidR="000A3464" w:rsidRPr="00CC1ADD" w:rsidRDefault="000A3464" w:rsidP="006D135E">
      <w:pPr>
        <w:pStyle w:val="mpcbullets2"/>
        <w:keepNext w:val="0"/>
        <w:widowControl w:val="0"/>
        <w:ind w:left="850"/>
      </w:pPr>
      <w:r w:rsidRPr="00CC1ADD">
        <w:t>Many FFG foods (nuts, legumes, dairy, lean meats, cereals) are being appropriately promoted through the consideration of protein content.</w:t>
      </w:r>
    </w:p>
    <w:p w14:paraId="15375C79" w14:textId="77777777" w:rsidR="000A3464" w:rsidRPr="00CC1ADD" w:rsidRDefault="000A3464" w:rsidP="005A3631">
      <w:pPr>
        <w:rPr>
          <w:rFonts w:cstheme="minorHAnsi"/>
          <w:szCs w:val="22"/>
        </w:rPr>
      </w:pPr>
    </w:p>
    <w:tbl>
      <w:tblPr>
        <w:tblStyle w:val="TableGrid"/>
        <w:tblW w:w="0" w:type="auto"/>
        <w:tblLook w:val="04A0" w:firstRow="1" w:lastRow="0" w:firstColumn="1" w:lastColumn="0" w:noHBand="0" w:noVBand="1"/>
      </w:tblPr>
      <w:tblGrid>
        <w:gridCol w:w="9736"/>
      </w:tblGrid>
      <w:tr w:rsidR="000A3464" w:rsidRPr="00CC1ADD" w14:paraId="423E16A0" w14:textId="77777777" w:rsidTr="006D135E">
        <w:trPr>
          <w:trHeight w:val="6588"/>
        </w:trPr>
        <w:tc>
          <w:tcPr>
            <w:tcW w:w="9736" w:type="dxa"/>
            <w:shd w:val="clear" w:color="auto" w:fill="F2F2F2" w:themeFill="background1" w:themeFillShade="F2"/>
            <w:vAlign w:val="center"/>
          </w:tcPr>
          <w:p w14:paraId="07E3464F" w14:textId="77777777" w:rsidR="000A3464" w:rsidRPr="00CC1ADD" w:rsidRDefault="000A3464" w:rsidP="005A3631">
            <w:pPr>
              <w:rPr>
                <w:rFonts w:cstheme="minorHAnsi"/>
                <w:b/>
                <w:sz w:val="22"/>
                <w:szCs w:val="22"/>
              </w:rPr>
            </w:pPr>
            <w:r w:rsidRPr="00CC1ADD">
              <w:rPr>
                <w:rFonts w:cstheme="minorHAnsi"/>
                <w:b/>
                <w:sz w:val="22"/>
                <w:szCs w:val="22"/>
              </w:rPr>
              <w:t>The protein ‘tipping point’</w:t>
            </w:r>
          </w:p>
          <w:p w14:paraId="350CE897" w14:textId="77777777" w:rsidR="000A3464" w:rsidRPr="00CC1ADD" w:rsidRDefault="000A3464">
            <w:pPr>
              <w:rPr>
                <w:rFonts w:cstheme="minorHAnsi"/>
                <w:sz w:val="22"/>
                <w:szCs w:val="22"/>
              </w:rPr>
            </w:pPr>
          </w:p>
          <w:p w14:paraId="4B43C2EB" w14:textId="77777777" w:rsidR="000A3464" w:rsidRPr="00CC1ADD" w:rsidRDefault="000A3464">
            <w:pPr>
              <w:rPr>
                <w:rFonts w:cstheme="minorHAnsi"/>
                <w:sz w:val="22"/>
                <w:szCs w:val="22"/>
              </w:rPr>
            </w:pPr>
            <w:r w:rsidRPr="00CC1ADD">
              <w:rPr>
                <w:rFonts w:cstheme="minorHAnsi"/>
                <w:sz w:val="22"/>
                <w:szCs w:val="22"/>
              </w:rPr>
              <w:t>Products scoring more than 13 baseline points (and less than 5 FVNL points) are ineligible to score protein points.</w:t>
            </w:r>
          </w:p>
          <w:p w14:paraId="019997F4" w14:textId="77777777" w:rsidR="000A3464" w:rsidRPr="00CC1ADD" w:rsidRDefault="000A3464">
            <w:pPr>
              <w:rPr>
                <w:rFonts w:cstheme="minorHAnsi"/>
                <w:sz w:val="22"/>
                <w:szCs w:val="22"/>
              </w:rPr>
            </w:pPr>
          </w:p>
          <w:p w14:paraId="7C67124D" w14:textId="1A82DCF0" w:rsidR="000A3464" w:rsidRPr="00CC1ADD" w:rsidRDefault="000A3464">
            <w:pPr>
              <w:rPr>
                <w:rFonts w:cstheme="minorHAnsi"/>
                <w:sz w:val="22"/>
                <w:szCs w:val="22"/>
              </w:rPr>
            </w:pPr>
            <w:r w:rsidRPr="00CC1ADD">
              <w:rPr>
                <w:sz w:val="22"/>
                <w:szCs w:val="22"/>
              </w:rPr>
              <w:t xml:space="preserve">This represents a change from the UK </w:t>
            </w:r>
            <w:r w:rsidR="00E11933">
              <w:rPr>
                <w:sz w:val="22"/>
                <w:szCs w:val="22"/>
              </w:rPr>
              <w:t>nutrient profiling model</w:t>
            </w:r>
            <w:r w:rsidRPr="00CC1ADD">
              <w:rPr>
                <w:sz w:val="22"/>
                <w:szCs w:val="22"/>
              </w:rPr>
              <w:t>. When the NPSC was developed, eligibility for protein points was changed from 11 or fewer baseline points to 13 or fewer baseline points; meaning that a product can receive more baseline points before becoming ineligible to score protein points.</w:t>
            </w:r>
            <w:r w:rsidR="00830C60">
              <w:rPr>
                <w:rStyle w:val="FootnoteReference"/>
                <w:szCs w:val="22"/>
              </w:rPr>
              <w:footnoteReference w:id="58"/>
            </w:r>
          </w:p>
          <w:p w14:paraId="193609B0" w14:textId="77777777" w:rsidR="000A3464" w:rsidRPr="00CC1ADD" w:rsidRDefault="000A3464">
            <w:pPr>
              <w:rPr>
                <w:rFonts w:cstheme="minorHAnsi"/>
                <w:sz w:val="22"/>
                <w:szCs w:val="22"/>
              </w:rPr>
            </w:pPr>
          </w:p>
          <w:p w14:paraId="491E71BD" w14:textId="55EC4F08" w:rsidR="000A3464" w:rsidRPr="00CC1ADD" w:rsidRDefault="000A3464">
            <w:pPr>
              <w:rPr>
                <w:rFonts w:cstheme="minorHAnsi"/>
                <w:sz w:val="22"/>
                <w:szCs w:val="22"/>
              </w:rPr>
            </w:pPr>
            <w:r w:rsidRPr="00CC1ADD">
              <w:rPr>
                <w:rFonts w:cstheme="minorHAnsi"/>
                <w:sz w:val="22"/>
                <w:szCs w:val="22"/>
              </w:rPr>
              <w:t xml:space="preserve">Some stakeholders expressed concerns regarding the potential for this to allow less healthy products to offset negative points using protein and, consequently, improve the product’s HSR. The Review explored the impact of decreasing the protein threshold to 11 points and found that this would </w:t>
            </w:r>
            <w:r w:rsidR="005A25A2">
              <w:rPr>
                <w:rFonts w:cstheme="minorHAnsi"/>
                <w:sz w:val="22"/>
                <w:szCs w:val="22"/>
              </w:rPr>
              <w:t>affect</w:t>
            </w:r>
            <w:r w:rsidR="005A25A2" w:rsidRPr="00CC1ADD">
              <w:rPr>
                <w:rFonts w:cstheme="minorHAnsi"/>
                <w:sz w:val="22"/>
                <w:szCs w:val="22"/>
              </w:rPr>
              <w:t xml:space="preserve"> </w:t>
            </w:r>
            <w:r w:rsidRPr="00CC1ADD">
              <w:rPr>
                <w:rFonts w:cstheme="minorHAnsi"/>
                <w:sz w:val="22"/>
                <w:szCs w:val="22"/>
              </w:rPr>
              <w:t>relatively few products (</w:t>
            </w:r>
            <w:r w:rsidR="002614EC">
              <w:rPr>
                <w:rFonts w:cstheme="minorHAnsi"/>
                <w:sz w:val="22"/>
                <w:szCs w:val="22"/>
              </w:rPr>
              <w:t>4</w:t>
            </w:r>
            <w:r w:rsidRPr="00CC1ADD">
              <w:rPr>
                <w:rFonts w:cstheme="minorHAnsi"/>
                <w:sz w:val="22"/>
                <w:szCs w:val="22"/>
              </w:rPr>
              <w:t xml:space="preserve">%), </w:t>
            </w:r>
            <w:r w:rsidR="00AE5CE0">
              <w:rPr>
                <w:rFonts w:cstheme="minorHAnsi"/>
                <w:sz w:val="22"/>
                <w:szCs w:val="22"/>
              </w:rPr>
              <w:t>35%</w:t>
            </w:r>
            <w:r w:rsidRPr="00CC1ADD">
              <w:rPr>
                <w:rFonts w:cstheme="minorHAnsi"/>
                <w:sz w:val="22"/>
                <w:szCs w:val="22"/>
              </w:rPr>
              <w:t xml:space="preserve"> of which are FFG cereal</w:t>
            </w:r>
            <w:r w:rsidR="00E11933">
              <w:rPr>
                <w:rFonts w:cstheme="minorHAnsi"/>
                <w:sz w:val="22"/>
                <w:szCs w:val="22"/>
              </w:rPr>
              <w:t>-</w:t>
            </w:r>
            <w:r w:rsidRPr="00CC1ADD">
              <w:rPr>
                <w:rFonts w:cstheme="minorHAnsi"/>
                <w:sz w:val="22"/>
                <w:szCs w:val="22"/>
              </w:rPr>
              <w:t>based products. It also reduces differentiation between products with significantly different nutrient profiles by reducing the consideration of one positive component and increasing the emphasis on negative components.</w:t>
            </w:r>
          </w:p>
          <w:p w14:paraId="2FFE4078" w14:textId="77777777" w:rsidR="000A3464" w:rsidRPr="00CC1ADD" w:rsidRDefault="000A3464">
            <w:pPr>
              <w:rPr>
                <w:rFonts w:cstheme="minorHAnsi"/>
                <w:sz w:val="22"/>
                <w:szCs w:val="22"/>
              </w:rPr>
            </w:pPr>
          </w:p>
          <w:p w14:paraId="47FC0925" w14:textId="07535795" w:rsidR="000A3464" w:rsidRPr="00CC1ADD" w:rsidRDefault="000A3464">
            <w:pPr>
              <w:rPr>
                <w:rFonts w:cstheme="minorHAnsi"/>
                <w:sz w:val="22"/>
                <w:szCs w:val="22"/>
              </w:rPr>
            </w:pPr>
            <w:r w:rsidRPr="00CC1ADD">
              <w:rPr>
                <w:rFonts w:cstheme="minorHAnsi"/>
                <w:sz w:val="22"/>
                <w:szCs w:val="22"/>
              </w:rPr>
              <w:t xml:space="preserve">For example, </w:t>
            </w:r>
            <w:r w:rsidR="00A648C4" w:rsidRPr="00CC1ADD">
              <w:rPr>
                <w:rFonts w:cstheme="minorHAnsi"/>
                <w:sz w:val="22"/>
                <w:szCs w:val="22"/>
              </w:rPr>
              <w:t>a ready to eat wholegrain</w:t>
            </w:r>
            <w:r w:rsidRPr="00CC1ADD">
              <w:rPr>
                <w:rFonts w:cstheme="minorHAnsi"/>
                <w:sz w:val="22"/>
                <w:szCs w:val="22"/>
              </w:rPr>
              <w:t xml:space="preserve"> breakfast cereal</w:t>
            </w:r>
            <w:r w:rsidR="00B664F4">
              <w:rPr>
                <w:rFonts w:cstheme="minorHAnsi"/>
                <w:sz w:val="22"/>
                <w:szCs w:val="22"/>
              </w:rPr>
              <w:t xml:space="preserve"> that </w:t>
            </w:r>
            <w:r w:rsidRPr="00CC1ADD">
              <w:rPr>
                <w:rFonts w:cstheme="minorHAnsi"/>
                <w:sz w:val="22"/>
                <w:szCs w:val="22"/>
              </w:rPr>
              <w:t xml:space="preserve">contains 8.7% protein from wholegrain and nuts and 18.2% sugars would see a reduction to its HSR from 4 to 3. However, </w:t>
            </w:r>
            <w:r w:rsidR="00A648C4" w:rsidRPr="00CC1ADD">
              <w:rPr>
                <w:rFonts w:cstheme="minorHAnsi"/>
                <w:sz w:val="22"/>
                <w:szCs w:val="22"/>
              </w:rPr>
              <w:t xml:space="preserve">a ready to eat wholegrain chocolate flavoured </w:t>
            </w:r>
            <w:r w:rsidRPr="00CC1ADD">
              <w:rPr>
                <w:rFonts w:cstheme="minorHAnsi"/>
                <w:sz w:val="22"/>
                <w:szCs w:val="22"/>
              </w:rPr>
              <w:t xml:space="preserve">breakfast cereal </w:t>
            </w:r>
            <w:r w:rsidR="00071CC5">
              <w:rPr>
                <w:rFonts w:cstheme="minorHAnsi"/>
                <w:sz w:val="22"/>
                <w:szCs w:val="22"/>
              </w:rPr>
              <w:t>that</w:t>
            </w:r>
            <w:r w:rsidR="00071CC5" w:rsidRPr="00CC1ADD">
              <w:rPr>
                <w:rFonts w:cstheme="minorHAnsi"/>
                <w:sz w:val="22"/>
                <w:szCs w:val="22"/>
              </w:rPr>
              <w:t xml:space="preserve"> </w:t>
            </w:r>
            <w:r w:rsidRPr="00CC1ADD">
              <w:rPr>
                <w:rFonts w:cstheme="minorHAnsi"/>
                <w:sz w:val="22"/>
                <w:szCs w:val="22"/>
              </w:rPr>
              <w:t xml:space="preserve">contains less protein (7.8%) and significantly higher sugars (29.9%) would also achieve an HSR of 3, implying to consumers that these products are of equivalent nutritional value. </w:t>
            </w:r>
          </w:p>
          <w:p w14:paraId="7071FD83" w14:textId="77777777" w:rsidR="000A3464" w:rsidRPr="00CC1ADD" w:rsidRDefault="000A3464">
            <w:pPr>
              <w:rPr>
                <w:rFonts w:cstheme="minorHAnsi"/>
                <w:sz w:val="22"/>
                <w:szCs w:val="22"/>
              </w:rPr>
            </w:pPr>
          </w:p>
          <w:p w14:paraId="00687430" w14:textId="783ABA85" w:rsidR="000A3464" w:rsidRPr="00CC1ADD" w:rsidRDefault="000A3464">
            <w:pPr>
              <w:rPr>
                <w:rFonts w:cstheme="minorHAnsi"/>
                <w:sz w:val="22"/>
                <w:szCs w:val="22"/>
              </w:rPr>
            </w:pPr>
            <w:r w:rsidRPr="00CC1ADD">
              <w:rPr>
                <w:rFonts w:cstheme="minorHAnsi"/>
                <w:sz w:val="22"/>
                <w:szCs w:val="22"/>
              </w:rPr>
              <w:t>Rather than make changes to protein, the Review has proposed changes to the treatment of sugars and sodium to better target products of concern.</w:t>
            </w:r>
          </w:p>
        </w:tc>
      </w:tr>
    </w:tbl>
    <w:p w14:paraId="62F6D303" w14:textId="77777777" w:rsidR="000A3464" w:rsidRPr="00CC1ADD" w:rsidRDefault="000A3464" w:rsidP="005A3631">
      <w:pPr>
        <w:rPr>
          <w:rFonts w:cstheme="minorHAnsi"/>
          <w:sz w:val="22"/>
          <w:szCs w:val="22"/>
        </w:rPr>
      </w:pPr>
    </w:p>
    <w:p w14:paraId="320A0EFB" w14:textId="2353A59B" w:rsidR="000A3464" w:rsidRPr="00CC1ADD" w:rsidRDefault="0030513A" w:rsidP="00C3403E">
      <w:pPr>
        <w:pStyle w:val="ListParagraph"/>
        <w:numPr>
          <w:ilvl w:val="0"/>
          <w:numId w:val="27"/>
        </w:numPr>
        <w:rPr>
          <w:rFonts w:cstheme="minorHAnsi"/>
          <w:sz w:val="22"/>
          <w:szCs w:val="22"/>
        </w:rPr>
      </w:pPr>
      <w:r>
        <w:rPr>
          <w:rFonts w:cstheme="minorHAnsi"/>
          <w:sz w:val="22"/>
          <w:szCs w:val="22"/>
        </w:rPr>
        <w:t>f</w:t>
      </w:r>
      <w:r w:rsidR="000A3464" w:rsidRPr="00CC1ADD">
        <w:rPr>
          <w:rFonts w:cstheme="minorHAnsi"/>
          <w:sz w:val="22"/>
          <w:szCs w:val="22"/>
        </w:rPr>
        <w:t>ibre</w:t>
      </w:r>
    </w:p>
    <w:p w14:paraId="46ED7472" w14:textId="77777777" w:rsidR="000A3464" w:rsidRPr="00CC1ADD" w:rsidRDefault="000A3464" w:rsidP="006D135E">
      <w:pPr>
        <w:pStyle w:val="mpcbullets2"/>
        <w:keepNext w:val="0"/>
      </w:pPr>
      <w:r w:rsidRPr="00CC1ADD">
        <w:t>Dietary fibre is usually sourced from cereals, fruits and vegetables.</w:t>
      </w:r>
    </w:p>
    <w:p w14:paraId="1E991B46" w14:textId="77777777" w:rsidR="000A3464" w:rsidRPr="00CC1ADD" w:rsidRDefault="000A3464" w:rsidP="006D135E">
      <w:pPr>
        <w:pStyle w:val="mpcbullets2"/>
        <w:keepNext w:val="0"/>
      </w:pPr>
      <w:r w:rsidRPr="00CC1ADD">
        <w:t>H</w:t>
      </w:r>
      <w:r w:rsidRPr="00CC1ADD">
        <w:rPr>
          <w:lang w:eastAsia="en-AU"/>
        </w:rPr>
        <w:t>igh dietary fibre intake has been linked to lower rates of overweight and obesity, Type 2 Diabetes, risk of cardiovascular disease and some cancers.</w:t>
      </w:r>
      <w:r w:rsidRPr="00CC1ADD">
        <w:rPr>
          <w:rStyle w:val="FootnoteReference"/>
          <w:rFonts w:eastAsia="UniversLTStd-Light"/>
          <w:sz w:val="22"/>
          <w:lang w:eastAsia="en-AU"/>
        </w:rPr>
        <w:footnoteReference w:id="59"/>
      </w:r>
      <w:r w:rsidRPr="00CC1ADD">
        <w:rPr>
          <w:vertAlign w:val="superscript"/>
          <w:lang w:eastAsia="en-AU"/>
        </w:rPr>
        <w:t>,</w:t>
      </w:r>
      <w:r w:rsidRPr="00CC1ADD">
        <w:rPr>
          <w:rStyle w:val="FootnoteReference"/>
          <w:rFonts w:eastAsia="UniversLTStd-Light"/>
          <w:sz w:val="22"/>
          <w:lang w:eastAsia="en-AU"/>
        </w:rPr>
        <w:footnoteReference w:id="60"/>
      </w:r>
      <w:r w:rsidRPr="00CC1ADD">
        <w:rPr>
          <w:lang w:eastAsia="en-AU"/>
        </w:rPr>
        <w:t xml:space="preserve"> </w:t>
      </w:r>
    </w:p>
    <w:p w14:paraId="72B80872" w14:textId="77777777" w:rsidR="000A3464" w:rsidRPr="00CC1ADD" w:rsidRDefault="000A3464" w:rsidP="006D135E">
      <w:pPr>
        <w:pStyle w:val="mpcbullets2"/>
        <w:keepNext w:val="0"/>
      </w:pPr>
      <w:r w:rsidRPr="00CC1ADD">
        <w:t>Dietary Guidelines promote the consumption of wholegrain cereals, but the HSR Calculator does not directly account for wholegrain content. However, a wholegrain food may achieve a higher HSR than it otherwise would through the use of fibre modifying points as a proxy.</w:t>
      </w:r>
    </w:p>
    <w:p w14:paraId="1928EA36" w14:textId="77777777" w:rsidR="000A3464" w:rsidRPr="00CC1ADD" w:rsidRDefault="000A3464" w:rsidP="005A3631">
      <w:pPr>
        <w:rPr>
          <w:rFonts w:cstheme="minorHAnsi"/>
          <w:sz w:val="22"/>
          <w:szCs w:val="22"/>
        </w:rPr>
      </w:pPr>
    </w:p>
    <w:tbl>
      <w:tblPr>
        <w:tblStyle w:val="TableGrid"/>
        <w:tblW w:w="0" w:type="auto"/>
        <w:tblLook w:val="04A0" w:firstRow="1" w:lastRow="0" w:firstColumn="1" w:lastColumn="0" w:noHBand="0" w:noVBand="1"/>
      </w:tblPr>
      <w:tblGrid>
        <w:gridCol w:w="9736"/>
      </w:tblGrid>
      <w:tr w:rsidR="000A3464" w:rsidRPr="00CC1ADD" w14:paraId="0BB0C840" w14:textId="77777777" w:rsidTr="006D135E">
        <w:tc>
          <w:tcPr>
            <w:tcW w:w="9736" w:type="dxa"/>
            <w:shd w:val="clear" w:color="auto" w:fill="F2F2F2" w:themeFill="background1" w:themeFillShade="F2"/>
            <w:vAlign w:val="center"/>
          </w:tcPr>
          <w:p w14:paraId="51ADE991" w14:textId="77777777" w:rsidR="000A3464" w:rsidRPr="00CC1ADD" w:rsidRDefault="000A3464" w:rsidP="005A3631">
            <w:pPr>
              <w:widowControl w:val="0"/>
              <w:rPr>
                <w:rFonts w:cstheme="minorHAnsi"/>
                <w:b/>
                <w:sz w:val="22"/>
                <w:szCs w:val="22"/>
              </w:rPr>
            </w:pPr>
            <w:r w:rsidRPr="00CC1ADD">
              <w:rPr>
                <w:rFonts w:cstheme="minorHAnsi"/>
                <w:b/>
                <w:sz w:val="22"/>
                <w:szCs w:val="22"/>
              </w:rPr>
              <w:t>Why not wholegrain?</w:t>
            </w:r>
          </w:p>
          <w:p w14:paraId="17E63240" w14:textId="77777777" w:rsidR="000A3464" w:rsidRPr="00CC1ADD" w:rsidRDefault="000A3464">
            <w:pPr>
              <w:widowControl w:val="0"/>
              <w:rPr>
                <w:rFonts w:cstheme="minorHAnsi"/>
                <w:sz w:val="22"/>
                <w:szCs w:val="22"/>
              </w:rPr>
            </w:pPr>
          </w:p>
          <w:p w14:paraId="75227B2B" w14:textId="7F699DE6" w:rsidR="000A3464" w:rsidRPr="00CC1ADD" w:rsidRDefault="000A3464">
            <w:pPr>
              <w:widowControl w:val="0"/>
              <w:rPr>
                <w:rFonts w:cstheme="minorHAnsi"/>
                <w:sz w:val="22"/>
                <w:szCs w:val="22"/>
              </w:rPr>
            </w:pPr>
            <w:r w:rsidRPr="00CC1ADD">
              <w:rPr>
                <w:rFonts w:cstheme="minorHAnsi"/>
                <w:sz w:val="22"/>
                <w:szCs w:val="22"/>
              </w:rPr>
              <w:t>S</w:t>
            </w:r>
            <w:r w:rsidR="00E11933">
              <w:rPr>
                <w:rFonts w:cstheme="minorHAnsi"/>
                <w:sz w:val="22"/>
                <w:szCs w:val="22"/>
              </w:rPr>
              <w:t>ome s</w:t>
            </w:r>
            <w:r w:rsidRPr="00CC1ADD">
              <w:rPr>
                <w:rFonts w:cstheme="minorHAnsi"/>
                <w:sz w:val="22"/>
                <w:szCs w:val="22"/>
              </w:rPr>
              <w:t xml:space="preserve">takeholders </w:t>
            </w:r>
            <w:r w:rsidR="00E11933">
              <w:rPr>
                <w:rFonts w:cstheme="minorHAnsi"/>
                <w:sz w:val="22"/>
                <w:szCs w:val="22"/>
              </w:rPr>
              <w:t>suggested</w:t>
            </w:r>
            <w:r w:rsidRPr="00CC1ADD">
              <w:rPr>
                <w:rFonts w:cstheme="minorHAnsi"/>
                <w:sz w:val="22"/>
                <w:szCs w:val="22"/>
              </w:rPr>
              <w:t xml:space="preserve"> that the </w:t>
            </w:r>
            <w:r w:rsidR="00E11933">
              <w:rPr>
                <w:rFonts w:cstheme="minorHAnsi"/>
                <w:sz w:val="22"/>
                <w:szCs w:val="22"/>
              </w:rPr>
              <w:t xml:space="preserve">HSR </w:t>
            </w:r>
            <w:r w:rsidRPr="00CC1ADD">
              <w:rPr>
                <w:rFonts w:cstheme="minorHAnsi"/>
                <w:sz w:val="22"/>
                <w:szCs w:val="22"/>
              </w:rPr>
              <w:t xml:space="preserve">System does not adequately promote consumption of wholegrains over more refined fibres and have </w:t>
            </w:r>
            <w:r w:rsidR="00E11933">
              <w:rPr>
                <w:rFonts w:cstheme="minorHAnsi"/>
                <w:sz w:val="22"/>
                <w:szCs w:val="22"/>
              </w:rPr>
              <w:t>proposed</w:t>
            </w:r>
            <w:r w:rsidRPr="00CC1ADD">
              <w:rPr>
                <w:rFonts w:cstheme="minorHAnsi"/>
                <w:sz w:val="22"/>
                <w:szCs w:val="22"/>
              </w:rPr>
              <w:t xml:space="preserve"> including wholegrain in the HSR Calculator </w:t>
            </w:r>
            <w:r w:rsidR="00E11933">
              <w:rPr>
                <w:rFonts w:cstheme="minorHAnsi"/>
                <w:sz w:val="22"/>
                <w:szCs w:val="22"/>
              </w:rPr>
              <w:t>to e</w:t>
            </w:r>
            <w:r w:rsidRPr="00CC1ADD">
              <w:rPr>
                <w:rFonts w:cstheme="minorHAnsi"/>
                <w:sz w:val="22"/>
                <w:szCs w:val="22"/>
              </w:rPr>
              <w:t xml:space="preserve">nable improved differentiation between products with ‘natural’ fibre and those with refined fibre such as inulin. </w:t>
            </w:r>
          </w:p>
          <w:p w14:paraId="46DC0A1F" w14:textId="77777777" w:rsidR="000A3464" w:rsidRPr="00CC1ADD" w:rsidRDefault="000A3464">
            <w:pPr>
              <w:widowControl w:val="0"/>
              <w:rPr>
                <w:rFonts w:cstheme="minorHAnsi"/>
                <w:b/>
                <w:sz w:val="22"/>
                <w:szCs w:val="22"/>
              </w:rPr>
            </w:pPr>
          </w:p>
          <w:p w14:paraId="027D1784" w14:textId="4EA60F3D" w:rsidR="000A3464" w:rsidRPr="00CC1ADD" w:rsidRDefault="000A3464">
            <w:pPr>
              <w:widowControl w:val="0"/>
              <w:rPr>
                <w:rFonts w:cstheme="minorHAnsi"/>
                <w:sz w:val="22"/>
                <w:szCs w:val="22"/>
              </w:rPr>
            </w:pPr>
            <w:r w:rsidRPr="00CC1ADD">
              <w:rPr>
                <w:rFonts w:cstheme="minorHAnsi"/>
                <w:sz w:val="22"/>
                <w:szCs w:val="22"/>
              </w:rPr>
              <w:t>The benefits of wholegrain</w:t>
            </w:r>
            <w:r w:rsidR="00B664F4">
              <w:rPr>
                <w:rFonts w:cstheme="minorHAnsi"/>
                <w:sz w:val="22"/>
                <w:szCs w:val="22"/>
              </w:rPr>
              <w:t xml:space="preserve"> are</w:t>
            </w:r>
            <w:r w:rsidRPr="00CC1ADD">
              <w:rPr>
                <w:rFonts w:cstheme="minorHAnsi"/>
                <w:sz w:val="22"/>
                <w:szCs w:val="22"/>
              </w:rPr>
              <w:t xml:space="preserve"> recognised by the Review and the </w:t>
            </w:r>
            <w:r w:rsidR="00E11933">
              <w:rPr>
                <w:rFonts w:cstheme="minorHAnsi"/>
                <w:sz w:val="22"/>
                <w:szCs w:val="22"/>
              </w:rPr>
              <w:t>impact</w:t>
            </w:r>
            <w:r w:rsidRPr="00CC1ADD">
              <w:rPr>
                <w:rFonts w:cstheme="minorHAnsi"/>
                <w:sz w:val="22"/>
                <w:szCs w:val="22"/>
              </w:rPr>
              <w:t xml:space="preserve"> of including wholegrain in the HSR System was closely examined. However, the potential benefits of including wholegrain in the HSR Calculator were exceeded by the technical complexities and unintended consequences of </w:t>
            </w:r>
            <w:r w:rsidR="00A648C4" w:rsidRPr="00CC1ADD">
              <w:rPr>
                <w:rFonts w:cstheme="minorHAnsi"/>
                <w:sz w:val="22"/>
                <w:szCs w:val="22"/>
              </w:rPr>
              <w:t>the</w:t>
            </w:r>
            <w:r w:rsidRPr="00CC1ADD">
              <w:rPr>
                <w:rFonts w:cstheme="minorHAnsi"/>
                <w:sz w:val="22"/>
                <w:szCs w:val="22"/>
              </w:rPr>
              <w:t xml:space="preserve"> </w:t>
            </w:r>
            <w:r w:rsidR="00E11933">
              <w:rPr>
                <w:rFonts w:cstheme="minorHAnsi"/>
                <w:sz w:val="22"/>
                <w:szCs w:val="22"/>
              </w:rPr>
              <w:t xml:space="preserve">various </w:t>
            </w:r>
            <w:r w:rsidRPr="00CC1ADD">
              <w:rPr>
                <w:rFonts w:cstheme="minorHAnsi"/>
                <w:sz w:val="22"/>
                <w:szCs w:val="22"/>
              </w:rPr>
              <w:t>options explored in that:</w:t>
            </w:r>
          </w:p>
          <w:p w14:paraId="13FBC4AD" w14:textId="77777777" w:rsidR="000A3464" w:rsidRPr="00CC1ADD" w:rsidRDefault="000A3464">
            <w:pPr>
              <w:widowControl w:val="0"/>
              <w:rPr>
                <w:rFonts w:cstheme="minorHAnsi"/>
                <w:sz w:val="22"/>
                <w:szCs w:val="22"/>
              </w:rPr>
            </w:pPr>
          </w:p>
          <w:p w14:paraId="3CB4CA49" w14:textId="77777777" w:rsidR="000A3464" w:rsidRPr="00CC1ADD" w:rsidRDefault="000A3464" w:rsidP="00F720A0">
            <w:pPr>
              <w:pStyle w:val="mpcbullets1"/>
            </w:pPr>
            <w:r w:rsidRPr="00CC1ADD">
              <w:t xml:space="preserve">declaration of wholegrain content is not required on food packaging, except where wholegrain is a characterising ingredient  </w:t>
            </w:r>
          </w:p>
          <w:p w14:paraId="7EC12E27" w14:textId="77777777" w:rsidR="000A3464" w:rsidRPr="00CC1ADD" w:rsidRDefault="000A3464" w:rsidP="00F720A0">
            <w:pPr>
              <w:pStyle w:val="mpcbullets1"/>
            </w:pPr>
            <w:r w:rsidRPr="00CC1ADD">
              <w:t>it is not possible to analytically determine the content of wholegrain in food</w:t>
            </w:r>
          </w:p>
          <w:p w14:paraId="541493FD" w14:textId="77777777" w:rsidR="000A3464" w:rsidRPr="00CC1ADD" w:rsidRDefault="000A3464" w:rsidP="00F720A0">
            <w:pPr>
              <w:pStyle w:val="mpcbullets1"/>
            </w:pPr>
            <w:r w:rsidRPr="00CC1ADD">
              <w:t>the Code does not regulate the use of wholegrain content claims</w:t>
            </w:r>
          </w:p>
          <w:p w14:paraId="347E3AA3" w14:textId="77777777" w:rsidR="000A3464" w:rsidRPr="00CC1ADD" w:rsidRDefault="000A3464" w:rsidP="006D135E">
            <w:pPr>
              <w:pStyle w:val="mpcbullets2"/>
              <w:keepNext w:val="0"/>
              <w:widowControl w:val="0"/>
            </w:pPr>
            <w:r w:rsidRPr="00CC1ADD">
              <w:t>The Grains &amp; Legumes Nutrition Council’s Code of Practice for Whole Grain Ingredient Content Claims (Industry Code of Practice) provides a guide for the use of wholegrain content claims on food labels in Australia and New Zealand.</w:t>
            </w:r>
            <w:r w:rsidRPr="00CC1ADD">
              <w:rPr>
                <w:vertAlign w:val="superscript"/>
              </w:rPr>
              <w:footnoteReference w:id="61"/>
            </w:r>
            <w:r w:rsidRPr="00CC1ADD">
              <w:rPr>
                <w:vertAlign w:val="superscript"/>
              </w:rPr>
              <w:t xml:space="preserve"> </w:t>
            </w:r>
          </w:p>
          <w:p w14:paraId="699C3E01" w14:textId="1CB1973A" w:rsidR="000A3464" w:rsidRPr="00CC1ADD" w:rsidRDefault="000A3464" w:rsidP="00F720A0">
            <w:pPr>
              <w:pStyle w:val="mpcbullets1"/>
            </w:pPr>
            <w:r w:rsidRPr="00CC1ADD">
              <w:t xml:space="preserve">while there is a definition of wholegrain in the Code that matches the definition used in the Industry Code of Practice, this </w:t>
            </w:r>
            <w:r w:rsidRPr="00B664F4">
              <w:t xml:space="preserve">definition </w:t>
            </w:r>
            <w:r w:rsidR="00EA54C6" w:rsidRPr="00B664F4">
              <w:t>refers to both the intact grain and the fractions (including hulled, ground, milled, cracked or flaked grain</w:t>
            </w:r>
            <w:r w:rsidR="00EA54C6" w:rsidRPr="00B664F4">
              <w:rPr>
                <w:rStyle w:val="FootnoteReference"/>
                <w:sz w:val="22"/>
              </w:rPr>
              <w:footnoteReference w:id="62"/>
            </w:r>
            <w:r w:rsidR="00EA54C6" w:rsidRPr="00B664F4">
              <w:t>)</w:t>
            </w:r>
            <w:r w:rsidRPr="00B664F4">
              <w:t>. The strongest health benefits of wholegrain relate to intact grain rather than refined, highly processed or reconstituted</w:t>
            </w:r>
            <w:r w:rsidRPr="00CC1ADD">
              <w:t xml:space="preserve"> grain</w:t>
            </w:r>
          </w:p>
          <w:p w14:paraId="657C7C56" w14:textId="635F99DD" w:rsidR="000A3464" w:rsidRPr="00CC1ADD" w:rsidRDefault="000A3464" w:rsidP="00F720A0">
            <w:pPr>
              <w:pStyle w:val="mpcbullets1"/>
            </w:pPr>
            <w:r w:rsidRPr="00CC1ADD">
              <w:t xml:space="preserve">rewarding wholegrain content resulted in limited increases to FFG </w:t>
            </w:r>
            <w:r w:rsidR="00E11933">
              <w:t>foods</w:t>
            </w:r>
            <w:r w:rsidRPr="00CC1ADD">
              <w:t xml:space="preserve"> such as brown rices, but resulted in more significant increases to the HSRs of many discretionary products such as muesli bars, salty snacks and crackers</w:t>
            </w:r>
          </w:p>
          <w:p w14:paraId="73BACFAC" w14:textId="77777777" w:rsidR="000A3464" w:rsidRPr="00CC1ADD" w:rsidRDefault="000A3464" w:rsidP="00F720A0">
            <w:pPr>
              <w:pStyle w:val="mpcbullets1"/>
            </w:pPr>
            <w:r w:rsidRPr="00CC1ADD">
              <w:t>it would reduce alignment with the NPSC (on which the HSR Calculator is based), which does not consider wholegrain.</w:t>
            </w:r>
          </w:p>
          <w:p w14:paraId="60BDF0EB" w14:textId="77777777" w:rsidR="000A3464" w:rsidRPr="00CC1ADD" w:rsidRDefault="000A3464" w:rsidP="00F720A0">
            <w:pPr>
              <w:pStyle w:val="mpcbullets1"/>
              <w:numPr>
                <w:ilvl w:val="0"/>
                <w:numId w:val="0"/>
              </w:numPr>
            </w:pPr>
          </w:p>
          <w:p w14:paraId="2A37796C" w14:textId="0B4346A4" w:rsidR="000A3464" w:rsidRDefault="000A3464" w:rsidP="005A25A2">
            <w:pPr>
              <w:rPr>
                <w:rFonts w:cstheme="minorHAnsi"/>
                <w:sz w:val="22"/>
                <w:szCs w:val="22"/>
              </w:rPr>
            </w:pPr>
            <w:r w:rsidRPr="00CC1ADD">
              <w:rPr>
                <w:rFonts w:cstheme="minorHAnsi"/>
                <w:sz w:val="22"/>
                <w:szCs w:val="22"/>
              </w:rPr>
              <w:t>The Codex Alimentarius Commission</w:t>
            </w:r>
            <w:r w:rsidR="00A648C4" w:rsidRPr="00CC1ADD">
              <w:rPr>
                <w:rFonts w:cstheme="minorHAnsi"/>
                <w:sz w:val="22"/>
                <w:szCs w:val="22"/>
              </w:rPr>
              <w:t xml:space="preserve"> </w:t>
            </w:r>
            <w:r w:rsidRPr="00CC1ADD">
              <w:rPr>
                <w:rFonts w:cstheme="minorHAnsi"/>
                <w:sz w:val="22"/>
                <w:szCs w:val="22"/>
              </w:rPr>
              <w:t xml:space="preserve">undertook a survey of member countries with FoPL </w:t>
            </w:r>
            <w:r w:rsidR="00BF11EE">
              <w:rPr>
                <w:rFonts w:cstheme="minorHAnsi"/>
                <w:sz w:val="22"/>
                <w:szCs w:val="22"/>
              </w:rPr>
              <w:t>schemes</w:t>
            </w:r>
            <w:r w:rsidR="00BF11EE" w:rsidRPr="00CC1ADD">
              <w:rPr>
                <w:rFonts w:cstheme="minorHAnsi"/>
                <w:sz w:val="22"/>
                <w:szCs w:val="22"/>
              </w:rPr>
              <w:t xml:space="preserve"> </w:t>
            </w:r>
            <w:r w:rsidRPr="00CC1ADD">
              <w:rPr>
                <w:rFonts w:cstheme="minorHAnsi"/>
                <w:sz w:val="22"/>
                <w:szCs w:val="22"/>
              </w:rPr>
              <w:t>in 2017.</w:t>
            </w:r>
            <w:r w:rsidRPr="00CC1ADD">
              <w:rPr>
                <w:rStyle w:val="FootnoteReference"/>
                <w:rFonts w:cstheme="minorHAnsi"/>
                <w:sz w:val="22"/>
                <w:szCs w:val="22"/>
              </w:rPr>
              <w:footnoteReference w:id="63"/>
            </w:r>
            <w:r w:rsidRPr="00CC1ADD">
              <w:rPr>
                <w:rFonts w:cstheme="minorHAnsi"/>
                <w:sz w:val="22"/>
                <w:szCs w:val="22"/>
              </w:rPr>
              <w:t xml:space="preserve"> It found that fibre</w:t>
            </w:r>
            <w:r w:rsidR="006F198B">
              <w:rPr>
                <w:rFonts w:cstheme="minorHAnsi"/>
                <w:sz w:val="22"/>
                <w:szCs w:val="22"/>
              </w:rPr>
              <w:t xml:space="preserve">, </w:t>
            </w:r>
            <w:r w:rsidRPr="00CC1ADD">
              <w:rPr>
                <w:rFonts w:cstheme="minorHAnsi"/>
                <w:sz w:val="22"/>
                <w:szCs w:val="22"/>
              </w:rPr>
              <w:t xml:space="preserve">protein and (to a lesser degree) FVNL are considered a priority in a FoPL </w:t>
            </w:r>
            <w:r w:rsidR="006F198B">
              <w:rPr>
                <w:rFonts w:cstheme="minorHAnsi"/>
                <w:sz w:val="22"/>
                <w:szCs w:val="22"/>
              </w:rPr>
              <w:t>scheme</w:t>
            </w:r>
            <w:r w:rsidRPr="00CC1ADD">
              <w:rPr>
                <w:rFonts w:cstheme="minorHAnsi"/>
                <w:sz w:val="22"/>
                <w:szCs w:val="22"/>
              </w:rPr>
              <w:t xml:space="preserve">, however wholegrain is not currently included in any of the </w:t>
            </w:r>
            <w:r w:rsidR="00E11933">
              <w:rPr>
                <w:rFonts w:cstheme="minorHAnsi"/>
                <w:sz w:val="22"/>
                <w:szCs w:val="22"/>
              </w:rPr>
              <w:t>schemes</w:t>
            </w:r>
            <w:r w:rsidRPr="00CC1ADD">
              <w:rPr>
                <w:rFonts w:cstheme="minorHAnsi"/>
                <w:sz w:val="22"/>
                <w:szCs w:val="22"/>
              </w:rPr>
              <w:t xml:space="preserve"> surveyed.</w:t>
            </w:r>
          </w:p>
          <w:p w14:paraId="244DD6A8" w14:textId="77777777" w:rsidR="00B005CA" w:rsidRDefault="00B005CA" w:rsidP="005A25A2">
            <w:pPr>
              <w:rPr>
                <w:rFonts w:cstheme="minorHAnsi"/>
                <w:sz w:val="22"/>
                <w:szCs w:val="22"/>
              </w:rPr>
            </w:pPr>
          </w:p>
          <w:p w14:paraId="607BE298" w14:textId="2958946F" w:rsidR="00B005CA" w:rsidRPr="00CC1ADD" w:rsidRDefault="00B005CA" w:rsidP="006D135E">
            <w:pPr>
              <w:pStyle w:val="mpcNormal"/>
            </w:pPr>
            <w:r>
              <w:t xml:space="preserve">The Review notes that </w:t>
            </w:r>
            <w:r w:rsidRPr="00CC1ADD">
              <w:t xml:space="preserve">other labelling tools are available to industry to promote wholegrain </w:t>
            </w:r>
            <w:r w:rsidR="00B664F4">
              <w:t>(</w:t>
            </w:r>
            <w:r w:rsidRPr="00CC1ADD">
              <w:t>for example, wholegrain claims can be made in line with the Industry Code of Practice</w:t>
            </w:r>
            <w:r w:rsidR="00B664F4">
              <w:t>)</w:t>
            </w:r>
            <w:r w:rsidR="0086346E">
              <w:t>.</w:t>
            </w:r>
          </w:p>
        </w:tc>
      </w:tr>
    </w:tbl>
    <w:p w14:paraId="17FEE95D" w14:textId="77777777" w:rsidR="000A3464" w:rsidRPr="00CC1ADD" w:rsidRDefault="000A3464" w:rsidP="005A3631">
      <w:pPr>
        <w:rPr>
          <w:rFonts w:cs="Arial"/>
        </w:rPr>
      </w:pPr>
    </w:p>
    <w:p w14:paraId="294B4B69" w14:textId="5F8E362F" w:rsidR="000A3464" w:rsidRPr="00CC1ADD" w:rsidRDefault="000A3464" w:rsidP="009959A5">
      <w:pPr>
        <w:pStyle w:val="mpcheading2"/>
        <w:spacing w:after="0"/>
      </w:pPr>
      <w:bookmarkStart w:id="101" w:name="Enhancements"/>
      <w:bookmarkStart w:id="102" w:name="_Toc1746501"/>
      <w:bookmarkEnd w:id="101"/>
      <w:r w:rsidRPr="00CC1ADD">
        <w:t xml:space="preserve">Proposed </w:t>
      </w:r>
      <w:r w:rsidR="006F198B">
        <w:t xml:space="preserve">HSR </w:t>
      </w:r>
      <w:r w:rsidRPr="00CC1ADD">
        <w:t>System enhancements</w:t>
      </w:r>
      <w:bookmarkEnd w:id="102"/>
    </w:p>
    <w:p w14:paraId="4898BE94" w14:textId="77777777" w:rsidR="000A3464" w:rsidRPr="00CC1ADD" w:rsidRDefault="000A3464" w:rsidP="009959A5">
      <w:pPr>
        <w:pStyle w:val="mpcNormal"/>
        <w:keepNext w:val="0"/>
      </w:pPr>
    </w:p>
    <w:p w14:paraId="26D41FE4" w14:textId="77777777" w:rsidR="000A3464" w:rsidRPr="00CC1ADD" w:rsidRDefault="000A3464" w:rsidP="009959A5">
      <w:pPr>
        <w:pStyle w:val="mpcheading3"/>
      </w:pPr>
      <w:bookmarkStart w:id="103" w:name="_Toc523922852"/>
      <w:bookmarkStart w:id="104" w:name="_Toc527112897"/>
      <w:r w:rsidRPr="00CC1ADD">
        <w:t>Fruits and vegetables</w:t>
      </w:r>
      <w:bookmarkEnd w:id="103"/>
      <w:bookmarkEnd w:id="104"/>
    </w:p>
    <w:p w14:paraId="32D8256D" w14:textId="77777777" w:rsidR="000A3464" w:rsidRPr="00CC1ADD" w:rsidRDefault="000A3464" w:rsidP="009959A5">
      <w:pPr>
        <w:pStyle w:val="mpcNormal"/>
        <w:keepNext w:val="0"/>
      </w:pPr>
    </w:p>
    <w:p w14:paraId="2C71E10F" w14:textId="124B3DD3" w:rsidR="00FF1972" w:rsidRPr="00CC1ADD" w:rsidRDefault="00FF1972" w:rsidP="00FF1972">
      <w:pPr>
        <w:pStyle w:val="mpcNormal"/>
        <w:keepNext w:val="0"/>
      </w:pPr>
      <w:r w:rsidRPr="00CC1ADD">
        <w:t>The HSR Calculator currently attributes different HSRs to different fruits and vegetables based on their nutritional profile (</w:t>
      </w:r>
      <w:r w:rsidR="0030513A">
        <w:t>for example,</w:t>
      </w:r>
      <w:r w:rsidR="0030513A" w:rsidRPr="00CC1ADD">
        <w:t xml:space="preserve"> </w:t>
      </w:r>
      <w:r w:rsidRPr="00CC1ADD">
        <w:t>raspberries, spinach and beans score 5; apples, potatoes, zucchini and cabbage score 4.5; pineapples and lychees score 4), whereas Dietary Guidelines recommend eating a wide variety of fruits and vegetables without distinction. Fruits and vegetables are under consumed across Australia and New Zealand, with only 5.4% of Australians</w:t>
      </w:r>
      <w:r w:rsidRPr="00CC1ADD">
        <w:rPr>
          <w:rStyle w:val="FootnoteReference"/>
        </w:rPr>
        <w:footnoteReference w:id="64"/>
      </w:r>
      <w:r w:rsidRPr="00CC1ADD">
        <w:t xml:space="preserve"> and 41% of New Zealanders meeting their </w:t>
      </w:r>
      <w:r>
        <w:t xml:space="preserve">recommended </w:t>
      </w:r>
      <w:r w:rsidRPr="00CC1ADD">
        <w:t>daily intakes</w:t>
      </w:r>
      <w:r w:rsidRPr="00CC1ADD">
        <w:rPr>
          <w:rStyle w:val="FootnoteReference"/>
        </w:rPr>
        <w:footnoteReference w:id="65"/>
      </w:r>
      <w:r w:rsidRPr="00CC1ADD">
        <w:t>.</w:t>
      </w:r>
    </w:p>
    <w:p w14:paraId="27D3BDB7" w14:textId="77777777" w:rsidR="00FF1972" w:rsidRPr="00CC1ADD" w:rsidRDefault="00FF1972" w:rsidP="00FF1972">
      <w:pPr>
        <w:pStyle w:val="mpcNormal"/>
        <w:keepNext w:val="0"/>
      </w:pPr>
    </w:p>
    <w:p w14:paraId="0121D0FA" w14:textId="77777777" w:rsidR="00FF1972" w:rsidRDefault="00FF1972" w:rsidP="00FF1972">
      <w:pPr>
        <w:pStyle w:val="mpcNormal"/>
        <w:keepNext w:val="0"/>
      </w:pPr>
      <w:r w:rsidRPr="00CC1ADD">
        <w:t xml:space="preserve">Research undertaken by </w:t>
      </w:r>
      <w:r w:rsidRPr="00317B7D">
        <w:t>Woolworths in 2016</w:t>
      </w:r>
      <w:r w:rsidRPr="00CC1ADD">
        <w:t xml:space="preserve"> and 2018 indicated that while consumers understand that fruits and vegetables are healthy, the range of HSRs across these products causes confusion.</w:t>
      </w:r>
      <w:r w:rsidRPr="00CC1ADD">
        <w:rPr>
          <w:rStyle w:val="FootnoteReference"/>
        </w:rPr>
        <w:footnoteReference w:id="66"/>
      </w:r>
    </w:p>
    <w:p w14:paraId="095AC2D7" w14:textId="77777777" w:rsidR="00FF1972" w:rsidRDefault="00FF1972" w:rsidP="00FF1972">
      <w:pPr>
        <w:pStyle w:val="mpcNormal"/>
        <w:keepNext w:val="0"/>
      </w:pPr>
    </w:p>
    <w:p w14:paraId="79F17889" w14:textId="43BEF324" w:rsidR="00FF1972" w:rsidRDefault="00FF1972" w:rsidP="00FF1972">
      <w:pPr>
        <w:pStyle w:val="mpcNormal"/>
        <w:keepNext w:val="0"/>
      </w:pPr>
      <w:r>
        <w:t>The different HSRs for different fruits and vegetables has become more obvious as fruits and vegetables are increasingly being packaged, with processed and/or packaged fruits and vegetables being among the product categories with the highest uptake of the HSR.</w:t>
      </w:r>
    </w:p>
    <w:p w14:paraId="10CF6F92" w14:textId="77777777" w:rsidR="00FF1972" w:rsidRDefault="00FF1972" w:rsidP="009959A5">
      <w:pPr>
        <w:pStyle w:val="mpcNormal"/>
        <w:keepNext w:val="0"/>
      </w:pPr>
    </w:p>
    <w:tbl>
      <w:tblPr>
        <w:tblStyle w:val="TableGrid"/>
        <w:tblW w:w="0" w:type="auto"/>
        <w:tblLook w:val="04A0" w:firstRow="1" w:lastRow="0" w:firstColumn="1" w:lastColumn="0" w:noHBand="0" w:noVBand="1"/>
      </w:tblPr>
      <w:tblGrid>
        <w:gridCol w:w="9736"/>
      </w:tblGrid>
      <w:tr w:rsidR="00AC4451" w:rsidRPr="00CC1ADD" w14:paraId="71EA58C1" w14:textId="77777777" w:rsidTr="0059693D">
        <w:trPr>
          <w:trHeight w:val="623"/>
        </w:trPr>
        <w:tc>
          <w:tcPr>
            <w:tcW w:w="9736" w:type="dxa"/>
            <w:shd w:val="clear" w:color="auto" w:fill="D9E2F3" w:themeFill="accent1" w:themeFillTint="33"/>
            <w:vAlign w:val="center"/>
          </w:tcPr>
          <w:p w14:paraId="14BB564C" w14:textId="6644D55D" w:rsidR="00AC4451" w:rsidRPr="009959A5" w:rsidRDefault="00AC4451" w:rsidP="009959A5">
            <w:pPr>
              <w:pStyle w:val="mpcNormal"/>
              <w:keepNext w:val="0"/>
              <w:rPr>
                <w:b/>
              </w:rPr>
            </w:pPr>
            <w:r w:rsidRPr="009959A5">
              <w:rPr>
                <w:b/>
              </w:rPr>
              <w:t>Recommendation</w:t>
            </w:r>
            <w:r w:rsidR="00317B7D" w:rsidRPr="009959A5">
              <w:rPr>
                <w:b/>
              </w:rPr>
              <w:t xml:space="preserve"> 4</w:t>
            </w:r>
            <w:r w:rsidR="00B005CA">
              <w:rPr>
                <w:b/>
              </w:rPr>
              <w:t>A</w:t>
            </w:r>
            <w:r w:rsidRPr="009959A5">
              <w:rPr>
                <w:b/>
              </w:rPr>
              <w:t xml:space="preserve">: </w:t>
            </w:r>
            <w:bookmarkStart w:id="105" w:name="_Toc523922857"/>
            <w:bookmarkStart w:id="106" w:name="_Toc524530333"/>
            <w:r w:rsidRPr="009959A5">
              <w:rPr>
                <w:b/>
              </w:rPr>
              <w:tab/>
            </w:r>
            <w:r w:rsidR="009959A5">
              <w:rPr>
                <w:b/>
              </w:rPr>
              <w:t>E</w:t>
            </w:r>
            <w:r w:rsidRPr="009959A5">
              <w:rPr>
                <w:b/>
              </w:rPr>
              <w:t>ligible fruits and vegetables automatically receive an HSR of 5</w:t>
            </w:r>
            <w:bookmarkEnd w:id="105"/>
            <w:bookmarkEnd w:id="106"/>
            <w:r w:rsidRPr="009959A5">
              <w:rPr>
                <w:b/>
              </w:rPr>
              <w:t>.</w:t>
            </w:r>
          </w:p>
        </w:tc>
      </w:tr>
    </w:tbl>
    <w:p w14:paraId="11736381" w14:textId="77777777" w:rsidR="00AC4451" w:rsidRPr="00CC1ADD" w:rsidRDefault="00AC4451" w:rsidP="009959A5">
      <w:pPr>
        <w:pStyle w:val="mpcNormal"/>
        <w:keepNext w:val="0"/>
      </w:pPr>
    </w:p>
    <w:p w14:paraId="0C488DB1" w14:textId="6938CE2A" w:rsidR="00FF1972" w:rsidRDefault="00FF1972" w:rsidP="00FF1972">
      <w:pPr>
        <w:pStyle w:val="mpcNormal"/>
        <w:keepNext w:val="0"/>
      </w:pPr>
      <w:r>
        <w:t>The Review considers that the HSR System should continue to apply to packaged foods with a NIP. While the HSR may be used in connection with unpackaged foods or foods without a NIP (such as online and through in-store banners and shelf tags</w:t>
      </w:r>
      <w:r w:rsidR="004A6A27">
        <w:t xml:space="preserve">, </w:t>
      </w:r>
      <w:r>
        <w:t xml:space="preserve">see Figure </w:t>
      </w:r>
      <w:r w:rsidR="004A6A27">
        <w:t>7</w:t>
      </w:r>
      <w:r>
        <w:t>), this is not the primary aim of the System.</w:t>
      </w:r>
    </w:p>
    <w:p w14:paraId="56707699" w14:textId="77777777" w:rsidR="00FF1972" w:rsidRDefault="00FF1972" w:rsidP="00FF1972">
      <w:pPr>
        <w:pStyle w:val="mpcNormal"/>
        <w:keepNext w:val="0"/>
      </w:pPr>
    </w:p>
    <w:p w14:paraId="3382A75F" w14:textId="7049A5D6" w:rsidR="00FF1972" w:rsidRDefault="00FF1972" w:rsidP="00FF1972">
      <w:pPr>
        <w:pStyle w:val="mpcNormal"/>
        <w:keepNext w:val="0"/>
      </w:pPr>
      <w:r>
        <w:t>Accordingly, it is intended that the HSR be used on fruits and vegetables that are packaged with a NIP. This includes some packaged fresh fruits and vegetable, as well as frozen and canned fruits and vegetables.</w:t>
      </w:r>
    </w:p>
    <w:p w14:paraId="365BAE8B" w14:textId="682D14F1" w:rsidR="00FF1972" w:rsidRDefault="00FF1972" w:rsidP="00FF1972">
      <w:pPr>
        <w:pStyle w:val="mpcNormal"/>
        <w:keepNext w:val="0"/>
      </w:pPr>
      <w:r>
        <w:br/>
        <w:t>A separate issue is the appropriate HSR for fruits and vegetables that are unprocessed or have been processed (for example peeled, blanched, chopped or frozen) but maintain their nutritional profile.</w:t>
      </w:r>
    </w:p>
    <w:p w14:paraId="7643EBD3" w14:textId="77777777" w:rsidR="00FF1972" w:rsidRDefault="00FF1972" w:rsidP="00FF1972">
      <w:pPr>
        <w:pStyle w:val="mpcNormal"/>
        <w:keepNext w:val="0"/>
      </w:pPr>
    </w:p>
    <w:p w14:paraId="26BAFBFC" w14:textId="77777777" w:rsidR="00FF1972" w:rsidRDefault="00FF1972" w:rsidP="00FF1972">
      <w:pPr>
        <w:pStyle w:val="mpcNormal"/>
        <w:keepNext w:val="0"/>
      </w:pPr>
      <w:r w:rsidRPr="00CC1ADD">
        <w:t xml:space="preserve">The Review recommends that </w:t>
      </w:r>
      <w:r>
        <w:t>an automatic 5 stars be awarded to the following eligible fruits and vegetables:</w:t>
      </w:r>
    </w:p>
    <w:p w14:paraId="6E61AF9C" w14:textId="77777777" w:rsidR="00FF1972" w:rsidRDefault="00FF1972" w:rsidP="00FF1972">
      <w:pPr>
        <w:pStyle w:val="mpcNormal"/>
        <w:keepNext w:val="0"/>
      </w:pPr>
    </w:p>
    <w:p w14:paraId="349AF54D" w14:textId="77777777" w:rsidR="00FF1972" w:rsidRPr="00AB2A09" w:rsidRDefault="00FF1972" w:rsidP="00F720A0">
      <w:pPr>
        <w:pStyle w:val="mpcbullets1"/>
        <w:numPr>
          <w:ilvl w:val="0"/>
          <w:numId w:val="26"/>
        </w:numPr>
      </w:pPr>
      <w:r>
        <w:t>unprocessed</w:t>
      </w:r>
      <w:r w:rsidRPr="009103CC">
        <w:t xml:space="preserve"> fruits and vegetables (including legumes)</w:t>
      </w:r>
    </w:p>
    <w:p w14:paraId="37C147BE" w14:textId="433ED464" w:rsidR="00FF1972" w:rsidRDefault="00FF1972" w:rsidP="00F720A0">
      <w:pPr>
        <w:pStyle w:val="mpcbullets1"/>
        <w:numPr>
          <w:ilvl w:val="0"/>
          <w:numId w:val="26"/>
        </w:numPr>
      </w:pPr>
      <w:r w:rsidRPr="009103CC">
        <w:t xml:space="preserve">fruits and vegetables </w:t>
      </w:r>
      <w:r>
        <w:t xml:space="preserve">(including legumes) </w:t>
      </w:r>
      <w:r w:rsidRPr="009103CC">
        <w:t>that have been processed only to the extent they have been peeled, blanched, chopped or frozen such that the</w:t>
      </w:r>
      <w:r>
        <w:t>i</w:t>
      </w:r>
      <w:r w:rsidRPr="009103CC">
        <w:t>r nutritional profile has not changed</w:t>
      </w:r>
      <w:r>
        <w:t>.</w:t>
      </w:r>
    </w:p>
    <w:p w14:paraId="0CEA036B" w14:textId="77777777" w:rsidR="00FF1972" w:rsidRDefault="00FF1972" w:rsidP="00F720A0">
      <w:pPr>
        <w:pStyle w:val="mpcbullets1"/>
        <w:numPr>
          <w:ilvl w:val="0"/>
          <w:numId w:val="0"/>
        </w:numPr>
      </w:pPr>
    </w:p>
    <w:p w14:paraId="0891C69D" w14:textId="7DD3D45D" w:rsidR="00FF1972" w:rsidRDefault="00FF1972" w:rsidP="00F720A0">
      <w:pPr>
        <w:pStyle w:val="mpcbullets1"/>
        <w:numPr>
          <w:ilvl w:val="0"/>
          <w:numId w:val="0"/>
        </w:numPr>
      </w:pPr>
      <w:r w:rsidRPr="009103CC">
        <w:t xml:space="preserve">In either case, in order for the fruit or vegetable to </w:t>
      </w:r>
      <w:r>
        <w:t xml:space="preserve">receive an automatic HSR of 5 </w:t>
      </w:r>
      <w:r w:rsidRPr="009103CC">
        <w:t>it must have no additions other than additives as defined by Standard 1.3.1 of the Foods Standards Code</w:t>
      </w:r>
      <w:r>
        <w:t>.</w:t>
      </w:r>
    </w:p>
    <w:p w14:paraId="5C38C9C7" w14:textId="77777777" w:rsidR="00FF1972" w:rsidRDefault="00FF1972" w:rsidP="00FF1972">
      <w:pPr>
        <w:rPr>
          <w:rFonts w:cstheme="minorHAnsi"/>
          <w:sz w:val="22"/>
          <w:szCs w:val="22"/>
        </w:rPr>
      </w:pPr>
    </w:p>
    <w:p w14:paraId="4B0B3134" w14:textId="647A0E62" w:rsidR="00FF1972" w:rsidRDefault="00FF1972" w:rsidP="00FF1972">
      <w:pPr>
        <w:rPr>
          <w:rFonts w:cstheme="minorHAnsi"/>
          <w:sz w:val="22"/>
          <w:szCs w:val="22"/>
        </w:rPr>
      </w:pPr>
      <w:r>
        <w:rPr>
          <w:rFonts w:cstheme="minorHAnsi"/>
          <w:sz w:val="22"/>
          <w:szCs w:val="22"/>
        </w:rPr>
        <w:t>For all other fruit and vegetable products (such as dried fruits and vegetables, juices, purees, canned fruits with added sugar and canned vegetables with added salt), the HSR Calculator would continue to determine the relevant HSR.</w:t>
      </w:r>
      <w:r w:rsidR="004A6A27">
        <w:rPr>
          <w:rFonts w:cstheme="minorHAnsi"/>
          <w:sz w:val="22"/>
          <w:szCs w:val="22"/>
        </w:rPr>
        <w:t xml:space="preserve"> Table 3 provides examples of what would and would not be considered eligible for an automatic HSR of 5.</w:t>
      </w:r>
    </w:p>
    <w:p w14:paraId="0CA003EE" w14:textId="6CA38A1E" w:rsidR="000A3464" w:rsidRDefault="000A3464" w:rsidP="006D135E">
      <w:pPr>
        <w:pStyle w:val="mpcNormal"/>
        <w:keepNext w:val="0"/>
      </w:pPr>
    </w:p>
    <w:p w14:paraId="58F6A033" w14:textId="4902E335" w:rsidR="004A6A27" w:rsidRDefault="004A6A27" w:rsidP="004A6A27">
      <w:pPr>
        <w:pStyle w:val="mpctableheading"/>
      </w:pPr>
      <w:r>
        <w:t>Table 3: E</w:t>
      </w:r>
      <w:r>
        <w:rPr>
          <w:rFonts w:cstheme="minorHAnsi"/>
          <w:szCs w:val="22"/>
        </w:rPr>
        <w:t>xamples o</w:t>
      </w:r>
      <w:r>
        <w:t>f products that would and would not be eligible for automatic 5 stars</w:t>
      </w:r>
    </w:p>
    <w:p w14:paraId="7F3D4596" w14:textId="77777777" w:rsidR="004A6A27" w:rsidRPr="00CC1ADD" w:rsidRDefault="004A6A27" w:rsidP="006D135E">
      <w:pPr>
        <w:pStyle w:val="mpcNormal"/>
        <w:keepNext w:val="0"/>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20"/>
        <w:gridCol w:w="4916"/>
      </w:tblGrid>
      <w:tr w:rsidR="000A3464" w:rsidRPr="00CC1ADD" w14:paraId="067B0FD5" w14:textId="77777777" w:rsidTr="004A6A27">
        <w:trPr>
          <w:cantSplit/>
          <w:trHeight w:val="426"/>
          <w:tblHeader/>
        </w:trPr>
        <w:tc>
          <w:tcPr>
            <w:tcW w:w="4820" w:type="dxa"/>
            <w:shd w:val="clear" w:color="auto" w:fill="516A8E"/>
            <w:vAlign w:val="center"/>
          </w:tcPr>
          <w:p w14:paraId="71C36859" w14:textId="77777777" w:rsidR="000A3464" w:rsidRPr="00363447" w:rsidRDefault="000A3464" w:rsidP="006D135E">
            <w:pPr>
              <w:pStyle w:val="mpcNormal"/>
              <w:keepNext w:val="0"/>
              <w:rPr>
                <w:b/>
                <w:color w:val="FFFFFF" w:themeColor="background1"/>
                <w:sz w:val="20"/>
                <w:szCs w:val="20"/>
              </w:rPr>
            </w:pPr>
            <w:bookmarkStart w:id="107" w:name="Products"/>
            <w:bookmarkEnd w:id="107"/>
            <w:r w:rsidRPr="00363447">
              <w:rPr>
                <w:b/>
                <w:color w:val="FFFFFF" w:themeColor="background1"/>
                <w:sz w:val="20"/>
                <w:szCs w:val="20"/>
              </w:rPr>
              <w:t xml:space="preserve">Products eligible for automatic 5 stars </w:t>
            </w:r>
          </w:p>
        </w:tc>
        <w:tc>
          <w:tcPr>
            <w:tcW w:w="4916" w:type="dxa"/>
            <w:shd w:val="clear" w:color="auto" w:fill="516A8E"/>
            <w:vAlign w:val="center"/>
          </w:tcPr>
          <w:p w14:paraId="70870295" w14:textId="77777777" w:rsidR="000A3464" w:rsidRPr="00363447" w:rsidRDefault="000A3464" w:rsidP="006D135E">
            <w:pPr>
              <w:pStyle w:val="mpcNormal"/>
              <w:keepNext w:val="0"/>
              <w:rPr>
                <w:b/>
                <w:color w:val="FFFFFF" w:themeColor="background1"/>
                <w:sz w:val="20"/>
                <w:szCs w:val="20"/>
              </w:rPr>
            </w:pPr>
            <w:r w:rsidRPr="00363447">
              <w:rPr>
                <w:b/>
                <w:color w:val="FFFFFF" w:themeColor="background1"/>
                <w:sz w:val="20"/>
                <w:szCs w:val="20"/>
              </w:rPr>
              <w:t>Products not eligible for automatic 5 stars</w:t>
            </w:r>
          </w:p>
        </w:tc>
      </w:tr>
      <w:tr w:rsidR="000A3464" w:rsidRPr="00CC1ADD" w14:paraId="4D0D9B4C" w14:textId="77777777" w:rsidTr="004A6A27">
        <w:trPr>
          <w:cantSplit/>
          <w:tblHeader/>
        </w:trPr>
        <w:tc>
          <w:tcPr>
            <w:tcW w:w="4820" w:type="dxa"/>
          </w:tcPr>
          <w:p w14:paraId="3A1B220A" w14:textId="77777777" w:rsidR="000A3464" w:rsidRPr="00363447" w:rsidRDefault="000A3464" w:rsidP="00F720A0">
            <w:pPr>
              <w:pStyle w:val="mpcbullets1"/>
              <w:numPr>
                <w:ilvl w:val="0"/>
                <w:numId w:val="22"/>
              </w:numPr>
              <w:rPr>
                <w:sz w:val="20"/>
                <w:szCs w:val="20"/>
              </w:rPr>
            </w:pPr>
            <w:r w:rsidRPr="00363447">
              <w:rPr>
                <w:sz w:val="20"/>
                <w:szCs w:val="20"/>
              </w:rPr>
              <w:t>salad mixes with no added</w:t>
            </w:r>
            <w:r w:rsidRPr="00363447">
              <w:rPr>
                <w:rFonts w:cs="Times New Roman"/>
                <w:sz w:val="20"/>
                <w:szCs w:val="20"/>
              </w:rPr>
              <w:t xml:space="preserve"> </w:t>
            </w:r>
            <w:r w:rsidRPr="00363447">
              <w:rPr>
                <w:sz w:val="20"/>
                <w:szCs w:val="20"/>
              </w:rPr>
              <w:t>dressing, croutons or other foods</w:t>
            </w:r>
          </w:p>
          <w:p w14:paraId="3DF5B44C" w14:textId="42586265" w:rsidR="000A3464" w:rsidRPr="00363447" w:rsidRDefault="000A3464" w:rsidP="00F720A0">
            <w:pPr>
              <w:pStyle w:val="mpcbullets1"/>
              <w:numPr>
                <w:ilvl w:val="0"/>
                <w:numId w:val="22"/>
              </w:numPr>
              <w:rPr>
                <w:sz w:val="20"/>
                <w:szCs w:val="20"/>
              </w:rPr>
            </w:pPr>
            <w:r w:rsidRPr="00363447">
              <w:rPr>
                <w:sz w:val="20"/>
                <w:szCs w:val="20"/>
              </w:rPr>
              <w:t>chopped pineapple, watermelon and rockmelon</w:t>
            </w:r>
          </w:p>
          <w:p w14:paraId="16129936" w14:textId="77777777" w:rsidR="000A3464" w:rsidRPr="00363447" w:rsidRDefault="000A3464" w:rsidP="00F720A0">
            <w:pPr>
              <w:pStyle w:val="mpcbullets1"/>
              <w:numPr>
                <w:ilvl w:val="0"/>
                <w:numId w:val="22"/>
              </w:numPr>
              <w:rPr>
                <w:sz w:val="20"/>
                <w:szCs w:val="20"/>
              </w:rPr>
            </w:pPr>
            <w:r w:rsidRPr="00363447">
              <w:rPr>
                <w:sz w:val="20"/>
                <w:szCs w:val="20"/>
              </w:rPr>
              <w:t>frozen peas or berries</w:t>
            </w:r>
          </w:p>
          <w:p w14:paraId="628C58AC" w14:textId="77777777" w:rsidR="000A3464" w:rsidRPr="00363447" w:rsidRDefault="000A3464" w:rsidP="00F720A0">
            <w:pPr>
              <w:pStyle w:val="mpcbullets1"/>
              <w:numPr>
                <w:ilvl w:val="0"/>
                <w:numId w:val="22"/>
              </w:numPr>
              <w:rPr>
                <w:sz w:val="20"/>
                <w:szCs w:val="20"/>
              </w:rPr>
            </w:pPr>
            <w:r w:rsidRPr="00363447">
              <w:rPr>
                <w:sz w:val="20"/>
                <w:szCs w:val="20"/>
              </w:rPr>
              <w:t>apple slices covered in a glazing agent such as beeswax to improve appearance and prevent browning</w:t>
            </w:r>
          </w:p>
          <w:p w14:paraId="5DAAC48A" w14:textId="5901E337" w:rsidR="000A3464" w:rsidRPr="00363447" w:rsidRDefault="000A3464" w:rsidP="00F720A0">
            <w:pPr>
              <w:pStyle w:val="mpcbullets1"/>
              <w:rPr>
                <w:sz w:val="20"/>
                <w:szCs w:val="20"/>
              </w:rPr>
            </w:pPr>
            <w:r w:rsidRPr="00363447">
              <w:rPr>
                <w:sz w:val="20"/>
                <w:szCs w:val="20"/>
              </w:rPr>
              <w:t>canned water chestnuts with water and acidity regulator (citric acid) to improve shelf-life stability</w:t>
            </w:r>
          </w:p>
        </w:tc>
        <w:tc>
          <w:tcPr>
            <w:tcW w:w="4916" w:type="dxa"/>
          </w:tcPr>
          <w:p w14:paraId="7B42D7FE" w14:textId="2200DCE7" w:rsidR="000A3464" w:rsidRPr="00363447" w:rsidRDefault="000A3464" w:rsidP="00F720A0">
            <w:pPr>
              <w:pStyle w:val="mpcbullets1"/>
              <w:numPr>
                <w:ilvl w:val="0"/>
                <w:numId w:val="22"/>
              </w:numPr>
              <w:rPr>
                <w:sz w:val="20"/>
                <w:szCs w:val="20"/>
              </w:rPr>
            </w:pPr>
            <w:r w:rsidRPr="00363447">
              <w:rPr>
                <w:sz w:val="20"/>
                <w:szCs w:val="20"/>
              </w:rPr>
              <w:t>dried fruits – higher energy density and ‘stickiness’ which may have implications for dental caries</w:t>
            </w:r>
          </w:p>
          <w:p w14:paraId="4E6520C3" w14:textId="77777777" w:rsidR="000A3464" w:rsidRPr="00363447" w:rsidRDefault="000A3464" w:rsidP="00F720A0">
            <w:pPr>
              <w:pStyle w:val="mpcbullets1"/>
              <w:numPr>
                <w:ilvl w:val="0"/>
                <w:numId w:val="22"/>
              </w:numPr>
              <w:rPr>
                <w:sz w:val="20"/>
                <w:szCs w:val="20"/>
              </w:rPr>
            </w:pPr>
            <w:r w:rsidRPr="00363447">
              <w:rPr>
                <w:sz w:val="20"/>
                <w:szCs w:val="20"/>
              </w:rPr>
              <w:t>fruit juice – low fibre content and higher energy and sugars density</w:t>
            </w:r>
          </w:p>
          <w:p w14:paraId="7B2712DE" w14:textId="77777777" w:rsidR="000A3464" w:rsidRPr="00363447" w:rsidRDefault="000A3464" w:rsidP="00F720A0">
            <w:pPr>
              <w:pStyle w:val="mpcbullets1"/>
              <w:numPr>
                <w:ilvl w:val="0"/>
                <w:numId w:val="22"/>
              </w:numPr>
              <w:rPr>
                <w:sz w:val="20"/>
                <w:szCs w:val="20"/>
              </w:rPr>
            </w:pPr>
            <w:r w:rsidRPr="00363447">
              <w:rPr>
                <w:sz w:val="20"/>
                <w:szCs w:val="20"/>
              </w:rPr>
              <w:t>pickled vegetables – higher sodium and reduced fibre content</w:t>
            </w:r>
          </w:p>
          <w:p w14:paraId="18A6AB7D" w14:textId="3EA4FB38" w:rsidR="001F53B9" w:rsidRPr="00363447" w:rsidRDefault="001F53B9" w:rsidP="00F720A0">
            <w:pPr>
              <w:pStyle w:val="mpcbullets1"/>
              <w:numPr>
                <w:ilvl w:val="0"/>
                <w:numId w:val="22"/>
              </w:numPr>
              <w:rPr>
                <w:sz w:val="20"/>
                <w:szCs w:val="20"/>
              </w:rPr>
            </w:pPr>
            <w:r w:rsidRPr="00363447">
              <w:rPr>
                <w:sz w:val="20"/>
                <w:szCs w:val="20"/>
              </w:rPr>
              <w:t>canned pears in juice or syrup – free sugars with higher energy density</w:t>
            </w:r>
          </w:p>
        </w:tc>
      </w:tr>
    </w:tbl>
    <w:p w14:paraId="1E0B97FD" w14:textId="77777777" w:rsidR="000A3464" w:rsidRPr="00CC1ADD" w:rsidRDefault="000A3464" w:rsidP="005A3631">
      <w:pPr>
        <w:rPr>
          <w:rFonts w:cstheme="minorHAnsi"/>
          <w:szCs w:val="22"/>
        </w:rPr>
      </w:pPr>
    </w:p>
    <w:p w14:paraId="52BF6D54" w14:textId="0BA65A31" w:rsidR="000A3464" w:rsidRDefault="00FF1972">
      <w:pPr>
        <w:rPr>
          <w:rFonts w:cstheme="minorHAnsi"/>
          <w:sz w:val="22"/>
          <w:szCs w:val="22"/>
        </w:rPr>
      </w:pPr>
      <w:r>
        <w:rPr>
          <w:rFonts w:cstheme="minorHAnsi"/>
          <w:sz w:val="22"/>
          <w:szCs w:val="22"/>
        </w:rPr>
        <w:t xml:space="preserve">This </w:t>
      </w:r>
      <w:r w:rsidR="00F20CE4">
        <w:rPr>
          <w:rFonts w:cstheme="minorHAnsi"/>
          <w:sz w:val="22"/>
          <w:szCs w:val="22"/>
        </w:rPr>
        <w:t>recommendation</w:t>
      </w:r>
      <w:r>
        <w:rPr>
          <w:rFonts w:cstheme="minorHAnsi"/>
          <w:sz w:val="22"/>
          <w:szCs w:val="22"/>
        </w:rPr>
        <w:t>:</w:t>
      </w:r>
    </w:p>
    <w:p w14:paraId="3D7A1F3C" w14:textId="77777777" w:rsidR="00FF1972" w:rsidRPr="00CC1ADD" w:rsidRDefault="00FF1972">
      <w:pPr>
        <w:rPr>
          <w:rFonts w:cstheme="minorHAnsi"/>
          <w:sz w:val="22"/>
          <w:szCs w:val="22"/>
        </w:rPr>
      </w:pPr>
    </w:p>
    <w:p w14:paraId="14D21113" w14:textId="77777777" w:rsidR="000A3464" w:rsidRPr="00CC1ADD" w:rsidRDefault="000A3464" w:rsidP="00F720A0">
      <w:pPr>
        <w:pStyle w:val="mpcbullets1"/>
        <w:numPr>
          <w:ilvl w:val="0"/>
          <w:numId w:val="26"/>
        </w:numPr>
      </w:pPr>
      <w:r w:rsidRPr="00CC1ADD">
        <w:t>improves consistency with Dietary Guidelines in promoting the consumption of a variety of fruits and vegetables</w:t>
      </w:r>
    </w:p>
    <w:p w14:paraId="59E5CC69" w14:textId="4ACB87D8" w:rsidR="000A3464" w:rsidRPr="00CC1ADD" w:rsidRDefault="000A3464" w:rsidP="006D135E">
      <w:pPr>
        <w:pStyle w:val="mpcbullets2"/>
        <w:keepNext w:val="0"/>
        <w:ind w:left="850"/>
      </w:pPr>
      <w:r w:rsidRPr="00CC1ADD">
        <w:t xml:space="preserve">2% (103) </w:t>
      </w:r>
      <w:r w:rsidR="00B005CA">
        <w:t xml:space="preserve">of </w:t>
      </w:r>
      <w:r w:rsidRPr="00CC1ADD">
        <w:t>products in the TAG database would see an increase in their HSR (of between 0.5 to 1)</w:t>
      </w:r>
      <w:r w:rsidR="006F198B">
        <w:t>.</w:t>
      </w:r>
    </w:p>
    <w:p w14:paraId="5FDFAF0F" w14:textId="77777777" w:rsidR="000A3464" w:rsidRPr="00CC1ADD" w:rsidRDefault="000A3464" w:rsidP="006D135E">
      <w:pPr>
        <w:pStyle w:val="mpcbullets2"/>
        <w:keepNext w:val="0"/>
        <w:ind w:left="850"/>
      </w:pPr>
      <w:r w:rsidRPr="00CC1ADD">
        <w:t>97% (32) of fresh fruits and 48% (30) of fresh vegetables in the TAG database would see an increase in their HSRs.</w:t>
      </w:r>
    </w:p>
    <w:p w14:paraId="234BC744" w14:textId="5741482C" w:rsidR="000A3464" w:rsidRPr="00CC1ADD" w:rsidRDefault="000A3464" w:rsidP="009959A5">
      <w:pPr>
        <w:pStyle w:val="mpcbullets2"/>
        <w:keepNext w:val="0"/>
        <w:ind w:left="850"/>
      </w:pPr>
      <w:r w:rsidRPr="00CC1ADD">
        <w:t>1% (1) of minimally processed fruits and 13% (40) of minimally processed vegetables in the TAG database would also see an increase in their HSRs (noting there is limited representation in this category in the TAG database, so the true proportion is likely higher).</w:t>
      </w:r>
    </w:p>
    <w:p w14:paraId="265B51CC" w14:textId="77777777" w:rsidR="000A3464" w:rsidRPr="006F198B" w:rsidRDefault="000A3464" w:rsidP="00C3403E">
      <w:pPr>
        <w:pStyle w:val="ListParagraph"/>
        <w:widowControl w:val="0"/>
        <w:numPr>
          <w:ilvl w:val="0"/>
          <w:numId w:val="26"/>
        </w:numPr>
        <w:rPr>
          <w:sz w:val="22"/>
          <w:szCs w:val="22"/>
        </w:rPr>
      </w:pPr>
      <w:r w:rsidRPr="006F198B">
        <w:rPr>
          <w:sz w:val="22"/>
          <w:szCs w:val="22"/>
        </w:rPr>
        <w:t>is supported by stakeholders</w:t>
      </w:r>
    </w:p>
    <w:p w14:paraId="185DB62F" w14:textId="16916F4A" w:rsidR="000A3464" w:rsidRPr="00CC1ADD" w:rsidRDefault="000A3464" w:rsidP="006D135E">
      <w:pPr>
        <w:pStyle w:val="mpcbullets2"/>
        <w:keepNext w:val="0"/>
      </w:pPr>
      <w:r w:rsidRPr="006F198B">
        <w:t>72% of</w:t>
      </w:r>
      <w:r w:rsidRPr="00CC1ADD">
        <w:t xml:space="preserve"> stakeholders responding to the October 2018 </w:t>
      </w:r>
      <w:hyperlink r:id="rId56" w:history="1">
        <w:r w:rsidRPr="00CC1ADD">
          <w:rPr>
            <w:rStyle w:val="Hyperlink"/>
          </w:rPr>
          <w:t>Consultation Paper</w:t>
        </w:r>
      </w:hyperlink>
      <w:r w:rsidRPr="00CC1ADD">
        <w:t xml:space="preserve"> supported this option, noting that it makes logical sense to consumers and will likely improve the public health impact of the HSR System.</w:t>
      </w:r>
    </w:p>
    <w:p w14:paraId="5E22EFF4" w14:textId="2267B5B6" w:rsidR="000A3464" w:rsidRPr="00CC1ADD" w:rsidRDefault="000A3464" w:rsidP="00F720A0">
      <w:pPr>
        <w:pStyle w:val="mpcbullets1"/>
      </w:pPr>
      <w:r w:rsidRPr="00CC1ADD">
        <w:t>recognises that most consumers do not differentiate between the relative nutritional value of fruits (for example, comparing a pineapple to a raspberry)</w:t>
      </w:r>
    </w:p>
    <w:p w14:paraId="7D5C5D65" w14:textId="7363EC4B" w:rsidR="000A3464" w:rsidRPr="00CC1ADD" w:rsidRDefault="000A3464" w:rsidP="006D135E">
      <w:pPr>
        <w:pStyle w:val="mpcbullets2"/>
        <w:keepNext w:val="0"/>
      </w:pPr>
      <w:r w:rsidRPr="00CC1ADD">
        <w:t>While this approach would (to a small degree) lessen consumers’ ability to differentiate between fruits and vegetables based on small nutritional differences, Dietary Guidelines do not distinguish between different types of fruits and vegetables, instead encouraging consumption of a wide range of these foods.</w:t>
      </w:r>
    </w:p>
    <w:p w14:paraId="4660FD62" w14:textId="41AD8A46" w:rsidR="000A3464" w:rsidRPr="00CC1ADD" w:rsidRDefault="000A3464" w:rsidP="00F720A0">
      <w:pPr>
        <w:pStyle w:val="mpcbullets1"/>
      </w:pPr>
      <w:r w:rsidRPr="00CC1ADD">
        <w:t>ensures that fruit and vegetable juices would not score higher than their whole equivalents.</w:t>
      </w:r>
    </w:p>
    <w:p w14:paraId="11E56050" w14:textId="1C8FD22F" w:rsidR="000A3464" w:rsidRDefault="000A3464" w:rsidP="006D135E">
      <w:pPr>
        <w:pStyle w:val="mpcNormal"/>
        <w:keepNext w:val="0"/>
      </w:pPr>
    </w:p>
    <w:p w14:paraId="6BC2D55B" w14:textId="446E7B61" w:rsidR="009959A5" w:rsidRDefault="00FF1972" w:rsidP="006D135E">
      <w:pPr>
        <w:pStyle w:val="mpcNormal"/>
        <w:keepNext w:val="0"/>
      </w:pPr>
      <w:r>
        <w:t>While not the objective of the HSR System</w:t>
      </w:r>
      <w:r w:rsidR="009959A5">
        <w:t xml:space="preserve">, this </w:t>
      </w:r>
      <w:r w:rsidR="00AA300F">
        <w:t>recommendation</w:t>
      </w:r>
      <w:r w:rsidR="00F20CE4">
        <w:t xml:space="preserve"> would also</w:t>
      </w:r>
      <w:r w:rsidR="009959A5">
        <w:t>:</w:t>
      </w:r>
    </w:p>
    <w:p w14:paraId="372BE533" w14:textId="14C4D978" w:rsidR="009959A5" w:rsidRDefault="009959A5" w:rsidP="006D135E">
      <w:pPr>
        <w:pStyle w:val="mpcNormal"/>
        <w:keepNext w:val="0"/>
      </w:pPr>
    </w:p>
    <w:p w14:paraId="3F517090" w14:textId="5D800F3B" w:rsidR="009959A5" w:rsidRPr="009959A5" w:rsidRDefault="00F20CE4" w:rsidP="00C3403E">
      <w:pPr>
        <w:pStyle w:val="ListParagraph"/>
        <w:numPr>
          <w:ilvl w:val="0"/>
          <w:numId w:val="26"/>
        </w:numPr>
        <w:rPr>
          <w:rFonts w:cstheme="minorHAnsi"/>
          <w:sz w:val="22"/>
          <w:szCs w:val="22"/>
        </w:rPr>
      </w:pPr>
      <w:r w:rsidRPr="00CC1ADD">
        <w:rPr>
          <w:noProof/>
          <w:lang w:eastAsia="en-AU"/>
        </w:rPr>
        <w:drawing>
          <wp:anchor distT="0" distB="0" distL="114300" distR="114300" simplePos="0" relativeHeight="251661312" behindDoc="0" locked="0" layoutInCell="1" allowOverlap="1" wp14:anchorId="5292E035" wp14:editId="698FCF4A">
            <wp:simplePos x="0" y="0"/>
            <wp:positionH relativeFrom="column">
              <wp:posOffset>3370580</wp:posOffset>
            </wp:positionH>
            <wp:positionV relativeFrom="paragraph">
              <wp:posOffset>53229</wp:posOffset>
            </wp:positionV>
            <wp:extent cx="2821940" cy="3214370"/>
            <wp:effectExtent l="0" t="0" r="0" b="0"/>
            <wp:wrapSquare wrapText="bothSides"/>
            <wp:docPr id="25" name="Picture 25" descr="Figure 7: Image of a supermarket displaying banners with an HSR of 5.&#10;&#10;An example of the HSR posters from the Deakin University IGA pilot trial. This demonstrates how supermarkets may promote the HSRs of fresh fruits and veget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email">
                      <a:extLst>
                        <a:ext uri="{28A0092B-C50C-407E-A947-70E740481C1C}">
                          <a14:useLocalDpi xmlns:a14="http://schemas.microsoft.com/office/drawing/2010/main"/>
                        </a:ext>
                      </a:extLst>
                    </a:blip>
                    <a:srcRect r="-112"/>
                    <a:stretch/>
                  </pic:blipFill>
                  <pic:spPr bwMode="auto">
                    <a:xfrm>
                      <a:off x="0" y="0"/>
                      <a:ext cx="2821940" cy="3214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59A5" w:rsidRPr="009959A5">
        <w:rPr>
          <w:rFonts w:cstheme="minorHAnsi"/>
          <w:sz w:val="22"/>
          <w:szCs w:val="22"/>
        </w:rPr>
        <w:t>enable retailers to promote all fruits and vegetables as 5 stars</w:t>
      </w:r>
    </w:p>
    <w:p w14:paraId="32581888" w14:textId="77777777" w:rsidR="009959A5" w:rsidRPr="009959A5" w:rsidRDefault="009959A5" w:rsidP="009959A5">
      <w:pPr>
        <w:pStyle w:val="mpcbullets2"/>
        <w:keepNext w:val="0"/>
        <w:widowControl w:val="0"/>
      </w:pPr>
      <w:r w:rsidRPr="009959A5">
        <w:t xml:space="preserve">Researchers at Deakin University have trialled the promotion of fresh fruits and vegetables in supermarkets using posters to broadly indicate an HSR of 5 as part of the multicomponent </w:t>
      </w:r>
      <w:hyperlink r:id="rId58" w:history="1">
        <w:r w:rsidRPr="009959A5">
          <w:rPr>
            <w:rStyle w:val="Hyperlink"/>
          </w:rPr>
          <w:t>Eat Well @ IGA</w:t>
        </w:r>
      </w:hyperlink>
      <w:r w:rsidRPr="009959A5">
        <w:t xml:space="preserve"> intervention conducted in 2017-18. </w:t>
      </w:r>
    </w:p>
    <w:p w14:paraId="78B1F989" w14:textId="77777777" w:rsidR="009959A5" w:rsidRPr="009959A5" w:rsidRDefault="009959A5" w:rsidP="009959A5">
      <w:pPr>
        <w:pStyle w:val="mpcbullets2"/>
        <w:keepNext w:val="0"/>
        <w:widowControl w:val="0"/>
      </w:pPr>
      <w:r w:rsidRPr="009959A5">
        <w:t>Preliminary results from the trial indicate that it was easier to broadly promote all fruits and vegetables as 5 stars rather than promoting individual products.</w:t>
      </w:r>
    </w:p>
    <w:p w14:paraId="5EBEFEB2" w14:textId="72EA3CCB" w:rsidR="009959A5" w:rsidRPr="009959A5" w:rsidRDefault="00F20CE4" w:rsidP="00C3403E">
      <w:pPr>
        <w:pStyle w:val="ListParagraph"/>
        <w:widowControl w:val="0"/>
        <w:numPr>
          <w:ilvl w:val="0"/>
          <w:numId w:val="26"/>
        </w:numPr>
        <w:rPr>
          <w:sz w:val="22"/>
          <w:szCs w:val="22"/>
        </w:rPr>
      </w:pPr>
      <w:r>
        <w:rPr>
          <w:sz w:val="22"/>
          <w:szCs w:val="22"/>
        </w:rPr>
        <w:t>provide</w:t>
      </w:r>
      <w:r w:rsidR="009959A5" w:rsidRPr="009959A5">
        <w:rPr>
          <w:sz w:val="22"/>
          <w:szCs w:val="22"/>
        </w:rPr>
        <w:t xml:space="preserve"> potential to increase sales and consumption of fruits and vegetables</w:t>
      </w:r>
    </w:p>
    <w:p w14:paraId="603DCB4D" w14:textId="7ED24144" w:rsidR="009959A5" w:rsidRPr="009959A5" w:rsidRDefault="009959A5" w:rsidP="009959A5">
      <w:pPr>
        <w:pStyle w:val="mpcbullets2"/>
        <w:keepNext w:val="0"/>
        <w:widowControl w:val="0"/>
      </w:pPr>
      <w:r w:rsidRPr="009959A5">
        <w:t xml:space="preserve">Based on a survey conducted as part of the </w:t>
      </w:r>
      <w:hyperlink r:id="rId59" w:history="1">
        <w:r w:rsidRPr="009959A5">
          <w:rPr>
            <w:rStyle w:val="Hyperlink"/>
          </w:rPr>
          <w:t>Eat Well @ IGA</w:t>
        </w:r>
      </w:hyperlink>
      <w:r w:rsidRPr="009959A5">
        <w:t xml:space="preserve"> trial, both retailers and customers felt positively about promoting fruits and vegetables as 5 stars and noted it influenced purchasing.</w:t>
      </w:r>
      <w:r w:rsidRPr="009959A5">
        <w:rPr>
          <w:vertAlign w:val="superscript"/>
        </w:rPr>
        <w:footnoteReference w:id="67"/>
      </w:r>
    </w:p>
    <w:p w14:paraId="0F4A2C06" w14:textId="631ED8EB" w:rsidR="009959A5" w:rsidRPr="009959A5" w:rsidRDefault="009959A5" w:rsidP="006D135E">
      <w:pPr>
        <w:pStyle w:val="mpcbullets2"/>
        <w:keepNext w:val="0"/>
        <w:widowControl w:val="0"/>
      </w:pPr>
      <w:r w:rsidRPr="009959A5">
        <w:rPr>
          <w:noProof/>
          <w:lang w:eastAsia="en-AU"/>
        </w:rPr>
        <mc:AlternateContent>
          <mc:Choice Requires="wps">
            <w:drawing>
              <wp:anchor distT="0" distB="0" distL="114300" distR="114300" simplePos="0" relativeHeight="251702272" behindDoc="0" locked="0" layoutInCell="1" allowOverlap="1" wp14:anchorId="3B2DBCE9" wp14:editId="3DE64908">
                <wp:simplePos x="0" y="0"/>
                <wp:positionH relativeFrom="column">
                  <wp:posOffset>3369310</wp:posOffset>
                </wp:positionH>
                <wp:positionV relativeFrom="paragraph">
                  <wp:posOffset>266988</wp:posOffset>
                </wp:positionV>
                <wp:extent cx="2813685" cy="736600"/>
                <wp:effectExtent l="0" t="0" r="5715" b="0"/>
                <wp:wrapSquare wrapText="bothSides"/>
                <wp:docPr id="3" name="Text Box 3"/>
                <wp:cNvGraphicFramePr/>
                <a:graphic xmlns:a="http://schemas.openxmlformats.org/drawingml/2006/main">
                  <a:graphicData uri="http://schemas.microsoft.com/office/word/2010/wordprocessingShape">
                    <wps:wsp>
                      <wps:cNvSpPr txBox="1"/>
                      <wps:spPr>
                        <a:xfrm>
                          <a:off x="0" y="0"/>
                          <a:ext cx="2813685" cy="736600"/>
                        </a:xfrm>
                        <a:prstGeom prst="rect">
                          <a:avLst/>
                        </a:prstGeom>
                        <a:solidFill>
                          <a:schemeClr val="lt1"/>
                        </a:solidFill>
                        <a:ln w="6350">
                          <a:noFill/>
                        </a:ln>
                      </wps:spPr>
                      <wps:txbx>
                        <w:txbxContent>
                          <w:p w14:paraId="0CEA1324" w14:textId="6DB70D98" w:rsidR="00B53139" w:rsidRPr="002F38A2" w:rsidRDefault="00B53139" w:rsidP="009959A5">
                            <w:pPr>
                              <w:rPr>
                                <w:sz w:val="20"/>
                              </w:rPr>
                            </w:pPr>
                            <w:r w:rsidRPr="001017C5">
                              <w:rPr>
                                <w:b/>
                                <w:sz w:val="20"/>
                              </w:rPr>
                              <w:t xml:space="preserve">Figure </w:t>
                            </w:r>
                            <w:r>
                              <w:rPr>
                                <w:b/>
                                <w:sz w:val="20"/>
                              </w:rPr>
                              <w:t>7</w:t>
                            </w:r>
                            <w:r w:rsidRPr="001017C5">
                              <w:rPr>
                                <w:b/>
                                <w:sz w:val="20"/>
                              </w:rPr>
                              <w:t>:</w:t>
                            </w:r>
                            <w:r>
                              <w:rPr>
                                <w:sz w:val="20"/>
                              </w:rPr>
                              <w:t xml:space="preserve"> </w:t>
                            </w:r>
                            <w:r w:rsidRPr="002F38A2">
                              <w:rPr>
                                <w:sz w:val="20"/>
                              </w:rPr>
                              <w:t xml:space="preserve">An example of the HSR posters from the </w:t>
                            </w:r>
                            <w:r>
                              <w:rPr>
                                <w:sz w:val="20"/>
                              </w:rPr>
                              <w:t xml:space="preserve">Deakin University IGA </w:t>
                            </w:r>
                            <w:r w:rsidRPr="002F38A2">
                              <w:rPr>
                                <w:sz w:val="20"/>
                              </w:rPr>
                              <w:t>pilot trial.</w:t>
                            </w:r>
                            <w:r>
                              <w:rPr>
                                <w:sz w:val="20"/>
                              </w:rPr>
                              <w:t xml:space="preserve"> This demonstrates how supermarkets may promote the HSRs of fresh fruits and vegetables.</w:t>
                            </w:r>
                          </w:p>
                          <w:p w14:paraId="0AECF3CB" w14:textId="77777777" w:rsidR="00B53139" w:rsidRDefault="00B53139" w:rsidP="009959A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B2DBCE9" id="Text Box 3" o:spid="_x0000_s1032" type="#_x0000_t202" style="position:absolute;left:0;text-align:left;margin-left:265.3pt;margin-top:21pt;width:221.55pt;height:5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" fillcolor="white [3201]" stroked="f" strokeweight=".5pt">
                <v:textbox>
                  <w:txbxContent>
                    <w:p w14:paraId="0CEA1324" w14:textId="6DB70D98" w:rsidR="00B53139" w:rsidRPr="002F38A2" w:rsidRDefault="00B53139" w:rsidP="009959A5">
                      <w:pPr>
                        <w:rPr>
                          <w:sz w:val="20"/>
                        </w:rPr>
                      </w:pPr>
                      <w:r w:rsidRPr="001017C5">
                        <w:rPr>
                          <w:b/>
                          <w:sz w:val="20"/>
                        </w:rPr>
                        <w:t xml:space="preserve">Figure </w:t>
                      </w:r>
                      <w:r>
                        <w:rPr>
                          <w:b/>
                          <w:sz w:val="20"/>
                        </w:rPr>
                        <w:t>7</w:t>
                      </w:r>
                      <w:r w:rsidRPr="001017C5">
                        <w:rPr>
                          <w:b/>
                          <w:sz w:val="20"/>
                        </w:rPr>
                        <w:t>:</w:t>
                      </w:r>
                      <w:r>
                        <w:rPr>
                          <w:sz w:val="20"/>
                        </w:rPr>
                        <w:t xml:space="preserve"> </w:t>
                      </w:r>
                      <w:r w:rsidRPr="002F38A2">
                        <w:rPr>
                          <w:sz w:val="20"/>
                        </w:rPr>
                        <w:t xml:space="preserve">An example of the HSR posters from the </w:t>
                      </w:r>
                      <w:r>
                        <w:rPr>
                          <w:sz w:val="20"/>
                        </w:rPr>
                        <w:t xml:space="preserve">Deakin University IGA </w:t>
                      </w:r>
                      <w:r w:rsidRPr="002F38A2">
                        <w:rPr>
                          <w:sz w:val="20"/>
                        </w:rPr>
                        <w:t>pilot trial.</w:t>
                      </w:r>
                      <w:r>
                        <w:rPr>
                          <w:sz w:val="20"/>
                        </w:rPr>
                        <w:t xml:space="preserve"> This demonstrates how supermarkets may promote the HSRs of fresh fruits and vegetables.</w:t>
                      </w:r>
                    </w:p>
                    <w:p w14:paraId="0AECF3CB" w14:textId="77777777" w:rsidR="00B53139" w:rsidRDefault="00B53139" w:rsidP="009959A5"/>
                  </w:txbxContent>
                </v:textbox>
                <w10:wrap type="square"/>
              </v:shape>
            </w:pict>
          </mc:Fallback>
        </mc:AlternateContent>
      </w:r>
      <w:r w:rsidRPr="009959A5">
        <w:t>The trial found an overall increase of 0.2% for fresh fruit and vegetable sales in intervention stores compared with control stores in the intervention period, which translates to a relative increase of 1.5% given that 13% of all food sales were fresh fruits and vegetables.</w:t>
      </w:r>
      <w:r w:rsidRPr="009959A5">
        <w:rPr>
          <w:rStyle w:val="FootnoteReference"/>
          <w:sz w:val="22"/>
        </w:rPr>
        <w:footnoteReference w:id="68"/>
      </w:r>
    </w:p>
    <w:p w14:paraId="4513BCD1" w14:textId="77777777" w:rsidR="009959A5" w:rsidRPr="00CC1ADD" w:rsidRDefault="009959A5" w:rsidP="006D135E">
      <w:pPr>
        <w:pStyle w:val="mpcNormal"/>
        <w:keepNext w:val="0"/>
      </w:pPr>
    </w:p>
    <w:p w14:paraId="27AC8A05" w14:textId="77777777" w:rsidR="000A3464" w:rsidRPr="00CC1ADD" w:rsidRDefault="000A3464" w:rsidP="005A3631">
      <w:pPr>
        <w:pStyle w:val="mpcheading3"/>
      </w:pPr>
      <w:r w:rsidRPr="00CC1ADD">
        <w:t>Sugars</w:t>
      </w:r>
    </w:p>
    <w:p w14:paraId="2137BB0F" w14:textId="77777777" w:rsidR="000A3464" w:rsidRPr="00CC1ADD" w:rsidRDefault="000A3464" w:rsidP="006D135E">
      <w:pPr>
        <w:pStyle w:val="mpcNormal"/>
        <w:keepNext w:val="0"/>
      </w:pPr>
    </w:p>
    <w:p w14:paraId="720FEEBC" w14:textId="191920F1" w:rsidR="000A3464" w:rsidRPr="00CC1ADD" w:rsidRDefault="000A3464" w:rsidP="006D135E">
      <w:pPr>
        <w:pStyle w:val="mpcNormal"/>
        <w:keepNext w:val="0"/>
      </w:pPr>
      <w:r w:rsidRPr="00CC1ADD">
        <w:t>Dietary Guidelines recommend limiting intake of foods and beverages containing added sugars to limit adverse health outcomes. The HSR Calculator indirectly targets added sugars through the inclusion of FVNL and protein in the Calculator, which offset</w:t>
      </w:r>
      <w:r w:rsidR="00B664F4">
        <w:t>s</w:t>
      </w:r>
      <w:r w:rsidRPr="00CC1ADD">
        <w:t xml:space="preserve"> the intrinsic sugars present in fruits and dairy products.</w:t>
      </w:r>
    </w:p>
    <w:p w14:paraId="68469CA7" w14:textId="77777777" w:rsidR="000A3464" w:rsidRPr="00CC1ADD" w:rsidRDefault="000A3464" w:rsidP="006D135E">
      <w:pPr>
        <w:pStyle w:val="mpcNormal"/>
        <w:keepNext w:val="0"/>
      </w:pPr>
    </w:p>
    <w:p w14:paraId="77F4A455" w14:textId="77777777" w:rsidR="000A3464" w:rsidRPr="00CC1ADD" w:rsidRDefault="000A3464" w:rsidP="006D135E">
      <w:pPr>
        <w:pStyle w:val="mpcNormal"/>
        <w:keepNext w:val="0"/>
        <w:rPr>
          <w:bCs/>
        </w:rPr>
      </w:pPr>
      <w:r w:rsidRPr="00CC1ADD">
        <w:t>The most significant area of stakeholder concern with respect to the HSR Calculator relates to the treatment of sugars, with concerns raised around the perceived i</w:t>
      </w:r>
      <w:r w:rsidRPr="00CC1ADD">
        <w:rPr>
          <w:bCs/>
        </w:rPr>
        <w:t xml:space="preserve">nappropriately high HSRs of some products with relatively high levels of added sugars. Stakeholders referred to: </w:t>
      </w:r>
    </w:p>
    <w:p w14:paraId="7F513FC5" w14:textId="77777777" w:rsidR="000A3464" w:rsidRPr="00CC1ADD" w:rsidRDefault="000A3464" w:rsidP="006D135E">
      <w:pPr>
        <w:pStyle w:val="mpcNormal"/>
        <w:keepNext w:val="0"/>
      </w:pPr>
    </w:p>
    <w:p w14:paraId="6B08622C" w14:textId="77777777" w:rsidR="000A3464" w:rsidRPr="00CC1ADD" w:rsidRDefault="000A3464" w:rsidP="00F720A0">
      <w:pPr>
        <w:pStyle w:val="mpcbullets1"/>
      </w:pPr>
      <w:r w:rsidRPr="00CC1ADD">
        <w:t xml:space="preserve">certain breakfast cereals with ‘high’ levels of added sugars obtaining an HSR </w:t>
      </w:r>
      <w:r w:rsidRPr="00CC1ADD">
        <w:sym w:font="Symbol" w:char="F0B3"/>
      </w:r>
      <w:r w:rsidRPr="00CC1ADD">
        <w:t xml:space="preserve"> 3.5</w:t>
      </w:r>
    </w:p>
    <w:p w14:paraId="3BAB2AB2" w14:textId="77777777" w:rsidR="000A3464" w:rsidRPr="00CC1ADD" w:rsidRDefault="000A3464" w:rsidP="006D135E">
      <w:pPr>
        <w:pStyle w:val="mpcbullets2"/>
        <w:keepNext w:val="0"/>
      </w:pPr>
      <w:r w:rsidRPr="00CC1ADD">
        <w:t xml:space="preserve">TAG modelling highlights that the majority of products that score an HSR </w:t>
      </w:r>
      <w:r w:rsidRPr="00CC1ADD">
        <w:sym w:font="Symbol" w:char="F0B3"/>
      </w:r>
      <w:r w:rsidRPr="00CC1ADD">
        <w:t xml:space="preserve"> 4 and have a total sugar content of more than 15% are cereal products.</w:t>
      </w:r>
      <w:r w:rsidRPr="00CC1ADD">
        <w:rPr>
          <w:rStyle w:val="FootnoteReference"/>
        </w:rPr>
        <w:footnoteReference w:id="69"/>
      </w:r>
    </w:p>
    <w:p w14:paraId="3091BA1E" w14:textId="43861E49" w:rsidR="000A3464" w:rsidRPr="00CC1ADD" w:rsidRDefault="000A3464" w:rsidP="006D135E">
      <w:pPr>
        <w:pStyle w:val="mpcbullets2"/>
        <w:keepNext w:val="0"/>
      </w:pPr>
      <w:r w:rsidRPr="00CC1ADD">
        <w:t xml:space="preserve">Research conducted by the NSW Ministry </w:t>
      </w:r>
      <w:r w:rsidR="00B664F4">
        <w:t>of</w:t>
      </w:r>
      <w:r w:rsidRPr="00CC1ADD">
        <w:t xml:space="preserve"> Health found that 35% of breakfast cereals rated as Amber (i.e. ‘consume in moderation’) by the NSW Health Traffic Light System score an HSR </w:t>
      </w:r>
      <w:r w:rsidRPr="00CC1ADD">
        <w:sym w:font="Symbol" w:char="F0B3"/>
      </w:r>
      <w:r w:rsidRPr="00CC1ADD">
        <w:t xml:space="preserve"> 3.5.</w:t>
      </w:r>
      <w:r w:rsidRPr="00CC1ADD">
        <w:rPr>
          <w:rStyle w:val="FootnoteReference"/>
        </w:rPr>
        <w:footnoteReference w:id="70"/>
      </w:r>
    </w:p>
    <w:p w14:paraId="619DE75D" w14:textId="77777777" w:rsidR="000A3464" w:rsidRPr="00CC1ADD" w:rsidRDefault="000A3464" w:rsidP="00F720A0">
      <w:pPr>
        <w:pStyle w:val="mpcbullets1"/>
      </w:pPr>
      <w:r w:rsidRPr="00CC1ADD">
        <w:t>the HSR System failing to adequately distinguish between added sugars and intrinsic sugars (noting that Dietary Guidelines recommend limiting intake of added sugars)</w:t>
      </w:r>
    </w:p>
    <w:p w14:paraId="01C1CC28" w14:textId="46F2067D" w:rsidR="000A3464" w:rsidRPr="00CC1ADD" w:rsidRDefault="000A3464" w:rsidP="00F720A0">
      <w:pPr>
        <w:pStyle w:val="mpcbullets1"/>
      </w:pPr>
      <w:r w:rsidRPr="00CC1ADD">
        <w:t>the WHO Guidelines</w:t>
      </w:r>
      <w:r w:rsidR="006F198B" w:rsidRPr="00CC1ADD">
        <w:rPr>
          <w:rStyle w:val="FootnoteReference"/>
        </w:rPr>
        <w:footnoteReference w:id="71"/>
      </w:r>
      <w:r w:rsidR="006F198B">
        <w:t xml:space="preserve">, which </w:t>
      </w:r>
      <w:r w:rsidRPr="00CC1ADD">
        <w:t>strongly recommend reduced intake of free sugars throughout the life course.</w:t>
      </w:r>
    </w:p>
    <w:p w14:paraId="02C1C731" w14:textId="77777777" w:rsidR="000A3464" w:rsidRPr="006F198B" w:rsidRDefault="000A3464" w:rsidP="006D135E">
      <w:pPr>
        <w:pStyle w:val="mpcNormal"/>
        <w:keepNext w:val="0"/>
      </w:pPr>
    </w:p>
    <w:p w14:paraId="5F03602B" w14:textId="3E2DB462" w:rsidR="000A3464" w:rsidRPr="006F198B" w:rsidRDefault="000A3464">
      <w:pPr>
        <w:rPr>
          <w:rFonts w:cstheme="minorHAnsi"/>
          <w:sz w:val="22"/>
          <w:szCs w:val="22"/>
        </w:rPr>
      </w:pPr>
      <w:r w:rsidRPr="006F198B">
        <w:rPr>
          <w:rFonts w:cstheme="minorHAnsi"/>
          <w:sz w:val="22"/>
          <w:szCs w:val="22"/>
        </w:rPr>
        <w:t>The below table provides an example of how these products of concern to stakeholders are scored under the HSR System, the UK Traffic Light System and the French Nutri</w:t>
      </w:r>
      <w:r w:rsidR="002862B6">
        <w:rPr>
          <w:rFonts w:cstheme="minorHAnsi"/>
          <w:sz w:val="22"/>
          <w:szCs w:val="22"/>
        </w:rPr>
        <w:t>-</w:t>
      </w:r>
      <w:r w:rsidRPr="006F198B">
        <w:rPr>
          <w:rFonts w:cstheme="minorHAnsi"/>
          <w:sz w:val="22"/>
          <w:szCs w:val="22"/>
        </w:rPr>
        <w:t>Score System.</w:t>
      </w:r>
    </w:p>
    <w:p w14:paraId="1F8D3965" w14:textId="77777777" w:rsidR="000A3464" w:rsidRPr="006F198B" w:rsidRDefault="000A3464">
      <w:pPr>
        <w:rPr>
          <w:rFonts w:cstheme="minorHAnsi"/>
          <w:sz w:val="22"/>
          <w:szCs w:val="22"/>
        </w:rPr>
      </w:pPr>
    </w:p>
    <w:tbl>
      <w:tblPr>
        <w:tblStyle w:val="TableGrid"/>
        <w:tblW w:w="10207" w:type="dxa"/>
        <w:tblInd w:w="-289" w:type="dxa"/>
        <w:tblLook w:val="04A0" w:firstRow="1" w:lastRow="0" w:firstColumn="1" w:lastColumn="0" w:noHBand="0" w:noVBand="1"/>
      </w:tblPr>
      <w:tblGrid>
        <w:gridCol w:w="1131"/>
        <w:gridCol w:w="3282"/>
        <w:gridCol w:w="3242"/>
        <w:gridCol w:w="2552"/>
      </w:tblGrid>
      <w:tr w:rsidR="000A3464" w:rsidRPr="00CC1ADD" w14:paraId="73B3E948" w14:textId="77777777" w:rsidTr="009A5449">
        <w:trPr>
          <w:trHeight w:val="399"/>
          <w:tblHeader/>
        </w:trPr>
        <w:tc>
          <w:tcPr>
            <w:tcW w:w="1131" w:type="dxa"/>
            <w:shd w:val="clear" w:color="auto" w:fill="516A8E"/>
            <w:vAlign w:val="center"/>
          </w:tcPr>
          <w:p w14:paraId="07DF997B" w14:textId="77777777" w:rsidR="000A3464" w:rsidRPr="00CC1ADD" w:rsidRDefault="000A3464">
            <w:pPr>
              <w:rPr>
                <w:rFonts w:cstheme="minorHAnsi"/>
                <w:b/>
                <w:color w:val="FFFFFF" w:themeColor="background1"/>
                <w:sz w:val="20"/>
                <w:szCs w:val="20"/>
              </w:rPr>
            </w:pPr>
            <w:bookmarkStart w:id="108" w:name="Product"/>
            <w:bookmarkEnd w:id="108"/>
            <w:r w:rsidRPr="00CC1ADD">
              <w:rPr>
                <w:rFonts w:cstheme="minorHAnsi"/>
                <w:b/>
                <w:color w:val="FFFFFF" w:themeColor="background1"/>
                <w:sz w:val="20"/>
                <w:szCs w:val="20"/>
              </w:rPr>
              <w:t>Product</w:t>
            </w:r>
          </w:p>
        </w:tc>
        <w:tc>
          <w:tcPr>
            <w:tcW w:w="3282" w:type="dxa"/>
            <w:shd w:val="clear" w:color="auto" w:fill="516A8E"/>
            <w:vAlign w:val="center"/>
          </w:tcPr>
          <w:p w14:paraId="280FC998" w14:textId="77777777" w:rsidR="000A3464" w:rsidRPr="00CC1ADD" w:rsidRDefault="000A3464">
            <w:pPr>
              <w:jc w:val="center"/>
              <w:rPr>
                <w:rFonts w:cstheme="minorHAnsi"/>
                <w:b/>
                <w:color w:val="FFFFFF" w:themeColor="background1"/>
                <w:sz w:val="20"/>
                <w:szCs w:val="20"/>
              </w:rPr>
            </w:pPr>
            <w:r w:rsidRPr="00CC1ADD">
              <w:rPr>
                <w:rFonts w:cstheme="minorHAnsi"/>
                <w:b/>
                <w:color w:val="FFFFFF" w:themeColor="background1"/>
                <w:sz w:val="20"/>
                <w:szCs w:val="20"/>
              </w:rPr>
              <w:t>HSR System</w:t>
            </w:r>
          </w:p>
        </w:tc>
        <w:tc>
          <w:tcPr>
            <w:tcW w:w="3242" w:type="dxa"/>
            <w:shd w:val="clear" w:color="auto" w:fill="516A8E"/>
            <w:vAlign w:val="center"/>
          </w:tcPr>
          <w:p w14:paraId="00B591C2" w14:textId="77777777" w:rsidR="000A3464" w:rsidRPr="00CC1ADD" w:rsidRDefault="000A3464">
            <w:pPr>
              <w:jc w:val="center"/>
              <w:rPr>
                <w:rFonts w:cstheme="minorHAnsi"/>
                <w:b/>
                <w:color w:val="FFFFFF" w:themeColor="background1"/>
                <w:sz w:val="20"/>
                <w:szCs w:val="20"/>
              </w:rPr>
            </w:pPr>
            <w:r w:rsidRPr="00CC1ADD">
              <w:rPr>
                <w:rFonts w:cstheme="minorHAnsi"/>
                <w:b/>
                <w:color w:val="FFFFFF" w:themeColor="background1"/>
                <w:sz w:val="20"/>
                <w:szCs w:val="20"/>
              </w:rPr>
              <w:t>UK Traffic Light System</w:t>
            </w:r>
          </w:p>
        </w:tc>
        <w:tc>
          <w:tcPr>
            <w:tcW w:w="2552" w:type="dxa"/>
            <w:shd w:val="clear" w:color="auto" w:fill="516A8E"/>
            <w:vAlign w:val="center"/>
          </w:tcPr>
          <w:p w14:paraId="50A5622B" w14:textId="49B9C377" w:rsidR="000A3464" w:rsidRPr="00CC1ADD" w:rsidRDefault="000A3464">
            <w:pPr>
              <w:jc w:val="center"/>
              <w:rPr>
                <w:rFonts w:cstheme="minorHAnsi"/>
                <w:b/>
                <w:color w:val="FFFFFF" w:themeColor="background1"/>
                <w:sz w:val="20"/>
                <w:szCs w:val="20"/>
              </w:rPr>
            </w:pPr>
            <w:r w:rsidRPr="00CC1ADD">
              <w:rPr>
                <w:rFonts w:cstheme="minorHAnsi"/>
                <w:b/>
                <w:color w:val="FFFFFF" w:themeColor="background1"/>
                <w:sz w:val="20"/>
                <w:szCs w:val="20"/>
              </w:rPr>
              <w:t>French Nutri</w:t>
            </w:r>
            <w:r w:rsidR="002862B6">
              <w:rPr>
                <w:rFonts w:cstheme="minorHAnsi"/>
                <w:b/>
                <w:color w:val="FFFFFF" w:themeColor="background1"/>
                <w:sz w:val="20"/>
                <w:szCs w:val="20"/>
              </w:rPr>
              <w:t>-</w:t>
            </w:r>
            <w:r w:rsidRPr="00CC1ADD">
              <w:rPr>
                <w:rFonts w:cstheme="minorHAnsi"/>
                <w:b/>
                <w:color w:val="FFFFFF" w:themeColor="background1"/>
                <w:sz w:val="20"/>
                <w:szCs w:val="20"/>
              </w:rPr>
              <w:t>Score System</w:t>
            </w:r>
          </w:p>
        </w:tc>
      </w:tr>
      <w:tr w:rsidR="000A3464" w:rsidRPr="00CC1ADD" w14:paraId="461DD37A" w14:textId="77777777" w:rsidTr="009A5449">
        <w:tc>
          <w:tcPr>
            <w:tcW w:w="1131" w:type="dxa"/>
            <w:shd w:val="clear" w:color="auto" w:fill="F2F2F2" w:themeFill="background1" w:themeFillShade="F2"/>
          </w:tcPr>
          <w:p w14:paraId="58095668" w14:textId="77777777" w:rsidR="000A3464" w:rsidRPr="00CC1ADD" w:rsidRDefault="000A3464" w:rsidP="005A3631">
            <w:pPr>
              <w:rPr>
                <w:rFonts w:cstheme="minorHAnsi"/>
                <w:b/>
                <w:sz w:val="20"/>
                <w:szCs w:val="22"/>
              </w:rPr>
            </w:pPr>
            <w:r w:rsidRPr="00CC1ADD">
              <w:rPr>
                <w:rFonts w:cstheme="minorHAnsi"/>
                <w:b/>
                <w:sz w:val="20"/>
                <w:szCs w:val="22"/>
              </w:rPr>
              <w:t xml:space="preserve">Breakfast cereal </w:t>
            </w:r>
          </w:p>
        </w:tc>
        <w:tc>
          <w:tcPr>
            <w:tcW w:w="3282" w:type="dxa"/>
            <w:vAlign w:val="center"/>
          </w:tcPr>
          <w:p w14:paraId="7944B94E" w14:textId="77777777" w:rsidR="000A3464" w:rsidRPr="00CC1ADD" w:rsidRDefault="000A3464" w:rsidP="005A3631">
            <w:pPr>
              <w:jc w:val="center"/>
              <w:rPr>
                <w:rFonts w:cstheme="minorHAnsi"/>
                <w:sz w:val="21"/>
                <w:szCs w:val="22"/>
              </w:rPr>
            </w:pPr>
            <w:r w:rsidRPr="00CC1ADD">
              <w:rPr>
                <w:rFonts w:cstheme="minorHAnsi"/>
                <w:noProof/>
                <w:sz w:val="21"/>
                <w:szCs w:val="22"/>
                <w:lang w:eastAsia="en-AU"/>
              </w:rPr>
              <w:drawing>
                <wp:inline distT="0" distB="0" distL="0" distR="0" wp14:anchorId="6EEC07BB" wp14:editId="3007EFBC">
                  <wp:extent cx="1947332" cy="631651"/>
                  <wp:effectExtent l="0" t="0" r="0" b="3810"/>
                  <wp:docPr id="26" name="Picture 26" descr="HSR graphic option 1, showing an HSR of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2044756" cy="663252"/>
                          </a:xfrm>
                          <a:prstGeom prst="rect">
                            <a:avLst/>
                          </a:prstGeom>
                          <a:ln>
                            <a:noFill/>
                          </a:ln>
                          <a:extLst>
                            <a:ext uri="{53640926-AAD7-44D8-BBD7-CCE9431645EC}">
                              <a14:shadowObscured xmlns:a14="http://schemas.microsoft.com/office/drawing/2010/main"/>
                            </a:ext>
                          </a:extLst>
                        </pic:spPr>
                      </pic:pic>
                    </a:graphicData>
                  </a:graphic>
                </wp:inline>
              </w:drawing>
            </w:r>
          </w:p>
        </w:tc>
        <w:tc>
          <w:tcPr>
            <w:tcW w:w="3242" w:type="dxa"/>
          </w:tcPr>
          <w:p w14:paraId="5C85EA42" w14:textId="77777777" w:rsidR="000A3464" w:rsidRPr="00CC1ADD" w:rsidRDefault="000A3464">
            <w:pPr>
              <w:jc w:val="center"/>
              <w:rPr>
                <w:rFonts w:cstheme="minorHAnsi"/>
                <w:sz w:val="21"/>
                <w:szCs w:val="22"/>
              </w:rPr>
            </w:pPr>
            <w:r w:rsidRPr="00CC1ADD">
              <w:rPr>
                <w:rFonts w:cstheme="minorHAnsi"/>
                <w:sz w:val="13"/>
                <w:szCs w:val="22"/>
              </w:rPr>
              <w:t>Each 45g serve contains</w:t>
            </w:r>
          </w:p>
          <w:p w14:paraId="1878C8CF" w14:textId="77777777" w:rsidR="000A3464" w:rsidRPr="00CC1ADD" w:rsidRDefault="000A3464">
            <w:pPr>
              <w:jc w:val="center"/>
              <w:rPr>
                <w:rFonts w:cstheme="minorHAnsi"/>
                <w:sz w:val="21"/>
                <w:szCs w:val="22"/>
              </w:rPr>
            </w:pPr>
            <w:r w:rsidRPr="00CC1ADD">
              <w:rPr>
                <w:rFonts w:cstheme="minorHAnsi"/>
                <w:noProof/>
                <w:sz w:val="21"/>
                <w:szCs w:val="22"/>
                <w:lang w:eastAsia="en-AU"/>
              </w:rPr>
              <w:drawing>
                <wp:inline distT="0" distB="0" distL="0" distR="0" wp14:anchorId="1E997D39" wp14:editId="161B49A2">
                  <wp:extent cx="1765300" cy="552090"/>
                  <wp:effectExtent l="0" t="0" r="0" b="0"/>
                  <wp:docPr id="27" name="Picture 27" descr="UK Traffic Light Label showing green for fat and saturated fat, red for sugars and amber for s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1812025" cy="566703"/>
                          </a:xfrm>
                          <a:prstGeom prst="rect">
                            <a:avLst/>
                          </a:prstGeom>
                          <a:ln>
                            <a:noFill/>
                          </a:ln>
                          <a:extLst>
                            <a:ext uri="{53640926-AAD7-44D8-BBD7-CCE9431645EC}">
                              <a14:shadowObscured xmlns:a14="http://schemas.microsoft.com/office/drawing/2010/main"/>
                            </a:ext>
                          </a:extLst>
                        </pic:spPr>
                      </pic:pic>
                    </a:graphicData>
                  </a:graphic>
                </wp:inline>
              </w:drawing>
            </w:r>
          </w:p>
          <w:p w14:paraId="6CBC7713" w14:textId="77777777" w:rsidR="000A3464" w:rsidRPr="00CC1ADD" w:rsidRDefault="000A3464">
            <w:pPr>
              <w:jc w:val="center"/>
              <w:rPr>
                <w:rFonts w:cstheme="minorHAnsi"/>
                <w:sz w:val="21"/>
                <w:szCs w:val="22"/>
              </w:rPr>
            </w:pPr>
            <w:r w:rsidRPr="00CC1ADD">
              <w:rPr>
                <w:rFonts w:cstheme="minorHAnsi"/>
                <w:sz w:val="13"/>
                <w:szCs w:val="22"/>
              </w:rPr>
              <w:t>of an adult’s daily intake</w:t>
            </w:r>
          </w:p>
        </w:tc>
        <w:tc>
          <w:tcPr>
            <w:tcW w:w="2552" w:type="dxa"/>
            <w:vAlign w:val="center"/>
          </w:tcPr>
          <w:p w14:paraId="153117DB" w14:textId="77777777" w:rsidR="000A3464" w:rsidRPr="00CC1ADD" w:rsidRDefault="000A3464">
            <w:pPr>
              <w:jc w:val="center"/>
              <w:rPr>
                <w:rFonts w:cstheme="minorHAnsi"/>
                <w:sz w:val="21"/>
                <w:szCs w:val="22"/>
              </w:rPr>
            </w:pPr>
            <w:r w:rsidRPr="00CC1ADD">
              <w:rPr>
                <w:rFonts w:cstheme="minorHAnsi"/>
                <w:noProof/>
                <w:sz w:val="21"/>
                <w:szCs w:val="22"/>
                <w:lang w:eastAsia="en-AU"/>
              </w:rPr>
              <w:drawing>
                <wp:inline distT="0" distB="0" distL="0" distR="0" wp14:anchorId="37A85B42" wp14:editId="3C08742C">
                  <wp:extent cx="1240376" cy="683245"/>
                  <wp:effectExtent l="0" t="0" r="4445" b="3175"/>
                  <wp:docPr id="28" name="Picture 28" descr="NutriScore label showing a yellow C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1252408" cy="689873"/>
                          </a:xfrm>
                          <a:prstGeom prst="rect">
                            <a:avLst/>
                          </a:prstGeom>
                          <a:ln>
                            <a:noFill/>
                          </a:ln>
                          <a:extLst>
                            <a:ext uri="{53640926-AAD7-44D8-BBD7-CCE9431645EC}">
                              <a14:shadowObscured xmlns:a14="http://schemas.microsoft.com/office/drawing/2010/main"/>
                            </a:ext>
                          </a:extLst>
                        </pic:spPr>
                      </pic:pic>
                    </a:graphicData>
                  </a:graphic>
                </wp:inline>
              </w:drawing>
            </w:r>
          </w:p>
          <w:p w14:paraId="176CDB18" w14:textId="77777777" w:rsidR="000A3464" w:rsidRPr="00CC1ADD" w:rsidRDefault="000A3464">
            <w:pPr>
              <w:jc w:val="center"/>
              <w:rPr>
                <w:rFonts w:cstheme="minorHAnsi"/>
                <w:sz w:val="21"/>
                <w:szCs w:val="22"/>
              </w:rPr>
            </w:pPr>
          </w:p>
        </w:tc>
      </w:tr>
      <w:tr w:rsidR="000A3464" w:rsidRPr="00CC1ADD" w14:paraId="19ADCE81" w14:textId="77777777" w:rsidTr="009A5449">
        <w:tc>
          <w:tcPr>
            <w:tcW w:w="1131" w:type="dxa"/>
            <w:shd w:val="clear" w:color="auto" w:fill="F2F2F2" w:themeFill="background1" w:themeFillShade="F2"/>
          </w:tcPr>
          <w:p w14:paraId="0146CC29" w14:textId="77777777" w:rsidR="000A3464" w:rsidRPr="00CC1ADD" w:rsidRDefault="000A3464" w:rsidP="005A3631">
            <w:pPr>
              <w:rPr>
                <w:rFonts w:cstheme="minorHAnsi"/>
                <w:b/>
                <w:sz w:val="20"/>
                <w:szCs w:val="22"/>
              </w:rPr>
            </w:pPr>
            <w:r w:rsidRPr="00CC1ADD">
              <w:rPr>
                <w:rFonts w:cstheme="minorHAnsi"/>
                <w:b/>
                <w:sz w:val="20"/>
                <w:szCs w:val="22"/>
              </w:rPr>
              <w:t>Muesli Bar</w:t>
            </w:r>
          </w:p>
        </w:tc>
        <w:tc>
          <w:tcPr>
            <w:tcW w:w="3282" w:type="dxa"/>
            <w:vAlign w:val="center"/>
          </w:tcPr>
          <w:p w14:paraId="1412F665" w14:textId="77777777" w:rsidR="000A3464" w:rsidRPr="00CC1ADD" w:rsidRDefault="000A3464" w:rsidP="005A3631">
            <w:pPr>
              <w:jc w:val="center"/>
              <w:rPr>
                <w:rFonts w:cstheme="minorHAnsi"/>
                <w:sz w:val="21"/>
                <w:szCs w:val="22"/>
              </w:rPr>
            </w:pPr>
            <w:r w:rsidRPr="00CC1ADD">
              <w:rPr>
                <w:rFonts w:cstheme="minorHAnsi"/>
                <w:noProof/>
                <w:sz w:val="21"/>
                <w:szCs w:val="22"/>
                <w:lang w:eastAsia="en-AU"/>
              </w:rPr>
              <w:drawing>
                <wp:inline distT="0" distB="0" distL="0" distR="0" wp14:anchorId="360F08BC" wp14:editId="4C839CB8">
                  <wp:extent cx="1924692" cy="631992"/>
                  <wp:effectExtent l="0" t="0" r="5715" b="3175"/>
                  <wp:docPr id="29" name="Picture 29" descr="HSR graphic option 1, showing an HSR of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985669" cy="652014"/>
                          </a:xfrm>
                          <a:prstGeom prst="rect">
                            <a:avLst/>
                          </a:prstGeom>
                          <a:ln>
                            <a:noFill/>
                          </a:ln>
                          <a:extLst>
                            <a:ext uri="{53640926-AAD7-44D8-BBD7-CCE9431645EC}">
                              <a14:shadowObscured xmlns:a14="http://schemas.microsoft.com/office/drawing/2010/main"/>
                            </a:ext>
                          </a:extLst>
                        </pic:spPr>
                      </pic:pic>
                    </a:graphicData>
                  </a:graphic>
                </wp:inline>
              </w:drawing>
            </w:r>
          </w:p>
        </w:tc>
        <w:tc>
          <w:tcPr>
            <w:tcW w:w="3242" w:type="dxa"/>
          </w:tcPr>
          <w:p w14:paraId="36834EB2" w14:textId="77777777" w:rsidR="000A3464" w:rsidRPr="00CC1ADD" w:rsidRDefault="000A3464">
            <w:pPr>
              <w:jc w:val="center"/>
              <w:rPr>
                <w:rFonts w:cstheme="minorHAnsi"/>
                <w:sz w:val="13"/>
                <w:szCs w:val="22"/>
              </w:rPr>
            </w:pPr>
            <w:r w:rsidRPr="00CC1ADD">
              <w:rPr>
                <w:rFonts w:cstheme="minorHAnsi"/>
                <w:sz w:val="13"/>
                <w:szCs w:val="22"/>
              </w:rPr>
              <w:t>Each 31g serve contains</w:t>
            </w:r>
            <w:r w:rsidRPr="00CC1ADD">
              <w:rPr>
                <w:rFonts w:cstheme="minorHAnsi"/>
                <w:noProof/>
                <w:sz w:val="21"/>
                <w:szCs w:val="22"/>
                <w:lang w:eastAsia="en-AU"/>
              </w:rPr>
              <w:drawing>
                <wp:inline distT="0" distB="0" distL="0" distR="0" wp14:anchorId="11AF709B" wp14:editId="76B20C59">
                  <wp:extent cx="1690619" cy="531271"/>
                  <wp:effectExtent l="0" t="0" r="0" b="2540"/>
                  <wp:docPr id="4" name="Picture 4" descr="UK Traffic Light Label showing a for fat, saturated fat and sugars and green for s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email">
                            <a:extLst>
                              <a:ext uri="{28A0092B-C50C-407E-A947-70E740481C1C}">
                                <a14:useLocalDpi xmlns:a14="http://schemas.microsoft.com/office/drawing/2010/main"/>
                              </a:ext>
                            </a:extLst>
                          </a:blip>
                          <a:srcRect/>
                          <a:stretch/>
                        </pic:blipFill>
                        <pic:spPr bwMode="auto">
                          <a:xfrm>
                            <a:off x="0" y="0"/>
                            <a:ext cx="1723119" cy="541484"/>
                          </a:xfrm>
                          <a:prstGeom prst="rect">
                            <a:avLst/>
                          </a:prstGeom>
                          <a:ln>
                            <a:noFill/>
                          </a:ln>
                          <a:extLst>
                            <a:ext uri="{53640926-AAD7-44D8-BBD7-CCE9431645EC}">
                              <a14:shadowObscured xmlns:a14="http://schemas.microsoft.com/office/drawing/2010/main"/>
                            </a:ext>
                          </a:extLst>
                        </pic:spPr>
                      </pic:pic>
                    </a:graphicData>
                  </a:graphic>
                </wp:inline>
              </w:drawing>
            </w:r>
          </w:p>
          <w:p w14:paraId="666EC503" w14:textId="77777777" w:rsidR="000A3464" w:rsidRPr="00CC1ADD" w:rsidRDefault="000A3464">
            <w:pPr>
              <w:jc w:val="center"/>
              <w:rPr>
                <w:rFonts w:cstheme="minorHAnsi"/>
                <w:sz w:val="21"/>
                <w:szCs w:val="22"/>
              </w:rPr>
            </w:pPr>
            <w:r w:rsidRPr="00CC1ADD">
              <w:rPr>
                <w:rFonts w:cstheme="minorHAnsi"/>
                <w:sz w:val="13"/>
                <w:szCs w:val="22"/>
              </w:rPr>
              <w:t>of an adult’s daily intake</w:t>
            </w:r>
          </w:p>
        </w:tc>
        <w:tc>
          <w:tcPr>
            <w:tcW w:w="2552" w:type="dxa"/>
            <w:vAlign w:val="center"/>
          </w:tcPr>
          <w:p w14:paraId="4288EB0B" w14:textId="77777777" w:rsidR="000A3464" w:rsidRPr="00CC1ADD" w:rsidRDefault="000A3464">
            <w:pPr>
              <w:jc w:val="center"/>
              <w:rPr>
                <w:rFonts w:cstheme="minorHAnsi"/>
                <w:sz w:val="21"/>
                <w:szCs w:val="22"/>
              </w:rPr>
            </w:pPr>
            <w:r w:rsidRPr="00CC1ADD">
              <w:rPr>
                <w:rFonts w:cstheme="minorHAnsi"/>
                <w:noProof/>
                <w:sz w:val="21"/>
                <w:szCs w:val="22"/>
                <w:lang w:eastAsia="en-AU"/>
              </w:rPr>
              <w:drawing>
                <wp:inline distT="0" distB="0" distL="0" distR="0" wp14:anchorId="47925A23" wp14:editId="4199E231">
                  <wp:extent cx="1240376" cy="683245"/>
                  <wp:effectExtent l="0" t="0" r="4445" b="3175"/>
                  <wp:docPr id="30" name="Picture 30" descr="NutriScore label showing a yellow C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email">
                            <a:extLst>
                              <a:ext uri="{28A0092B-C50C-407E-A947-70E740481C1C}">
                                <a14:useLocalDpi xmlns:a14="http://schemas.microsoft.com/office/drawing/2010/main"/>
                              </a:ext>
                            </a:extLst>
                          </a:blip>
                          <a:srcRect/>
                          <a:stretch/>
                        </pic:blipFill>
                        <pic:spPr bwMode="auto">
                          <a:xfrm>
                            <a:off x="0" y="0"/>
                            <a:ext cx="1252408" cy="689873"/>
                          </a:xfrm>
                          <a:prstGeom prst="rect">
                            <a:avLst/>
                          </a:prstGeom>
                          <a:ln>
                            <a:noFill/>
                          </a:ln>
                          <a:extLst>
                            <a:ext uri="{53640926-AAD7-44D8-BBD7-CCE9431645EC}">
                              <a14:shadowObscured xmlns:a14="http://schemas.microsoft.com/office/drawing/2010/main"/>
                            </a:ext>
                          </a:extLst>
                        </pic:spPr>
                      </pic:pic>
                    </a:graphicData>
                  </a:graphic>
                </wp:inline>
              </w:drawing>
            </w:r>
          </w:p>
        </w:tc>
      </w:tr>
    </w:tbl>
    <w:p w14:paraId="3BD7E59C" w14:textId="77777777" w:rsidR="000A3464" w:rsidRPr="00CC1ADD" w:rsidRDefault="000A3464" w:rsidP="006D135E">
      <w:pPr>
        <w:pStyle w:val="mpcNormal"/>
        <w:keepNext w:val="0"/>
      </w:pPr>
    </w:p>
    <w:p w14:paraId="649054BB" w14:textId="3D54BA78" w:rsidR="000A3464" w:rsidRPr="00CC1ADD" w:rsidRDefault="000A3464" w:rsidP="006D135E">
      <w:pPr>
        <w:pStyle w:val="mpcNormal"/>
        <w:keepNext w:val="0"/>
      </w:pPr>
      <w:r w:rsidRPr="00CC1ADD">
        <w:t>The extent to which there is a</w:t>
      </w:r>
      <w:r w:rsidR="006F198B">
        <w:t>n issue</w:t>
      </w:r>
      <w:r w:rsidRPr="00CC1ADD">
        <w:t xml:space="preserve"> with the treatment of sugars in the HSR Calculator is contested, with stakeholders having differ</w:t>
      </w:r>
      <w:r w:rsidR="006F198B">
        <w:t>ing</w:t>
      </w:r>
      <w:r w:rsidRPr="00CC1ADD">
        <w:t xml:space="preserve"> views about the appropriateness of the HSRs o</w:t>
      </w:r>
      <w:r w:rsidR="006F198B">
        <w:t>n certain</w:t>
      </w:r>
      <w:r w:rsidRPr="00CC1ADD">
        <w:t xml:space="preserve"> foods. From the Review’s perspective, it is not possible to scientifically establish the parameters of the ‘sugars problem’. However, it is desirable to:</w:t>
      </w:r>
    </w:p>
    <w:p w14:paraId="100F7994" w14:textId="77777777" w:rsidR="000A3464" w:rsidRPr="00CC1ADD" w:rsidRDefault="000A3464" w:rsidP="006D135E">
      <w:pPr>
        <w:pStyle w:val="mpcNormal"/>
        <w:keepNext w:val="0"/>
      </w:pPr>
    </w:p>
    <w:p w14:paraId="3CB7EEF8" w14:textId="77777777" w:rsidR="000A3464" w:rsidRPr="00CC1ADD" w:rsidRDefault="000A3464" w:rsidP="00F720A0">
      <w:pPr>
        <w:pStyle w:val="mpcbullets1"/>
      </w:pPr>
      <w:r w:rsidRPr="00CC1ADD">
        <w:t>better align the HSR System with Dietary Guidelines (including to better discern FFG and discretionary foods) wherever possible</w:t>
      </w:r>
    </w:p>
    <w:p w14:paraId="77576F84" w14:textId="65BE68F1" w:rsidR="000A3464" w:rsidRPr="00CC1ADD" w:rsidRDefault="000A3464" w:rsidP="00F720A0">
      <w:pPr>
        <w:pStyle w:val="mpcbullets1"/>
      </w:pPr>
      <w:r w:rsidRPr="00CC1ADD">
        <w:t xml:space="preserve">address some of the consumer perceptions around the HSR Calculator’s treatment of sugars (where these </w:t>
      </w:r>
      <w:r w:rsidR="00B664F4">
        <w:t xml:space="preserve">perceptions </w:t>
      </w:r>
      <w:r w:rsidRPr="00CC1ADD">
        <w:t>risk undermining confidence in the HSR System)</w:t>
      </w:r>
    </w:p>
    <w:p w14:paraId="705E0978" w14:textId="77777777" w:rsidR="000A3464" w:rsidRPr="00CC1ADD" w:rsidRDefault="000A3464" w:rsidP="00F720A0">
      <w:pPr>
        <w:pStyle w:val="mpcbullets1"/>
      </w:pPr>
      <w:r w:rsidRPr="00CC1ADD">
        <w:t>further encourage reformulation of foods to reduce added sugars.</w:t>
      </w:r>
    </w:p>
    <w:p w14:paraId="629E3DCC" w14:textId="52C621AF" w:rsidR="000A3464" w:rsidRPr="00CC1ADD" w:rsidRDefault="000A3464" w:rsidP="006D135E">
      <w:pPr>
        <w:pStyle w:val="mpcNormal"/>
        <w:keepNext w:val="0"/>
      </w:pPr>
    </w:p>
    <w:tbl>
      <w:tblPr>
        <w:tblStyle w:val="TableGrid"/>
        <w:tblW w:w="0" w:type="auto"/>
        <w:tblLook w:val="04A0" w:firstRow="1" w:lastRow="0" w:firstColumn="1" w:lastColumn="0" w:noHBand="0" w:noVBand="1"/>
      </w:tblPr>
      <w:tblGrid>
        <w:gridCol w:w="9736"/>
      </w:tblGrid>
      <w:tr w:rsidR="00AC4451" w:rsidRPr="00CC1ADD" w14:paraId="3BEA1C62" w14:textId="77777777" w:rsidTr="00AC4451">
        <w:trPr>
          <w:trHeight w:val="756"/>
        </w:trPr>
        <w:tc>
          <w:tcPr>
            <w:tcW w:w="9736" w:type="dxa"/>
            <w:shd w:val="clear" w:color="auto" w:fill="D9E2F3" w:themeFill="accent1" w:themeFillTint="33"/>
            <w:vAlign w:val="center"/>
          </w:tcPr>
          <w:p w14:paraId="34730741" w14:textId="779157D2" w:rsidR="00AC4451" w:rsidRPr="006D135E" w:rsidRDefault="001F53B9" w:rsidP="006D135E">
            <w:pPr>
              <w:pStyle w:val="mpcNormal"/>
              <w:keepNext w:val="0"/>
              <w:ind w:left="2160" w:hanging="2160"/>
              <w:rPr>
                <w:b/>
              </w:rPr>
            </w:pPr>
            <w:r w:rsidRPr="00970729">
              <w:rPr>
                <w:b/>
              </w:rPr>
              <w:t>Recommendation 4</w:t>
            </w:r>
            <w:r w:rsidR="00B005CA">
              <w:rPr>
                <w:b/>
              </w:rPr>
              <w:t>B</w:t>
            </w:r>
            <w:r w:rsidRPr="00970729">
              <w:rPr>
                <w:b/>
              </w:rPr>
              <w:t xml:space="preserve">: </w:t>
            </w:r>
            <w:r w:rsidRPr="00970729">
              <w:rPr>
                <w:b/>
              </w:rPr>
              <w:tab/>
              <w:t>Total sugars be more strongly penalised by revising the sugars table for Categories 1, 1D, 2 and 2D to a maximum of 25 points for &gt; 99g/100g.</w:t>
            </w:r>
          </w:p>
        </w:tc>
      </w:tr>
    </w:tbl>
    <w:p w14:paraId="7808BD3F" w14:textId="77777777" w:rsidR="001F53B9" w:rsidRPr="00CC1ADD" w:rsidRDefault="001F53B9" w:rsidP="006D135E">
      <w:pPr>
        <w:pStyle w:val="mpcNormal"/>
        <w:keepNext w:val="0"/>
      </w:pPr>
    </w:p>
    <w:p w14:paraId="4861C184" w14:textId="34F3D414" w:rsidR="000A3464" w:rsidRPr="00CC1ADD" w:rsidRDefault="000A3464">
      <w:pPr>
        <w:rPr>
          <w:sz w:val="22"/>
          <w:szCs w:val="22"/>
        </w:rPr>
      </w:pPr>
      <w:r w:rsidRPr="00CC1ADD">
        <w:rPr>
          <w:sz w:val="22"/>
          <w:szCs w:val="22"/>
        </w:rPr>
        <w:t>The Review recommends changes to the HSR Calculator to increase the weighting of total sugars</w:t>
      </w:r>
      <w:r w:rsidR="006F198B">
        <w:rPr>
          <w:sz w:val="22"/>
          <w:szCs w:val="22"/>
        </w:rPr>
        <w:t xml:space="preserve"> by</w:t>
      </w:r>
      <w:r w:rsidRPr="00CC1ADD">
        <w:rPr>
          <w:sz w:val="22"/>
          <w:szCs w:val="22"/>
        </w:rPr>
        <w:t xml:space="preserve"> changing the existing 22 point table to a 25 point table. Increasing the points for total sugars means that products would receive more baseline points for the total sugars content, and therefore generally lower HSRs in foods where total sugars is an operative component. </w:t>
      </w:r>
    </w:p>
    <w:p w14:paraId="6949B26D" w14:textId="77777777" w:rsidR="000A3464" w:rsidRPr="00CC1ADD" w:rsidRDefault="000A3464">
      <w:pPr>
        <w:rPr>
          <w:rFonts w:cstheme="minorHAnsi"/>
          <w:sz w:val="22"/>
          <w:szCs w:val="22"/>
        </w:rPr>
      </w:pPr>
    </w:p>
    <w:p w14:paraId="4B4EF8C2" w14:textId="77777777" w:rsidR="000A3464" w:rsidRPr="00CC1ADD" w:rsidRDefault="000A3464" w:rsidP="00B664F4">
      <w:pPr>
        <w:keepNext/>
        <w:rPr>
          <w:rFonts w:cstheme="minorHAnsi"/>
          <w:sz w:val="22"/>
          <w:szCs w:val="22"/>
        </w:rPr>
      </w:pPr>
      <w:r w:rsidRPr="00CC1ADD">
        <w:rPr>
          <w:rFonts w:cstheme="minorHAnsi"/>
          <w:sz w:val="22"/>
          <w:szCs w:val="22"/>
        </w:rPr>
        <w:t>This approach:</w:t>
      </w:r>
    </w:p>
    <w:p w14:paraId="2FA9F94D" w14:textId="77777777" w:rsidR="000A3464" w:rsidRPr="00CC1ADD" w:rsidRDefault="000A3464" w:rsidP="00B664F4">
      <w:pPr>
        <w:keepNext/>
        <w:rPr>
          <w:sz w:val="22"/>
          <w:szCs w:val="22"/>
        </w:rPr>
      </w:pPr>
    </w:p>
    <w:p w14:paraId="26CDDC1C" w14:textId="77777777" w:rsidR="000A3464" w:rsidRPr="00CC1ADD" w:rsidRDefault="000A3464" w:rsidP="00B664F4">
      <w:pPr>
        <w:pStyle w:val="mpcbullets1"/>
        <w:keepNext/>
      </w:pPr>
      <w:r w:rsidRPr="00CC1ADD">
        <w:t>improves alignment with Dietary Guideline recommendations to limit foods containing added sugars by reducing the HSRs for products relatively high in total sugars</w:t>
      </w:r>
    </w:p>
    <w:p w14:paraId="4281EF8B" w14:textId="29218A8E" w:rsidR="000A3464" w:rsidRPr="00CC1ADD" w:rsidRDefault="000A3464" w:rsidP="006D135E">
      <w:pPr>
        <w:pStyle w:val="mpcbullets2"/>
        <w:keepNext w:val="0"/>
        <w:ind w:left="850"/>
      </w:pPr>
      <w:r w:rsidRPr="00CC1ADD">
        <w:t xml:space="preserve">5% (278) </w:t>
      </w:r>
      <w:r w:rsidR="00B005CA">
        <w:t xml:space="preserve">of </w:t>
      </w:r>
      <w:r w:rsidRPr="00CC1ADD">
        <w:t xml:space="preserve">products in the TAG database would see a decrease </w:t>
      </w:r>
      <w:r w:rsidR="00B664F4">
        <w:t>in</w:t>
      </w:r>
      <w:r w:rsidRPr="00CC1ADD">
        <w:t xml:space="preserve"> HSR of between 0.5 to 1.5.</w:t>
      </w:r>
    </w:p>
    <w:p w14:paraId="0DCF8B61" w14:textId="77777777" w:rsidR="000A3464" w:rsidRPr="00CC1ADD" w:rsidRDefault="000A3464" w:rsidP="006D135E">
      <w:pPr>
        <w:pStyle w:val="mpcbullets2"/>
        <w:keepNext w:val="0"/>
        <w:ind w:left="850"/>
      </w:pPr>
      <w:r w:rsidRPr="00CC1ADD">
        <w:t>The average total sugars content of all products impacted is 30.5g per 100g.</w:t>
      </w:r>
    </w:p>
    <w:p w14:paraId="6E22C095" w14:textId="291C9538" w:rsidR="000A3464" w:rsidRPr="00CC1ADD" w:rsidRDefault="000A3464" w:rsidP="006D135E">
      <w:pPr>
        <w:pStyle w:val="mpcbullets2"/>
        <w:keepNext w:val="0"/>
        <w:ind w:left="850"/>
      </w:pPr>
      <w:r w:rsidRPr="00CC1ADD">
        <w:t>Breakfast cereals are most strongly impacted, with the HSRs for 4</w:t>
      </w:r>
      <w:r w:rsidR="00AE5CE0">
        <w:t>4</w:t>
      </w:r>
      <w:r w:rsidRPr="00CC1ADD">
        <w:t xml:space="preserve"> breakfast cereals (representing 1</w:t>
      </w:r>
      <w:r w:rsidR="00AE5CE0">
        <w:t>6</w:t>
      </w:r>
      <w:r w:rsidRPr="00CC1ADD">
        <w:t>% of products impacted) decreasing by between 0.5 to 1</w:t>
      </w:r>
      <w:r w:rsidR="00AE5CE0">
        <w:t>.5</w:t>
      </w:r>
      <w:r w:rsidRPr="00CC1ADD">
        <w:t>. All of these products have more than 17g of sugars per 100g.</w:t>
      </w:r>
    </w:p>
    <w:p w14:paraId="464304BF" w14:textId="7DD96F04" w:rsidR="000A3464" w:rsidRPr="00CC1ADD" w:rsidRDefault="000A3464" w:rsidP="006D135E">
      <w:pPr>
        <w:pStyle w:val="mpcbullets2"/>
        <w:keepNext w:val="0"/>
        <w:ind w:left="850"/>
      </w:pPr>
      <w:r w:rsidRPr="00CC1ADD">
        <w:t>Other products impacted (with a decrease of 0.5 stars) include: yoghurts and soft cheeses (</w:t>
      </w:r>
      <w:r w:rsidR="00AE5CE0">
        <w:t>56</w:t>
      </w:r>
      <w:r w:rsidRPr="00CC1ADD">
        <w:t xml:space="preserve"> products; 2</w:t>
      </w:r>
      <w:r w:rsidR="00AE5CE0">
        <w:t>0</w:t>
      </w:r>
      <w:r w:rsidRPr="00CC1ADD">
        <w:t>% of products impacted), snack bars (</w:t>
      </w:r>
      <w:r w:rsidR="00AE5CE0">
        <w:t>17</w:t>
      </w:r>
      <w:r w:rsidRPr="00CC1ADD">
        <w:t xml:space="preserve">; </w:t>
      </w:r>
      <w:r w:rsidR="00AE5CE0">
        <w:t>6</w:t>
      </w:r>
      <w:r w:rsidRPr="00CC1ADD">
        <w:t>% of products impacted), confectionery, sweetened dairy beverages, ice cream, jelly and ice confections, custards and desserts, sauces and condiments, biscuits and bakery products and processed fruits.</w:t>
      </w:r>
    </w:p>
    <w:p w14:paraId="1419ED87" w14:textId="77777777" w:rsidR="000A3464" w:rsidRPr="00CC1ADD" w:rsidRDefault="000A3464" w:rsidP="00F720A0">
      <w:pPr>
        <w:pStyle w:val="mpcbullets1"/>
      </w:pPr>
      <w:r w:rsidRPr="00CC1ADD">
        <w:t>targets products that have been assessed as outliers or that are of concern to stakeholders</w:t>
      </w:r>
    </w:p>
    <w:p w14:paraId="41BA1B3A" w14:textId="77777777" w:rsidR="000A3464" w:rsidRPr="00CC1ADD" w:rsidRDefault="000A3464" w:rsidP="006D135E">
      <w:pPr>
        <w:pStyle w:val="mpcbullets2"/>
        <w:keepNext w:val="0"/>
      </w:pPr>
      <w:r w:rsidRPr="00CC1ADD">
        <w:t>This includes breakfast cereals, ready to eat foods such as muesli and cereal bars and sweetened and flavoured milks and yoghurts (as well as cakes and sweet biscuits, confectionery, ice creams and desserts, some jams and mayonnaises and some savoury sauces).</w:t>
      </w:r>
    </w:p>
    <w:p w14:paraId="1BB348FA" w14:textId="02EB78C0" w:rsidR="000A3464" w:rsidRPr="00CC1ADD" w:rsidRDefault="000A3464" w:rsidP="00F720A0">
      <w:pPr>
        <w:pStyle w:val="mpcbullets1"/>
      </w:pPr>
      <w:r w:rsidRPr="00CC1ADD">
        <w:t xml:space="preserve">results in changes to the points table which will mean the HSR System will not completely align with the NPSC but </w:t>
      </w:r>
      <w:r w:rsidR="006F198B">
        <w:t>will</w:t>
      </w:r>
      <w:r w:rsidRPr="00CC1ADD">
        <w:t xml:space="preserve"> continue to use total sugars consistent with the NPSC.</w:t>
      </w:r>
    </w:p>
    <w:p w14:paraId="48036E8B" w14:textId="64050E33" w:rsidR="000A3464" w:rsidRDefault="000A3464" w:rsidP="006D135E">
      <w:pPr>
        <w:pStyle w:val="mpcNormal"/>
        <w:keepNext w:val="0"/>
      </w:pPr>
    </w:p>
    <w:p w14:paraId="30FEB663" w14:textId="67AFEEA9" w:rsidR="001F53B9" w:rsidRDefault="001F53B9" w:rsidP="006D135E">
      <w:pPr>
        <w:pStyle w:val="mpcNormal"/>
        <w:keepNext w:val="0"/>
      </w:pPr>
      <w:r>
        <w:t xml:space="preserve">The option of moving to a 30 point sugars table was also considered, however </w:t>
      </w:r>
      <w:r w:rsidR="00BF7A8D">
        <w:t>this impacted on a range of FFG foods, including 43% of the processed fruits in the TAG database, 30% of the breakfast cereals</w:t>
      </w:r>
      <w:r w:rsidR="00B664F4">
        <w:t xml:space="preserve"> and </w:t>
      </w:r>
      <w:r w:rsidR="00BF7A8D">
        <w:t>a number of yoghurts and processed vegetables.</w:t>
      </w:r>
    </w:p>
    <w:p w14:paraId="5A423B0A" w14:textId="77777777" w:rsidR="001F53B9" w:rsidRPr="00CC1ADD" w:rsidRDefault="001F53B9" w:rsidP="006D135E">
      <w:pPr>
        <w:pStyle w:val="mpcNormal"/>
        <w:keepNext w:val="0"/>
      </w:pPr>
    </w:p>
    <w:tbl>
      <w:tblPr>
        <w:tblStyle w:val="TableGrid"/>
        <w:tblW w:w="0" w:type="auto"/>
        <w:tblLook w:val="04A0" w:firstRow="1" w:lastRow="0" w:firstColumn="1" w:lastColumn="0" w:noHBand="0" w:noVBand="1"/>
      </w:tblPr>
      <w:tblGrid>
        <w:gridCol w:w="9736"/>
      </w:tblGrid>
      <w:tr w:rsidR="000A3464" w:rsidRPr="00CC1ADD" w14:paraId="4973204C" w14:textId="77777777" w:rsidTr="001F53B9">
        <w:tc>
          <w:tcPr>
            <w:tcW w:w="9736" w:type="dxa"/>
            <w:shd w:val="clear" w:color="auto" w:fill="F2F2F2" w:themeFill="background1" w:themeFillShade="F2"/>
            <w:vAlign w:val="center"/>
          </w:tcPr>
          <w:p w14:paraId="3E6920CF" w14:textId="77777777" w:rsidR="00750858" w:rsidRPr="00CC1ADD" w:rsidRDefault="00750858" w:rsidP="006D135E">
            <w:pPr>
              <w:pStyle w:val="mpcheading4"/>
              <w:keepNext w:val="0"/>
              <w:widowControl w:val="0"/>
            </w:pPr>
            <w:r w:rsidRPr="00CC1ADD">
              <w:t>Why not added sugars?</w:t>
            </w:r>
          </w:p>
          <w:p w14:paraId="621C69D5" w14:textId="77777777" w:rsidR="00750858" w:rsidRPr="00CC1ADD" w:rsidRDefault="00750858" w:rsidP="006D135E">
            <w:pPr>
              <w:pStyle w:val="mpcNormal"/>
              <w:keepNext w:val="0"/>
              <w:widowControl w:val="0"/>
            </w:pPr>
          </w:p>
          <w:p w14:paraId="7714F8E7" w14:textId="5E4994DD" w:rsidR="00750858" w:rsidRPr="00CC1ADD" w:rsidRDefault="006F198B" w:rsidP="006D135E">
            <w:pPr>
              <w:pStyle w:val="mpcNormal"/>
              <w:keepNext w:val="0"/>
              <w:widowControl w:val="0"/>
            </w:pPr>
            <w:r>
              <w:t>M</w:t>
            </w:r>
            <w:r w:rsidR="00750858" w:rsidRPr="00CC1ADD">
              <w:t xml:space="preserve">any stakeholders advocated for the inclusion of added or free sugars in the HSR System to better align with Dietary Guideline recommendations to reduce intake of added sugars. </w:t>
            </w:r>
          </w:p>
          <w:p w14:paraId="7A9D9EAA" w14:textId="77777777" w:rsidR="00750858" w:rsidRPr="00CC1ADD" w:rsidRDefault="00750858" w:rsidP="006D135E">
            <w:pPr>
              <w:pStyle w:val="mpcNormal"/>
              <w:keepNext w:val="0"/>
              <w:widowControl w:val="0"/>
            </w:pPr>
          </w:p>
          <w:p w14:paraId="0BDCDD91" w14:textId="77777777" w:rsidR="00750858" w:rsidRPr="00CC1ADD" w:rsidRDefault="00750858" w:rsidP="006D135E">
            <w:pPr>
              <w:pStyle w:val="mpcNormal"/>
              <w:keepNext w:val="0"/>
              <w:widowControl w:val="0"/>
            </w:pPr>
            <w:r w:rsidRPr="00CC1ADD">
              <w:t xml:space="preserve">The Review considered various ways to include </w:t>
            </w:r>
            <w:r>
              <w:t xml:space="preserve">added </w:t>
            </w:r>
            <w:r w:rsidRPr="00CC1ADD">
              <w:t>sugars in the HSR Calculator</w:t>
            </w:r>
            <w:r>
              <w:t xml:space="preserve"> including</w:t>
            </w:r>
            <w:r w:rsidRPr="00CC1ADD">
              <w:t>:</w:t>
            </w:r>
          </w:p>
          <w:p w14:paraId="332CB641" w14:textId="77777777" w:rsidR="00750858" w:rsidRPr="00CC1ADD" w:rsidRDefault="00750858" w:rsidP="006D135E">
            <w:pPr>
              <w:pStyle w:val="mpcNormal"/>
              <w:keepNext w:val="0"/>
              <w:widowControl w:val="0"/>
            </w:pPr>
          </w:p>
          <w:p w14:paraId="29F27C12" w14:textId="03BBA0F8" w:rsidR="006F198B" w:rsidRDefault="00750858" w:rsidP="00F720A0">
            <w:pPr>
              <w:pStyle w:val="mpcbullets1"/>
            </w:pPr>
            <w:r w:rsidRPr="00CC1ADD">
              <w:t>substituting total sugars for added sugars</w:t>
            </w:r>
          </w:p>
          <w:p w14:paraId="5558A664" w14:textId="21F9D6D4" w:rsidR="00750858" w:rsidRPr="00CC1ADD" w:rsidRDefault="00750858" w:rsidP="006D135E">
            <w:pPr>
              <w:pStyle w:val="mpcbullets2"/>
              <w:keepNext w:val="0"/>
              <w:widowControl w:val="0"/>
            </w:pPr>
            <w:r>
              <w:t xml:space="preserve">The main disadvantage </w:t>
            </w:r>
            <w:r w:rsidR="00B664F4">
              <w:t>being</w:t>
            </w:r>
            <w:r w:rsidRPr="00CC1ADD">
              <w:t xml:space="preserve"> a mean increase in HSRs across most product categories and increases to the HSRs for a number of products</w:t>
            </w:r>
            <w:r>
              <w:t xml:space="preserve"> of concern to consumers</w:t>
            </w:r>
            <w:r w:rsidR="006F198B">
              <w:t>.</w:t>
            </w:r>
          </w:p>
          <w:p w14:paraId="36C65AEE" w14:textId="77777777" w:rsidR="006F198B" w:rsidRDefault="00750858" w:rsidP="00F720A0">
            <w:pPr>
              <w:pStyle w:val="mpcbullets1"/>
            </w:pPr>
            <w:r>
              <w:t xml:space="preserve">using a combination of total sugars and added sugars such that if a product had any added sugars, </w:t>
            </w:r>
            <w:r w:rsidRPr="00CC1ADD">
              <w:t>t</w:t>
            </w:r>
            <w:r>
              <w:t xml:space="preserve">he total sugars would be penalised more harshly. </w:t>
            </w:r>
          </w:p>
          <w:p w14:paraId="44F42ECF" w14:textId="7EEE9EB5" w:rsidR="00750858" w:rsidRDefault="00750858" w:rsidP="006D135E">
            <w:pPr>
              <w:pStyle w:val="mpcbullets2"/>
              <w:keepNext w:val="0"/>
              <w:widowControl w:val="0"/>
            </w:pPr>
            <w:r>
              <w:t xml:space="preserve">The main </w:t>
            </w:r>
            <w:r w:rsidR="006F198B">
              <w:t xml:space="preserve">disadvantage </w:t>
            </w:r>
            <w:r w:rsidR="00B664F4">
              <w:t>being</w:t>
            </w:r>
            <w:r>
              <w:t xml:space="preserve"> increase</w:t>
            </w:r>
            <w:r w:rsidR="00B664F4">
              <w:t>d</w:t>
            </w:r>
            <w:r>
              <w:t xml:space="preserve"> complexity (with little difference in impact compared to the recommended approach of strengthening the penalisation of total sugars) and disproportionate impact</w:t>
            </w:r>
            <w:r w:rsidR="00B664F4">
              <w:t xml:space="preserve"> on</w:t>
            </w:r>
            <w:r>
              <w:t xml:space="preserve"> products with very small amounts of added sugar</w:t>
            </w:r>
            <w:r w:rsidR="006F198B">
              <w:t>s</w:t>
            </w:r>
            <w:r>
              <w:t xml:space="preserve">. This </w:t>
            </w:r>
            <w:r w:rsidR="006F198B">
              <w:t>is</w:t>
            </w:r>
            <w:r>
              <w:t xml:space="preserve"> because a product with no added sugar</w:t>
            </w:r>
            <w:r w:rsidR="006F198B">
              <w:t>s</w:t>
            </w:r>
            <w:r>
              <w:t xml:space="preserve"> would use the 22 point sugars table</w:t>
            </w:r>
            <w:r w:rsidR="006F198B">
              <w:t>,</w:t>
            </w:r>
            <w:r>
              <w:t xml:space="preserve"> yet a product with any added sugar</w:t>
            </w:r>
            <w:r w:rsidR="00D36202">
              <w:t>s</w:t>
            </w:r>
            <w:r>
              <w:t xml:space="preserve"> (i.e. 2% added sugar</w:t>
            </w:r>
            <w:r w:rsidR="006F198B">
              <w:t>s</w:t>
            </w:r>
            <w:r>
              <w:t xml:space="preserve">) would use the 25 point sugars table. Options that use a sliding scale of total sugars and added sugars create further complexity and </w:t>
            </w:r>
            <w:r w:rsidR="00D36202">
              <w:t xml:space="preserve">provide </w:t>
            </w:r>
            <w:r>
              <w:t>little flexibility where the amount of added sugar</w:t>
            </w:r>
            <w:r w:rsidR="00D36202">
              <w:t>s</w:t>
            </w:r>
            <w:r>
              <w:t xml:space="preserve"> may</w:t>
            </w:r>
            <w:r w:rsidR="00D36202">
              <w:t xml:space="preserve"> vary</w:t>
            </w:r>
            <w:r>
              <w:t>.</w:t>
            </w:r>
          </w:p>
          <w:p w14:paraId="66B484ED" w14:textId="77777777" w:rsidR="00750858" w:rsidRPr="00CC1ADD" w:rsidRDefault="00750858" w:rsidP="006D135E">
            <w:pPr>
              <w:pStyle w:val="mpcNormal"/>
              <w:keepNext w:val="0"/>
              <w:widowControl w:val="0"/>
            </w:pPr>
          </w:p>
          <w:p w14:paraId="365C6E1C" w14:textId="77777777" w:rsidR="00750858" w:rsidRDefault="00750858" w:rsidP="006D135E">
            <w:pPr>
              <w:pStyle w:val="mpcNormal"/>
              <w:keepNext w:val="0"/>
              <w:widowControl w:val="0"/>
            </w:pPr>
            <w:r>
              <w:t>Other reasons the Review is proposing to strengthen the penalisation of total sugars rather than introduce the concept of added sugars include:</w:t>
            </w:r>
          </w:p>
          <w:p w14:paraId="12F9053C" w14:textId="77777777" w:rsidR="00750858" w:rsidRPr="00CC1ADD" w:rsidRDefault="00750858" w:rsidP="006D135E">
            <w:pPr>
              <w:pStyle w:val="mpcNormal"/>
              <w:keepNext w:val="0"/>
              <w:widowControl w:val="0"/>
            </w:pPr>
          </w:p>
          <w:p w14:paraId="764A9933" w14:textId="77777777" w:rsidR="00750858" w:rsidRPr="00CC1ADD" w:rsidRDefault="00750858" w:rsidP="00F720A0">
            <w:pPr>
              <w:pStyle w:val="mpcbullets1"/>
            </w:pPr>
            <w:r w:rsidRPr="00CC1ADD">
              <w:t>added sugars are already indirectly targeted in the HSR System by the inclusion of FVNL and protein in the Calculator, which offset the intrinsic sugars present in fruits and dairy products</w:t>
            </w:r>
          </w:p>
          <w:p w14:paraId="26E42188" w14:textId="1984EF95" w:rsidR="00750858" w:rsidRPr="00CC1ADD" w:rsidRDefault="00750858" w:rsidP="006D135E">
            <w:pPr>
              <w:pStyle w:val="mpcbullets2"/>
              <w:keepNext w:val="0"/>
              <w:widowControl w:val="0"/>
            </w:pPr>
            <w:r w:rsidRPr="00CC1ADD">
              <w:t>This is supported by modelling, which shows that changes to the strength of the total sugars table impact on discretionary foods and foods containing added sugars, including: breakfast cereals; muesli and cereal bars; sweetened flavoured milks and yoghurts; dairy</w:t>
            </w:r>
            <w:r w:rsidR="00064740">
              <w:t>-</w:t>
            </w:r>
            <w:r w:rsidRPr="00CC1ADD">
              <w:t>based desserts, cream cheeses, custards, ice creams; sugar-based desserts, sweet biscuits and cakes; ice creams; sugar-based confectionery; mayonnaise and savoury sauces.</w:t>
            </w:r>
          </w:p>
          <w:p w14:paraId="18E71661" w14:textId="32D13095" w:rsidR="00750858" w:rsidRPr="00CC1ADD" w:rsidRDefault="00750858" w:rsidP="00F720A0">
            <w:pPr>
              <w:pStyle w:val="mpcbullets1"/>
            </w:pPr>
            <w:r w:rsidRPr="00CC1ADD">
              <w:t xml:space="preserve">the NIP is legally required to display the amount of total sugars in a product </w:t>
            </w:r>
            <w:r w:rsidR="00EA54C6">
              <w:t>as ‘sugars’</w:t>
            </w:r>
          </w:p>
          <w:p w14:paraId="74525503" w14:textId="77777777" w:rsidR="00750858" w:rsidRPr="00750858" w:rsidRDefault="00750858" w:rsidP="006D135E">
            <w:pPr>
              <w:pStyle w:val="mpcbullets2"/>
              <w:keepNext w:val="0"/>
              <w:widowControl w:val="0"/>
            </w:pPr>
            <w:r>
              <w:t xml:space="preserve">In </w:t>
            </w:r>
            <w:r w:rsidRPr="00750858">
              <w:t xml:space="preserve">Australia and New Zealand there is currently no agreed definition of added sugars. </w:t>
            </w:r>
          </w:p>
          <w:p w14:paraId="159442C3" w14:textId="77777777" w:rsidR="00750858" w:rsidRPr="00750858" w:rsidRDefault="00750858" w:rsidP="006D135E">
            <w:pPr>
              <w:pStyle w:val="mpcbullets2"/>
              <w:keepNext w:val="0"/>
              <w:widowControl w:val="0"/>
            </w:pPr>
            <w:r w:rsidRPr="00750858">
              <w:t xml:space="preserve">Moving to added sugars in the HSR System would be a significant change and a potential barrier to uptake for industry (in terms of quantifying added sugars rather than total sugars). </w:t>
            </w:r>
          </w:p>
          <w:p w14:paraId="73D1F141" w14:textId="77777777" w:rsidR="00750858" w:rsidRPr="00750858" w:rsidRDefault="00750858" w:rsidP="006D135E">
            <w:pPr>
              <w:pStyle w:val="mpcbullets2"/>
              <w:keepNext w:val="0"/>
              <w:widowControl w:val="0"/>
            </w:pPr>
            <w:r w:rsidRPr="00750858">
              <w:t xml:space="preserve">There is currently no analytical method for measuring only the added sugars of a product, as this is indistinguishable when conducting a nutrient analysis. </w:t>
            </w:r>
          </w:p>
          <w:p w14:paraId="58213037" w14:textId="222112B9" w:rsidR="00750858" w:rsidRPr="00CC1ADD" w:rsidRDefault="00750858" w:rsidP="006D135E">
            <w:pPr>
              <w:pStyle w:val="mpcbullets2"/>
              <w:keepNext w:val="0"/>
            </w:pPr>
            <w:r w:rsidRPr="00750858">
              <w:t>Methods would be needed to quantify added sugars. Some stakeholders have noted that added sugars content may be estimated from ingredients lists and that both the United States and</w:t>
            </w:r>
            <w:r w:rsidRPr="00CC1ADD">
              <w:t xml:space="preserve"> the UK are exploring methods to quantify added sugars.</w:t>
            </w:r>
          </w:p>
          <w:p w14:paraId="0C439383" w14:textId="1BE7D5D0" w:rsidR="00750858" w:rsidRPr="00CC1ADD" w:rsidRDefault="00750858" w:rsidP="00F720A0">
            <w:pPr>
              <w:pStyle w:val="mpcbullets1"/>
            </w:pPr>
            <w:r w:rsidRPr="00CC1ADD">
              <w:t>claims regarding added sugar</w:t>
            </w:r>
            <w:r>
              <w:t>s</w:t>
            </w:r>
            <w:r w:rsidRPr="00CC1ADD">
              <w:t xml:space="preserve"> cannot be verified, either by industry or jurisdictions</w:t>
            </w:r>
            <w:r>
              <w:t xml:space="preserve">. While this is also a risk for positive nutrients such as FVNL and fibre, </w:t>
            </w:r>
            <w:r w:rsidR="00D36202">
              <w:t>the risk is less</w:t>
            </w:r>
            <w:r>
              <w:t xml:space="preserve"> significant </w:t>
            </w:r>
            <w:r w:rsidR="00D36202">
              <w:t>as</w:t>
            </w:r>
            <w:r>
              <w:t xml:space="preserve"> the influence of positive </w:t>
            </w:r>
            <w:r w:rsidR="00D36202">
              <w:t>components</w:t>
            </w:r>
            <w:r>
              <w:t xml:space="preserve"> on the calculation of </w:t>
            </w:r>
            <w:r w:rsidR="00D36202">
              <w:t>the HSR</w:t>
            </w:r>
            <w:r>
              <w:t xml:space="preserve"> is less than the influence of risk </w:t>
            </w:r>
            <w:r w:rsidR="00D36202">
              <w:t>components</w:t>
            </w:r>
            <w:r>
              <w:t xml:space="preserve"> such as sugar</w:t>
            </w:r>
            <w:r w:rsidR="00D36202">
              <w:t>s</w:t>
            </w:r>
            <w:r>
              <w:t xml:space="preserve"> (all other risk nutrients in the HSR Calculator are quantifiable and displayed </w:t>
            </w:r>
            <w:r w:rsidR="00EA54C6">
              <w:t>i</w:t>
            </w:r>
            <w:r>
              <w:t>n the NIP).</w:t>
            </w:r>
          </w:p>
          <w:p w14:paraId="177EC0CA" w14:textId="232A8BA7" w:rsidR="00750858" w:rsidRPr="00CC1ADD" w:rsidRDefault="00750858" w:rsidP="00F720A0">
            <w:pPr>
              <w:pStyle w:val="mpcbullets1"/>
            </w:pPr>
            <w:r w:rsidRPr="00CC1ADD">
              <w:t xml:space="preserve">the natural sugars content of some ingredients </w:t>
            </w:r>
            <w:r w:rsidR="00B005CA">
              <w:t>can vary depending on the season. Based on this variation, manufacturers may be required to vary the amount of</w:t>
            </w:r>
            <w:r w:rsidRPr="00CC1ADD">
              <w:t xml:space="preserve"> added sugar</w:t>
            </w:r>
            <w:r w:rsidR="00D36202">
              <w:t>s</w:t>
            </w:r>
            <w:r w:rsidRPr="00CC1ADD">
              <w:t xml:space="preserve"> in some foods, such that the added quantity cannot be consistently stated</w:t>
            </w:r>
          </w:p>
          <w:p w14:paraId="74B6C1B2" w14:textId="77777777" w:rsidR="00750858" w:rsidRPr="00CC1ADD" w:rsidRDefault="00750858" w:rsidP="00F720A0">
            <w:pPr>
              <w:pStyle w:val="mpcbullets1"/>
            </w:pPr>
            <w:r w:rsidRPr="00CC1ADD">
              <w:t>added sugars are chemically identical to intrinsic sugars and are processed by the body in the same way</w:t>
            </w:r>
            <w:r w:rsidRPr="00CC1ADD">
              <w:rPr>
                <w:vertAlign w:val="superscript"/>
              </w:rPr>
              <w:footnoteReference w:id="72"/>
            </w:r>
            <w:r w:rsidRPr="00CC1ADD">
              <w:t>, such that some argue they should not be treated differently.</w:t>
            </w:r>
          </w:p>
          <w:p w14:paraId="2231D256" w14:textId="77777777" w:rsidR="00750858" w:rsidRPr="00CC1ADD" w:rsidRDefault="00750858" w:rsidP="006D135E">
            <w:pPr>
              <w:pStyle w:val="mpcNormal"/>
              <w:keepNext w:val="0"/>
            </w:pPr>
          </w:p>
          <w:p w14:paraId="060A051F" w14:textId="186C4780" w:rsidR="00750858" w:rsidRPr="00CC1ADD" w:rsidRDefault="0086346E" w:rsidP="006D135E">
            <w:pPr>
              <w:pStyle w:val="mpcNormal"/>
              <w:keepNext w:val="0"/>
            </w:pPr>
            <w:r>
              <w:t>The Review notes that t</w:t>
            </w:r>
            <w:r w:rsidR="00750858" w:rsidRPr="00CC1ADD">
              <w:t xml:space="preserve">he </w:t>
            </w:r>
            <w:r w:rsidR="00750858">
              <w:t xml:space="preserve">FRSC </w:t>
            </w:r>
            <w:r w:rsidR="00750858" w:rsidRPr="00CC1ADD">
              <w:t>is currently investigating labelling approaches for providing information on added sugars in packaged foods and drinks for sale in Australia and New Zealand</w:t>
            </w:r>
            <w:r w:rsidR="00750858" w:rsidRPr="00CC1ADD">
              <w:rPr>
                <w:vertAlign w:val="superscript"/>
              </w:rPr>
              <w:footnoteReference w:id="73"/>
            </w:r>
            <w:r w:rsidR="00750858" w:rsidRPr="00CC1ADD">
              <w:t xml:space="preserve">. </w:t>
            </w:r>
          </w:p>
        </w:tc>
      </w:tr>
    </w:tbl>
    <w:p w14:paraId="60AAD9A0" w14:textId="77777777" w:rsidR="000A3464" w:rsidRPr="00CC1ADD" w:rsidRDefault="000A3464" w:rsidP="005A3631"/>
    <w:p w14:paraId="156BBD0C" w14:textId="77777777" w:rsidR="000A3464" w:rsidRPr="00CC1ADD" w:rsidRDefault="000A3464" w:rsidP="006D135E">
      <w:pPr>
        <w:pStyle w:val="mpcheading3"/>
      </w:pPr>
      <w:r w:rsidRPr="00CC1ADD">
        <w:t>Sodium</w:t>
      </w:r>
    </w:p>
    <w:p w14:paraId="61403ABE" w14:textId="77777777" w:rsidR="000A3464" w:rsidRPr="00CC1ADD" w:rsidRDefault="000A3464" w:rsidP="006D135E">
      <w:pPr>
        <w:pStyle w:val="mpcNormal"/>
        <w:keepNext w:val="0"/>
      </w:pPr>
      <w:bookmarkStart w:id="109" w:name="_Toc524530358"/>
    </w:p>
    <w:bookmarkEnd w:id="109"/>
    <w:p w14:paraId="781A6C81" w14:textId="5D15FBEF" w:rsidR="000A3464" w:rsidRPr="00CC1ADD" w:rsidRDefault="000A3464" w:rsidP="006D135E">
      <w:pPr>
        <w:pStyle w:val="mpcNormal"/>
        <w:keepNext w:val="0"/>
      </w:pPr>
      <w:r w:rsidRPr="00CC1ADD">
        <w:t>The HSR Calculator does not effectively discriminate between products within Categories 1 and 2 that have significantly different sodium levels. At levels greater than 900mg</w:t>
      </w:r>
      <w:r w:rsidR="00D36202">
        <w:t>/</w:t>
      </w:r>
      <w:r w:rsidRPr="00CC1ADD">
        <w:t xml:space="preserve">100g, a large change in sodium is required to have any impact on the baseline points a product receives for sodium content. This means that products could have quite different sodium levels but receive the same HSR. It may also be a disincentive for manufacturers to reformulate to reduce sodium, as large and unrealistic decreases may be required before an increase in the HSR is achieved. </w:t>
      </w:r>
    </w:p>
    <w:p w14:paraId="28C176C4" w14:textId="77777777" w:rsidR="000A3464" w:rsidRPr="00CC1ADD" w:rsidRDefault="000A3464" w:rsidP="006D135E">
      <w:pPr>
        <w:pStyle w:val="mpcNormal"/>
        <w:keepNext w:val="0"/>
      </w:pPr>
    </w:p>
    <w:p w14:paraId="20F6183E" w14:textId="77777777" w:rsidR="000A3464" w:rsidRPr="00CC1ADD" w:rsidRDefault="000A3464" w:rsidP="006D135E">
      <w:pPr>
        <w:pStyle w:val="mpcNormal"/>
        <w:keepNext w:val="0"/>
      </w:pPr>
      <w:r w:rsidRPr="00CC1ADD">
        <w:t xml:space="preserve">This is because, for HSR Categories 1 and 2, the NPSC table that allocates up to 10 baseline points for sodium content &gt; 900mg was extended to cover the entire food supply to a maximum of 30 baseline points for sodium content &gt; 8,106mg/100g. For Category 3, the table was extended to a maximum of 30 baseline points for sodium content &gt; 2,700mg/100g. </w:t>
      </w:r>
    </w:p>
    <w:p w14:paraId="1C0CD09A" w14:textId="77777777" w:rsidR="000A3464" w:rsidRPr="00CC1ADD" w:rsidRDefault="000A3464" w:rsidP="006D135E">
      <w:pPr>
        <w:pStyle w:val="mpcNormal"/>
        <w:keepNext w:val="0"/>
      </w:pPr>
    </w:p>
    <w:p w14:paraId="32AB61C3" w14:textId="2F6ED505" w:rsidR="000A3464" w:rsidRPr="00CC1ADD" w:rsidRDefault="000A3464" w:rsidP="006D135E">
      <w:pPr>
        <w:pStyle w:val="mpcNormal"/>
        <w:keepNext w:val="0"/>
      </w:pPr>
      <w:r w:rsidRPr="00CC1ADD">
        <w:t>Extending the tables to cover products with sodium content up to &gt; 8,106mg/100g results in large differences in sodium between the cut</w:t>
      </w:r>
      <w:r w:rsidRPr="00CC1ADD">
        <w:noBreakHyphen/>
        <w:t xml:space="preserve">offs for baseline points (i.e. a large change in sodium is required to have any impact on the baseline points a product receives for sodium content). However, the majority of products in the food supply have a sodium content &lt; 900mg/100g (only </w:t>
      </w:r>
      <w:r w:rsidR="00AE5CE0">
        <w:t>7</w:t>
      </w:r>
      <w:r w:rsidRPr="00CC1ADD">
        <w:t>% of products in the TAG database have a sodium content &gt; 900mg/100g), making this high upper limit unnecessary.</w:t>
      </w:r>
    </w:p>
    <w:p w14:paraId="73D24A0E" w14:textId="77777777" w:rsidR="000A3464" w:rsidRPr="00CC1ADD" w:rsidRDefault="000A3464" w:rsidP="006D135E">
      <w:pPr>
        <w:pStyle w:val="mpcNormal"/>
        <w:keepNext w:val="0"/>
      </w:pPr>
    </w:p>
    <w:p w14:paraId="65700195" w14:textId="77777777" w:rsidR="000A3464" w:rsidRPr="00CC1ADD" w:rsidRDefault="000A3464" w:rsidP="006D135E">
      <w:pPr>
        <w:pStyle w:val="mpcNormal"/>
        <w:keepNext w:val="0"/>
      </w:pPr>
      <w:r w:rsidRPr="00CC1ADD">
        <w:t xml:space="preserve">TAG modelling and stakeholder feedback has highlighted concerns regarding specific products high in sodium that present as outliers, i.e. are discretionary (and may be considered high in sodium) but receive an HSR of 3.5 or greater, including: </w:t>
      </w:r>
    </w:p>
    <w:p w14:paraId="14F98CC5" w14:textId="77777777" w:rsidR="000A3464" w:rsidRPr="00CC1ADD" w:rsidRDefault="000A3464" w:rsidP="006D135E">
      <w:pPr>
        <w:pStyle w:val="mpcNormal"/>
        <w:keepNext w:val="0"/>
      </w:pPr>
    </w:p>
    <w:p w14:paraId="449A1AA9" w14:textId="77777777" w:rsidR="000A3464" w:rsidRPr="00CC1ADD" w:rsidRDefault="000A3464" w:rsidP="00F720A0">
      <w:pPr>
        <w:pStyle w:val="mpcbullets1"/>
      </w:pPr>
      <w:r w:rsidRPr="00CC1ADD">
        <w:t>salty snacks (with a mean HSR of 3.5 and mean sodium content of 500mg/100g)</w:t>
      </w:r>
    </w:p>
    <w:p w14:paraId="66FDAEF7" w14:textId="22B26183" w:rsidR="000A3464" w:rsidRPr="00CC1ADD" w:rsidRDefault="000A3464" w:rsidP="00F720A0">
      <w:pPr>
        <w:pStyle w:val="mpcbullets1"/>
      </w:pPr>
      <w:r w:rsidRPr="00CC1ADD">
        <w:t>processed meats (with a mean HSR of 3.</w:t>
      </w:r>
      <w:r w:rsidR="00B664F4">
        <w:t>5</w:t>
      </w:r>
      <w:r w:rsidRPr="00CC1ADD">
        <w:t xml:space="preserve"> and mean sodium content of 740mg/100g)</w:t>
      </w:r>
    </w:p>
    <w:p w14:paraId="2D2E3750" w14:textId="262082B0" w:rsidR="000A3464" w:rsidRPr="00CC1ADD" w:rsidRDefault="000A3464" w:rsidP="00F720A0">
      <w:pPr>
        <w:pStyle w:val="mpcbullets1"/>
      </w:pPr>
      <w:r w:rsidRPr="00CC1ADD">
        <w:t>savo</w:t>
      </w:r>
      <w:r w:rsidR="00064740">
        <w:t>u</w:t>
      </w:r>
      <w:r w:rsidRPr="00CC1ADD">
        <w:t>ry sauces and gravies</w:t>
      </w:r>
    </w:p>
    <w:p w14:paraId="610CBC05" w14:textId="77777777" w:rsidR="000A3464" w:rsidRPr="00CC1ADD" w:rsidRDefault="000A3464" w:rsidP="00F720A0">
      <w:pPr>
        <w:pStyle w:val="mpcbullets1"/>
      </w:pPr>
      <w:r w:rsidRPr="00CC1ADD">
        <w:t>soups and stocks</w:t>
      </w:r>
    </w:p>
    <w:p w14:paraId="4096025A" w14:textId="77777777" w:rsidR="000A3464" w:rsidRPr="00CC1ADD" w:rsidRDefault="000A3464" w:rsidP="00F720A0">
      <w:pPr>
        <w:pStyle w:val="mpcbullets1"/>
      </w:pPr>
      <w:r w:rsidRPr="00CC1ADD">
        <w:t>dips, relishes and chutneys.</w:t>
      </w:r>
    </w:p>
    <w:p w14:paraId="55E51E2C" w14:textId="77777777" w:rsidR="000A3464" w:rsidRPr="00CC1ADD" w:rsidRDefault="000A3464" w:rsidP="006D135E">
      <w:pPr>
        <w:pStyle w:val="mpcNormal"/>
        <w:keepNext w:val="0"/>
      </w:pPr>
    </w:p>
    <w:p w14:paraId="51C351E7" w14:textId="14A0DF1D" w:rsidR="000A3464" w:rsidRPr="00CC1ADD" w:rsidRDefault="000A3464" w:rsidP="006D135E">
      <w:pPr>
        <w:pStyle w:val="mpcNormal"/>
        <w:keepNext w:val="0"/>
      </w:pPr>
      <w:r w:rsidRPr="00CC1ADD">
        <w:t xml:space="preserve">Separate research undertaken by the George Institute identified the following discretionary foods with products receiving an HSR of 3.5 or more but with sodium content &gt; 600mg/100g, (which would qualify as a red traffic light under the current UK </w:t>
      </w:r>
      <w:r w:rsidR="00BF11EE">
        <w:t>nutrient profiling model</w:t>
      </w:r>
      <w:r w:rsidRPr="00CC1ADD">
        <w:t xml:space="preserve">): ready to eat meals; pickled vegetables, relishes and chutneys; processed meats; sauces, liquid recipe bases, pasta sauces; vegetable-based dips, salsa; and salty snacks. This analysis also noted there were more discretionary products scoring HSR </w:t>
      </w:r>
      <w:r w:rsidRPr="00CC1ADD">
        <w:sym w:font="Symbol" w:char="F0B3"/>
      </w:r>
      <w:r w:rsidRPr="00CC1ADD">
        <w:t xml:space="preserve"> 3.5 with a red light for sodium (510), than a red light for saturated fat (235) or total sugars (296)</w:t>
      </w:r>
      <w:r w:rsidRPr="00CC1ADD">
        <w:rPr>
          <w:rStyle w:val="FootnoteReference"/>
        </w:rPr>
        <w:footnoteReference w:id="74"/>
      </w:r>
      <w:r w:rsidR="00B664F4">
        <w:t>.</w:t>
      </w:r>
    </w:p>
    <w:p w14:paraId="4D29F58A" w14:textId="21C69470" w:rsidR="000A3464" w:rsidRPr="00CC1ADD" w:rsidRDefault="000A3464" w:rsidP="006D135E">
      <w:pPr>
        <w:pStyle w:val="mpcNormal"/>
        <w:keepNext w:val="0"/>
      </w:pPr>
    </w:p>
    <w:tbl>
      <w:tblPr>
        <w:tblStyle w:val="TableGrid"/>
        <w:tblW w:w="0" w:type="auto"/>
        <w:tblLook w:val="04A0" w:firstRow="1" w:lastRow="0" w:firstColumn="1" w:lastColumn="0" w:noHBand="0" w:noVBand="1"/>
      </w:tblPr>
      <w:tblGrid>
        <w:gridCol w:w="9736"/>
      </w:tblGrid>
      <w:tr w:rsidR="00AC4451" w:rsidRPr="00CC1ADD" w14:paraId="465F9970" w14:textId="77777777" w:rsidTr="00317B7D">
        <w:trPr>
          <w:trHeight w:val="1417"/>
        </w:trPr>
        <w:tc>
          <w:tcPr>
            <w:tcW w:w="9736" w:type="dxa"/>
            <w:shd w:val="clear" w:color="auto" w:fill="D9E2F3" w:themeFill="accent1" w:themeFillTint="33"/>
            <w:vAlign w:val="center"/>
          </w:tcPr>
          <w:p w14:paraId="79978F41" w14:textId="52187F74" w:rsidR="00AC4451" w:rsidRPr="00C85324" w:rsidRDefault="00C85324" w:rsidP="006D135E">
            <w:pPr>
              <w:pStyle w:val="mpcNormal"/>
              <w:keepNext w:val="0"/>
              <w:ind w:left="2160" w:hanging="2160"/>
            </w:pPr>
            <w:r w:rsidRPr="006868BE">
              <w:rPr>
                <w:b/>
              </w:rPr>
              <w:t>Recommendation 4</w:t>
            </w:r>
            <w:r w:rsidR="00B005CA">
              <w:rPr>
                <w:b/>
              </w:rPr>
              <w:t>C</w:t>
            </w:r>
            <w:r w:rsidRPr="006868BE">
              <w:rPr>
                <w:b/>
              </w:rPr>
              <w:t xml:space="preserve">: </w:t>
            </w:r>
            <w:r w:rsidRPr="006868BE">
              <w:rPr>
                <w:b/>
              </w:rPr>
              <w:tab/>
              <w:t>Sodium sensitivity be improved for products high in sodium (by reducing the maximum sodium levels used to determine baseline points for sodium in Categories 1, 1D, 2 and 2D) to better reflect the range of sodium levels in the food supply.</w:t>
            </w:r>
          </w:p>
        </w:tc>
      </w:tr>
    </w:tbl>
    <w:p w14:paraId="5A3947BB" w14:textId="7D337EEF" w:rsidR="00AC4451" w:rsidRDefault="00AC4451" w:rsidP="005A3631">
      <w:pPr>
        <w:pStyle w:val="mpcNormal"/>
        <w:keepNext w:val="0"/>
      </w:pPr>
    </w:p>
    <w:p w14:paraId="196270D0" w14:textId="43B1FFFC" w:rsidR="000A3464" w:rsidRPr="00CC1ADD" w:rsidRDefault="000A3464" w:rsidP="005A3631">
      <w:pPr>
        <w:rPr>
          <w:sz w:val="22"/>
          <w:szCs w:val="22"/>
        </w:rPr>
      </w:pPr>
      <w:r w:rsidRPr="00CC1ADD">
        <w:rPr>
          <w:sz w:val="22"/>
          <w:szCs w:val="22"/>
        </w:rPr>
        <w:t xml:space="preserve">It is </w:t>
      </w:r>
      <w:r w:rsidR="004505FF" w:rsidRPr="00CC1ADD">
        <w:rPr>
          <w:sz w:val="22"/>
          <w:szCs w:val="22"/>
        </w:rPr>
        <w:t>recommended</w:t>
      </w:r>
      <w:r w:rsidRPr="00CC1ADD">
        <w:rPr>
          <w:sz w:val="22"/>
          <w:szCs w:val="22"/>
        </w:rPr>
        <w:t xml:space="preserve"> that changes be made to the HSR Calculator to reduce the upper limit of the sodium table for Categories 1</w:t>
      </w:r>
      <w:r w:rsidR="00317B7D">
        <w:rPr>
          <w:sz w:val="22"/>
          <w:szCs w:val="22"/>
        </w:rPr>
        <w:t>, 1D, 2</w:t>
      </w:r>
      <w:r w:rsidRPr="00CC1ADD">
        <w:rPr>
          <w:sz w:val="22"/>
          <w:szCs w:val="22"/>
        </w:rPr>
        <w:t xml:space="preserve"> and 2</w:t>
      </w:r>
      <w:r w:rsidR="00317B7D">
        <w:rPr>
          <w:sz w:val="22"/>
          <w:szCs w:val="22"/>
        </w:rPr>
        <w:t>D</w:t>
      </w:r>
      <w:r w:rsidRPr="00CC1ADD">
        <w:rPr>
          <w:sz w:val="22"/>
          <w:szCs w:val="22"/>
        </w:rPr>
        <w:t xml:space="preserve"> from a maximum of 30 baseline points for sodium content &gt; 8,106mg/100g to a maximum of 30 baseline points for sodium content &gt; 2,700mg/100g, as per the sodium table for Category 3. To retain alignment with the NPSC, there would be no changes to the sodium table below 900mg/100g. </w:t>
      </w:r>
    </w:p>
    <w:p w14:paraId="708E91BC" w14:textId="77777777" w:rsidR="000A3464" w:rsidRPr="00CC1ADD" w:rsidRDefault="000A3464">
      <w:pPr>
        <w:rPr>
          <w:sz w:val="22"/>
          <w:szCs w:val="22"/>
        </w:rPr>
      </w:pPr>
    </w:p>
    <w:p w14:paraId="2879BFA7" w14:textId="77777777" w:rsidR="000A3464" w:rsidRPr="00CC1ADD" w:rsidRDefault="000A3464">
      <w:pPr>
        <w:rPr>
          <w:sz w:val="22"/>
          <w:szCs w:val="22"/>
        </w:rPr>
      </w:pPr>
      <w:r w:rsidRPr="00CC1ADD">
        <w:rPr>
          <w:sz w:val="22"/>
          <w:szCs w:val="22"/>
        </w:rPr>
        <w:t>This approach:</w:t>
      </w:r>
    </w:p>
    <w:p w14:paraId="61BA21F0" w14:textId="77777777" w:rsidR="000A3464" w:rsidRPr="00CC1ADD" w:rsidRDefault="000A3464">
      <w:pPr>
        <w:rPr>
          <w:sz w:val="22"/>
          <w:szCs w:val="22"/>
        </w:rPr>
      </w:pPr>
    </w:p>
    <w:p w14:paraId="3CB4DDD6" w14:textId="77777777" w:rsidR="000A3464" w:rsidRPr="00CC1ADD" w:rsidRDefault="000A3464" w:rsidP="00F720A0">
      <w:pPr>
        <w:pStyle w:val="mpcbullets1"/>
      </w:pPr>
      <w:r w:rsidRPr="00CC1ADD">
        <w:t>would improve differentiation between products with different sodium levels</w:t>
      </w:r>
    </w:p>
    <w:p w14:paraId="01AF38EE" w14:textId="77777777" w:rsidR="000A3464" w:rsidRPr="00CC1ADD" w:rsidRDefault="000A3464" w:rsidP="0017608D">
      <w:pPr>
        <w:pStyle w:val="mpcbullets2"/>
        <w:keepNext w:val="0"/>
      </w:pPr>
      <w:r w:rsidRPr="00CC1ADD">
        <w:t>Improved sodium sensitivity for products with sodium content between 900mg/100g and 2,700mg/100g, means products in this range can incur baseline points faster.</w:t>
      </w:r>
    </w:p>
    <w:p w14:paraId="3A27C24D" w14:textId="77777777" w:rsidR="000A3464" w:rsidRPr="00CC1ADD" w:rsidRDefault="000A3464" w:rsidP="00F720A0">
      <w:pPr>
        <w:pStyle w:val="mpcbullets1"/>
      </w:pPr>
      <w:r w:rsidRPr="00CC1ADD">
        <w:t>provides some increased alignment with Dietary Guideline recommendations to limit intake of foods high in sodium</w:t>
      </w:r>
    </w:p>
    <w:p w14:paraId="2255D486" w14:textId="2CA29E2A" w:rsidR="000A3464" w:rsidRDefault="000A3464" w:rsidP="00F720A0">
      <w:pPr>
        <w:pStyle w:val="mpcbullets1"/>
      </w:pPr>
      <w:r w:rsidRPr="00CC1ADD">
        <w:t>would encourage reformulation in products with sodium levels &gt; 900mg/100g</w:t>
      </w:r>
    </w:p>
    <w:p w14:paraId="6395EC8A" w14:textId="47E27375" w:rsidR="008E630B" w:rsidRPr="0017608D" w:rsidRDefault="008E630B" w:rsidP="0017608D">
      <w:pPr>
        <w:pStyle w:val="mpcbullets2"/>
        <w:keepNext w:val="0"/>
      </w:pPr>
      <w:r w:rsidRPr="00851ECF">
        <w:t xml:space="preserve">Adjusting the sodium baseline points </w:t>
      </w:r>
      <w:r w:rsidR="00851ECF" w:rsidRPr="00851ECF">
        <w:t xml:space="preserve">to reduce the gap between cut offs above 900mg/100g </w:t>
      </w:r>
      <w:r w:rsidRPr="0017608D">
        <w:t>will</w:t>
      </w:r>
      <w:r w:rsidRPr="00851ECF">
        <w:t xml:space="preserve"> address feedback from industry that large gaps in baseline points are less likely to incentivise reformulation as the change required to pass cut-points is not practically or technologically feasible.</w:t>
      </w:r>
    </w:p>
    <w:p w14:paraId="51C6ED46" w14:textId="10DE6594" w:rsidR="000A3464" w:rsidRPr="00CC1ADD" w:rsidRDefault="000A3464" w:rsidP="00F720A0">
      <w:pPr>
        <w:pStyle w:val="mpcbullets1"/>
      </w:pPr>
      <w:r w:rsidRPr="00CC1ADD">
        <w:t xml:space="preserve">retains alignment with the NPSC and aligns the sodium tables across all HSR </w:t>
      </w:r>
      <w:r w:rsidR="00153CBD">
        <w:t>c</w:t>
      </w:r>
      <w:r w:rsidRPr="00CC1ADD">
        <w:t>ategories</w:t>
      </w:r>
    </w:p>
    <w:p w14:paraId="5789730A" w14:textId="77777777" w:rsidR="000A3464" w:rsidRPr="00CC1ADD" w:rsidRDefault="000A3464" w:rsidP="00F720A0">
      <w:pPr>
        <w:pStyle w:val="mpcbullets1"/>
      </w:pPr>
      <w:r w:rsidRPr="00CC1ADD">
        <w:t>would only impact products with sodium levels &gt; 900mg/100g, so will not necessitate changes to the HSRs of a wide range of products</w:t>
      </w:r>
    </w:p>
    <w:p w14:paraId="4F0F33F4" w14:textId="0FAF9484" w:rsidR="000A3464" w:rsidRPr="00CC1ADD" w:rsidRDefault="000A3464" w:rsidP="006D135E">
      <w:pPr>
        <w:pStyle w:val="mpcbullets2"/>
        <w:keepNext w:val="0"/>
      </w:pPr>
      <w:r w:rsidRPr="00CC1ADD">
        <w:t xml:space="preserve">1% (58) </w:t>
      </w:r>
      <w:r w:rsidR="00B005CA">
        <w:t xml:space="preserve">of </w:t>
      </w:r>
      <w:r w:rsidRPr="00CC1ADD">
        <w:t>products in the TAG database would see a decrease in their HSR of between 0.5 to 1.0 as a result of this change.</w:t>
      </w:r>
    </w:p>
    <w:p w14:paraId="1548F202" w14:textId="77777777" w:rsidR="000A3464" w:rsidRPr="00CC1ADD" w:rsidRDefault="000A3464" w:rsidP="006D135E">
      <w:pPr>
        <w:pStyle w:val="mpcbullets2"/>
        <w:keepNext w:val="0"/>
      </w:pPr>
      <w:r w:rsidRPr="00CC1ADD">
        <w:t>Products impacted include some savoury sauces, stocks, meal bases, processed meats and preserved vegetable products.</w:t>
      </w:r>
    </w:p>
    <w:p w14:paraId="2A78EC74" w14:textId="7A9C14C7" w:rsidR="000A3464" w:rsidRPr="00CC1ADD" w:rsidRDefault="000A3464" w:rsidP="00F720A0">
      <w:pPr>
        <w:pStyle w:val="mpcbullets1"/>
      </w:pPr>
      <w:r w:rsidRPr="00CC1ADD">
        <w:t>more appropriately reflects the range and frequency of sodium values in the food supply</w:t>
      </w:r>
      <w:r w:rsidR="00B664F4">
        <w:t>.</w:t>
      </w:r>
    </w:p>
    <w:p w14:paraId="7C13DAAE" w14:textId="77777777" w:rsidR="000A3464" w:rsidRPr="00CC1ADD" w:rsidRDefault="000A3464" w:rsidP="0017608D">
      <w:pPr>
        <w:pStyle w:val="mpcbullets2"/>
        <w:keepNext w:val="0"/>
      </w:pPr>
      <w:r w:rsidRPr="00CC1ADD">
        <w:t>Less than 1% of products in the TAG database have sodium content greater than 2,700mg/100g so there is little need for the sodium table to go beyond this level.</w:t>
      </w:r>
    </w:p>
    <w:p w14:paraId="20B93C6D" w14:textId="27F030AF" w:rsidR="000A3464" w:rsidRPr="0017608D" w:rsidRDefault="000A3464" w:rsidP="005A3631">
      <w:pPr>
        <w:rPr>
          <w:sz w:val="22"/>
          <w:szCs w:val="22"/>
        </w:rPr>
      </w:pPr>
    </w:p>
    <w:p w14:paraId="4DC19AAD" w14:textId="2EF7CB9B" w:rsidR="00851ECF" w:rsidRPr="00761CA4" w:rsidRDefault="00BF7A8D" w:rsidP="005A3631">
      <w:pPr>
        <w:rPr>
          <w:sz w:val="22"/>
          <w:szCs w:val="22"/>
        </w:rPr>
      </w:pPr>
      <w:r w:rsidRPr="0017608D">
        <w:rPr>
          <w:sz w:val="22"/>
          <w:szCs w:val="22"/>
        </w:rPr>
        <w:t xml:space="preserve">This approach does not however, address the issue of salty snacks (as outlined in the </w:t>
      </w:r>
      <w:hyperlink r:id="rId65" w:history="1">
        <w:r w:rsidRPr="0017608D">
          <w:rPr>
            <w:rStyle w:val="Hyperlink"/>
            <w:sz w:val="22"/>
            <w:szCs w:val="22"/>
          </w:rPr>
          <w:t>October 2018 Consultation Paper</w:t>
        </w:r>
      </w:hyperlink>
      <w:r w:rsidRPr="0017608D">
        <w:rPr>
          <w:sz w:val="22"/>
          <w:szCs w:val="22"/>
        </w:rPr>
        <w:t>)</w:t>
      </w:r>
      <w:r w:rsidR="00B664F4">
        <w:rPr>
          <w:sz w:val="22"/>
          <w:szCs w:val="22"/>
        </w:rPr>
        <w:t>. R</w:t>
      </w:r>
      <w:r w:rsidR="00851ECF" w:rsidRPr="00761CA4">
        <w:rPr>
          <w:sz w:val="22"/>
          <w:szCs w:val="22"/>
        </w:rPr>
        <w:t xml:space="preserve">efer </w:t>
      </w:r>
      <w:r w:rsidR="00851ECF" w:rsidRPr="00761CA4">
        <w:rPr>
          <w:sz w:val="22"/>
          <w:szCs w:val="22"/>
          <w:u w:val="single"/>
        </w:rPr>
        <w:t xml:space="preserve">Appendix </w:t>
      </w:r>
      <w:r w:rsidR="009B0396">
        <w:rPr>
          <w:sz w:val="22"/>
          <w:szCs w:val="22"/>
          <w:u w:val="single"/>
        </w:rPr>
        <w:t>D</w:t>
      </w:r>
      <w:r w:rsidR="00851ECF" w:rsidRPr="00761CA4">
        <w:rPr>
          <w:sz w:val="22"/>
          <w:szCs w:val="22"/>
        </w:rPr>
        <w:t xml:space="preserve"> for more information.</w:t>
      </w:r>
    </w:p>
    <w:p w14:paraId="1EDE80E0" w14:textId="77777777" w:rsidR="00851ECF" w:rsidRPr="00761CA4" w:rsidRDefault="00851ECF" w:rsidP="005A3631">
      <w:pPr>
        <w:rPr>
          <w:sz w:val="22"/>
          <w:szCs w:val="22"/>
        </w:rPr>
      </w:pPr>
    </w:p>
    <w:p w14:paraId="448861FF" w14:textId="714E9711" w:rsidR="00BF7A8D" w:rsidRPr="0017608D" w:rsidRDefault="00761CA4" w:rsidP="005A3631">
      <w:pPr>
        <w:rPr>
          <w:sz w:val="22"/>
          <w:szCs w:val="22"/>
        </w:rPr>
      </w:pPr>
      <w:r>
        <w:rPr>
          <w:sz w:val="22"/>
          <w:szCs w:val="22"/>
        </w:rPr>
        <w:t xml:space="preserve">A number of stakeholders have supported this recommendation noting that the changes below the 900mg/100g level should also be explored. </w:t>
      </w:r>
      <w:r w:rsidR="00851ECF" w:rsidRPr="00761CA4">
        <w:rPr>
          <w:sz w:val="22"/>
          <w:szCs w:val="22"/>
        </w:rPr>
        <w:t>A</w:t>
      </w:r>
      <w:r w:rsidR="00BF7A8D" w:rsidRPr="0017608D">
        <w:rPr>
          <w:sz w:val="22"/>
          <w:szCs w:val="22"/>
        </w:rPr>
        <w:t>n ‘</w:t>
      </w:r>
      <w:r w:rsidR="00851ECF" w:rsidRPr="00761CA4">
        <w:rPr>
          <w:sz w:val="22"/>
          <w:szCs w:val="22"/>
        </w:rPr>
        <w:t>a</w:t>
      </w:r>
      <w:r w:rsidR="00BF7A8D" w:rsidRPr="0017608D">
        <w:rPr>
          <w:sz w:val="22"/>
          <w:szCs w:val="22"/>
        </w:rPr>
        <w:t xml:space="preserve">dditional option’ to more strongly penalise sodium below </w:t>
      </w:r>
      <w:r>
        <w:rPr>
          <w:sz w:val="22"/>
          <w:szCs w:val="22"/>
        </w:rPr>
        <w:t>this</w:t>
      </w:r>
      <w:r w:rsidR="00BF7A8D" w:rsidRPr="0017608D">
        <w:rPr>
          <w:sz w:val="22"/>
          <w:szCs w:val="22"/>
        </w:rPr>
        <w:t xml:space="preserve"> level has been outlined below.</w:t>
      </w:r>
    </w:p>
    <w:p w14:paraId="6D7281DD" w14:textId="77777777" w:rsidR="00BF7A8D" w:rsidRPr="0017608D" w:rsidRDefault="00BF7A8D">
      <w:pPr>
        <w:rPr>
          <w:sz w:val="22"/>
          <w:szCs w:val="22"/>
        </w:rPr>
      </w:pPr>
    </w:p>
    <w:tbl>
      <w:tblPr>
        <w:tblStyle w:val="TableGrid"/>
        <w:tblW w:w="0" w:type="auto"/>
        <w:tblLook w:val="04A0" w:firstRow="1" w:lastRow="0" w:firstColumn="1" w:lastColumn="0" w:noHBand="0" w:noVBand="1"/>
      </w:tblPr>
      <w:tblGrid>
        <w:gridCol w:w="9736"/>
      </w:tblGrid>
      <w:tr w:rsidR="000A3464" w:rsidRPr="00CC1ADD" w14:paraId="2A02CD83" w14:textId="77777777" w:rsidTr="00BF7A8D">
        <w:tc>
          <w:tcPr>
            <w:tcW w:w="9736" w:type="dxa"/>
            <w:shd w:val="clear" w:color="auto" w:fill="F2F2F2" w:themeFill="background1" w:themeFillShade="F2"/>
            <w:vAlign w:val="center"/>
          </w:tcPr>
          <w:p w14:paraId="7D4FD4C5" w14:textId="4E4D262E" w:rsidR="000A3464" w:rsidRPr="00CC1ADD" w:rsidRDefault="000A3464" w:rsidP="00CD1F86">
            <w:pPr>
              <w:rPr>
                <w:b/>
                <w:sz w:val="22"/>
                <w:szCs w:val="22"/>
              </w:rPr>
            </w:pPr>
            <w:r w:rsidRPr="00CC1ADD">
              <w:rPr>
                <w:b/>
                <w:sz w:val="22"/>
                <w:szCs w:val="22"/>
              </w:rPr>
              <w:t xml:space="preserve">Additional option: </w:t>
            </w:r>
            <w:r w:rsidRPr="00CC1ADD">
              <w:rPr>
                <w:rFonts w:cstheme="minorHAnsi"/>
                <w:b/>
                <w:sz w:val="22"/>
                <w:szCs w:val="22"/>
              </w:rPr>
              <w:t xml:space="preserve">More strongly penalise sodium by revising the sodium points tables for all HSR </w:t>
            </w:r>
            <w:r w:rsidR="00153CBD">
              <w:rPr>
                <w:rFonts w:cstheme="minorHAnsi"/>
                <w:b/>
                <w:sz w:val="22"/>
                <w:szCs w:val="22"/>
              </w:rPr>
              <w:t>c</w:t>
            </w:r>
            <w:r w:rsidRPr="00CC1ADD">
              <w:rPr>
                <w:rFonts w:cstheme="minorHAnsi"/>
                <w:b/>
                <w:sz w:val="22"/>
                <w:szCs w:val="22"/>
              </w:rPr>
              <w:t>ategories to align with the 2017 update to the sodium Nutrient Reference Value.</w:t>
            </w:r>
          </w:p>
          <w:p w14:paraId="7AA28C17" w14:textId="77777777" w:rsidR="000A3464" w:rsidRPr="00CC1ADD" w:rsidRDefault="000A3464" w:rsidP="00CD1F86">
            <w:pPr>
              <w:rPr>
                <w:sz w:val="22"/>
                <w:szCs w:val="22"/>
              </w:rPr>
            </w:pPr>
          </w:p>
          <w:p w14:paraId="48E53861" w14:textId="00BE9EB0" w:rsidR="000A3464" w:rsidRPr="00CC1ADD" w:rsidRDefault="000A3464" w:rsidP="00CD1F86">
            <w:pPr>
              <w:rPr>
                <w:sz w:val="22"/>
                <w:szCs w:val="22"/>
              </w:rPr>
            </w:pPr>
            <w:r w:rsidRPr="00CC1ADD">
              <w:rPr>
                <w:sz w:val="22"/>
                <w:szCs w:val="22"/>
              </w:rPr>
              <w:t>While the recommendation to decrease the maximum sodium levels used to determine baseline points for sodium addresses the issue in products high in sodium, it does not impact on products with less than 900mg of sodium (which represents approximately 9</w:t>
            </w:r>
            <w:r w:rsidR="00AE5CE0">
              <w:rPr>
                <w:sz w:val="22"/>
                <w:szCs w:val="22"/>
              </w:rPr>
              <w:t>3</w:t>
            </w:r>
            <w:r w:rsidRPr="00CC1ADD">
              <w:rPr>
                <w:sz w:val="22"/>
                <w:szCs w:val="22"/>
              </w:rPr>
              <w:t>% of the food supply). In order to address outliers such as salty snacks and processed meats, changes would need to be made to the sodium table below the 900mg level.</w:t>
            </w:r>
          </w:p>
          <w:p w14:paraId="1CB0BBFB" w14:textId="77777777" w:rsidR="000A3464" w:rsidRPr="00CC1ADD" w:rsidRDefault="000A3464" w:rsidP="005A3631">
            <w:pPr>
              <w:rPr>
                <w:sz w:val="22"/>
                <w:szCs w:val="22"/>
              </w:rPr>
            </w:pPr>
          </w:p>
          <w:p w14:paraId="43283E63" w14:textId="77777777" w:rsidR="000A3464" w:rsidRPr="00CC1ADD" w:rsidRDefault="000A3464">
            <w:pPr>
              <w:rPr>
                <w:sz w:val="22"/>
                <w:szCs w:val="22"/>
              </w:rPr>
            </w:pPr>
            <w:r w:rsidRPr="00CC1ADD">
              <w:rPr>
                <w:sz w:val="22"/>
                <w:szCs w:val="22"/>
              </w:rPr>
              <w:t>A number of stakeholders responding to the Consultation Paper proposed that, in addition to the above option, the sodium tables could be updated to reflect the recently updated sodium Nutrient Reference Values (NRVs).</w:t>
            </w:r>
          </w:p>
          <w:p w14:paraId="79EE2A43" w14:textId="77777777" w:rsidR="000A3464" w:rsidRPr="00CC1ADD" w:rsidRDefault="000A3464">
            <w:pPr>
              <w:rPr>
                <w:sz w:val="22"/>
                <w:szCs w:val="22"/>
              </w:rPr>
            </w:pPr>
          </w:p>
          <w:p w14:paraId="40D8456D" w14:textId="2BA5A42D" w:rsidR="000A3464" w:rsidRPr="00CC1ADD" w:rsidRDefault="000A3464">
            <w:pPr>
              <w:rPr>
                <w:sz w:val="22"/>
                <w:szCs w:val="22"/>
              </w:rPr>
            </w:pPr>
            <w:r w:rsidRPr="00CC1ADD">
              <w:rPr>
                <w:sz w:val="22"/>
                <w:szCs w:val="22"/>
              </w:rPr>
              <w:t xml:space="preserve">The NRVs are a set of recommendations for nutritional intake </w:t>
            </w:r>
            <w:r w:rsidR="00D94638">
              <w:rPr>
                <w:sz w:val="22"/>
                <w:szCs w:val="22"/>
              </w:rPr>
              <w:t>based on currently available scientific evidence</w:t>
            </w:r>
            <w:r w:rsidRPr="00CC1ADD">
              <w:rPr>
                <w:sz w:val="22"/>
                <w:szCs w:val="22"/>
              </w:rPr>
              <w:t xml:space="preserve">. </w:t>
            </w:r>
          </w:p>
          <w:p w14:paraId="43EC2E74" w14:textId="77777777" w:rsidR="000A3464" w:rsidRPr="00CC1ADD" w:rsidRDefault="000A3464">
            <w:pPr>
              <w:rPr>
                <w:sz w:val="22"/>
                <w:szCs w:val="22"/>
              </w:rPr>
            </w:pPr>
          </w:p>
          <w:p w14:paraId="56BEF966" w14:textId="7B1CEFE1" w:rsidR="000A3464" w:rsidRPr="00CC1ADD" w:rsidRDefault="000A3464">
            <w:pPr>
              <w:rPr>
                <w:sz w:val="22"/>
                <w:szCs w:val="22"/>
              </w:rPr>
            </w:pPr>
            <w:r w:rsidRPr="00CC1ADD">
              <w:rPr>
                <w:sz w:val="22"/>
                <w:szCs w:val="22"/>
              </w:rPr>
              <w:t>In July 2017,</w:t>
            </w:r>
            <w:r w:rsidR="00EA54C6">
              <w:rPr>
                <w:sz w:val="22"/>
                <w:szCs w:val="22"/>
              </w:rPr>
              <w:t xml:space="preserve"> some of</w:t>
            </w:r>
            <w:r w:rsidRPr="00CC1ADD">
              <w:rPr>
                <w:sz w:val="22"/>
                <w:szCs w:val="22"/>
              </w:rPr>
              <w:t xml:space="preserve"> the NRV</w:t>
            </w:r>
            <w:r w:rsidR="00EA54C6">
              <w:rPr>
                <w:sz w:val="22"/>
                <w:szCs w:val="22"/>
              </w:rPr>
              <w:t>s</w:t>
            </w:r>
            <w:r w:rsidRPr="00CC1ADD">
              <w:rPr>
                <w:sz w:val="22"/>
                <w:szCs w:val="22"/>
              </w:rPr>
              <w:t xml:space="preserve"> for sodium w</w:t>
            </w:r>
            <w:r w:rsidR="00EA54C6">
              <w:rPr>
                <w:sz w:val="22"/>
                <w:szCs w:val="22"/>
              </w:rPr>
              <w:t>ere</w:t>
            </w:r>
            <w:r w:rsidRPr="00CC1ADD">
              <w:rPr>
                <w:sz w:val="22"/>
                <w:szCs w:val="22"/>
              </w:rPr>
              <w:t xml:space="preserve"> revised by the NHMRC. The previous recommendation to limit sodium intake to less than 2,300mg per day was </w:t>
            </w:r>
            <w:r w:rsidR="00EA54C6">
              <w:rPr>
                <w:sz w:val="22"/>
                <w:szCs w:val="22"/>
              </w:rPr>
              <w:t xml:space="preserve">removed and replaced by a </w:t>
            </w:r>
            <w:r w:rsidRPr="00CC1ADD">
              <w:rPr>
                <w:sz w:val="22"/>
                <w:szCs w:val="22"/>
              </w:rPr>
              <w:t>revised Suggested Dietary Target (SDT) of 2,000mg of sodium per day.</w:t>
            </w:r>
            <w:r w:rsidRPr="00CC1ADD">
              <w:rPr>
                <w:rStyle w:val="FootnoteReference"/>
                <w:sz w:val="22"/>
                <w:szCs w:val="22"/>
              </w:rPr>
              <w:footnoteReference w:id="75"/>
            </w:r>
            <w:r w:rsidRPr="00CC1ADD">
              <w:rPr>
                <w:sz w:val="22"/>
                <w:szCs w:val="22"/>
              </w:rPr>
              <w:t xml:space="preserve"> </w:t>
            </w:r>
          </w:p>
          <w:p w14:paraId="77728F0D" w14:textId="77777777" w:rsidR="000A3464" w:rsidRPr="00CC1ADD" w:rsidRDefault="000A3464">
            <w:pPr>
              <w:autoSpaceDE w:val="0"/>
              <w:autoSpaceDN w:val="0"/>
              <w:adjustRightInd w:val="0"/>
              <w:rPr>
                <w:sz w:val="22"/>
                <w:szCs w:val="22"/>
              </w:rPr>
            </w:pPr>
          </w:p>
          <w:p w14:paraId="00E6CD21" w14:textId="3CE54377" w:rsidR="000A3464" w:rsidRPr="00CC1ADD" w:rsidRDefault="000A3464">
            <w:pPr>
              <w:autoSpaceDE w:val="0"/>
              <w:autoSpaceDN w:val="0"/>
              <w:adjustRightInd w:val="0"/>
              <w:rPr>
                <w:sz w:val="22"/>
                <w:szCs w:val="22"/>
              </w:rPr>
            </w:pPr>
            <w:r w:rsidRPr="00CC1ADD">
              <w:rPr>
                <w:sz w:val="22"/>
                <w:szCs w:val="22"/>
              </w:rPr>
              <w:t xml:space="preserve">FSANZ is currently </w:t>
            </w:r>
            <w:r w:rsidR="00EA54C6">
              <w:rPr>
                <w:sz w:val="22"/>
                <w:szCs w:val="22"/>
              </w:rPr>
              <w:t>preparing</w:t>
            </w:r>
            <w:r w:rsidR="00EA54C6" w:rsidRPr="00CC1ADD">
              <w:rPr>
                <w:sz w:val="22"/>
                <w:szCs w:val="22"/>
              </w:rPr>
              <w:t xml:space="preserve"> </w:t>
            </w:r>
            <w:r w:rsidRPr="00CC1ADD">
              <w:rPr>
                <w:sz w:val="22"/>
                <w:szCs w:val="22"/>
              </w:rPr>
              <w:t>a proposal to review and update the regulatory NRVs used in the Code.</w:t>
            </w:r>
            <w:r w:rsidRPr="00CC1ADD">
              <w:rPr>
                <w:rStyle w:val="FootnoteReference"/>
                <w:sz w:val="22"/>
                <w:szCs w:val="22"/>
              </w:rPr>
              <w:footnoteReference w:id="76"/>
            </w:r>
            <w:r w:rsidRPr="00CC1ADD">
              <w:rPr>
                <w:sz w:val="22"/>
                <w:szCs w:val="22"/>
              </w:rPr>
              <w:t xml:space="preserve"> </w:t>
            </w:r>
          </w:p>
          <w:p w14:paraId="31581194" w14:textId="77777777" w:rsidR="000A3464" w:rsidRPr="00CC1ADD" w:rsidRDefault="000A3464">
            <w:pPr>
              <w:rPr>
                <w:sz w:val="22"/>
                <w:szCs w:val="22"/>
              </w:rPr>
            </w:pPr>
          </w:p>
          <w:p w14:paraId="1AA72326" w14:textId="0C981F61" w:rsidR="000A3464" w:rsidRPr="00CC1ADD" w:rsidRDefault="000A3464">
            <w:pPr>
              <w:rPr>
                <w:sz w:val="22"/>
                <w:szCs w:val="22"/>
              </w:rPr>
            </w:pPr>
            <w:r w:rsidRPr="00CC1ADD">
              <w:rPr>
                <w:sz w:val="22"/>
                <w:szCs w:val="22"/>
              </w:rPr>
              <w:t xml:space="preserve">One option under consideration by the Review is revising the sodium points tables in the HSR System based on the updated sodium </w:t>
            </w:r>
            <w:r w:rsidR="00D94638">
              <w:rPr>
                <w:sz w:val="22"/>
                <w:szCs w:val="22"/>
              </w:rPr>
              <w:t>SDT</w:t>
            </w:r>
            <w:r w:rsidR="00D94638" w:rsidRPr="00CC1ADD">
              <w:rPr>
                <w:sz w:val="22"/>
                <w:szCs w:val="22"/>
              </w:rPr>
              <w:t xml:space="preserve"> </w:t>
            </w:r>
            <w:r w:rsidRPr="00CC1ADD">
              <w:rPr>
                <w:sz w:val="22"/>
                <w:szCs w:val="22"/>
              </w:rPr>
              <w:t xml:space="preserve">of 2,000mg per day (see </w:t>
            </w:r>
            <w:r w:rsidRPr="00CC1ADD">
              <w:rPr>
                <w:sz w:val="22"/>
                <w:szCs w:val="22"/>
                <w:u w:val="single"/>
              </w:rPr>
              <w:t xml:space="preserve">Appendix </w:t>
            </w:r>
            <w:r w:rsidR="00AC4451" w:rsidRPr="00CC1ADD">
              <w:rPr>
                <w:sz w:val="22"/>
                <w:szCs w:val="22"/>
                <w:u w:val="single"/>
              </w:rPr>
              <w:t>D</w:t>
            </w:r>
            <w:r w:rsidRPr="00CC1ADD">
              <w:rPr>
                <w:sz w:val="22"/>
                <w:szCs w:val="22"/>
              </w:rPr>
              <w:t xml:space="preserve">). </w:t>
            </w:r>
            <w:r w:rsidRPr="00CC1ADD">
              <w:rPr>
                <w:rFonts w:cstheme="minorHAnsi"/>
                <w:sz w:val="22"/>
                <w:szCs w:val="22"/>
              </w:rPr>
              <w:t xml:space="preserve">The revised sodium points table could be applied across all HSR </w:t>
            </w:r>
            <w:r w:rsidR="00153CBD">
              <w:rPr>
                <w:rFonts w:cstheme="minorHAnsi"/>
                <w:sz w:val="22"/>
                <w:szCs w:val="22"/>
              </w:rPr>
              <w:t>c</w:t>
            </w:r>
            <w:r w:rsidRPr="00CC1ADD">
              <w:rPr>
                <w:rFonts w:cstheme="minorHAnsi"/>
                <w:sz w:val="22"/>
                <w:szCs w:val="22"/>
              </w:rPr>
              <w:t>ategories, improving consistency across the System and increasing consumers’ ability to differentiate between foods based on sodium.</w:t>
            </w:r>
          </w:p>
          <w:p w14:paraId="1F3B2533" w14:textId="3B7F685F" w:rsidR="000A3464" w:rsidRPr="00CC1ADD" w:rsidRDefault="000A3464" w:rsidP="00CD1F86">
            <w:pPr>
              <w:pStyle w:val="mpcNormal"/>
              <w:keepNext w:val="0"/>
            </w:pPr>
          </w:p>
          <w:p w14:paraId="3B0ED99A" w14:textId="77777777" w:rsidR="000A3464" w:rsidRPr="00CC1ADD" w:rsidRDefault="000A3464" w:rsidP="00CD1F86">
            <w:pPr>
              <w:pStyle w:val="mpcNormal"/>
              <w:keepNext w:val="0"/>
            </w:pPr>
            <w:r w:rsidRPr="00CC1ADD">
              <w:t>Based on TAG modelling, this change would decrease the HSRs for 20% of the foods in the TAG database, with a maximum decrease of 1.5 stars across a range of product categories. Most (90%) of the products would only decrease by 0.5 and only seven products would see the maximum decrease of 1.5, (including two breakfast cereals, an extruded snack, a yeast spread, two processed meats and a meat substitute).</w:t>
            </w:r>
          </w:p>
          <w:p w14:paraId="43BEB064" w14:textId="77777777" w:rsidR="000A3464" w:rsidRPr="00CC1ADD" w:rsidRDefault="000A3464" w:rsidP="00CD1F86">
            <w:pPr>
              <w:pStyle w:val="mpcNormal"/>
              <w:keepNext w:val="0"/>
            </w:pPr>
          </w:p>
          <w:p w14:paraId="0581BA68" w14:textId="77777777" w:rsidR="000A3464" w:rsidRPr="00CC1ADD" w:rsidRDefault="000A3464" w:rsidP="00CD1F86">
            <w:pPr>
              <w:pStyle w:val="mpcNormal"/>
              <w:keepNext w:val="0"/>
            </w:pPr>
            <w:r w:rsidRPr="00CC1ADD">
              <w:t>Products impacted would include FFG foods such as: breads, breakfast cereals, pastas and grains, yoghurts and cheeses, meats and fish, nuts and processed vegetables.</w:t>
            </w:r>
          </w:p>
          <w:p w14:paraId="5CD8E598" w14:textId="77777777" w:rsidR="000A3464" w:rsidRPr="00CC1ADD" w:rsidRDefault="000A3464" w:rsidP="00CD1F86">
            <w:pPr>
              <w:pStyle w:val="mpcNormal"/>
              <w:keepNext w:val="0"/>
            </w:pPr>
          </w:p>
          <w:p w14:paraId="07ECF2CE" w14:textId="77777777" w:rsidR="000A3464" w:rsidRPr="00CC1ADD" w:rsidRDefault="000A3464" w:rsidP="005A3631">
            <w:pPr>
              <w:pStyle w:val="mpcNormal"/>
              <w:keepNext w:val="0"/>
            </w:pPr>
            <w:r w:rsidRPr="00CC1ADD">
              <w:t>While this impacts on a number of FFG foods, these foods represent the key sources of sodium in Australian diets. In 2011-12, 25% sodium intake in Australian adults came from cereal-based products and dishes (mostly mixed dishes where cereal is the major component), 18% from cereal and cereal products (mainly bread), 18% from meat and poultry and 8% from milk products and dishes (including cheese); compared to only 2% from snack foods.</w:t>
            </w:r>
            <w:r w:rsidRPr="00CC1ADD">
              <w:rPr>
                <w:rStyle w:val="FootnoteReference"/>
                <w:sz w:val="22"/>
              </w:rPr>
              <w:footnoteReference w:id="77"/>
            </w:r>
          </w:p>
          <w:p w14:paraId="282B829C" w14:textId="77777777" w:rsidR="000A3464" w:rsidRPr="00CC1ADD" w:rsidRDefault="000A3464">
            <w:pPr>
              <w:pStyle w:val="mpcNormal"/>
              <w:keepNext w:val="0"/>
            </w:pPr>
          </w:p>
          <w:p w14:paraId="283E4FDF" w14:textId="77777777" w:rsidR="000A3464" w:rsidRPr="00851ECF" w:rsidRDefault="000A3464">
            <w:pPr>
              <w:pStyle w:val="mpcNormal"/>
              <w:keepNext w:val="0"/>
            </w:pPr>
            <w:r w:rsidRPr="00CC1ADD">
              <w:t>This change would also impact a number of other products including: bakery/cake products, biscuits, snacks (such as muesli bars and salty snacks), dips, desserts, sauces and condiments, soups and stocks and fats</w:t>
            </w:r>
            <w:r w:rsidRPr="00851ECF">
              <w:t>, oils and spreads.</w:t>
            </w:r>
          </w:p>
          <w:p w14:paraId="798AF680" w14:textId="4EC140D0" w:rsidR="000A3464" w:rsidRPr="00851ECF" w:rsidRDefault="000A3464">
            <w:pPr>
              <w:pStyle w:val="mpcNormal"/>
              <w:keepNext w:val="0"/>
            </w:pPr>
          </w:p>
          <w:p w14:paraId="66E04673" w14:textId="3265131D" w:rsidR="008E630B" w:rsidRDefault="008E630B">
            <w:pPr>
              <w:pStyle w:val="mpcNormal"/>
              <w:keepNext w:val="0"/>
            </w:pPr>
            <w:r w:rsidRPr="00851ECF">
              <w:t xml:space="preserve">A disadvantage of this option is that this would impact on 76% (23/30) of the draft sodium reformulation targets under the </w:t>
            </w:r>
            <w:r w:rsidR="00612D78" w:rsidRPr="00851ECF">
              <w:t xml:space="preserve">Australian </w:t>
            </w:r>
            <w:r w:rsidRPr="00851ECF">
              <w:t>Healthy Food Partnership. This may, in effect, reduce the incentives for manufacturers to reformulate to reduce sodium</w:t>
            </w:r>
            <w:r w:rsidR="00851ECF" w:rsidRPr="00851ECF">
              <w:t xml:space="preserve"> unless further changes were made to the reformulation targets</w:t>
            </w:r>
            <w:r w:rsidRPr="00851ECF">
              <w:t>.</w:t>
            </w:r>
          </w:p>
          <w:p w14:paraId="01DAE038" w14:textId="77777777" w:rsidR="008E630B" w:rsidRPr="00CC1ADD" w:rsidRDefault="008E630B">
            <w:pPr>
              <w:pStyle w:val="mpcNormal"/>
              <w:keepNext w:val="0"/>
            </w:pPr>
          </w:p>
          <w:p w14:paraId="631F7A31" w14:textId="54589BA9" w:rsidR="000A3464" w:rsidRPr="00CC1ADD" w:rsidRDefault="008E630B">
            <w:pPr>
              <w:pStyle w:val="mpcNormal"/>
              <w:keepNext w:val="0"/>
            </w:pPr>
            <w:r>
              <w:t>However, g</w:t>
            </w:r>
            <w:r w:rsidR="000A3464" w:rsidRPr="00CC1ADD">
              <w:t xml:space="preserve">iven that the Global Burden of Disease study found that diet was a risk factor in 20% of deaths worldwide in 2017, with a diet high in sodium the most significant risk factor, </w:t>
            </w:r>
            <w:r w:rsidR="00B664F4">
              <w:t>stronger</w:t>
            </w:r>
            <w:r w:rsidR="000A3464" w:rsidRPr="00CC1ADD">
              <w:t xml:space="preserve"> treatment of sodium may be warranted.</w:t>
            </w:r>
            <w:r w:rsidR="000A3464" w:rsidRPr="00CC1ADD">
              <w:rPr>
                <w:rStyle w:val="FootnoteReference"/>
                <w:sz w:val="22"/>
              </w:rPr>
              <w:footnoteReference w:id="78"/>
            </w:r>
          </w:p>
          <w:p w14:paraId="499FA701" w14:textId="77777777" w:rsidR="000A3464" w:rsidRPr="00CC1ADD" w:rsidRDefault="000A3464" w:rsidP="00CD1F86">
            <w:pPr>
              <w:pStyle w:val="mpcNormal"/>
              <w:keepNext w:val="0"/>
            </w:pPr>
          </w:p>
          <w:p w14:paraId="25723909" w14:textId="71E27BCC" w:rsidR="000A3464" w:rsidRPr="00CC1ADD" w:rsidRDefault="000A3464" w:rsidP="00CD1F86">
            <w:pPr>
              <w:pStyle w:val="mpcNormal"/>
              <w:keepNext w:val="0"/>
            </w:pPr>
            <w:r w:rsidRPr="00CC1ADD">
              <w:t xml:space="preserve">As this proposal was not identified in the </w:t>
            </w:r>
            <w:hyperlink r:id="rId66" w:history="1">
              <w:r w:rsidRPr="00BB5F09">
                <w:rPr>
                  <w:rStyle w:val="Hyperlink"/>
                </w:rPr>
                <w:t>October 2018 Consultation Paper</w:t>
              </w:r>
            </w:hyperlink>
            <w:r w:rsidRPr="00CC1ADD">
              <w:t>, the Review has not yet had the benefit of stakeholder comments on the proposal. The Review now seeks stakeholder views on this option.</w:t>
            </w:r>
          </w:p>
        </w:tc>
      </w:tr>
    </w:tbl>
    <w:p w14:paraId="4892D9C1" w14:textId="18B448BB" w:rsidR="000A3464" w:rsidRDefault="000A3464" w:rsidP="005A3631"/>
    <w:p w14:paraId="4EA55B8B" w14:textId="77777777" w:rsidR="00BB5F09" w:rsidRPr="00CC1ADD" w:rsidRDefault="00BB5F09">
      <w:pPr>
        <w:pStyle w:val="mpcheading3"/>
      </w:pPr>
      <w:r w:rsidRPr="00CC1ADD">
        <w:t>Dairy desserts and surfaced-ripened cheeses</w:t>
      </w:r>
    </w:p>
    <w:p w14:paraId="38B5CE32" w14:textId="77777777" w:rsidR="00BB5F09" w:rsidRPr="00CC1ADD" w:rsidRDefault="00BB5F09">
      <w:pPr>
        <w:rPr>
          <w:sz w:val="22"/>
          <w:szCs w:val="22"/>
        </w:rPr>
      </w:pPr>
    </w:p>
    <w:p w14:paraId="31B420D1" w14:textId="6658958F" w:rsidR="00BB5F09" w:rsidRPr="00CC1ADD" w:rsidRDefault="00BB5F09">
      <w:pPr>
        <w:rPr>
          <w:sz w:val="22"/>
          <w:szCs w:val="22"/>
        </w:rPr>
      </w:pPr>
      <w:r w:rsidRPr="00CC1ADD">
        <w:rPr>
          <w:sz w:val="22"/>
          <w:szCs w:val="22"/>
        </w:rPr>
        <w:t>The six categories within the HSR Calculator were created to allow different scaling within each category, to ensure appropriate discrimination between FFG and discretionary foods. Dairy categories were created so that dairy products (which are a valuable source of calcium in the diet and are recommended by Dietary Guidelines) were not penalised for their intrinsic sugars and fat content</w:t>
      </w:r>
      <w:r w:rsidR="00B005CA">
        <w:rPr>
          <w:sz w:val="22"/>
          <w:szCs w:val="22"/>
        </w:rPr>
        <w:t xml:space="preserve">. These categories are designed such that </w:t>
      </w:r>
      <w:r w:rsidRPr="00CC1ADD">
        <w:rPr>
          <w:sz w:val="22"/>
          <w:szCs w:val="22"/>
        </w:rPr>
        <w:t>FFG dairy products generally receive HSRs &gt; 3.</w:t>
      </w:r>
    </w:p>
    <w:p w14:paraId="665BC4CB" w14:textId="64349E50" w:rsidR="00BB5F09" w:rsidRPr="00CC1ADD" w:rsidRDefault="004A6A27">
      <w:pPr>
        <w:rPr>
          <w:sz w:val="22"/>
          <w:szCs w:val="22"/>
        </w:rPr>
      </w:pPr>
      <w:r w:rsidRPr="00567B9C">
        <w:rPr>
          <w:noProof/>
          <w:lang w:eastAsia="en-AU"/>
        </w:rPr>
        <w:drawing>
          <wp:anchor distT="0" distB="0" distL="114300" distR="114300" simplePos="0" relativeHeight="251703296" behindDoc="0" locked="0" layoutInCell="1" allowOverlap="1" wp14:anchorId="7329A8DF" wp14:editId="66E7067E">
            <wp:simplePos x="0" y="0"/>
            <wp:positionH relativeFrom="column">
              <wp:posOffset>3325763</wp:posOffset>
            </wp:positionH>
            <wp:positionV relativeFrom="paragraph">
              <wp:posOffset>26099</wp:posOffset>
            </wp:positionV>
            <wp:extent cx="2800350" cy="3629660"/>
            <wp:effectExtent l="0" t="0" r="6350" b="2540"/>
            <wp:wrapSquare wrapText="bothSides"/>
            <wp:docPr id="32" name="Picture 32" descr="Figure 8: Image of a chilled supermarket display with yoghurts and dairy desserts displayed side-by-side.&#10;&#10;Yoghurts, custards and dairy desserts are found in the same section of the supermarket and are likely to be compared by consu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hqprint">
                      <a:extLst>
                        <a:ext uri="{28A0092B-C50C-407E-A947-70E740481C1C}">
                          <a14:useLocalDpi xmlns:a14="http://schemas.microsoft.com/office/drawing/2010/main" val="0"/>
                        </a:ext>
                      </a:extLst>
                    </a:blip>
                    <a:srcRect t="10802" b="3388"/>
                    <a:stretch/>
                  </pic:blipFill>
                  <pic:spPr bwMode="auto">
                    <a:xfrm>
                      <a:off x="0" y="0"/>
                      <a:ext cx="2800350" cy="3629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999BE6" w14:textId="5B804DC6" w:rsidR="00BB5F09" w:rsidRPr="00CC1ADD" w:rsidRDefault="00BB5F09">
      <w:pPr>
        <w:rPr>
          <w:sz w:val="22"/>
          <w:szCs w:val="22"/>
        </w:rPr>
      </w:pPr>
      <w:r w:rsidRPr="00CC1ADD">
        <w:rPr>
          <w:sz w:val="22"/>
          <w:szCs w:val="22"/>
        </w:rPr>
        <w:t>Two key issues have been raised in relation to the way the HSR Calculator deals with the dairy categories (i.e. HSR Categories 1D, 2D and 3D):</w:t>
      </w:r>
    </w:p>
    <w:p w14:paraId="44FEC5EF" w14:textId="7709BDC4" w:rsidR="00BB5F09" w:rsidRPr="00CC1ADD" w:rsidRDefault="00BB5F09">
      <w:pPr>
        <w:rPr>
          <w:sz w:val="22"/>
          <w:szCs w:val="22"/>
        </w:rPr>
      </w:pPr>
    </w:p>
    <w:p w14:paraId="7CFC3391" w14:textId="36972BCA" w:rsidR="00BB5F09" w:rsidRPr="00CC1ADD" w:rsidRDefault="00BB5F09" w:rsidP="00F720A0">
      <w:pPr>
        <w:pStyle w:val="mpcbullets1"/>
      </w:pPr>
      <w:r w:rsidRPr="00CC1ADD">
        <w:t>some FFG yoghurts in Category 2D have a lower HSR than nutritionally similar dairy desserts in Category 2</w:t>
      </w:r>
    </w:p>
    <w:p w14:paraId="72534865" w14:textId="7305083C" w:rsidR="00BB5F09" w:rsidRPr="00CC1ADD" w:rsidRDefault="00BB5F09" w:rsidP="00F720A0">
      <w:pPr>
        <w:pStyle w:val="mpcbullets1"/>
      </w:pPr>
      <w:r w:rsidRPr="00CC1ADD">
        <w:t>some cheeses have HSRs below 3.5, despite being FFG.</w:t>
      </w:r>
    </w:p>
    <w:p w14:paraId="000D3B50" w14:textId="5FF54418" w:rsidR="00BB5F09" w:rsidRPr="00CC1ADD" w:rsidRDefault="00BB5F09">
      <w:pPr>
        <w:rPr>
          <w:sz w:val="22"/>
          <w:szCs w:val="22"/>
        </w:rPr>
      </w:pPr>
    </w:p>
    <w:p w14:paraId="16A91FD7" w14:textId="699AE053" w:rsidR="00BB5F09" w:rsidRPr="00CC1ADD" w:rsidRDefault="00BB5F09">
      <w:pPr>
        <w:rPr>
          <w:b/>
          <w:sz w:val="22"/>
          <w:szCs w:val="22"/>
        </w:rPr>
      </w:pPr>
      <w:r w:rsidRPr="00CC1ADD">
        <w:rPr>
          <w:b/>
          <w:sz w:val="22"/>
          <w:szCs w:val="22"/>
        </w:rPr>
        <w:t>Category 2D</w:t>
      </w:r>
    </w:p>
    <w:p w14:paraId="71374249" w14:textId="72AF8FA1" w:rsidR="00BB5F09" w:rsidRPr="00CC1ADD" w:rsidRDefault="00BB5F09">
      <w:pPr>
        <w:rPr>
          <w:sz w:val="22"/>
          <w:szCs w:val="22"/>
        </w:rPr>
      </w:pPr>
    </w:p>
    <w:p w14:paraId="6FF6E771" w14:textId="3876412C" w:rsidR="00BB5F09" w:rsidRPr="00CC1ADD" w:rsidRDefault="00BB5F09">
      <w:pPr>
        <w:rPr>
          <w:sz w:val="22"/>
          <w:szCs w:val="22"/>
        </w:rPr>
      </w:pPr>
      <w:r w:rsidRPr="00CC1ADD">
        <w:rPr>
          <w:sz w:val="22"/>
          <w:szCs w:val="22"/>
        </w:rPr>
        <w:t xml:space="preserve">Category 2D includes all cheeses with calcium content </w:t>
      </w:r>
      <w:r w:rsidRPr="00CC1ADD">
        <w:rPr>
          <w:sz w:val="22"/>
          <w:szCs w:val="22"/>
        </w:rPr>
        <w:sym w:font="Symbol" w:char="F0A3"/>
      </w:r>
      <w:r>
        <w:rPr>
          <w:sz w:val="22"/>
          <w:szCs w:val="22"/>
        </w:rPr>
        <w:t> </w:t>
      </w:r>
      <w:r w:rsidRPr="00CC1ADD">
        <w:rPr>
          <w:sz w:val="22"/>
          <w:szCs w:val="22"/>
        </w:rPr>
        <w:t>320mg/100g, yoghurt and fermented milk products. Custards, desserts, cream cheeses, ice-creams and creams are not considered dairy foods by the HSR Calculator and</w:t>
      </w:r>
      <w:r w:rsidR="00B664F4">
        <w:rPr>
          <w:sz w:val="22"/>
          <w:szCs w:val="22"/>
        </w:rPr>
        <w:t>,</w:t>
      </w:r>
      <w:r w:rsidRPr="00CC1ADD">
        <w:rPr>
          <w:sz w:val="22"/>
          <w:szCs w:val="22"/>
        </w:rPr>
        <w:t xml:space="preserve"> as such</w:t>
      </w:r>
      <w:r w:rsidR="00B664F4">
        <w:rPr>
          <w:sz w:val="22"/>
          <w:szCs w:val="22"/>
        </w:rPr>
        <w:t>,</w:t>
      </w:r>
      <w:r w:rsidRPr="00CC1ADD">
        <w:rPr>
          <w:sz w:val="22"/>
          <w:szCs w:val="22"/>
        </w:rPr>
        <w:t xml:space="preserve"> are classified as Category 2 foods.</w:t>
      </w:r>
    </w:p>
    <w:p w14:paraId="6E19CAAA" w14:textId="00131D77" w:rsidR="00BB5F09" w:rsidRPr="00CC1ADD" w:rsidRDefault="00BB5F09">
      <w:pPr>
        <w:rPr>
          <w:sz w:val="22"/>
          <w:szCs w:val="22"/>
        </w:rPr>
      </w:pPr>
    </w:p>
    <w:p w14:paraId="6E80DC42" w14:textId="0640F051" w:rsidR="00BB5F09" w:rsidRDefault="00E20DA2">
      <w:pPr>
        <w:rPr>
          <w:sz w:val="22"/>
          <w:szCs w:val="22"/>
        </w:rPr>
      </w:pPr>
      <w:r>
        <w:rPr>
          <w:noProof/>
          <w:sz w:val="22"/>
          <w:szCs w:val="22"/>
          <w:lang w:eastAsia="en-AU"/>
        </w:rPr>
        <mc:AlternateContent>
          <mc:Choice Requires="wps">
            <w:drawing>
              <wp:anchor distT="0" distB="0" distL="114300" distR="114300" simplePos="0" relativeHeight="251665408" behindDoc="0" locked="0" layoutInCell="1" allowOverlap="1" wp14:anchorId="3F2F4C84" wp14:editId="7C861E80">
                <wp:simplePos x="0" y="0"/>
                <wp:positionH relativeFrom="column">
                  <wp:posOffset>3308985</wp:posOffset>
                </wp:positionH>
                <wp:positionV relativeFrom="paragraph">
                  <wp:posOffset>305505</wp:posOffset>
                </wp:positionV>
                <wp:extent cx="2804795" cy="620395"/>
                <wp:effectExtent l="0" t="0" r="1905" b="1905"/>
                <wp:wrapSquare wrapText="bothSides"/>
                <wp:docPr id="39" name="Text Box 39" descr="Figure 8: Yoghurts, custards and dairy desserts are found in the same section of the supermarket and are likely to be compared by consumers."/>
                <wp:cNvGraphicFramePr/>
                <a:graphic xmlns:a="http://schemas.openxmlformats.org/drawingml/2006/main">
                  <a:graphicData uri="http://schemas.microsoft.com/office/word/2010/wordprocessingShape">
                    <wps:wsp>
                      <wps:cNvSpPr txBox="1"/>
                      <wps:spPr>
                        <a:xfrm>
                          <a:off x="0" y="0"/>
                          <a:ext cx="2804795" cy="620395"/>
                        </a:xfrm>
                        <a:prstGeom prst="rect">
                          <a:avLst/>
                        </a:prstGeom>
                        <a:solidFill>
                          <a:schemeClr val="lt1"/>
                        </a:solidFill>
                        <a:ln w="6350">
                          <a:noFill/>
                        </a:ln>
                      </wps:spPr>
                      <wps:txbx>
                        <w:txbxContent>
                          <w:p w14:paraId="0742F4E5" w14:textId="08C2794B" w:rsidR="00B53139" w:rsidRPr="00BB5F09" w:rsidRDefault="00B53139">
                            <w:pPr>
                              <w:rPr>
                                <w:sz w:val="20"/>
                              </w:rPr>
                            </w:pPr>
                            <w:r w:rsidRPr="00BB5F09">
                              <w:rPr>
                                <w:b/>
                                <w:sz w:val="20"/>
                              </w:rPr>
                              <w:t xml:space="preserve">Figure </w:t>
                            </w:r>
                            <w:r>
                              <w:rPr>
                                <w:b/>
                                <w:sz w:val="20"/>
                              </w:rPr>
                              <w:t>8</w:t>
                            </w:r>
                            <w:r w:rsidRPr="00BB5F09">
                              <w:rPr>
                                <w:b/>
                                <w:sz w:val="20"/>
                              </w:rPr>
                              <w:t>:</w:t>
                            </w:r>
                            <w:r w:rsidRPr="00BB5F09">
                              <w:rPr>
                                <w:sz w:val="20"/>
                              </w:rPr>
                              <w:t xml:space="preserve"> </w:t>
                            </w:r>
                            <w:r>
                              <w:rPr>
                                <w:sz w:val="20"/>
                              </w:rPr>
                              <w:t>Yoghurts, custards and dairy desserts are found in the same section of the supermarket and are likely to be compared by consumers.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2F4C84" id="Text Box 39" o:spid="_x0000_s1033" type="#_x0000_t202" alt="Figure 8: Yoghurts, custards and dairy desserts are found in the same section of the supermarket and are likely to be compared by consumers." style="position:absolute;margin-left:260.55pt;margin-top:24.05pt;width:220.85pt;height:4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" fillcolor="white [3201]" stroked="f" strokeweight=".5pt">
                <v:textbox>
                  <w:txbxContent>
                    <w:p w14:paraId="0742F4E5" w14:textId="08C2794B" w:rsidR="00B53139" w:rsidRPr="00BB5F09" w:rsidRDefault="00B53139">
                      <w:pPr>
                        <w:rPr>
                          <w:sz w:val="20"/>
                        </w:rPr>
                      </w:pPr>
                      <w:r w:rsidRPr="00BB5F09">
                        <w:rPr>
                          <w:b/>
                          <w:sz w:val="20"/>
                        </w:rPr>
                        <w:t xml:space="preserve">Figure </w:t>
                      </w:r>
                      <w:r>
                        <w:rPr>
                          <w:b/>
                          <w:sz w:val="20"/>
                        </w:rPr>
                        <w:t>8</w:t>
                      </w:r>
                      <w:r w:rsidRPr="00BB5F09">
                        <w:rPr>
                          <w:b/>
                          <w:sz w:val="20"/>
                        </w:rPr>
                        <w:t>:</w:t>
                      </w:r>
                      <w:r w:rsidRPr="00BB5F09">
                        <w:rPr>
                          <w:sz w:val="20"/>
                        </w:rPr>
                        <w:t xml:space="preserve"> </w:t>
                      </w:r>
                      <w:r>
                        <w:rPr>
                          <w:sz w:val="20"/>
                        </w:rPr>
                        <w:t>Yoghurts, custards and dairy desserts are found in the same section of the supermarket and are likely to be compared by consumers.</w:t>
                      </w:r>
                    </w:p>
                  </w:txbxContent>
                </v:textbox>
                <w10:wrap type="square"/>
              </v:shape>
            </w:pict>
          </mc:Fallback>
        </mc:AlternateContent>
      </w:r>
      <w:r w:rsidR="00BB5F09" w:rsidRPr="00CC1ADD">
        <w:rPr>
          <w:sz w:val="22"/>
          <w:szCs w:val="22"/>
        </w:rPr>
        <w:t>Due to the way the HSR Calculator deals with different categories, products in Category 2 may receive higher HSRs than nutritionally similar products in Category 2D. Stakeholders have noted that some Category 2D products (such as yoghurts) receive an HSR that is too low for an FFG food, which is not appropriate when compared to other products in Category 2 such as custards.</w:t>
      </w:r>
    </w:p>
    <w:p w14:paraId="76B82FFD" w14:textId="1CDB4746" w:rsidR="00567B9C" w:rsidRDefault="00567B9C">
      <w:pPr>
        <w:rPr>
          <w:sz w:val="22"/>
          <w:szCs w:val="22"/>
        </w:rPr>
      </w:pPr>
    </w:p>
    <w:p w14:paraId="5F0C6687" w14:textId="5D1DE494" w:rsidR="00BB5F09" w:rsidRPr="00CC1ADD" w:rsidRDefault="00BB5F09">
      <w:pPr>
        <w:rPr>
          <w:sz w:val="22"/>
          <w:szCs w:val="22"/>
        </w:rPr>
      </w:pPr>
      <w:r w:rsidRPr="00CC1ADD">
        <w:rPr>
          <w:sz w:val="22"/>
          <w:szCs w:val="22"/>
        </w:rPr>
        <w:t>Since the implementation of the HSR System, yoghurts have undergone innovation such that there is a wide range of relative healthiness and nutrient profiles, ranging from ‘pure’ yoghurts through to those that are more similar to dairy desserts. Yoghurts also tend to be in the same location of the supermarket as custards, creams, cream cheeses and other dairy desserts</w:t>
      </w:r>
      <w:r w:rsidR="00913EE8">
        <w:rPr>
          <w:sz w:val="22"/>
          <w:szCs w:val="22"/>
        </w:rPr>
        <w:t xml:space="preserve"> (see Figure 8)</w:t>
      </w:r>
      <w:r w:rsidRPr="00CC1ADD">
        <w:rPr>
          <w:sz w:val="22"/>
          <w:szCs w:val="22"/>
        </w:rPr>
        <w:t>. While the HSR System is intended to provide a measure of a product’s nutritional value relative to other products in its category, it is likely these products would be compared by consumers.</w:t>
      </w:r>
    </w:p>
    <w:p w14:paraId="79C641F9" w14:textId="7B088724" w:rsidR="00BB5F09" w:rsidRPr="00CC1ADD" w:rsidRDefault="00BB5F09">
      <w:pPr>
        <w:rPr>
          <w:sz w:val="22"/>
          <w:szCs w:val="22"/>
        </w:rPr>
      </w:pPr>
    </w:p>
    <w:p w14:paraId="45DDF41A" w14:textId="2F03DC51" w:rsidR="00BB5F09" w:rsidRPr="00CC1ADD" w:rsidRDefault="00BB5F09" w:rsidP="00CD1F86">
      <w:pPr>
        <w:pStyle w:val="mpcNormal"/>
        <w:keepNext w:val="0"/>
      </w:pPr>
      <w:r w:rsidRPr="00CC1ADD">
        <w:t>A study published in August 2018</w:t>
      </w:r>
      <w:r w:rsidRPr="00CC1ADD">
        <w:rPr>
          <w:rStyle w:val="FootnoteReference"/>
          <w:sz w:val="22"/>
        </w:rPr>
        <w:footnoteReference w:id="79"/>
      </w:r>
      <w:r w:rsidRPr="00CC1ADD">
        <w:t xml:space="preserve"> found that yoghurts were an area of misalignment between the HSR System and the NPSC</w:t>
      </w:r>
      <w:r w:rsidR="004D1F22">
        <w:t>;</w:t>
      </w:r>
      <w:r w:rsidRPr="00CC1ADD">
        <w:t xml:space="preserve"> 335 yoghurts had an HSR &lt; 3.5 but were eligible to display health claims under the Code.</w:t>
      </w:r>
      <w:r w:rsidRPr="00CC1ADD">
        <w:rPr>
          <w:rStyle w:val="FootnoteReference"/>
          <w:sz w:val="22"/>
        </w:rPr>
        <w:footnoteReference w:id="80"/>
      </w:r>
    </w:p>
    <w:p w14:paraId="6EEA7304" w14:textId="7E51828C" w:rsidR="00BB5F09" w:rsidRPr="00CC1ADD" w:rsidRDefault="00BB5F09" w:rsidP="00CD1F86">
      <w:pPr>
        <w:pStyle w:val="mpcNormal"/>
        <w:keepNext w:val="0"/>
      </w:pPr>
    </w:p>
    <w:p w14:paraId="334B5E09" w14:textId="77777777" w:rsidR="00BB5F09" w:rsidRPr="00CC1ADD" w:rsidRDefault="00BB5F09" w:rsidP="005A3631">
      <w:pPr>
        <w:rPr>
          <w:b/>
          <w:sz w:val="22"/>
          <w:szCs w:val="22"/>
        </w:rPr>
      </w:pPr>
      <w:r w:rsidRPr="00CC1ADD">
        <w:rPr>
          <w:b/>
          <w:sz w:val="22"/>
          <w:szCs w:val="22"/>
        </w:rPr>
        <w:t>Category 3D</w:t>
      </w:r>
    </w:p>
    <w:p w14:paraId="6D63433A" w14:textId="5EE2B6B8" w:rsidR="00BB5F09" w:rsidRPr="00CC1ADD" w:rsidRDefault="00BB5F09">
      <w:pPr>
        <w:rPr>
          <w:sz w:val="22"/>
          <w:szCs w:val="22"/>
        </w:rPr>
      </w:pPr>
    </w:p>
    <w:p w14:paraId="1416FE9C" w14:textId="6971A13F" w:rsidR="00BB5F09" w:rsidRPr="00CC1ADD" w:rsidRDefault="00BB5F09">
      <w:pPr>
        <w:rPr>
          <w:sz w:val="22"/>
          <w:szCs w:val="22"/>
        </w:rPr>
      </w:pPr>
      <w:r w:rsidRPr="00CC1ADD">
        <w:rPr>
          <w:sz w:val="22"/>
          <w:szCs w:val="22"/>
        </w:rPr>
        <w:t>Category 3D includes all cheeses as defined in Standard 2.5.4 with</w:t>
      </w:r>
      <w:r w:rsidR="004D1F22">
        <w:rPr>
          <w:sz w:val="22"/>
          <w:szCs w:val="22"/>
        </w:rPr>
        <w:t xml:space="preserve"> </w:t>
      </w:r>
      <w:r w:rsidRPr="00CC1ADD">
        <w:rPr>
          <w:sz w:val="22"/>
          <w:szCs w:val="22"/>
        </w:rPr>
        <w:t>calcium content &gt; 320mg/100</w:t>
      </w:r>
      <w:r w:rsidR="004D1F22">
        <w:rPr>
          <w:sz w:val="22"/>
          <w:szCs w:val="22"/>
        </w:rPr>
        <w:t>g</w:t>
      </w:r>
      <w:r w:rsidR="004D1F22">
        <w:rPr>
          <w:rStyle w:val="FootnoteReference"/>
          <w:szCs w:val="22"/>
        </w:rPr>
        <w:footnoteReference w:id="81"/>
      </w:r>
      <w:r w:rsidR="004D1F22">
        <w:rPr>
          <w:sz w:val="22"/>
          <w:szCs w:val="22"/>
        </w:rPr>
        <w:t>.</w:t>
      </w:r>
    </w:p>
    <w:p w14:paraId="513267EF" w14:textId="47DB6716" w:rsidR="00BB5F09" w:rsidRPr="00CC1ADD" w:rsidRDefault="00BB5F09">
      <w:pPr>
        <w:rPr>
          <w:sz w:val="22"/>
          <w:szCs w:val="22"/>
        </w:rPr>
      </w:pPr>
    </w:p>
    <w:p w14:paraId="15CA1DAF" w14:textId="4AE0A3D0" w:rsidR="00BB5F09" w:rsidRPr="00CC1ADD" w:rsidRDefault="00BB5F09">
      <w:pPr>
        <w:rPr>
          <w:sz w:val="22"/>
          <w:szCs w:val="22"/>
        </w:rPr>
      </w:pPr>
      <w:r w:rsidRPr="00CC1ADD">
        <w:rPr>
          <w:sz w:val="22"/>
          <w:szCs w:val="22"/>
        </w:rPr>
        <w:t xml:space="preserve">Over the course of the Review, some stakeholders raised concerns regarding the treatment of cheeses under the HSR System, with some citing a study undertaken by the NSW Ministry </w:t>
      </w:r>
      <w:r w:rsidR="00B664F4">
        <w:rPr>
          <w:sz w:val="22"/>
          <w:szCs w:val="22"/>
        </w:rPr>
        <w:t>of</w:t>
      </w:r>
      <w:r w:rsidRPr="00CC1ADD">
        <w:rPr>
          <w:sz w:val="22"/>
          <w:szCs w:val="22"/>
        </w:rPr>
        <w:t xml:space="preserve"> Health that found that 36% of cheeses have an HSR of &lt; 3, despite all cheeses being classified as FFG</w:t>
      </w:r>
      <w:r w:rsidRPr="00CC1ADD">
        <w:rPr>
          <w:rStyle w:val="FootnoteReference"/>
          <w:sz w:val="22"/>
          <w:szCs w:val="22"/>
        </w:rPr>
        <w:footnoteReference w:id="82"/>
      </w:r>
      <w:r w:rsidR="00B664F4">
        <w:rPr>
          <w:sz w:val="22"/>
          <w:szCs w:val="22"/>
        </w:rPr>
        <w:t>.</w:t>
      </w:r>
      <w:r w:rsidRPr="00CC1ADD">
        <w:rPr>
          <w:sz w:val="22"/>
          <w:szCs w:val="22"/>
        </w:rPr>
        <w:t xml:space="preserve"> </w:t>
      </w:r>
    </w:p>
    <w:p w14:paraId="05E17E98" w14:textId="77777777" w:rsidR="00BB5F09" w:rsidRPr="00CC1ADD" w:rsidRDefault="00BB5F09">
      <w:pPr>
        <w:rPr>
          <w:sz w:val="22"/>
          <w:szCs w:val="22"/>
        </w:rPr>
      </w:pPr>
    </w:p>
    <w:p w14:paraId="36C253A7" w14:textId="2829E392" w:rsidR="00BB5F09" w:rsidRPr="00CC1ADD" w:rsidRDefault="00BB5F09">
      <w:pPr>
        <w:rPr>
          <w:sz w:val="22"/>
          <w:szCs w:val="22"/>
        </w:rPr>
      </w:pPr>
      <w:r w:rsidRPr="00CC1ADD">
        <w:rPr>
          <w:sz w:val="22"/>
          <w:szCs w:val="22"/>
        </w:rPr>
        <w:t>The Review has found that this issue has predominantly arisen from a misinterpretation of the category inclusion criteria, stemming from the online HSR Calculator, which requires users to classify core dairy products as ‘beverages’ (Category 1D), ‘yoghurt or soft cheese’ (Category 2D) or ‘cheese’ (Category 3D). This has led users to inappropriately classify surface ripened cheeses (</w:t>
      </w:r>
      <w:r w:rsidR="0030513A">
        <w:rPr>
          <w:rFonts w:cstheme="minorHAnsi"/>
          <w:sz w:val="22"/>
          <w:szCs w:val="22"/>
        </w:rPr>
        <w:t>for example,</w:t>
      </w:r>
      <w:r w:rsidR="0030513A" w:rsidRPr="00CC1ADD">
        <w:rPr>
          <w:rFonts w:cstheme="minorHAnsi"/>
          <w:sz w:val="22"/>
          <w:szCs w:val="22"/>
        </w:rPr>
        <w:t xml:space="preserve"> </w:t>
      </w:r>
      <w:r w:rsidRPr="00CC1ADD">
        <w:rPr>
          <w:sz w:val="22"/>
          <w:szCs w:val="22"/>
        </w:rPr>
        <w:t xml:space="preserve">brie and camembert, colloquially referred to as ‘soft cheeses’ by consumers) as Category 2D products. However, such products generally meet the calcium threshold to be included in Category 3D and are intended to be classified as such. Products intended to be captured as ‘soft cheeses’ for the purposes of Category 2D include cottage and ricotta cheeses, i.e. unripened cheeses. </w:t>
      </w:r>
    </w:p>
    <w:p w14:paraId="580FFD9E" w14:textId="77777777" w:rsidR="00BB5F09" w:rsidRPr="00CC1ADD" w:rsidRDefault="00BB5F09" w:rsidP="00CD1F86">
      <w:pPr>
        <w:pStyle w:val="mpcNormal"/>
        <w:keepNext w:val="0"/>
      </w:pPr>
    </w:p>
    <w:tbl>
      <w:tblPr>
        <w:tblStyle w:val="TableGrid"/>
        <w:tblW w:w="0" w:type="auto"/>
        <w:tblLook w:val="04A0" w:firstRow="1" w:lastRow="0" w:firstColumn="1" w:lastColumn="0" w:noHBand="0" w:noVBand="1"/>
      </w:tblPr>
      <w:tblGrid>
        <w:gridCol w:w="9736"/>
      </w:tblGrid>
      <w:tr w:rsidR="00BB5F09" w:rsidRPr="00CC1ADD" w14:paraId="17A4D261" w14:textId="77777777" w:rsidTr="00BB5F09">
        <w:trPr>
          <w:trHeight w:val="1298"/>
        </w:trPr>
        <w:tc>
          <w:tcPr>
            <w:tcW w:w="9736" w:type="dxa"/>
            <w:shd w:val="clear" w:color="auto" w:fill="D9E2F3" w:themeFill="accent1" w:themeFillTint="33"/>
            <w:vAlign w:val="center"/>
          </w:tcPr>
          <w:p w14:paraId="788168F7" w14:textId="603B2C41" w:rsidR="00BB5F09" w:rsidRPr="00CC1ADD" w:rsidRDefault="00BB5F09" w:rsidP="00CD1F86">
            <w:pPr>
              <w:pStyle w:val="mpcheading4"/>
              <w:keepNext w:val="0"/>
              <w:ind w:left="2127" w:hanging="2127"/>
            </w:pPr>
            <w:bookmarkStart w:id="110" w:name="_Toc524530401"/>
            <w:r w:rsidRPr="00CC1ADD">
              <w:t>Recommendation</w:t>
            </w:r>
            <w:r w:rsidR="00953CC0">
              <w:t xml:space="preserve"> 4</w:t>
            </w:r>
            <w:r w:rsidR="00B005CA">
              <w:t>D</w:t>
            </w:r>
            <w:r w:rsidRPr="00CC1ADD">
              <w:t xml:space="preserve">: </w:t>
            </w:r>
            <w:r w:rsidRPr="00CC1ADD">
              <w:tab/>
            </w:r>
            <w:r>
              <w:t xml:space="preserve">Dairy </w:t>
            </w:r>
            <w:r w:rsidR="004A6A27">
              <w:t>c</w:t>
            </w:r>
            <w:r>
              <w:t>ategories be redefined (</w:t>
            </w:r>
            <w:r w:rsidRPr="00CC1ADD">
              <w:t xml:space="preserve">Category 2D to include dairy desserts </w:t>
            </w:r>
            <w:r w:rsidR="00AE5CE0">
              <w:t xml:space="preserve">and other chilled dairy products </w:t>
            </w:r>
            <w:r w:rsidRPr="00CC1ADD">
              <w:t>and Category 3D to include surface ripened cheeses) and rescale</w:t>
            </w:r>
            <w:bookmarkEnd w:id="110"/>
            <w:r>
              <w:t>d</w:t>
            </w:r>
            <w:r w:rsidRPr="00CC1ADD">
              <w:t xml:space="preserve"> to ensure healthier FFG options receive higher HSRs and improve comparability between dairy products.</w:t>
            </w:r>
          </w:p>
        </w:tc>
      </w:tr>
    </w:tbl>
    <w:p w14:paraId="29279673" w14:textId="77777777" w:rsidR="00BB5F09" w:rsidRPr="00CC1ADD" w:rsidRDefault="00BB5F09" w:rsidP="00CD1F86">
      <w:pPr>
        <w:pStyle w:val="mpcNormal"/>
        <w:keepNext w:val="0"/>
      </w:pPr>
    </w:p>
    <w:p w14:paraId="6EC390FE" w14:textId="04FCB521" w:rsidR="00BB5F09" w:rsidRPr="00CC1ADD" w:rsidRDefault="00BB5F09" w:rsidP="005A3631">
      <w:pPr>
        <w:rPr>
          <w:sz w:val="22"/>
          <w:szCs w:val="22"/>
        </w:rPr>
      </w:pPr>
      <w:r w:rsidRPr="00CC1ADD">
        <w:rPr>
          <w:sz w:val="22"/>
          <w:szCs w:val="22"/>
        </w:rPr>
        <w:t xml:space="preserve">This recommendation would require amendment of the definitions for Category 2D and Category 3D, and both of these </w:t>
      </w:r>
      <w:r w:rsidR="00153CBD">
        <w:rPr>
          <w:sz w:val="22"/>
          <w:szCs w:val="22"/>
        </w:rPr>
        <w:t>c</w:t>
      </w:r>
      <w:r w:rsidRPr="00CC1ADD">
        <w:rPr>
          <w:sz w:val="22"/>
          <w:szCs w:val="22"/>
        </w:rPr>
        <w:t xml:space="preserve">ategories would be rescaled. </w:t>
      </w:r>
    </w:p>
    <w:p w14:paraId="5F9E4A98" w14:textId="77777777" w:rsidR="00BB5F09" w:rsidRPr="00CC1ADD" w:rsidRDefault="00BB5F09">
      <w:pPr>
        <w:rPr>
          <w:sz w:val="22"/>
          <w:szCs w:val="22"/>
        </w:rPr>
      </w:pPr>
    </w:p>
    <w:p w14:paraId="56A09FD4" w14:textId="77777777" w:rsidR="00BB5F09" w:rsidRPr="00CC1ADD" w:rsidRDefault="00BB5F09">
      <w:pPr>
        <w:rPr>
          <w:sz w:val="22"/>
          <w:szCs w:val="22"/>
        </w:rPr>
      </w:pPr>
      <w:r w:rsidRPr="00CC1ADD">
        <w:rPr>
          <w:sz w:val="22"/>
          <w:szCs w:val="22"/>
        </w:rPr>
        <w:t>Category 2D would include all ‘spoonable’ refrigerated dairy foods, including yoghurts, custards, dairy</w:t>
      </w:r>
      <w:r w:rsidRPr="00CC1ADD">
        <w:rPr>
          <w:sz w:val="22"/>
          <w:szCs w:val="22"/>
        </w:rPr>
        <w:noBreakHyphen/>
        <w:t xml:space="preserve">based desserts (such as mousses, crème caramels, panna cottas) cream cheeses, creams, sour creams, crème fraiche and mascarpone. To be included in Category 2D, products still require </w:t>
      </w:r>
      <w:r w:rsidRPr="00CC1ADD">
        <w:rPr>
          <w:sz w:val="22"/>
          <w:szCs w:val="22"/>
        </w:rPr>
        <w:sym w:font="Symbol" w:char="F0A3"/>
      </w:r>
      <w:r w:rsidRPr="00CC1ADD">
        <w:rPr>
          <w:sz w:val="22"/>
          <w:szCs w:val="22"/>
        </w:rPr>
        <w:t> 25% non</w:t>
      </w:r>
      <w:r w:rsidRPr="00CC1ADD">
        <w:rPr>
          <w:sz w:val="22"/>
          <w:szCs w:val="22"/>
        </w:rPr>
        <w:noBreakHyphen/>
        <w:t>dairy ingredients. This excludes ice creams and gelatos and other dairy-based ice confections (i.e. those found in the freezer section of the supermarket) and evaporated or condensed milks (i.e. those found in the pantry section of the supermarket).</w:t>
      </w:r>
    </w:p>
    <w:p w14:paraId="6B207675" w14:textId="77777777" w:rsidR="00BB5F09" w:rsidRPr="00CC1ADD" w:rsidRDefault="00BB5F09">
      <w:pPr>
        <w:rPr>
          <w:sz w:val="22"/>
          <w:szCs w:val="22"/>
        </w:rPr>
      </w:pPr>
    </w:p>
    <w:p w14:paraId="576D5CAA" w14:textId="7B45D883" w:rsidR="00BB5F09" w:rsidRPr="00CC1ADD" w:rsidRDefault="00BB5F09">
      <w:pPr>
        <w:rPr>
          <w:sz w:val="22"/>
          <w:szCs w:val="22"/>
        </w:rPr>
      </w:pPr>
      <w:r w:rsidRPr="00CC1ADD">
        <w:rPr>
          <w:sz w:val="22"/>
          <w:szCs w:val="22"/>
        </w:rPr>
        <w:t xml:space="preserve">The </w:t>
      </w:r>
      <w:r w:rsidR="004A6A27">
        <w:rPr>
          <w:sz w:val="22"/>
          <w:szCs w:val="22"/>
        </w:rPr>
        <w:t>c</w:t>
      </w:r>
      <w:r w:rsidRPr="00CC1ADD">
        <w:rPr>
          <w:sz w:val="22"/>
          <w:szCs w:val="22"/>
        </w:rPr>
        <w:t xml:space="preserve">ategory would also be rescaled to maintain a spread of HSRs across products. Including additional discretionary products in Category 2D without rescaling would see a large cluster of products at the lower end of the </w:t>
      </w:r>
      <w:r w:rsidR="00B005CA">
        <w:rPr>
          <w:sz w:val="22"/>
          <w:szCs w:val="22"/>
        </w:rPr>
        <w:t xml:space="preserve">HSR </w:t>
      </w:r>
      <w:r w:rsidRPr="00CC1ADD">
        <w:rPr>
          <w:sz w:val="22"/>
          <w:szCs w:val="22"/>
        </w:rPr>
        <w:t xml:space="preserve">scale, which would not support consumers to choose between such products. Rescaling will redistribute the entire </w:t>
      </w:r>
      <w:r w:rsidR="004A6A27">
        <w:rPr>
          <w:sz w:val="22"/>
          <w:szCs w:val="22"/>
        </w:rPr>
        <w:t>c</w:t>
      </w:r>
      <w:r w:rsidRPr="00CC1ADD">
        <w:rPr>
          <w:sz w:val="22"/>
          <w:szCs w:val="22"/>
        </w:rPr>
        <w:t xml:space="preserve">ategory: the addition of more ‘unhealthy’ products would condense the top end of the </w:t>
      </w:r>
      <w:r w:rsidR="004A6A27">
        <w:rPr>
          <w:sz w:val="22"/>
          <w:szCs w:val="22"/>
        </w:rPr>
        <w:t>c</w:t>
      </w:r>
      <w:r w:rsidRPr="00CC1ADD">
        <w:rPr>
          <w:sz w:val="22"/>
          <w:szCs w:val="22"/>
        </w:rPr>
        <w:t>ategory (i.e. the HSRs would increase for some yoghurts, soft cheeses and healthier custards – those lower in total sugars and saturated fat)</w:t>
      </w:r>
      <w:r w:rsidR="00B005CA">
        <w:rPr>
          <w:sz w:val="22"/>
          <w:szCs w:val="22"/>
        </w:rPr>
        <w:t>;</w:t>
      </w:r>
      <w:r w:rsidRPr="00CC1ADD">
        <w:rPr>
          <w:sz w:val="22"/>
          <w:szCs w:val="22"/>
        </w:rPr>
        <w:t xml:space="preserve"> and the middle to lower end of the </w:t>
      </w:r>
      <w:r w:rsidR="004A6A27">
        <w:rPr>
          <w:sz w:val="22"/>
          <w:szCs w:val="22"/>
        </w:rPr>
        <w:t>c</w:t>
      </w:r>
      <w:r w:rsidRPr="00CC1ADD">
        <w:rPr>
          <w:sz w:val="22"/>
          <w:szCs w:val="22"/>
        </w:rPr>
        <w:t>ategory would expand (i.e. the HSRs would decrease for some dairy desserts) to accommodate the new range of products.</w:t>
      </w:r>
    </w:p>
    <w:p w14:paraId="1988D0D5" w14:textId="77777777" w:rsidR="00BB5F09" w:rsidRPr="00CC1ADD" w:rsidRDefault="00BB5F09">
      <w:pPr>
        <w:rPr>
          <w:sz w:val="22"/>
          <w:szCs w:val="22"/>
        </w:rPr>
      </w:pPr>
    </w:p>
    <w:p w14:paraId="30C04483" w14:textId="50CCEBF9" w:rsidR="00BB5F09" w:rsidRPr="00CC1ADD" w:rsidRDefault="00BB5F09">
      <w:pPr>
        <w:rPr>
          <w:sz w:val="22"/>
          <w:szCs w:val="22"/>
        </w:rPr>
      </w:pPr>
      <w:r w:rsidRPr="00CC1ADD">
        <w:rPr>
          <w:sz w:val="22"/>
          <w:szCs w:val="22"/>
        </w:rPr>
        <w:t>Category 3D inclusion criteri</w:t>
      </w:r>
      <w:r w:rsidR="00064740">
        <w:rPr>
          <w:sz w:val="22"/>
          <w:szCs w:val="22"/>
        </w:rPr>
        <w:t>on</w:t>
      </w:r>
      <w:r w:rsidRPr="00CC1ADD">
        <w:rPr>
          <w:sz w:val="22"/>
          <w:szCs w:val="22"/>
        </w:rPr>
        <w:t xml:space="preserve"> would be clarified </w:t>
      </w:r>
      <w:r w:rsidR="004D1F22">
        <w:rPr>
          <w:sz w:val="22"/>
          <w:szCs w:val="22"/>
        </w:rPr>
        <w:t xml:space="preserve">to </w:t>
      </w:r>
      <w:r w:rsidRPr="00CC1ADD">
        <w:rPr>
          <w:sz w:val="22"/>
          <w:szCs w:val="22"/>
        </w:rPr>
        <w:t>include ‘surfaced-ripened cheeses’</w:t>
      </w:r>
      <w:r w:rsidR="004D1F22">
        <w:rPr>
          <w:sz w:val="22"/>
          <w:szCs w:val="22"/>
        </w:rPr>
        <w:t xml:space="preserve"> that meet the </w:t>
      </w:r>
      <w:r w:rsidR="004D1F22" w:rsidRPr="00CC1ADD">
        <w:rPr>
          <w:sz w:val="22"/>
          <w:szCs w:val="22"/>
        </w:rPr>
        <w:t>calcium content</w:t>
      </w:r>
      <w:r w:rsidR="004D1F22">
        <w:rPr>
          <w:sz w:val="22"/>
          <w:szCs w:val="22"/>
        </w:rPr>
        <w:t xml:space="preserve"> criterion (i.e. contain calcium</w:t>
      </w:r>
      <w:r w:rsidR="004D1F22" w:rsidRPr="00CC1ADD">
        <w:rPr>
          <w:sz w:val="22"/>
          <w:szCs w:val="22"/>
        </w:rPr>
        <w:t xml:space="preserve"> &gt; 320mg/100</w:t>
      </w:r>
      <w:r w:rsidR="004D1F22">
        <w:rPr>
          <w:sz w:val="22"/>
          <w:szCs w:val="22"/>
        </w:rPr>
        <w:t>g</w:t>
      </w:r>
      <w:r w:rsidR="004D1F22">
        <w:rPr>
          <w:rStyle w:val="FootnoteReference"/>
          <w:szCs w:val="22"/>
        </w:rPr>
        <w:footnoteReference w:id="83"/>
      </w:r>
      <w:r w:rsidR="004D1F22">
        <w:rPr>
          <w:sz w:val="22"/>
          <w:szCs w:val="22"/>
        </w:rPr>
        <w:t>).</w:t>
      </w:r>
      <w:r w:rsidR="004A6A27">
        <w:rPr>
          <w:sz w:val="22"/>
          <w:szCs w:val="22"/>
        </w:rPr>
        <w:t xml:space="preserve"> </w:t>
      </w:r>
      <w:r w:rsidRPr="00CC1ADD">
        <w:rPr>
          <w:sz w:val="22"/>
          <w:szCs w:val="22"/>
        </w:rPr>
        <w:t xml:space="preserve">This </w:t>
      </w:r>
      <w:r w:rsidR="004A6A27">
        <w:rPr>
          <w:sz w:val="22"/>
          <w:szCs w:val="22"/>
        </w:rPr>
        <w:t>c</w:t>
      </w:r>
      <w:r w:rsidRPr="00CC1ADD">
        <w:rPr>
          <w:sz w:val="22"/>
          <w:szCs w:val="22"/>
        </w:rPr>
        <w:t xml:space="preserve">ategory would also require rescaling to maintain a spread of HSRs across products in the </w:t>
      </w:r>
      <w:r w:rsidR="004A6A27">
        <w:rPr>
          <w:sz w:val="22"/>
          <w:szCs w:val="22"/>
        </w:rPr>
        <w:t>c</w:t>
      </w:r>
      <w:r w:rsidRPr="00CC1ADD">
        <w:rPr>
          <w:sz w:val="22"/>
          <w:szCs w:val="22"/>
        </w:rPr>
        <w:t>ategory. This effectively increases the HSRs for many FFG cheeses, while maintaining a range of HSRs such that consumers can differentiate the relative healthiness of different cheeses.</w:t>
      </w:r>
    </w:p>
    <w:p w14:paraId="5B1113DB" w14:textId="77777777" w:rsidR="00BB5F09" w:rsidRPr="00CC1ADD" w:rsidRDefault="00BB5F09">
      <w:pPr>
        <w:rPr>
          <w:sz w:val="22"/>
          <w:szCs w:val="22"/>
        </w:rPr>
      </w:pPr>
    </w:p>
    <w:p w14:paraId="3933903A" w14:textId="77777777" w:rsidR="00BB5F09" w:rsidRPr="00CC1ADD" w:rsidRDefault="00BB5F09" w:rsidP="00CD1F86">
      <w:pPr>
        <w:pStyle w:val="mpcNormal"/>
        <w:keepNext w:val="0"/>
      </w:pPr>
      <w:r w:rsidRPr="00CC1ADD">
        <w:t>These changes would generally ensure that less healthy products score lower HSRs than healthier alternatives. They would also:</w:t>
      </w:r>
    </w:p>
    <w:p w14:paraId="0A30C87B" w14:textId="77777777" w:rsidR="00BB5F09" w:rsidRPr="00CC1ADD" w:rsidRDefault="00BB5F09" w:rsidP="00CD1F86">
      <w:pPr>
        <w:pStyle w:val="mpcNormal"/>
        <w:keepNext w:val="0"/>
      </w:pPr>
    </w:p>
    <w:p w14:paraId="0C87CE22" w14:textId="77777777" w:rsidR="00BB5F09" w:rsidRPr="00CC1ADD" w:rsidRDefault="00BB5F09" w:rsidP="00F720A0">
      <w:pPr>
        <w:pStyle w:val="mpcbullets1"/>
      </w:pPr>
      <w:r w:rsidRPr="00CC1ADD">
        <w:t>improve alignment with Dietary Guidelines in supporting consumers to discern between FFG and discretionary foods</w:t>
      </w:r>
    </w:p>
    <w:p w14:paraId="50FBB1B6" w14:textId="77777777" w:rsidR="00BB5F09" w:rsidRPr="00CC1ADD" w:rsidRDefault="00BB5F09" w:rsidP="00CD1F86">
      <w:pPr>
        <w:pStyle w:val="mpcbullets2"/>
        <w:keepNext w:val="0"/>
      </w:pPr>
      <w:r w:rsidRPr="00CC1ADD">
        <w:t>As a result of these changes, 15% (812) of products in the TAG database would see a change in their HSR.</w:t>
      </w:r>
    </w:p>
    <w:p w14:paraId="62DD7845" w14:textId="77777777" w:rsidR="00BB5F09" w:rsidRPr="00CC1ADD" w:rsidRDefault="00BB5F09" w:rsidP="00F720A0">
      <w:pPr>
        <w:pStyle w:val="mpcbullets1"/>
      </w:pPr>
      <w:r w:rsidRPr="00CC1ADD">
        <w:t>improve comparability and discernment between yoghurts and other dairy products that consumers are likely to compare and consume in a similar way</w:t>
      </w:r>
    </w:p>
    <w:p w14:paraId="655BD125" w14:textId="0B44B2AF" w:rsidR="00BB5F09" w:rsidRPr="00CC1ADD" w:rsidRDefault="00BB5F09" w:rsidP="00CD1F86">
      <w:pPr>
        <w:pStyle w:val="mpcbullets2"/>
        <w:keepNext w:val="0"/>
      </w:pPr>
      <w:r w:rsidRPr="00CC1ADD">
        <w:t>82% (341) of the yoghurts and unripened cheeses in the TAG database would see an increase in HSR of between 0.5 to 2.0. All of these products are considered FFG, except for three.</w:t>
      </w:r>
    </w:p>
    <w:p w14:paraId="0E736FBB" w14:textId="4A5E43AF" w:rsidR="00BB5F09" w:rsidRPr="00CC1ADD" w:rsidRDefault="00BB5F09" w:rsidP="00CD1F86">
      <w:pPr>
        <w:pStyle w:val="mpcbullets2"/>
        <w:keepNext w:val="0"/>
      </w:pPr>
      <w:r w:rsidRPr="00CC1ADD">
        <w:t xml:space="preserve">Some healthier custards 50% (41) of custards and dairy desserts in the TAG database would see an increase in HSR of between 0.5 to 1.0. </w:t>
      </w:r>
    </w:p>
    <w:p w14:paraId="7D921300" w14:textId="6C224604" w:rsidR="00BB5F09" w:rsidRPr="00CC1ADD" w:rsidRDefault="00BB5F09" w:rsidP="00CD1F86">
      <w:pPr>
        <w:pStyle w:val="mpcbullets2"/>
        <w:keepNext w:val="0"/>
      </w:pPr>
      <w:r w:rsidRPr="00CC1ADD">
        <w:t xml:space="preserve">88% (60) of creams, 70% (47) of cream cheeses and </w:t>
      </w:r>
      <w:r w:rsidR="00AE5CE0">
        <w:t>18</w:t>
      </w:r>
      <w:r w:rsidRPr="00CC1ADD">
        <w:t>% (</w:t>
      </w:r>
      <w:r w:rsidR="00AE5CE0">
        <w:t>15</w:t>
      </w:r>
      <w:r w:rsidRPr="00CC1ADD">
        <w:t>) of custards and dairy desserts in the TAG database would see a decrease in HSR of between 0.5 to 1.5.</w:t>
      </w:r>
    </w:p>
    <w:p w14:paraId="67EFDE6F" w14:textId="7D3622AF" w:rsidR="00BB5F09" w:rsidRPr="00CC1ADD" w:rsidRDefault="00BB5F09" w:rsidP="00F720A0">
      <w:pPr>
        <w:pStyle w:val="mpcbullets1"/>
      </w:pPr>
      <w:r w:rsidRPr="00CC1ADD">
        <w:t xml:space="preserve">recognise the health benefits of FFG cheeses, while retaining a spread of HSRs across the </w:t>
      </w:r>
      <w:r w:rsidR="004A6A27">
        <w:t>c</w:t>
      </w:r>
      <w:r w:rsidRPr="00CC1ADD">
        <w:t>ategory.</w:t>
      </w:r>
    </w:p>
    <w:p w14:paraId="783536D7" w14:textId="3C60E447" w:rsidR="00BB5F09" w:rsidRPr="00CC1ADD" w:rsidRDefault="00BB5F09" w:rsidP="00CD1F86">
      <w:pPr>
        <w:pStyle w:val="mpcbullets2"/>
        <w:keepNext w:val="0"/>
      </w:pPr>
      <w:r w:rsidRPr="00CC1ADD">
        <w:t>69% (304) FFG cheeses in the TAG database see an increase in HSR of 0.5.</w:t>
      </w:r>
    </w:p>
    <w:p w14:paraId="2C85D33D" w14:textId="6F4FECE7" w:rsidR="00BB5F09" w:rsidRPr="00CC1ADD" w:rsidRDefault="00BB5F09" w:rsidP="00CD1F86">
      <w:pPr>
        <w:pStyle w:val="mpcbullets2"/>
        <w:keepNext w:val="0"/>
      </w:pPr>
      <w:r w:rsidRPr="00CC1ADD">
        <w:t xml:space="preserve">Products in this </w:t>
      </w:r>
      <w:r w:rsidR="004A6A27">
        <w:t>c</w:t>
      </w:r>
      <w:r w:rsidRPr="00CC1ADD">
        <w:t>ategory would still score HSRs of between 0.5 to 5, based predominantly on their sodium and saturated fat content.</w:t>
      </w:r>
    </w:p>
    <w:p w14:paraId="5CB8DA04" w14:textId="77777777" w:rsidR="00BB5F09" w:rsidRPr="00CC1ADD" w:rsidRDefault="00BB5F09" w:rsidP="005A3631"/>
    <w:p w14:paraId="44B89FAC" w14:textId="77777777" w:rsidR="000A3464" w:rsidRPr="00CC1ADD" w:rsidRDefault="000A3464">
      <w:pPr>
        <w:pStyle w:val="mpcheading3"/>
      </w:pPr>
      <w:r w:rsidRPr="00CC1ADD">
        <w:t>Oils and spreads</w:t>
      </w:r>
    </w:p>
    <w:p w14:paraId="79D26C29" w14:textId="77777777" w:rsidR="000A3464" w:rsidRPr="00CC1ADD" w:rsidRDefault="000A3464" w:rsidP="00CD1F86">
      <w:pPr>
        <w:pStyle w:val="mpcNormal"/>
        <w:keepNext w:val="0"/>
      </w:pPr>
    </w:p>
    <w:p w14:paraId="188C6991" w14:textId="77777777" w:rsidR="000A3464" w:rsidRPr="00CC1ADD" w:rsidRDefault="000A3464" w:rsidP="00CD1F86">
      <w:pPr>
        <w:pStyle w:val="mpcNormal"/>
        <w:keepNext w:val="0"/>
      </w:pPr>
      <w:r w:rsidRPr="00CC1ADD">
        <w:t>Dietary Guidelines recommend replacing high fat foods that contain predominantly saturated fats (such as butter, cream, cooking margarine, coconut and palm oil) with foods that contain predominantly polyunsaturated and monounsaturated fats (such as oils, spreads, nut butters/pastes and avocado).</w:t>
      </w:r>
    </w:p>
    <w:p w14:paraId="5DBA9F23" w14:textId="5F34A159" w:rsidR="000A3464" w:rsidRPr="00CC1ADD" w:rsidRDefault="000A3464" w:rsidP="00CD1F86">
      <w:pPr>
        <w:pStyle w:val="mpcNormal"/>
        <w:keepNext w:val="0"/>
      </w:pPr>
    </w:p>
    <w:p w14:paraId="5B77FC25" w14:textId="2B7629EC" w:rsidR="000A3464" w:rsidRPr="00CC1ADD" w:rsidRDefault="000A3464" w:rsidP="00CD1F86">
      <w:pPr>
        <w:pStyle w:val="mpcNormal"/>
        <w:keepNext w:val="0"/>
      </w:pPr>
      <w:r w:rsidRPr="00CC1ADD">
        <w:t>Fats, oils and oil-based spreads are in their own category in the HSR System – Category 3. Modelling shows that the HSR Calculator currently differentiates well between fats, oils and oil</w:t>
      </w:r>
      <w:r w:rsidRPr="00CC1ADD">
        <w:noBreakHyphen/>
        <w:t>based spreads high or low in saturated fat, with products high in saturated fat consistently receiving low HSRs (</w:t>
      </w:r>
      <w:r w:rsidRPr="00CC1ADD">
        <w:sym w:font="Symbol" w:char="F0A3"/>
      </w:r>
      <w:r w:rsidRPr="00CC1ADD">
        <w:t xml:space="preserve"> 2). However, there is a wide spread of HSRs for some healthy oils and spreads with small differences in saturated fats. The HSRs for some healthy oils and spreads are also lower than expected, given that these products are recommended by the Dietary Guidelines.</w:t>
      </w:r>
    </w:p>
    <w:p w14:paraId="25111001" w14:textId="72DFE277" w:rsidR="000A3464" w:rsidRPr="00CC1ADD" w:rsidRDefault="000A3464" w:rsidP="00CD1F86">
      <w:pPr>
        <w:pStyle w:val="mpcNormal"/>
        <w:keepNext w:val="0"/>
      </w:pPr>
    </w:p>
    <w:p w14:paraId="1A9FB3CF" w14:textId="11FFD968" w:rsidR="000A3464" w:rsidRPr="00CC1ADD" w:rsidRDefault="004A6A27" w:rsidP="00CD1F86">
      <w:pPr>
        <w:pStyle w:val="mpcNormal"/>
        <w:keepNext w:val="0"/>
      </w:pPr>
      <w:r>
        <w:rPr>
          <w:noProof/>
          <w:lang w:eastAsia="en-AU"/>
        </w:rPr>
        <mc:AlternateContent>
          <mc:Choice Requires="wps">
            <w:drawing>
              <wp:anchor distT="0" distB="0" distL="114300" distR="114300" simplePos="0" relativeHeight="251666432" behindDoc="0" locked="0" layoutInCell="1" allowOverlap="1" wp14:anchorId="02ADD4B6" wp14:editId="5888CE3A">
                <wp:simplePos x="0" y="0"/>
                <wp:positionH relativeFrom="column">
                  <wp:posOffset>3568700</wp:posOffset>
                </wp:positionH>
                <wp:positionV relativeFrom="paragraph">
                  <wp:posOffset>81915</wp:posOffset>
                </wp:positionV>
                <wp:extent cx="2425700" cy="1761490"/>
                <wp:effectExtent l="0" t="0" r="12700" b="16510"/>
                <wp:wrapSquare wrapText="bothSides"/>
                <wp:docPr id="40" name="Rectangle 40" descr="For example, peanut oil scores an HSR of 2.5, olive oil scores an HSR of 3-3.5, canola oil scores an HSR of 4, yet these products are not differentiated by Dietary Guidelines. The energy and sodium content of these products is the same, so the difference in HSRs are due to differences in saturated fat content: peanut oil (18%), olive oil (14%) and canola oil (7.6%)."/>
                <wp:cNvGraphicFramePr/>
                <a:graphic xmlns:a="http://schemas.openxmlformats.org/drawingml/2006/main">
                  <a:graphicData uri="http://schemas.microsoft.com/office/word/2010/wordprocessingShape">
                    <wps:wsp>
                      <wps:cNvSpPr/>
                      <wps:spPr>
                        <a:xfrm>
                          <a:off x="0" y="0"/>
                          <a:ext cx="2425700" cy="1761490"/>
                        </a:xfrm>
                        <a:prstGeom prst="rect">
                          <a:avLst/>
                        </a:prstGeom>
                        <a:solidFill>
                          <a:schemeClr val="bg1">
                            <a:lumMod val="9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DFCB38" w14:textId="6FE54810" w:rsidR="00B53139" w:rsidRPr="00CD1F86" w:rsidRDefault="00B53139" w:rsidP="00CD1F86">
                            <w:pPr>
                              <w:pStyle w:val="mpcNormal"/>
                              <w:rPr>
                                <w:color w:val="000000" w:themeColor="text1"/>
                                <w:sz w:val="21"/>
                              </w:rPr>
                            </w:pPr>
                            <w:r w:rsidRPr="00CD1F86">
                              <w:rPr>
                                <w:b/>
                                <w:color w:val="000000" w:themeColor="text1"/>
                                <w:sz w:val="21"/>
                              </w:rPr>
                              <w:t>For example,</w:t>
                            </w:r>
                            <w:r w:rsidRPr="00CD1F86">
                              <w:rPr>
                                <w:color w:val="000000" w:themeColor="text1"/>
                                <w:sz w:val="21"/>
                              </w:rPr>
                              <w:t xml:space="preserve"> peanut oil scores an HSR of 2.5, olive oil scores an HSR of 3-3.5, canola oil scores an HSR of 4, yet these products are not differentiated by Dietary Guidelines. The energy and sodium content of these products is the same, so the difference in HSRs are due to differences in saturated fat content: peanut oil (18%), olive oil (14%) and canola oil (7.6%).</w:t>
                            </w:r>
                          </w:p>
                          <w:p w14:paraId="5A83F696" w14:textId="77777777" w:rsidR="00B53139" w:rsidRPr="00CD1F86" w:rsidRDefault="00B53139" w:rsidP="00CD1F86">
                            <w:pPr>
                              <w:pStyle w:val="mpcNormal"/>
                              <w:rPr>
                                <w:color w:val="000000" w:themeColor="text1"/>
                                <w:sz w:val="20"/>
                              </w:rPr>
                            </w:pPr>
                          </w:p>
                          <w:p w14:paraId="7A641013" w14:textId="77777777" w:rsidR="00B53139" w:rsidRPr="00CD1F86" w:rsidRDefault="00B53139" w:rsidP="00CD1F86">
                            <w:pPr>
                              <w:pStyle w:val="mpcNormal"/>
                              <w:rPr>
                                <w:color w:val="000000" w:themeColor="text1"/>
                                <w:sz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2ADD4B6" id="Rectangle 40" o:spid="_x0000_s1034" alt="For example, peanut oil scores an HSR of 2.5, olive oil scores an HSR of 3-3.5, canola oil scores an HSR of 4, yet these products are not differentiated by Dietary Guidelines. The energy and sodium content of these products is the same, so the difference in HSRs are due to differences in saturated fat content: peanut oil (18%), olive oil (14%) and canola oil (7.6%)." style="position:absolute;margin-left:281pt;margin-top:6.45pt;width:191pt;height:138.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" fillcolor="#f2f2f2 [3052]" strokecolor="black [3213]" strokeweight=".25pt">
                <v:textbox>
                  <w:txbxContent>
                    <w:p w14:paraId="2EDFCB38" w14:textId="6FE54810" w:rsidR="00B53139" w:rsidRPr="00CD1F86" w:rsidRDefault="00B53139" w:rsidP="00CD1F86">
                      <w:pPr>
                        <w:pStyle w:val="mpcNormal"/>
                        <w:rPr>
                          <w:color w:val="000000" w:themeColor="text1"/>
                          <w:sz w:val="21"/>
                        </w:rPr>
                      </w:pPr>
                      <w:r w:rsidRPr="00CD1F86">
                        <w:rPr>
                          <w:b/>
                          <w:color w:val="000000" w:themeColor="text1"/>
                          <w:sz w:val="21"/>
                        </w:rPr>
                        <w:t>For example,</w:t>
                      </w:r>
                      <w:r w:rsidRPr="00CD1F86">
                        <w:rPr>
                          <w:color w:val="000000" w:themeColor="text1"/>
                          <w:sz w:val="21"/>
                        </w:rPr>
                        <w:t xml:space="preserve"> peanut oil scores an HSR of 2.5, olive oil scores an HSR of 3-3.5, canola oil scores an HSR of 4, yet these products are not differentiated by Dietary Guidelines. The energy and sodium content of these products is the same, so the difference in HSRs are due to differences in saturated fat content: peanut oil (18%), olive oil (14%) and canola oil (7.6%).</w:t>
                      </w:r>
                    </w:p>
                    <w:p w14:paraId="5A83F696" w14:textId="77777777" w:rsidR="00B53139" w:rsidRPr="00CD1F86" w:rsidRDefault="00B53139" w:rsidP="00CD1F86">
                      <w:pPr>
                        <w:pStyle w:val="mpcNormal"/>
                        <w:rPr>
                          <w:color w:val="000000" w:themeColor="text1"/>
                          <w:sz w:val="20"/>
                        </w:rPr>
                      </w:pPr>
                    </w:p>
                    <w:p w14:paraId="7A641013" w14:textId="77777777" w:rsidR="00B53139" w:rsidRPr="00CD1F86" w:rsidRDefault="00B53139" w:rsidP="00CD1F86">
                      <w:pPr>
                        <w:pStyle w:val="mpcNormal"/>
                        <w:rPr>
                          <w:color w:val="000000" w:themeColor="text1"/>
                          <w:sz w:val="21"/>
                        </w:rPr>
                      </w:pPr>
                    </w:p>
                  </w:txbxContent>
                </v:textbox>
                <w10:wrap type="square"/>
              </v:rect>
            </w:pict>
          </mc:Fallback>
        </mc:AlternateContent>
      </w:r>
      <w:r w:rsidR="000A3464" w:rsidRPr="00CC1ADD">
        <w:t>There are concerns</w:t>
      </w:r>
      <w:r w:rsidR="00B005CA">
        <w:t>:</w:t>
      </w:r>
      <w:r w:rsidR="000A3464" w:rsidRPr="00CC1ADD">
        <w:t xml:space="preserve"> about the wide range of HSRs for ‘healthy’ oils and spreads</w:t>
      </w:r>
      <w:r w:rsidR="00B005CA">
        <w:t>,</w:t>
      </w:r>
      <w:r w:rsidR="000A3464" w:rsidRPr="00CC1ADD">
        <w:t xml:space="preserve"> where there is little nutritional differentiation</w:t>
      </w:r>
      <w:r w:rsidR="00B005CA">
        <w:t>;</w:t>
      </w:r>
      <w:r w:rsidR="000A3464" w:rsidRPr="00CC1ADD">
        <w:t xml:space="preserve"> and that many healthy oils and spreads obtain HSRs below 3.5. As oils are a single ingredient product, there is also no opportunity to reformulate these products to improve their HSR. </w:t>
      </w:r>
    </w:p>
    <w:p w14:paraId="7BC1BD93" w14:textId="01E99150" w:rsidR="000A3464" w:rsidRPr="00CC1ADD" w:rsidRDefault="000A3464" w:rsidP="00CD1F86">
      <w:pPr>
        <w:pStyle w:val="mpcNormal"/>
        <w:keepNext w:val="0"/>
      </w:pPr>
    </w:p>
    <w:p w14:paraId="5292A524" w14:textId="77777777" w:rsidR="000A3464" w:rsidRPr="00CC1ADD" w:rsidRDefault="000A3464" w:rsidP="00CD1F86">
      <w:pPr>
        <w:pStyle w:val="mpcNormal"/>
        <w:keepNext w:val="0"/>
        <w:widowControl w:val="0"/>
      </w:pPr>
      <w:r w:rsidRPr="00CC1ADD">
        <w:t>A study published in August 2018</w:t>
      </w:r>
      <w:r w:rsidRPr="00CC1ADD">
        <w:rPr>
          <w:rStyle w:val="FootnoteReference"/>
        </w:rPr>
        <w:footnoteReference w:id="84"/>
      </w:r>
      <w:r w:rsidRPr="00CC1ADD">
        <w:t xml:space="preserve"> found that oils were the category with the poorest alignment between the HSR System and the NPSC. Most oils had an HSR &lt; 3.5 but most </w:t>
      </w:r>
      <w:r w:rsidRPr="00CC1ADD">
        <w:br/>
        <w:t>were also eligible to display health claims under the Code</w:t>
      </w:r>
      <w:r w:rsidRPr="00CC1ADD">
        <w:rPr>
          <w:rStyle w:val="FootnoteReference"/>
        </w:rPr>
        <w:footnoteReference w:id="85"/>
      </w:r>
      <w:r w:rsidRPr="00CC1ADD">
        <w:t>.</w:t>
      </w:r>
    </w:p>
    <w:p w14:paraId="5ED62FEA" w14:textId="3BCA62E3" w:rsidR="000A3464" w:rsidRPr="00CC1ADD" w:rsidRDefault="000A3464" w:rsidP="00CD1F86">
      <w:pPr>
        <w:pStyle w:val="mpcNormal"/>
        <w:keepNext w:val="0"/>
      </w:pPr>
    </w:p>
    <w:tbl>
      <w:tblPr>
        <w:tblStyle w:val="TableGrid"/>
        <w:tblW w:w="0" w:type="auto"/>
        <w:tblLook w:val="04A0" w:firstRow="1" w:lastRow="0" w:firstColumn="1" w:lastColumn="0" w:noHBand="0" w:noVBand="1"/>
      </w:tblPr>
      <w:tblGrid>
        <w:gridCol w:w="9736"/>
      </w:tblGrid>
      <w:tr w:rsidR="00AC4451" w:rsidRPr="00CC1ADD" w14:paraId="3B254E6A" w14:textId="77777777" w:rsidTr="00AC4451">
        <w:trPr>
          <w:trHeight w:val="972"/>
        </w:trPr>
        <w:tc>
          <w:tcPr>
            <w:tcW w:w="9736" w:type="dxa"/>
            <w:shd w:val="clear" w:color="auto" w:fill="D9E2F3" w:themeFill="accent1" w:themeFillTint="33"/>
            <w:vAlign w:val="center"/>
          </w:tcPr>
          <w:p w14:paraId="509D3C76" w14:textId="1B1041C2" w:rsidR="00AC4451" w:rsidRPr="00CC1ADD" w:rsidRDefault="00AC4451" w:rsidP="00CD1F86">
            <w:pPr>
              <w:pStyle w:val="mpcheading4"/>
              <w:keepNext w:val="0"/>
              <w:ind w:left="2127" w:hanging="2127"/>
            </w:pPr>
            <w:bookmarkStart w:id="111" w:name="_Toc524530387"/>
            <w:r w:rsidRPr="00CC1ADD">
              <w:t>Recommendation</w:t>
            </w:r>
            <w:r w:rsidR="00953CC0">
              <w:t xml:space="preserve"> 4</w:t>
            </w:r>
            <w:r w:rsidR="007F59B2">
              <w:t>E</w:t>
            </w:r>
            <w:r w:rsidRPr="00CC1ADD">
              <w:t xml:space="preserve">: </w:t>
            </w:r>
            <w:r w:rsidRPr="00CC1ADD">
              <w:tab/>
              <w:t>Increase and narrow the range of HSRs for healthy oils and oil</w:t>
            </w:r>
            <w:r w:rsidRPr="00CC1ADD">
              <w:noBreakHyphen/>
              <w:t xml:space="preserve">based spreads by rescaling Category 3 </w:t>
            </w:r>
            <w:bookmarkEnd w:id="111"/>
            <w:r w:rsidRPr="00CC1ADD">
              <w:t>to improve the HSRs of healthy oils to better represent their relative nutritional value</w:t>
            </w:r>
          </w:p>
        </w:tc>
      </w:tr>
    </w:tbl>
    <w:p w14:paraId="5E40633F" w14:textId="672C5E59" w:rsidR="00AC4451" w:rsidRPr="00CC1ADD" w:rsidRDefault="00AC4451" w:rsidP="00CD1F86">
      <w:pPr>
        <w:pStyle w:val="mpcNormal"/>
        <w:keepNext w:val="0"/>
      </w:pPr>
    </w:p>
    <w:p w14:paraId="087CC332" w14:textId="4A0A7E48" w:rsidR="000A3464" w:rsidRPr="00CC1ADD" w:rsidRDefault="000A3464">
      <w:pPr>
        <w:rPr>
          <w:sz w:val="22"/>
          <w:szCs w:val="22"/>
        </w:rPr>
      </w:pPr>
      <w:r w:rsidRPr="00CC1ADD">
        <w:rPr>
          <w:sz w:val="22"/>
          <w:szCs w:val="22"/>
        </w:rPr>
        <w:t>The Review recommends changes to the HSR Calculator to rescale Category 3 upwards. This would increase the HSRs of healthy oils and spreads to ensure better discriminat</w:t>
      </w:r>
      <w:r w:rsidR="00064740">
        <w:rPr>
          <w:sz w:val="22"/>
          <w:szCs w:val="22"/>
        </w:rPr>
        <w:t>ion</w:t>
      </w:r>
      <w:r w:rsidRPr="00CC1ADD">
        <w:rPr>
          <w:sz w:val="22"/>
          <w:szCs w:val="22"/>
        </w:rPr>
        <w:t xml:space="preserve"> between products and reduce the range of HSRs for foods classified as FFG, to improve consistency with Dietary Guidelines.</w:t>
      </w:r>
    </w:p>
    <w:p w14:paraId="3558FA8E" w14:textId="77777777" w:rsidR="000A3464" w:rsidRPr="00CC1ADD" w:rsidRDefault="000A3464">
      <w:pPr>
        <w:rPr>
          <w:sz w:val="22"/>
          <w:szCs w:val="22"/>
        </w:rPr>
      </w:pPr>
    </w:p>
    <w:p w14:paraId="3190E590" w14:textId="77777777" w:rsidR="000A3464" w:rsidRPr="00CC1ADD" w:rsidRDefault="000A3464" w:rsidP="00CD1F86">
      <w:pPr>
        <w:rPr>
          <w:sz w:val="22"/>
          <w:szCs w:val="22"/>
        </w:rPr>
      </w:pPr>
      <w:r w:rsidRPr="00CC1ADD">
        <w:rPr>
          <w:sz w:val="22"/>
          <w:szCs w:val="22"/>
        </w:rPr>
        <w:t>This approach would:</w:t>
      </w:r>
    </w:p>
    <w:p w14:paraId="1EC3A632" w14:textId="77777777" w:rsidR="000A3464" w:rsidRPr="00CC1ADD" w:rsidRDefault="000A3464" w:rsidP="00CD1F86">
      <w:pPr>
        <w:rPr>
          <w:szCs w:val="22"/>
        </w:rPr>
      </w:pPr>
    </w:p>
    <w:p w14:paraId="52CBA0AF" w14:textId="0F9B5C5D" w:rsidR="000A3464" w:rsidRPr="00CC1ADD" w:rsidRDefault="000A3464" w:rsidP="00F720A0">
      <w:pPr>
        <w:pStyle w:val="mpcbullets1"/>
      </w:pPr>
      <w:r w:rsidRPr="00CC1ADD">
        <w:t>increase the scores of healthy oils and spreads to better discriminate between healthier oils and oil</w:t>
      </w:r>
      <w:r w:rsidR="001C7B7D">
        <w:noBreakHyphen/>
      </w:r>
      <w:r w:rsidRPr="00CC1ADD">
        <w:t>based spreads, without impacting on those products that already receive a low HSR</w:t>
      </w:r>
    </w:p>
    <w:p w14:paraId="68E02F37" w14:textId="77777777" w:rsidR="000A3464" w:rsidRPr="00CC1ADD" w:rsidRDefault="000A3464" w:rsidP="00CD1F86">
      <w:pPr>
        <w:pStyle w:val="mpcbullets2"/>
        <w:keepNext w:val="0"/>
        <w:ind w:left="850"/>
      </w:pPr>
      <w:r w:rsidRPr="00CC1ADD">
        <w:t>As a result of this change, 52% of the fats, oils and oil-based spreads in the TAG database (49 products) would see an increase in their HSR of between 0.5 to 1.0.</w:t>
      </w:r>
    </w:p>
    <w:p w14:paraId="7B80426B" w14:textId="77777777" w:rsidR="000A3464" w:rsidRPr="00CC1ADD" w:rsidRDefault="000A3464" w:rsidP="00CD1F86">
      <w:pPr>
        <w:pStyle w:val="mpcbullets2"/>
        <w:keepNext w:val="0"/>
        <w:ind w:left="850"/>
      </w:pPr>
      <w:r w:rsidRPr="00CC1ADD">
        <w:t xml:space="preserve">There is little to no change in the HSRs of unhealthy fats and oil products with an HSR </w:t>
      </w:r>
      <w:r w:rsidRPr="00CC1ADD">
        <w:sym w:font="Symbol" w:char="F0A3"/>
      </w:r>
      <w:r w:rsidRPr="00CC1ADD">
        <w:t xml:space="preserve"> 1.5 (including Copha, lard, butter, palm, coconut). </w:t>
      </w:r>
    </w:p>
    <w:p w14:paraId="0281033A" w14:textId="77777777" w:rsidR="000A3464" w:rsidRPr="00CC1ADD" w:rsidRDefault="000A3464" w:rsidP="00CD1F86">
      <w:pPr>
        <w:pStyle w:val="mpcbullets2"/>
        <w:keepNext w:val="0"/>
        <w:ind w:left="850"/>
      </w:pPr>
      <w:r w:rsidRPr="00CC1ADD">
        <w:t xml:space="preserve">For products with an HSR &gt; 1.5, HSRs are generally increased by 0.5. The HSR of macadamia, avocado, sunflower and olive oils would increase from 3-3.5 to 4, and canola oil from 4-4.5 to 5. </w:t>
      </w:r>
    </w:p>
    <w:p w14:paraId="2A658164" w14:textId="77777777" w:rsidR="000A3464" w:rsidRPr="00CC1ADD" w:rsidRDefault="000A3464" w:rsidP="00CD1F86">
      <w:pPr>
        <w:pStyle w:val="mpcbullets2"/>
        <w:keepNext w:val="0"/>
        <w:ind w:left="850"/>
      </w:pPr>
      <w:r w:rsidRPr="00CC1ADD">
        <w:t xml:space="preserve">Broadly, products with saturated fat content &lt; 12% would receive an HSR of 5, while products with saturated fat content &gt; 25% would receive an HSR </w:t>
      </w:r>
      <w:r w:rsidRPr="00CC1ADD">
        <w:sym w:font="Symbol" w:char="F0A3"/>
      </w:r>
      <w:r w:rsidRPr="00CC1ADD">
        <w:t xml:space="preserve"> 2.</w:t>
      </w:r>
    </w:p>
    <w:p w14:paraId="1321B173" w14:textId="77777777" w:rsidR="000A3464" w:rsidRPr="00CC1ADD" w:rsidRDefault="000A3464" w:rsidP="00F720A0">
      <w:pPr>
        <w:pStyle w:val="mpcbullets1"/>
      </w:pPr>
      <w:r w:rsidRPr="00CC1ADD">
        <w:t>decrease the range of HSRs within these products to more appropriately represent the relative nutritional value of oils and spreads high in unsaturated fats</w:t>
      </w:r>
    </w:p>
    <w:p w14:paraId="0EA14446" w14:textId="77777777" w:rsidR="000A3464" w:rsidRPr="00CC1ADD" w:rsidRDefault="000A3464" w:rsidP="00F720A0">
      <w:pPr>
        <w:pStyle w:val="mpcbullets1"/>
      </w:pPr>
      <w:r w:rsidRPr="00CC1ADD">
        <w:t xml:space="preserve">improve consistency with Dietary Guidelines, improve consistency with NPSC eligibility to display health claims and provide more consistent messaging to consumers. </w:t>
      </w:r>
    </w:p>
    <w:p w14:paraId="70A3A98B" w14:textId="77777777" w:rsidR="000A3464" w:rsidRPr="00CC1ADD" w:rsidRDefault="000A3464" w:rsidP="00CD1F86">
      <w:pPr>
        <w:pStyle w:val="mpcNormal"/>
        <w:keepNext w:val="0"/>
      </w:pPr>
    </w:p>
    <w:p w14:paraId="51AC21DF" w14:textId="77777777" w:rsidR="000A3464" w:rsidRPr="00CC1ADD" w:rsidRDefault="000A3464" w:rsidP="00CD1F86">
      <w:pPr>
        <w:pStyle w:val="mpcheading3"/>
      </w:pPr>
      <w:r w:rsidRPr="00CC1ADD">
        <w:t>Jellies and ice confection</w:t>
      </w:r>
    </w:p>
    <w:p w14:paraId="539C42E6" w14:textId="77777777" w:rsidR="000A3464" w:rsidRPr="00CC1ADD" w:rsidRDefault="000A3464" w:rsidP="00CD1F86">
      <w:pPr>
        <w:rPr>
          <w:b/>
          <w:sz w:val="22"/>
          <w:szCs w:val="22"/>
        </w:rPr>
      </w:pPr>
    </w:p>
    <w:p w14:paraId="2CBF580F" w14:textId="79AED845" w:rsidR="000A3464" w:rsidRPr="00CC1ADD" w:rsidRDefault="000A3464" w:rsidP="00CD1F86">
      <w:pPr>
        <w:rPr>
          <w:sz w:val="22"/>
          <w:szCs w:val="22"/>
        </w:rPr>
      </w:pPr>
      <w:r w:rsidRPr="00CC1ADD">
        <w:rPr>
          <w:sz w:val="22"/>
          <w:szCs w:val="22"/>
        </w:rPr>
        <w:t>Jellies and ice confections (</w:t>
      </w:r>
      <w:r w:rsidR="0030513A">
        <w:rPr>
          <w:rFonts w:cstheme="minorHAnsi"/>
          <w:sz w:val="22"/>
          <w:szCs w:val="22"/>
        </w:rPr>
        <w:t>for example,</w:t>
      </w:r>
      <w:r w:rsidR="0030513A" w:rsidRPr="00CC1ADD">
        <w:rPr>
          <w:rFonts w:cstheme="minorHAnsi"/>
          <w:sz w:val="22"/>
          <w:szCs w:val="22"/>
        </w:rPr>
        <w:t xml:space="preserve"> </w:t>
      </w:r>
      <w:r w:rsidRPr="00CC1ADD">
        <w:rPr>
          <w:sz w:val="22"/>
          <w:szCs w:val="22"/>
        </w:rPr>
        <w:t xml:space="preserve">ice blocks, consisting primarily of water, flavouring and sugar) have been identified as outliers as they have an unhealthy nutritional profile but have HSRs of </w:t>
      </w:r>
      <w:r w:rsidRPr="00CC1ADD">
        <w:rPr>
          <w:sz w:val="22"/>
          <w:szCs w:val="22"/>
        </w:rPr>
        <w:sym w:font="Symbol" w:char="F0B3"/>
      </w:r>
      <w:r w:rsidRPr="00CC1ADD">
        <w:rPr>
          <w:sz w:val="22"/>
          <w:szCs w:val="22"/>
        </w:rPr>
        <w:t xml:space="preserve"> 3.</w:t>
      </w:r>
      <w:r w:rsidRPr="00CC1ADD">
        <w:rPr>
          <w:rStyle w:val="FootnoteReference"/>
          <w:sz w:val="22"/>
          <w:szCs w:val="22"/>
        </w:rPr>
        <w:footnoteReference w:id="86"/>
      </w:r>
      <w:r w:rsidRPr="00CC1ADD">
        <w:rPr>
          <w:sz w:val="22"/>
          <w:szCs w:val="22"/>
        </w:rPr>
        <w:t xml:space="preserve"> These outliers were confirmed by the George Institute</w:t>
      </w:r>
      <w:r w:rsidRPr="00CC1ADD">
        <w:rPr>
          <w:rStyle w:val="FootnoteReference"/>
          <w:sz w:val="22"/>
          <w:szCs w:val="22"/>
        </w:rPr>
        <w:footnoteReference w:id="87"/>
      </w:r>
      <w:r w:rsidRPr="00CC1ADD">
        <w:rPr>
          <w:sz w:val="22"/>
          <w:szCs w:val="22"/>
        </w:rPr>
        <w:t xml:space="preserve"> and NSW Health</w:t>
      </w:r>
      <w:r w:rsidRPr="00CC1ADD">
        <w:rPr>
          <w:rStyle w:val="FootnoteReference"/>
          <w:sz w:val="22"/>
          <w:szCs w:val="22"/>
        </w:rPr>
        <w:footnoteReference w:id="88"/>
      </w:r>
      <w:r w:rsidRPr="00CC1ADD">
        <w:rPr>
          <w:sz w:val="22"/>
          <w:szCs w:val="22"/>
        </w:rPr>
        <w:t xml:space="preserve"> who identified some jellies and ice confections scoring HSRs of </w:t>
      </w:r>
      <w:r w:rsidRPr="00CC1ADD">
        <w:rPr>
          <w:sz w:val="22"/>
          <w:szCs w:val="22"/>
        </w:rPr>
        <w:sym w:font="Symbol" w:char="F0B3"/>
      </w:r>
      <w:r w:rsidRPr="00CC1ADD">
        <w:rPr>
          <w:sz w:val="22"/>
          <w:szCs w:val="22"/>
        </w:rPr>
        <w:t xml:space="preserve"> 3.5 despite being discretionary foods with high sugar content. </w:t>
      </w:r>
    </w:p>
    <w:p w14:paraId="43A1FD82" w14:textId="77777777" w:rsidR="000A3464" w:rsidRPr="00CC1ADD" w:rsidRDefault="000A3464" w:rsidP="005A3631">
      <w:pPr>
        <w:rPr>
          <w:sz w:val="22"/>
          <w:szCs w:val="22"/>
        </w:rPr>
      </w:pPr>
    </w:p>
    <w:p w14:paraId="388737B3" w14:textId="563304D8" w:rsidR="000A3464" w:rsidRPr="00CC1ADD" w:rsidRDefault="000A3464" w:rsidP="005A3631">
      <w:pPr>
        <w:rPr>
          <w:sz w:val="22"/>
          <w:szCs w:val="22"/>
        </w:rPr>
      </w:pPr>
      <w:r w:rsidRPr="00CC1ADD">
        <w:rPr>
          <w:sz w:val="22"/>
          <w:szCs w:val="22"/>
        </w:rPr>
        <w:t>While these products were not perceived as a significant area of concern for consumers, the HSRs they receive are inconsistent with Dietary Guideline recommendations to limit the intake of foods and drinks with added sugars.</w:t>
      </w:r>
    </w:p>
    <w:p w14:paraId="36708ED7" w14:textId="77777777" w:rsidR="000A3464" w:rsidRPr="00CC1ADD" w:rsidRDefault="000A3464">
      <w:pPr>
        <w:rPr>
          <w:sz w:val="22"/>
          <w:szCs w:val="22"/>
        </w:rPr>
      </w:pPr>
    </w:p>
    <w:p w14:paraId="1724AC85" w14:textId="77777777" w:rsidR="000A3464" w:rsidRPr="00CC1ADD" w:rsidRDefault="000A3464">
      <w:pPr>
        <w:rPr>
          <w:sz w:val="22"/>
          <w:szCs w:val="22"/>
        </w:rPr>
      </w:pPr>
      <w:r w:rsidRPr="00CC1ADD">
        <w:rPr>
          <w:sz w:val="22"/>
          <w:szCs w:val="22"/>
        </w:rPr>
        <w:t xml:space="preserve">Water-based ice confections and jellies are classified as Category 2, despite an ingredient and nutrient profile closer to non-dairy beverages (Category 1). </w:t>
      </w:r>
    </w:p>
    <w:p w14:paraId="4E8A70D6" w14:textId="77777777" w:rsidR="00953CC0" w:rsidRPr="00CC1ADD" w:rsidRDefault="00953CC0">
      <w:pPr>
        <w:rPr>
          <w:sz w:val="22"/>
          <w:szCs w:val="22"/>
        </w:rPr>
      </w:pPr>
    </w:p>
    <w:tbl>
      <w:tblPr>
        <w:tblStyle w:val="TableGrid"/>
        <w:tblW w:w="0" w:type="auto"/>
        <w:tblLook w:val="04A0" w:firstRow="1" w:lastRow="0" w:firstColumn="1" w:lastColumn="0" w:noHBand="0" w:noVBand="1"/>
      </w:tblPr>
      <w:tblGrid>
        <w:gridCol w:w="9736"/>
      </w:tblGrid>
      <w:tr w:rsidR="00AC4451" w:rsidRPr="00CC1ADD" w14:paraId="52E242E7" w14:textId="77777777" w:rsidTr="00CD1F86">
        <w:trPr>
          <w:trHeight w:val="768"/>
        </w:trPr>
        <w:tc>
          <w:tcPr>
            <w:tcW w:w="9736" w:type="dxa"/>
            <w:shd w:val="clear" w:color="auto" w:fill="D9E2F3" w:themeFill="accent1" w:themeFillTint="33"/>
            <w:vAlign w:val="center"/>
          </w:tcPr>
          <w:p w14:paraId="7DC03C9D" w14:textId="07F180AE" w:rsidR="00AC4451" w:rsidRPr="00953CC0" w:rsidRDefault="00953CC0">
            <w:pPr>
              <w:ind w:left="2160" w:hanging="2160"/>
              <w:rPr>
                <w:b/>
                <w:sz w:val="22"/>
                <w:szCs w:val="22"/>
              </w:rPr>
            </w:pPr>
            <w:r w:rsidRPr="00953CC0">
              <w:rPr>
                <w:b/>
                <w:sz w:val="22"/>
                <w:szCs w:val="22"/>
              </w:rPr>
              <w:t>Recommendation 4</w:t>
            </w:r>
            <w:r w:rsidR="007F59B2">
              <w:rPr>
                <w:b/>
                <w:sz w:val="22"/>
                <w:szCs w:val="22"/>
              </w:rPr>
              <w:t>F</w:t>
            </w:r>
            <w:r w:rsidRPr="00953CC0">
              <w:rPr>
                <w:b/>
                <w:sz w:val="22"/>
                <w:szCs w:val="22"/>
              </w:rPr>
              <w:t xml:space="preserve">:  </w:t>
            </w:r>
            <w:r w:rsidRPr="00953CC0">
              <w:rPr>
                <w:b/>
                <w:sz w:val="22"/>
                <w:szCs w:val="22"/>
              </w:rPr>
              <w:tab/>
              <w:t>Jellies and water-based ice confections be included in Category 1 to decrease their HSRs and align them with nutritionally similar non-dairy beverages.</w:t>
            </w:r>
          </w:p>
        </w:tc>
      </w:tr>
    </w:tbl>
    <w:p w14:paraId="40202E3F" w14:textId="2D9B05AC" w:rsidR="00AC4451" w:rsidRPr="00CC1ADD" w:rsidRDefault="00AC4451" w:rsidP="005A3631">
      <w:pPr>
        <w:rPr>
          <w:sz w:val="22"/>
          <w:szCs w:val="22"/>
        </w:rPr>
      </w:pPr>
    </w:p>
    <w:p w14:paraId="006CDA86" w14:textId="77777777" w:rsidR="000A3464" w:rsidRPr="00CC1ADD" w:rsidRDefault="000A3464">
      <w:pPr>
        <w:rPr>
          <w:sz w:val="22"/>
          <w:szCs w:val="22"/>
        </w:rPr>
      </w:pPr>
      <w:r w:rsidRPr="00CC1ADD">
        <w:rPr>
          <w:sz w:val="22"/>
          <w:szCs w:val="22"/>
        </w:rPr>
        <w:t xml:space="preserve">This approach would redefine Category 1 to include water-based ice confections and jellies. </w:t>
      </w:r>
    </w:p>
    <w:p w14:paraId="6B07ED44" w14:textId="77777777" w:rsidR="000A3464" w:rsidRPr="00CC1ADD" w:rsidRDefault="000A3464">
      <w:pPr>
        <w:rPr>
          <w:sz w:val="22"/>
          <w:szCs w:val="22"/>
        </w:rPr>
      </w:pPr>
    </w:p>
    <w:p w14:paraId="2A263873" w14:textId="77777777" w:rsidR="000A3464" w:rsidRPr="00CC1ADD" w:rsidRDefault="000A3464">
      <w:pPr>
        <w:rPr>
          <w:sz w:val="22"/>
          <w:szCs w:val="22"/>
        </w:rPr>
      </w:pPr>
      <w:r w:rsidRPr="00CC1ADD">
        <w:rPr>
          <w:sz w:val="22"/>
          <w:szCs w:val="22"/>
        </w:rPr>
        <w:t>This would lower the HSRs for ice confection and jelly products and improve discrimination between high and low sugar products (better aligning with Dietary Guidelines). As a result of these changes, the HSRs of all water-based ice confections in the TAG database would decrease from between 3 to 3.5 to 0.5 to 1.0. The HSRs of all jellies in the TAG database would decrease from between 3 to 3.5 to between 0.5 to 1.0.</w:t>
      </w:r>
    </w:p>
    <w:p w14:paraId="175064A1" w14:textId="77777777" w:rsidR="000A3464" w:rsidRPr="00CC1ADD" w:rsidRDefault="000A3464">
      <w:pPr>
        <w:rPr>
          <w:sz w:val="22"/>
          <w:szCs w:val="22"/>
        </w:rPr>
      </w:pPr>
    </w:p>
    <w:p w14:paraId="02312798" w14:textId="73BB7C51" w:rsidR="000A3464" w:rsidRPr="00CC1ADD" w:rsidRDefault="000A3464">
      <w:pPr>
        <w:rPr>
          <w:sz w:val="22"/>
          <w:szCs w:val="22"/>
        </w:rPr>
      </w:pPr>
      <w:r w:rsidRPr="00CC1ADD">
        <w:rPr>
          <w:sz w:val="22"/>
          <w:szCs w:val="22"/>
        </w:rPr>
        <w:t>While the counter-intuitive classification of solid foods as beverages may confuse some consumers familiar with the workings of the HSR Calculator, the resulting HSRs on these products will be more logical.</w:t>
      </w:r>
    </w:p>
    <w:p w14:paraId="32C8A10D" w14:textId="77777777" w:rsidR="000A3464" w:rsidRPr="00CC1ADD" w:rsidRDefault="000A3464" w:rsidP="00CD1F86">
      <w:pPr>
        <w:pStyle w:val="mpcNormal"/>
        <w:keepNext w:val="0"/>
      </w:pPr>
    </w:p>
    <w:p w14:paraId="3C73816A" w14:textId="77777777" w:rsidR="000A3464" w:rsidRPr="00CC1ADD" w:rsidRDefault="000A3464" w:rsidP="005A3631">
      <w:pPr>
        <w:pStyle w:val="mpcheading2"/>
        <w:spacing w:after="0"/>
      </w:pPr>
      <w:bookmarkStart w:id="112" w:name="Impact"/>
      <w:bookmarkStart w:id="113" w:name="_Toc1746502"/>
      <w:bookmarkEnd w:id="112"/>
      <w:r w:rsidRPr="00CC1ADD">
        <w:t>Impact of proposed changes</w:t>
      </w:r>
      <w:bookmarkEnd w:id="113"/>
    </w:p>
    <w:p w14:paraId="363893CE" w14:textId="77777777" w:rsidR="000A3464" w:rsidRPr="00CC1ADD" w:rsidRDefault="000A3464" w:rsidP="00CD1F86">
      <w:pPr>
        <w:pStyle w:val="mpcNormal"/>
        <w:keepNext w:val="0"/>
      </w:pPr>
    </w:p>
    <w:p w14:paraId="338B0693" w14:textId="77777777" w:rsidR="000A3464" w:rsidRPr="00CC1ADD" w:rsidRDefault="000A3464" w:rsidP="005A3631">
      <w:pPr>
        <w:rPr>
          <w:sz w:val="22"/>
          <w:szCs w:val="22"/>
        </w:rPr>
      </w:pPr>
      <w:r w:rsidRPr="00CC1ADD">
        <w:rPr>
          <w:sz w:val="22"/>
          <w:szCs w:val="22"/>
        </w:rPr>
        <w:t>To provide an indication of the potential impact of the combined System enhancements, modelling was undertaken using the TAG database. Based on best estimates, the TAG database represents approximately 37% of the reported 15,767 products eligible to display the HSR in the market</w:t>
      </w:r>
      <w:r w:rsidRPr="00CC1ADD">
        <w:rPr>
          <w:rStyle w:val="FootnoteReference"/>
          <w:sz w:val="22"/>
          <w:szCs w:val="22"/>
        </w:rPr>
        <w:footnoteReference w:id="89"/>
      </w:r>
      <w:r w:rsidRPr="00CC1ADD">
        <w:rPr>
          <w:sz w:val="22"/>
          <w:szCs w:val="22"/>
        </w:rPr>
        <w:t>.</w:t>
      </w:r>
    </w:p>
    <w:p w14:paraId="77880CD7" w14:textId="77777777" w:rsidR="000A3464" w:rsidRPr="00CC1ADD" w:rsidRDefault="000A3464">
      <w:pPr>
        <w:rPr>
          <w:sz w:val="22"/>
          <w:szCs w:val="22"/>
        </w:rPr>
      </w:pPr>
    </w:p>
    <w:p w14:paraId="39619356" w14:textId="0D87AE6D" w:rsidR="000A3464" w:rsidRPr="00CC1ADD" w:rsidRDefault="004505FF">
      <w:pPr>
        <w:rPr>
          <w:sz w:val="22"/>
          <w:szCs w:val="22"/>
        </w:rPr>
      </w:pPr>
      <w:r w:rsidRPr="00CC1ADD">
        <w:rPr>
          <w:sz w:val="22"/>
          <w:szCs w:val="22"/>
        </w:rPr>
        <w:t>As c</w:t>
      </w:r>
      <w:r w:rsidR="000A3464" w:rsidRPr="00CC1ADD">
        <w:rPr>
          <w:sz w:val="22"/>
          <w:szCs w:val="22"/>
        </w:rPr>
        <w:t xml:space="preserve">hanges to non-dairy beverages have been modelled separately, </w:t>
      </w:r>
      <w:r w:rsidRPr="00CC1ADD">
        <w:rPr>
          <w:sz w:val="22"/>
          <w:szCs w:val="22"/>
        </w:rPr>
        <w:t xml:space="preserve">the </w:t>
      </w:r>
      <w:r w:rsidR="000A3464" w:rsidRPr="00CC1ADD">
        <w:rPr>
          <w:sz w:val="22"/>
          <w:szCs w:val="22"/>
        </w:rPr>
        <w:t xml:space="preserve">modelling </w:t>
      </w:r>
      <w:r w:rsidRPr="00CC1ADD">
        <w:rPr>
          <w:sz w:val="22"/>
          <w:szCs w:val="22"/>
        </w:rPr>
        <w:t xml:space="preserve">described below </w:t>
      </w:r>
      <w:r w:rsidR="000A3464" w:rsidRPr="00CC1ADD">
        <w:rPr>
          <w:sz w:val="22"/>
          <w:szCs w:val="22"/>
        </w:rPr>
        <w:t>was undertaken on a subset of the TAG database (of 5,522 food products) which excluded non-dairy beverages.</w:t>
      </w:r>
    </w:p>
    <w:p w14:paraId="6F5E0E33" w14:textId="77777777" w:rsidR="000A3464" w:rsidRPr="00CC1ADD" w:rsidRDefault="000A3464">
      <w:pPr>
        <w:rPr>
          <w:sz w:val="22"/>
          <w:szCs w:val="22"/>
        </w:rPr>
      </w:pPr>
    </w:p>
    <w:p w14:paraId="0653B111" w14:textId="46E827AE" w:rsidR="000A3464" w:rsidRPr="00CC1ADD" w:rsidRDefault="000A3464">
      <w:pPr>
        <w:rPr>
          <w:sz w:val="22"/>
          <w:szCs w:val="22"/>
        </w:rPr>
      </w:pPr>
      <w:r w:rsidRPr="00CC1ADD">
        <w:rPr>
          <w:sz w:val="22"/>
          <w:szCs w:val="22"/>
        </w:rPr>
        <w:t xml:space="preserve">The modelling shows that the combined impact of preferred options resulted in changed HSRs (up or down) to 1,281 (23%) </w:t>
      </w:r>
      <w:r w:rsidR="004505FF" w:rsidRPr="00CC1ADD">
        <w:rPr>
          <w:sz w:val="22"/>
          <w:szCs w:val="22"/>
        </w:rPr>
        <w:t xml:space="preserve">of </w:t>
      </w:r>
      <w:r w:rsidRPr="00CC1ADD">
        <w:rPr>
          <w:sz w:val="22"/>
          <w:szCs w:val="22"/>
        </w:rPr>
        <w:t>products in the TAG database, with HSRs changed by between 0.5 to 3 stars. Of these 1,281 products:</w:t>
      </w:r>
    </w:p>
    <w:p w14:paraId="53BC9A70" w14:textId="77777777" w:rsidR="000A3464" w:rsidRPr="00CC1ADD" w:rsidRDefault="000A3464">
      <w:pPr>
        <w:rPr>
          <w:sz w:val="22"/>
          <w:szCs w:val="22"/>
        </w:rPr>
      </w:pPr>
    </w:p>
    <w:p w14:paraId="057D9C8C" w14:textId="77777777" w:rsidR="000A3464" w:rsidRPr="00CC1ADD" w:rsidRDefault="000A3464" w:rsidP="00F720A0">
      <w:pPr>
        <w:pStyle w:val="mpcbullets1"/>
      </w:pPr>
      <w:r w:rsidRPr="00CC1ADD">
        <w:rPr>
          <w:b/>
        </w:rPr>
        <w:t>447 (8%) products</w:t>
      </w:r>
      <w:r w:rsidRPr="00CC1ADD">
        <w:t xml:space="preserve"> see a </w:t>
      </w:r>
      <w:r w:rsidRPr="00CC1ADD">
        <w:rPr>
          <w:i/>
        </w:rPr>
        <w:t>decrease</w:t>
      </w:r>
      <w:r w:rsidRPr="00CC1ADD">
        <w:t xml:space="preserve"> in their HSRs:</w:t>
      </w:r>
    </w:p>
    <w:p w14:paraId="3EEB62E1" w14:textId="455B682B" w:rsidR="000A3464" w:rsidRPr="00CC1ADD" w:rsidRDefault="000A3464" w:rsidP="00CD1F86">
      <w:pPr>
        <w:pStyle w:val="mpcbullets2"/>
        <w:keepNext w:val="0"/>
      </w:pPr>
      <w:r w:rsidRPr="00CC1ADD">
        <w:t>More than 70% of these are discretionary</w:t>
      </w:r>
      <w:r w:rsidR="004505FF" w:rsidRPr="00CC1ADD">
        <w:t xml:space="preserve"> foods</w:t>
      </w:r>
      <w:r w:rsidRPr="00CC1ADD">
        <w:t>, while the FFG products decreasing are those higher in sugars or sodium (such as breakfast cereals and processed fruits, vegetables and meats).</w:t>
      </w:r>
    </w:p>
    <w:p w14:paraId="673D182B" w14:textId="77777777" w:rsidR="000A3464" w:rsidRPr="00CC1ADD" w:rsidRDefault="000A3464" w:rsidP="00CD1F86">
      <w:pPr>
        <w:pStyle w:val="mpcbullets2"/>
        <w:keepNext w:val="0"/>
      </w:pPr>
      <w:r w:rsidRPr="00CC1ADD">
        <w:t>11 (0.2%) decrease by 3 stars – these products are all jellies.</w:t>
      </w:r>
    </w:p>
    <w:p w14:paraId="2DD51FEF" w14:textId="6F46D780" w:rsidR="000A3464" w:rsidRPr="00CC1ADD" w:rsidRDefault="000A3464" w:rsidP="00CD1F86">
      <w:pPr>
        <w:pStyle w:val="mpcbullets2"/>
        <w:keepNext w:val="0"/>
      </w:pPr>
      <w:r w:rsidRPr="00CC1ADD">
        <w:t>54 (1%) decrease by 2.5 stars – these products are all jellies and ice confections (</w:t>
      </w:r>
      <w:r w:rsidR="0030513A">
        <w:t>for example,</w:t>
      </w:r>
      <w:r w:rsidR="0030513A" w:rsidRPr="00CC1ADD">
        <w:t xml:space="preserve"> </w:t>
      </w:r>
      <w:r w:rsidRPr="00CC1ADD">
        <w:t>ice blocks and sorbets).</w:t>
      </w:r>
    </w:p>
    <w:p w14:paraId="6436E665" w14:textId="77777777" w:rsidR="000A3464" w:rsidRPr="00CC1ADD" w:rsidRDefault="000A3464" w:rsidP="00CD1F86">
      <w:pPr>
        <w:pStyle w:val="mpcbullets2"/>
        <w:keepNext w:val="0"/>
      </w:pPr>
      <w:r w:rsidRPr="00CC1ADD">
        <w:t>2 (0.1%) decrease by 2 stars – one dairy dessert and one ice confection.</w:t>
      </w:r>
    </w:p>
    <w:p w14:paraId="293190FA" w14:textId="77777777" w:rsidR="000A3464" w:rsidRPr="00CC1ADD" w:rsidRDefault="000A3464" w:rsidP="00CD1F86">
      <w:pPr>
        <w:pStyle w:val="mpcbullets2"/>
        <w:keepNext w:val="0"/>
      </w:pPr>
      <w:r w:rsidRPr="00CC1ADD">
        <w:t>30 (0.5%) decrease by 1.5 stars – mostly creams, cream cheeses, custards/dairy desserts and two breakfast cereals.</w:t>
      </w:r>
    </w:p>
    <w:p w14:paraId="6D9389F4" w14:textId="5614E554" w:rsidR="000A3464" w:rsidRPr="00CC1ADD" w:rsidRDefault="000A3464" w:rsidP="00CD1F86">
      <w:pPr>
        <w:pStyle w:val="mpcbullets2"/>
        <w:keepNext w:val="0"/>
      </w:pPr>
      <w:r w:rsidRPr="00CC1ADD">
        <w:t>39 (0.7%) decrease by 1 star – these products are mostly creams, cream cheeses, breakfast cereals, custards/dairy desserts, muesli bars, processed meats and yeast spreads.</w:t>
      </w:r>
    </w:p>
    <w:p w14:paraId="50204C40" w14:textId="77777777" w:rsidR="000A3464" w:rsidRPr="00CC1ADD" w:rsidRDefault="000A3464" w:rsidP="00CD1F86">
      <w:pPr>
        <w:pStyle w:val="mpcbullets2"/>
        <w:keepNext w:val="0"/>
      </w:pPr>
      <w:r w:rsidRPr="00CC1ADD">
        <w:t>311 (5.6%) decrease by 0.5 stars – these products are mostly creams, cream cheeses, custards/dairy desserts, breakfast cereals, sweetened milks, muesli bars, sugar-based desserts, biscuits, confectionery, dips, ice creams, savoury sauces, salty snacks and processed fruits, vegetables and meats.</w:t>
      </w:r>
    </w:p>
    <w:p w14:paraId="021A21C6" w14:textId="77777777" w:rsidR="000A3464" w:rsidRPr="00CC1ADD" w:rsidRDefault="000A3464" w:rsidP="00CD1F86">
      <w:pPr>
        <w:pStyle w:val="mpcNormal"/>
        <w:keepNext w:val="0"/>
      </w:pPr>
    </w:p>
    <w:p w14:paraId="3F8E5955" w14:textId="77777777" w:rsidR="000A3464" w:rsidRPr="00CC1ADD" w:rsidRDefault="000A3464" w:rsidP="00F720A0">
      <w:pPr>
        <w:pStyle w:val="mpcbullets1"/>
      </w:pPr>
      <w:r w:rsidRPr="00CC1ADD">
        <w:rPr>
          <w:b/>
        </w:rPr>
        <w:t>834 (15%) products</w:t>
      </w:r>
      <w:r w:rsidRPr="00CC1ADD">
        <w:t xml:space="preserve"> see an </w:t>
      </w:r>
      <w:r w:rsidRPr="00CC1ADD">
        <w:rPr>
          <w:i/>
        </w:rPr>
        <w:t>increase</w:t>
      </w:r>
      <w:r w:rsidRPr="00CC1ADD">
        <w:t xml:space="preserve"> in their HSRs:</w:t>
      </w:r>
    </w:p>
    <w:p w14:paraId="5305F8C2" w14:textId="77777777" w:rsidR="000A3464" w:rsidRPr="00CC1ADD" w:rsidRDefault="000A3464" w:rsidP="00CD1F86">
      <w:pPr>
        <w:pStyle w:val="mpcbullets2"/>
        <w:keepNext w:val="0"/>
        <w:ind w:left="850"/>
      </w:pPr>
      <w:r w:rsidRPr="00CC1ADD">
        <w:t>More than 96% of these are FFG, while the discretionary products are mostly yoghurts and custards.</w:t>
      </w:r>
    </w:p>
    <w:p w14:paraId="27250405" w14:textId="77777777" w:rsidR="000A3464" w:rsidRPr="00CC1ADD" w:rsidRDefault="000A3464" w:rsidP="00CD1F86">
      <w:pPr>
        <w:pStyle w:val="mpcbullets2"/>
        <w:keepNext w:val="0"/>
        <w:ind w:left="850"/>
      </w:pPr>
      <w:r w:rsidRPr="00CC1ADD">
        <w:t>6 (0.1%) increase by 2 stars – these products are all yoghurts.</w:t>
      </w:r>
    </w:p>
    <w:p w14:paraId="5217E99D" w14:textId="77777777" w:rsidR="000A3464" w:rsidRPr="00CC1ADD" w:rsidRDefault="000A3464" w:rsidP="00CD1F86">
      <w:pPr>
        <w:pStyle w:val="mpcbullets2"/>
        <w:keepNext w:val="0"/>
        <w:ind w:left="850"/>
      </w:pPr>
      <w:r w:rsidRPr="00CC1ADD">
        <w:t>39 (0.7%) increase by 1.5 stars – these products are mostly yoghurts and unripened cheeses.</w:t>
      </w:r>
    </w:p>
    <w:p w14:paraId="7A6A15E8" w14:textId="77777777" w:rsidR="000A3464" w:rsidRPr="00CC1ADD" w:rsidRDefault="000A3464" w:rsidP="00CD1F86">
      <w:pPr>
        <w:pStyle w:val="mpcbullets2"/>
        <w:keepNext w:val="0"/>
        <w:ind w:left="850"/>
      </w:pPr>
      <w:r w:rsidRPr="00CC1ADD">
        <w:t>183 (3.3%) increase by 1 star – these products are mostly yoghurts and unripened cheeses, some custards, oils and oil</w:t>
      </w:r>
      <w:r w:rsidRPr="00CC1ADD">
        <w:noBreakHyphen/>
        <w:t>based spreads and fruits and vegetables.</w:t>
      </w:r>
    </w:p>
    <w:p w14:paraId="52D7585F" w14:textId="77777777" w:rsidR="000A3464" w:rsidRPr="00CC1ADD" w:rsidRDefault="000A3464" w:rsidP="00CD1F86">
      <w:pPr>
        <w:pStyle w:val="mpcbullets2"/>
        <w:keepNext w:val="0"/>
      </w:pPr>
      <w:r w:rsidRPr="00CC1ADD">
        <w:t>606 (10.9%) increase by 0.5 stars – these products include cheeses, yoghurts, some custards/dairy desserts, oils and oil-based spreads, fruits and vegetables.</w:t>
      </w:r>
    </w:p>
    <w:p w14:paraId="2A660E5A" w14:textId="57580586" w:rsidR="000A3464" w:rsidRDefault="000A3464" w:rsidP="005A3631">
      <w:pPr>
        <w:rPr>
          <w:sz w:val="22"/>
          <w:szCs w:val="22"/>
        </w:rPr>
      </w:pPr>
    </w:p>
    <w:p w14:paraId="66D8B793" w14:textId="12ADF451" w:rsidR="00B664F4" w:rsidRDefault="00B664F4" w:rsidP="005A3631">
      <w:pPr>
        <w:rPr>
          <w:sz w:val="22"/>
          <w:szCs w:val="22"/>
        </w:rPr>
      </w:pPr>
      <w:r>
        <w:rPr>
          <w:sz w:val="22"/>
          <w:szCs w:val="22"/>
        </w:rPr>
        <w:t>Figure 9 illustrates the proportion of products in the TAG database impacted by Recommendation 4.</w:t>
      </w:r>
    </w:p>
    <w:p w14:paraId="6F7B44E3" w14:textId="77777777" w:rsidR="00B664F4" w:rsidRPr="00CC1ADD" w:rsidRDefault="00B664F4" w:rsidP="005A3631">
      <w:pPr>
        <w:rPr>
          <w:sz w:val="22"/>
          <w:szCs w:val="22"/>
        </w:rPr>
      </w:pPr>
    </w:p>
    <w:p w14:paraId="2841645E" w14:textId="77777777" w:rsidR="000A3464" w:rsidRPr="00CC1ADD" w:rsidRDefault="000A3464" w:rsidP="005A3631">
      <w:pPr>
        <w:jc w:val="center"/>
        <w:rPr>
          <w:sz w:val="21"/>
        </w:rPr>
      </w:pPr>
      <w:r w:rsidRPr="00CC1ADD">
        <w:rPr>
          <w:noProof/>
          <w:lang w:eastAsia="en-AU"/>
        </w:rPr>
        <w:drawing>
          <wp:inline distT="0" distB="0" distL="0" distR="0" wp14:anchorId="7E766941" wp14:editId="5CCAF46C">
            <wp:extent cx="4611563" cy="2297927"/>
            <wp:effectExtent l="0" t="0" r="11430" b="13970"/>
            <wp:docPr id="31" name="Chart 31" descr="Pie chart showing that 15% of products in the TAG database would have an increased HSR and 8 percent would have a decreased HSR.">
              <a:extLst xmlns:a="http://schemas.openxmlformats.org/drawingml/2006/main">
                <a:ext uri="{FF2B5EF4-FFF2-40B4-BE49-F238E27FC236}">
                  <a16:creationId xmlns:a16="http://schemas.microsoft.com/office/drawing/2014/main" id="{0CB8F027-07CB-F54C-BC32-A45F5CDD73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FB44389" w14:textId="23F3B448" w:rsidR="000A3464" w:rsidRPr="00CC1ADD" w:rsidRDefault="000A3464">
      <w:pPr>
        <w:jc w:val="center"/>
        <w:rPr>
          <w:sz w:val="20"/>
        </w:rPr>
      </w:pPr>
      <w:r w:rsidRPr="00CC1ADD">
        <w:rPr>
          <w:b/>
          <w:sz w:val="20"/>
        </w:rPr>
        <w:t xml:space="preserve">Figure </w:t>
      </w:r>
      <w:r w:rsidR="00B664F4">
        <w:rPr>
          <w:b/>
          <w:sz w:val="20"/>
        </w:rPr>
        <w:t>9</w:t>
      </w:r>
      <w:r w:rsidRPr="00CC1ADD">
        <w:rPr>
          <w:b/>
          <w:sz w:val="20"/>
        </w:rPr>
        <w:t>:</w:t>
      </w:r>
      <w:r w:rsidRPr="00CC1ADD">
        <w:rPr>
          <w:sz w:val="20"/>
        </w:rPr>
        <w:t xml:space="preserve"> Proportion of products in the TAG database impacted by the recommendations for System enhancements.</w:t>
      </w:r>
    </w:p>
    <w:p w14:paraId="718FD35B" w14:textId="77777777" w:rsidR="000A3464" w:rsidRPr="00CC1ADD" w:rsidRDefault="000A3464">
      <w:pPr>
        <w:rPr>
          <w:sz w:val="22"/>
          <w:szCs w:val="22"/>
        </w:rPr>
      </w:pPr>
    </w:p>
    <w:p w14:paraId="35AC3C2D" w14:textId="7DC1C66C" w:rsidR="000A3464" w:rsidRPr="002D0C2D" w:rsidRDefault="000A3464">
      <w:pPr>
        <w:rPr>
          <w:sz w:val="22"/>
          <w:szCs w:val="22"/>
        </w:rPr>
      </w:pPr>
      <w:r w:rsidRPr="0017608D">
        <w:rPr>
          <w:sz w:val="22"/>
          <w:szCs w:val="22"/>
        </w:rPr>
        <w:t xml:space="preserve">While </w:t>
      </w:r>
      <w:r w:rsidR="004505FF" w:rsidRPr="0017608D">
        <w:rPr>
          <w:sz w:val="22"/>
          <w:szCs w:val="22"/>
        </w:rPr>
        <w:t xml:space="preserve">the </w:t>
      </w:r>
      <w:r w:rsidRPr="0017608D">
        <w:rPr>
          <w:sz w:val="22"/>
          <w:szCs w:val="22"/>
        </w:rPr>
        <w:t xml:space="preserve">TAG </w:t>
      </w:r>
      <w:r w:rsidR="004505FF" w:rsidRPr="0017608D">
        <w:rPr>
          <w:sz w:val="22"/>
          <w:szCs w:val="22"/>
        </w:rPr>
        <w:t xml:space="preserve">provides a representative sample of products and </w:t>
      </w:r>
      <w:r w:rsidRPr="0017608D">
        <w:rPr>
          <w:sz w:val="22"/>
          <w:szCs w:val="22"/>
        </w:rPr>
        <w:t>contains actual food composition data provided by industry (including real FVNL values rather than estimates), its limitations are acknowledged</w:t>
      </w:r>
      <w:r w:rsidR="00AE5CE0" w:rsidRPr="0017608D">
        <w:rPr>
          <w:sz w:val="22"/>
          <w:szCs w:val="22"/>
        </w:rPr>
        <w:t xml:space="preserve">. </w:t>
      </w:r>
      <w:r w:rsidRPr="0017608D">
        <w:rPr>
          <w:sz w:val="22"/>
          <w:szCs w:val="22"/>
        </w:rPr>
        <w:t>As such, the impact of changes has also been tested by the University of Auckland using the NutriTrack database and by the George Institute using the FoodSwitch database.</w:t>
      </w:r>
      <w:r w:rsidR="00130112" w:rsidRPr="002D0C2D">
        <w:rPr>
          <w:sz w:val="22"/>
          <w:szCs w:val="22"/>
        </w:rPr>
        <w:t xml:space="preserve"> </w:t>
      </w:r>
    </w:p>
    <w:p w14:paraId="773684C9" w14:textId="0191054A" w:rsidR="003A148F" w:rsidRPr="002D0C2D" w:rsidRDefault="003A148F">
      <w:pPr>
        <w:rPr>
          <w:sz w:val="22"/>
          <w:szCs w:val="22"/>
        </w:rPr>
      </w:pPr>
    </w:p>
    <w:p w14:paraId="33849B82" w14:textId="25AED42E" w:rsidR="003A148F" w:rsidRDefault="003A148F">
      <w:pPr>
        <w:rPr>
          <w:sz w:val="22"/>
          <w:szCs w:val="22"/>
        </w:rPr>
      </w:pPr>
      <w:r w:rsidRPr="0017608D">
        <w:rPr>
          <w:sz w:val="22"/>
          <w:szCs w:val="22"/>
        </w:rPr>
        <w:t xml:space="preserve">Modelling undertaken to date in the NutriTrack and FoodSwitch databases include all changes described above, with the exception of changes to Category 3D (increasing the HSRs of FFG cheeses). As </w:t>
      </w:r>
      <w:r w:rsidR="002D0C2D">
        <w:rPr>
          <w:sz w:val="22"/>
          <w:szCs w:val="22"/>
        </w:rPr>
        <w:t>a result</w:t>
      </w:r>
      <w:r w:rsidRPr="0017608D">
        <w:rPr>
          <w:sz w:val="22"/>
          <w:szCs w:val="22"/>
        </w:rPr>
        <w:t>, the modelling underestimates the actual impact.</w:t>
      </w:r>
      <w:r w:rsidR="00C60199" w:rsidRPr="0017608D">
        <w:rPr>
          <w:sz w:val="22"/>
          <w:szCs w:val="22"/>
        </w:rPr>
        <w:t xml:space="preserve"> While not directly comparable, results are relatively consistent with those of the TAG database. Modelling in NutriTrack shows that approximately 14% of eligible products would be impacted by these changes and the FoodSwitch database shows that approximately 18% of eligible products would be impacted.</w:t>
      </w:r>
    </w:p>
    <w:p w14:paraId="2B8D5667" w14:textId="77777777" w:rsidR="000A3464" w:rsidRPr="00CC1ADD" w:rsidRDefault="000A3464">
      <w:pPr>
        <w:rPr>
          <w:sz w:val="22"/>
          <w:szCs w:val="22"/>
        </w:rPr>
      </w:pPr>
    </w:p>
    <w:p w14:paraId="545E42B5" w14:textId="77777777" w:rsidR="00D36202" w:rsidRPr="00CC1ADD" w:rsidRDefault="00D36202">
      <w:pPr>
        <w:pStyle w:val="mpcheading2"/>
      </w:pPr>
      <w:bookmarkStart w:id="114" w:name="Beverages"/>
      <w:bookmarkStart w:id="115" w:name="_Toc1746503"/>
      <w:bookmarkEnd w:id="114"/>
      <w:r w:rsidRPr="00CC1ADD">
        <w:t>Non-dairy beverages</w:t>
      </w:r>
      <w:bookmarkEnd w:id="115"/>
    </w:p>
    <w:p w14:paraId="3F3201FB" w14:textId="42B025B1" w:rsidR="00D36202" w:rsidRPr="00CC1ADD" w:rsidRDefault="00D36202" w:rsidP="00CD1F86">
      <w:pPr>
        <w:pStyle w:val="mpcNormal"/>
        <w:keepNext w:val="0"/>
        <w:widowControl w:val="0"/>
      </w:pPr>
      <w:r w:rsidRPr="00CC1ADD">
        <w:t xml:space="preserve">Non-dairy beverages are intrinsically difficult to profile nutritionally, as many have minimal nutritional value and the HSR Calculator depends on a balance of positive and negative components in order to derive an HSR. </w:t>
      </w:r>
    </w:p>
    <w:p w14:paraId="7C82C70F" w14:textId="09A5906D" w:rsidR="00D36202" w:rsidRDefault="00D36202" w:rsidP="005A3631">
      <w:pPr>
        <w:pStyle w:val="mpcNormal"/>
        <w:keepNext w:val="0"/>
        <w:widowControl w:val="0"/>
      </w:pPr>
    </w:p>
    <w:p w14:paraId="1C89B48D" w14:textId="14663B47" w:rsidR="00C60199" w:rsidRDefault="00C60199" w:rsidP="004A6A27">
      <w:pPr>
        <w:pStyle w:val="mpcNormal"/>
        <w:keepNext w:val="0"/>
      </w:pPr>
      <w:r>
        <w:t>As</w:t>
      </w:r>
      <w:r w:rsidRPr="00CC1ADD">
        <w:t xml:space="preserve"> the result of a policy decision to encourage consumption of water</w:t>
      </w:r>
      <w:r w:rsidR="001C7B7D">
        <w:t xml:space="preserve"> prior to implementation of the System</w:t>
      </w:r>
      <w:r w:rsidRPr="00CC1ADD">
        <w:t xml:space="preserve">, packaged plain </w:t>
      </w:r>
      <w:r w:rsidR="001C7B7D">
        <w:t xml:space="preserve">or carbonated </w:t>
      </w:r>
      <w:r w:rsidRPr="00CC1ADD">
        <w:t>water with no additives receives an automatic HSR of 5. For all other non</w:t>
      </w:r>
      <w:r w:rsidRPr="00CC1ADD">
        <w:noBreakHyphen/>
        <w:t>dairy beverages, the HSR is awarded based on the combination of nutrients. Non-dairy beverages with higher FVNL content (such as fruit juices) generally receive HSRs of 4 to 5, despite an average total sugars content of 9g/100g</w:t>
      </w:r>
      <w:r w:rsidRPr="00CC1ADD">
        <w:rPr>
          <w:rStyle w:val="FootnoteReference"/>
          <w:sz w:val="22"/>
        </w:rPr>
        <w:footnoteReference w:id="90"/>
      </w:r>
      <w:r w:rsidRPr="00CC1ADD">
        <w:t>. For other non</w:t>
      </w:r>
      <w:r w:rsidRPr="00CC1ADD">
        <w:noBreakHyphen/>
        <w:t>dairy beverages, the operative components of the HSR Calculator are energy and total sugars, which is why they generally receive low</w:t>
      </w:r>
      <w:r w:rsidR="00CD1F86">
        <w:t>er</w:t>
      </w:r>
      <w:r w:rsidRPr="00CC1ADD">
        <w:t xml:space="preserve"> HSRs. Unsweetened flavoured waters generally receive HSRs of around 2, despite </w:t>
      </w:r>
      <w:r w:rsidR="001C7B7D">
        <w:t>having no</w:t>
      </w:r>
      <w:r w:rsidRPr="00CC1ADD">
        <w:t xml:space="preserve"> total sugars and </w:t>
      </w:r>
      <w:r w:rsidR="001C7B7D">
        <w:t xml:space="preserve">being </w:t>
      </w:r>
      <w:r w:rsidRPr="00CC1ADD">
        <w:t>close in nutritional profile to plain water</w:t>
      </w:r>
      <w:r>
        <w:t xml:space="preserve"> (see Figure 1</w:t>
      </w:r>
      <w:r w:rsidR="004A6A27">
        <w:t>0</w:t>
      </w:r>
      <w:r>
        <w:t>)</w:t>
      </w:r>
      <w:r w:rsidRPr="00CC1ADD">
        <w:t>.</w:t>
      </w:r>
    </w:p>
    <w:p w14:paraId="0DA56112" w14:textId="366D46F5" w:rsidR="00C60199" w:rsidRPr="00CC1ADD" w:rsidRDefault="00C60199" w:rsidP="00CD1F86">
      <w:pPr>
        <w:pStyle w:val="mpcNormal"/>
        <w:keepNext w:val="0"/>
        <w:widowControl w:val="0"/>
      </w:pPr>
    </w:p>
    <w:p w14:paraId="48C2BC82" w14:textId="38AF5D26" w:rsidR="00D36202" w:rsidRDefault="00D36202" w:rsidP="00CD1F86">
      <w:pPr>
        <w:widowControl w:val="0"/>
        <w:rPr>
          <w:rFonts w:cstheme="minorHAnsi"/>
          <w:sz w:val="22"/>
          <w:szCs w:val="22"/>
        </w:rPr>
      </w:pPr>
      <w:r w:rsidRPr="00CC1ADD">
        <w:rPr>
          <w:rFonts w:cstheme="minorHAnsi"/>
          <w:sz w:val="22"/>
          <w:szCs w:val="22"/>
        </w:rPr>
        <w:t>Research highlights that non-dairy beverages are a major source of total sugars and the leading source of free sugars in Australian and New Zealander diets:</w:t>
      </w:r>
    </w:p>
    <w:p w14:paraId="71C6B0A6" w14:textId="6CB5B916" w:rsidR="00D36202" w:rsidRPr="00CC1ADD" w:rsidRDefault="004A6A27" w:rsidP="005A3631">
      <w:pPr>
        <w:rPr>
          <w:rFonts w:cstheme="minorHAnsi"/>
          <w:sz w:val="22"/>
          <w:szCs w:val="22"/>
        </w:rPr>
      </w:pPr>
      <w:r w:rsidRPr="002D0C2D">
        <w:rPr>
          <w:noProof/>
          <w:lang w:eastAsia="en-AU"/>
        </w:rPr>
        <w:drawing>
          <wp:anchor distT="0" distB="0" distL="114300" distR="114300" simplePos="0" relativeHeight="251704320" behindDoc="0" locked="0" layoutInCell="1" allowOverlap="1" wp14:anchorId="78C6869E" wp14:editId="17A1AF52">
            <wp:simplePos x="0" y="0"/>
            <wp:positionH relativeFrom="column">
              <wp:posOffset>2463835</wp:posOffset>
            </wp:positionH>
            <wp:positionV relativeFrom="paragraph">
              <wp:posOffset>160317</wp:posOffset>
            </wp:positionV>
            <wp:extent cx="3513455" cy="2224405"/>
            <wp:effectExtent l="0" t="0" r="4445" b="0"/>
            <wp:wrapSquare wrapText="bothSides"/>
            <wp:docPr id="37" name="Picture 37" descr="Figure 10: Image of lightly sparkling mineral water displaying an HSR of 5 next to a lightly sparking lemon flavoured spring water displaying an HSR of 2.&#10;&#10;The Lightly Sparkling Mineral Water receives an HSR of 5, due to a policy decision made prior to implementation of the System, however the Lightly Sparkling Lemon Flavoured Mineral Water (which is almost identical in nutritional profile, with only 1kJ per 100g) receives an HSR o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hqprint">
                      <a:extLst>
                        <a:ext uri="{28A0092B-C50C-407E-A947-70E740481C1C}">
                          <a14:useLocalDpi xmlns:a14="http://schemas.microsoft.com/office/drawing/2010/main" val="0"/>
                        </a:ext>
                      </a:extLst>
                    </a:blip>
                    <a:srcRect l="10303" t="35297" r="5943" b="29579"/>
                    <a:stretch/>
                  </pic:blipFill>
                  <pic:spPr bwMode="auto">
                    <a:xfrm>
                      <a:off x="0" y="0"/>
                      <a:ext cx="3513455" cy="22244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73BFF2" w14:textId="1D8E072B" w:rsidR="00D36202" w:rsidRDefault="00D36202" w:rsidP="00F720A0">
      <w:pPr>
        <w:pStyle w:val="mpcbullets1"/>
      </w:pPr>
      <w:r w:rsidRPr="00CC1ADD">
        <w:t>2</w:t>
      </w:r>
      <w:r w:rsidR="00064740">
        <w:t>7</w:t>
      </w:r>
      <w:r w:rsidRPr="00CC1ADD">
        <w:t>% of total sugars in Australian diets comes from non-dairy beverages</w:t>
      </w:r>
      <w:r w:rsidRPr="00CC1ADD">
        <w:rPr>
          <w:rStyle w:val="FootnoteReference"/>
        </w:rPr>
        <w:footnoteReference w:id="91"/>
      </w:r>
    </w:p>
    <w:p w14:paraId="699799A1" w14:textId="0DD6B222" w:rsidR="00D36202" w:rsidRPr="00CC1ADD" w:rsidRDefault="00D36202" w:rsidP="00F720A0">
      <w:pPr>
        <w:pStyle w:val="mpcbullets1"/>
      </w:pPr>
      <w:r w:rsidRPr="00CC1ADD">
        <w:t xml:space="preserve">52% of free sugars in Australian diets comes from non-dairy beverages, with the leading </w:t>
      </w:r>
      <w:r w:rsidR="00331057">
        <w:t>contributors</w:t>
      </w:r>
      <w:r w:rsidRPr="00CC1ADD">
        <w:t xml:space="preserve"> being soft drinks, electrolyte and energy drinks (19%), fruit and vegetable juices and drinks (13%) and cordial (</w:t>
      </w:r>
      <w:r w:rsidR="00064740">
        <w:t>5</w:t>
      </w:r>
      <w:r w:rsidRPr="00CC1ADD">
        <w:t>%)</w:t>
      </w:r>
      <w:r w:rsidRPr="00CC1ADD">
        <w:rPr>
          <w:rStyle w:val="FootnoteReference"/>
        </w:rPr>
        <w:footnoteReference w:id="92"/>
      </w:r>
    </w:p>
    <w:p w14:paraId="77ED92EC" w14:textId="2587C40C" w:rsidR="00D36202" w:rsidRPr="00CC1ADD" w:rsidRDefault="00D36202" w:rsidP="00F720A0">
      <w:pPr>
        <w:pStyle w:val="mpcbullets1"/>
      </w:pPr>
      <w:r w:rsidRPr="00CC1ADD">
        <w:t>17% of total sugars in New Zealand diets comes from non-dairy beverages</w:t>
      </w:r>
      <w:r w:rsidRPr="00CC1ADD">
        <w:rPr>
          <w:rStyle w:val="FootnoteReference"/>
        </w:rPr>
        <w:footnoteReference w:id="93"/>
      </w:r>
      <w:r w:rsidRPr="00CC1ADD">
        <w:t>.</w:t>
      </w:r>
    </w:p>
    <w:p w14:paraId="702A54FA" w14:textId="6478D69A" w:rsidR="00D36202" w:rsidRPr="00CC1ADD" w:rsidRDefault="002D0C2D">
      <w:pPr>
        <w:rPr>
          <w:rFonts w:cstheme="minorHAnsi"/>
          <w:sz w:val="22"/>
          <w:szCs w:val="22"/>
        </w:rPr>
      </w:pPr>
      <w:r>
        <w:rPr>
          <w:noProof/>
          <w:lang w:eastAsia="en-AU"/>
        </w:rPr>
        <mc:AlternateContent>
          <mc:Choice Requires="wps">
            <w:drawing>
              <wp:anchor distT="0" distB="0" distL="114300" distR="114300" simplePos="0" relativeHeight="251676672" behindDoc="0" locked="0" layoutInCell="1" allowOverlap="1" wp14:anchorId="693DF501" wp14:editId="675386C7">
                <wp:simplePos x="0" y="0"/>
                <wp:positionH relativeFrom="column">
                  <wp:posOffset>2421255</wp:posOffset>
                </wp:positionH>
                <wp:positionV relativeFrom="paragraph">
                  <wp:posOffset>57983</wp:posOffset>
                </wp:positionV>
                <wp:extent cx="3611880" cy="904875"/>
                <wp:effectExtent l="0" t="0" r="0" b="0"/>
                <wp:wrapSquare wrapText="bothSides"/>
                <wp:docPr id="43" name="Text Box 43" descr="Figure 10: The Lightly Sparkling Mineral Water receives an HSR of 5, due to a policy decision made prior to implementation of the System, however the Lightly Sparkling Lemon Flavoured Mineral Water (which is almost identical in nutritional profile, with only 1kJ per 100g) receives an HSR of 2."/>
                <wp:cNvGraphicFramePr/>
                <a:graphic xmlns:a="http://schemas.openxmlformats.org/drawingml/2006/main">
                  <a:graphicData uri="http://schemas.microsoft.com/office/word/2010/wordprocessingShape">
                    <wps:wsp>
                      <wps:cNvSpPr txBox="1"/>
                      <wps:spPr>
                        <a:xfrm>
                          <a:off x="0" y="0"/>
                          <a:ext cx="3611880" cy="904875"/>
                        </a:xfrm>
                        <a:prstGeom prst="rect">
                          <a:avLst/>
                        </a:prstGeom>
                        <a:solidFill>
                          <a:schemeClr val="lt1"/>
                        </a:solidFill>
                        <a:ln w="6350">
                          <a:noFill/>
                        </a:ln>
                      </wps:spPr>
                      <wps:txbx>
                        <w:txbxContent>
                          <w:p w14:paraId="5C4A0CF0" w14:textId="304D989D" w:rsidR="00B53139" w:rsidRPr="00D91887" w:rsidRDefault="00B53139" w:rsidP="00D36202">
                            <w:pPr>
                              <w:rPr>
                                <w:rFonts w:cstheme="minorHAnsi"/>
                                <w:sz w:val="20"/>
                                <w:szCs w:val="22"/>
                              </w:rPr>
                            </w:pPr>
                            <w:r w:rsidRPr="00D91887">
                              <w:rPr>
                                <w:rFonts w:cstheme="minorHAnsi"/>
                                <w:b/>
                                <w:sz w:val="20"/>
                                <w:szCs w:val="22"/>
                              </w:rPr>
                              <w:t xml:space="preserve">Figure </w:t>
                            </w:r>
                            <w:r>
                              <w:rPr>
                                <w:rFonts w:cstheme="minorHAnsi"/>
                                <w:b/>
                                <w:sz w:val="20"/>
                                <w:szCs w:val="22"/>
                              </w:rPr>
                              <w:t>10</w:t>
                            </w:r>
                            <w:r w:rsidRPr="00D91887">
                              <w:rPr>
                                <w:rFonts w:cstheme="minorHAnsi"/>
                                <w:b/>
                                <w:sz w:val="20"/>
                                <w:szCs w:val="22"/>
                              </w:rPr>
                              <w:t>:</w:t>
                            </w:r>
                            <w:r w:rsidRPr="00D91887">
                              <w:rPr>
                                <w:rFonts w:cstheme="minorHAnsi"/>
                                <w:sz w:val="20"/>
                                <w:szCs w:val="22"/>
                              </w:rPr>
                              <w:t xml:space="preserve"> </w:t>
                            </w:r>
                            <w:r>
                              <w:rPr>
                                <w:rFonts w:cstheme="minorHAnsi"/>
                                <w:sz w:val="20"/>
                                <w:szCs w:val="22"/>
                              </w:rPr>
                              <w:t>The Lightly Sparkling Mineral Water receives an HSR of 5, due to a policy decision made prior to implementation of the System, however the Lightly Sparkling Lemon Flavoured Mineral Water (which is almost identical in nutritional profile, with only 1kJ per 100g) receives an HSR of 2.</w:t>
                            </w:r>
                          </w:p>
                          <w:p w14:paraId="1FDF4B73" w14:textId="77777777" w:rsidR="00B53139" w:rsidRDefault="00B53139" w:rsidP="00D362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93DF501" id="Text Box 43" o:spid="_x0000_s1035" type="#_x0000_t202" alt="Figure 10: The Lightly Sparkling Mineral Water receives an HSR of 5, due to a policy decision made prior to implementation of the System, however the Lightly Sparkling Lemon Flavoured Mineral Water (which is almost identical in nutritional profile, with only 1kJ per 100g) receives an HSR of 2." style="position:absolute;margin-left:190.65pt;margin-top:4.55pt;width:284.4pt;height:71.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" fillcolor="white [3201]" stroked="f" strokeweight=".5pt">
                <v:textbox>
                  <w:txbxContent>
                    <w:p w14:paraId="5C4A0CF0" w14:textId="304D989D" w:rsidR="00B53139" w:rsidRPr="00D91887" w:rsidRDefault="00B53139" w:rsidP="00D36202">
                      <w:pPr>
                        <w:rPr>
                          <w:rFonts w:cstheme="minorHAnsi"/>
                          <w:sz w:val="20"/>
                          <w:szCs w:val="22"/>
                        </w:rPr>
                      </w:pPr>
                      <w:r w:rsidRPr="00D91887">
                        <w:rPr>
                          <w:rFonts w:cstheme="minorHAnsi"/>
                          <w:b/>
                          <w:sz w:val="20"/>
                          <w:szCs w:val="22"/>
                        </w:rPr>
                        <w:t xml:space="preserve">Figure </w:t>
                      </w:r>
                      <w:r>
                        <w:rPr>
                          <w:rFonts w:cstheme="minorHAnsi"/>
                          <w:b/>
                          <w:sz w:val="20"/>
                          <w:szCs w:val="22"/>
                        </w:rPr>
                        <w:t>10</w:t>
                      </w:r>
                      <w:r w:rsidRPr="00D91887">
                        <w:rPr>
                          <w:rFonts w:cstheme="minorHAnsi"/>
                          <w:b/>
                          <w:sz w:val="20"/>
                          <w:szCs w:val="22"/>
                        </w:rPr>
                        <w:t>:</w:t>
                      </w:r>
                      <w:r w:rsidRPr="00D91887">
                        <w:rPr>
                          <w:rFonts w:cstheme="minorHAnsi"/>
                          <w:sz w:val="20"/>
                          <w:szCs w:val="22"/>
                        </w:rPr>
                        <w:t xml:space="preserve"> </w:t>
                      </w:r>
                      <w:r>
                        <w:rPr>
                          <w:rFonts w:cstheme="minorHAnsi"/>
                          <w:sz w:val="20"/>
                          <w:szCs w:val="22"/>
                        </w:rPr>
                        <w:t>The Lightly Sparkling Mineral Water receives an HSR of 5, due to a policy decision made prior to implementation of the System, however the Lightly Sparkling Lemon Flavoured Mineral Water (which is almost identical in nutritional profile, with only 1kJ per 100g) receives an HSR of 2.</w:t>
                      </w:r>
                    </w:p>
                    <w:p w14:paraId="1FDF4B73" w14:textId="77777777" w:rsidR="00B53139" w:rsidRDefault="00B53139" w:rsidP="00D36202"/>
                  </w:txbxContent>
                </v:textbox>
                <w10:wrap type="square"/>
              </v:shape>
            </w:pict>
          </mc:Fallback>
        </mc:AlternateContent>
      </w:r>
    </w:p>
    <w:p w14:paraId="230AF4BB" w14:textId="185BE700" w:rsidR="00D36202" w:rsidRPr="00CC1ADD" w:rsidRDefault="00D36202">
      <w:pPr>
        <w:rPr>
          <w:rFonts w:cstheme="minorHAnsi"/>
          <w:sz w:val="22"/>
          <w:szCs w:val="22"/>
        </w:rPr>
      </w:pPr>
      <w:r w:rsidRPr="00CC1ADD">
        <w:rPr>
          <w:rFonts w:cstheme="minorHAnsi"/>
          <w:sz w:val="22"/>
          <w:szCs w:val="22"/>
        </w:rPr>
        <w:t>Given this significant contribution to total sugars in Australian and New Zealander diets, it is important that the HSR promotes healthier beverages that are lower in total sugars.</w:t>
      </w:r>
    </w:p>
    <w:p w14:paraId="765B71C9" w14:textId="114CA3DE" w:rsidR="00D36202" w:rsidRPr="00CC1ADD" w:rsidRDefault="00D36202" w:rsidP="00CD1F86">
      <w:pPr>
        <w:pStyle w:val="mpcNormal"/>
        <w:keepNext w:val="0"/>
      </w:pPr>
    </w:p>
    <w:p w14:paraId="2D2933A4" w14:textId="4E2211E6" w:rsidR="00D36202" w:rsidRPr="00CC1ADD" w:rsidRDefault="00D36202" w:rsidP="00CD1F86">
      <w:pPr>
        <w:pStyle w:val="mpcNormal"/>
        <w:keepNext w:val="0"/>
      </w:pPr>
      <w:r w:rsidRPr="00CC1ADD">
        <w:t>More contentious</w:t>
      </w:r>
      <w:r w:rsidR="001C7B7D">
        <w:t>,</w:t>
      </w:r>
      <w:r w:rsidRPr="00CC1ADD">
        <w:t xml:space="preserve"> is the extent to which the HSR should </w:t>
      </w:r>
      <w:r w:rsidR="00CD1F86">
        <w:t xml:space="preserve">encourage consumers to choose </w:t>
      </w:r>
      <w:r w:rsidR="001C7B7D">
        <w:t xml:space="preserve">fruit </w:t>
      </w:r>
      <w:r w:rsidRPr="00CC1ADD">
        <w:t>juices. Both Dietary Guidelines recommend water as the healthiest beverage, however with regards to juices:</w:t>
      </w:r>
    </w:p>
    <w:p w14:paraId="20AEEBBA" w14:textId="77777777" w:rsidR="00D36202" w:rsidRPr="00CC1ADD" w:rsidRDefault="00D36202" w:rsidP="00CD1F86">
      <w:pPr>
        <w:pStyle w:val="mpcNormal"/>
        <w:keepNext w:val="0"/>
      </w:pPr>
    </w:p>
    <w:p w14:paraId="71960D8B" w14:textId="77777777" w:rsidR="00D36202" w:rsidRPr="00CC1ADD" w:rsidRDefault="00D36202" w:rsidP="00F720A0">
      <w:pPr>
        <w:pStyle w:val="mpcbullets1"/>
      </w:pPr>
      <w:r>
        <w:t>t</w:t>
      </w:r>
      <w:r w:rsidRPr="00CC1ADD">
        <w:t>he ADG note that whole fruit is preferable to fruit juice, however the occasional 125mL serve of fruit juice may assist with nutrient intake when fresh, frozen or canned supply of fruit is sub</w:t>
      </w:r>
      <w:r w:rsidRPr="00CC1ADD">
        <w:noBreakHyphen/>
        <w:t xml:space="preserve">optimal. </w:t>
      </w:r>
      <w:r>
        <w:t>The ADG note that f</w:t>
      </w:r>
      <w:r w:rsidRPr="00CC1ADD">
        <w:t>ruit juice is energy dense and, if consumed in excess, can displace other nutritious foods from the diet and lead to health concerns such as obesity</w:t>
      </w:r>
    </w:p>
    <w:p w14:paraId="24927892" w14:textId="5D30D40A" w:rsidR="00D36202" w:rsidRPr="005A3631" w:rsidRDefault="00D36202" w:rsidP="00F720A0">
      <w:pPr>
        <w:pStyle w:val="mpcbullets1"/>
      </w:pPr>
      <w:r>
        <w:t>t</w:t>
      </w:r>
      <w:r w:rsidRPr="00CC1ADD">
        <w:t xml:space="preserve">he </w:t>
      </w:r>
      <w:r w:rsidRPr="005A3631">
        <w:t xml:space="preserve">NZEAG </w:t>
      </w:r>
      <w:r w:rsidR="001C7B7D" w:rsidRPr="005A3631">
        <w:t xml:space="preserve">note </w:t>
      </w:r>
      <w:r w:rsidR="001C7B7D" w:rsidRPr="00CD1F86">
        <w:t xml:space="preserve">fruit juice is a high-sugar drink as it contains all the naturally occurring sugar found in the many pieces of fruit required to make one glass of juice. The NZEAG </w:t>
      </w:r>
      <w:r w:rsidRPr="005A3631">
        <w:t>recommend eating fresh fruit and drinking plain water rather than drinking fruit juice.</w:t>
      </w:r>
    </w:p>
    <w:p w14:paraId="55997A5D" w14:textId="77777777" w:rsidR="001C7B7D" w:rsidRPr="00CC1ADD" w:rsidRDefault="001C7B7D" w:rsidP="00CD1F86">
      <w:pPr>
        <w:pStyle w:val="mpcNormal"/>
        <w:keepNext w:val="0"/>
      </w:pPr>
    </w:p>
    <w:p w14:paraId="7D82301E" w14:textId="55215901" w:rsidR="00D36202" w:rsidRDefault="00D36202" w:rsidP="00CD1F86">
      <w:pPr>
        <w:pStyle w:val="mpcNormal"/>
        <w:keepNext w:val="0"/>
        <w:widowControl w:val="0"/>
      </w:pPr>
      <w:r>
        <w:t xml:space="preserve">Despite differences of opinion regarding the value of fruit juices in the diet, stakeholders broadly agreed the HSR </w:t>
      </w:r>
      <w:r w:rsidR="00331057">
        <w:t xml:space="preserve">System </w:t>
      </w:r>
      <w:r>
        <w:t>is not working well for non-dairy beverages and that c</w:t>
      </w:r>
      <w:r w:rsidRPr="00CC1ADD">
        <w:t>onsumers should be encouraged to drink water or those beverages closest in nutritional profile to water, with the same hydrating qualities and no or low calories (</w:t>
      </w:r>
      <w:r w:rsidR="0030513A">
        <w:t>for example,</w:t>
      </w:r>
      <w:r w:rsidR="0030513A" w:rsidRPr="00CC1ADD">
        <w:t xml:space="preserve"> </w:t>
      </w:r>
      <w:r w:rsidRPr="00CC1ADD">
        <w:t xml:space="preserve">unsweetened flavoured waters). </w:t>
      </w:r>
    </w:p>
    <w:p w14:paraId="067CE8D0" w14:textId="77777777" w:rsidR="00D36202" w:rsidRDefault="00D36202" w:rsidP="00CD1F86">
      <w:pPr>
        <w:pStyle w:val="mpcNormal"/>
        <w:keepNext w:val="0"/>
        <w:widowControl w:val="0"/>
      </w:pPr>
    </w:p>
    <w:p w14:paraId="00FC150F" w14:textId="77777777" w:rsidR="00D36202" w:rsidRPr="00CC1ADD" w:rsidRDefault="00D36202" w:rsidP="00CD1F86">
      <w:pPr>
        <w:pStyle w:val="mpcNormal"/>
        <w:keepNext w:val="0"/>
        <w:widowControl w:val="0"/>
      </w:pPr>
      <w:r>
        <w:t xml:space="preserve">The </w:t>
      </w:r>
      <w:r w:rsidRPr="00CC1ADD">
        <w:t xml:space="preserve">key issue is how to improve the relative HSRs of non-dairy beverages when compared across the category. </w:t>
      </w:r>
    </w:p>
    <w:p w14:paraId="61C09B57" w14:textId="027B3827" w:rsidR="00D36202" w:rsidRDefault="00D36202" w:rsidP="005A25A2">
      <w:pPr>
        <w:pStyle w:val="mpcNormal"/>
        <w:keepNext w:val="0"/>
      </w:pPr>
    </w:p>
    <w:p w14:paraId="05B237F3" w14:textId="3260BE7F" w:rsidR="0073120E" w:rsidRDefault="001C7B7D" w:rsidP="005A3631">
      <w:pPr>
        <w:pStyle w:val="mpcNormal"/>
        <w:keepNext w:val="0"/>
      </w:pPr>
      <w:r w:rsidRPr="00CC1ADD">
        <w:t xml:space="preserve">International FoPL </w:t>
      </w:r>
      <w:r>
        <w:t>schemes</w:t>
      </w:r>
      <w:r w:rsidRPr="00CC1ADD">
        <w:t xml:space="preserve"> (such as the French Nutri-Score</w:t>
      </w:r>
      <w:r>
        <w:t xml:space="preserve"> System</w:t>
      </w:r>
      <w:r w:rsidRPr="00CC1ADD">
        <w:t>) have encountered similar challenges in determining appropriate labelling for non-dairy beverages</w:t>
      </w:r>
      <w:r w:rsidR="0073120E">
        <w:t>. S</w:t>
      </w:r>
      <w:r w:rsidRPr="00CC1ADD">
        <w:t xml:space="preserve">pecific adaptations to </w:t>
      </w:r>
      <w:r w:rsidR="00975FE3">
        <w:t>the way the ratings are calculated in this category</w:t>
      </w:r>
      <w:r w:rsidR="0073120E">
        <w:t xml:space="preserve"> were made to the original</w:t>
      </w:r>
      <w:r w:rsidR="0073120E">
        <w:rPr>
          <w:lang w:val="en-US"/>
        </w:rPr>
        <w:t xml:space="preserve"> Nutri-Score model to be consistent with French official nutritional recommendations</w:t>
      </w:r>
      <w:r w:rsidR="00226420">
        <w:rPr>
          <w:lang w:val="en-US"/>
        </w:rPr>
        <w:t>.</w:t>
      </w:r>
    </w:p>
    <w:p w14:paraId="32FBE845" w14:textId="77777777" w:rsidR="00975FE3" w:rsidRPr="00CC1ADD" w:rsidRDefault="00975FE3" w:rsidP="0017608D">
      <w:pPr>
        <w:pStyle w:val="mpcNormal"/>
        <w:keepNext w:val="0"/>
      </w:pPr>
    </w:p>
    <w:tbl>
      <w:tblPr>
        <w:tblStyle w:val="TableGrid"/>
        <w:tblW w:w="0" w:type="auto"/>
        <w:tblLook w:val="04A0" w:firstRow="1" w:lastRow="0" w:firstColumn="1" w:lastColumn="0" w:noHBand="0" w:noVBand="1"/>
      </w:tblPr>
      <w:tblGrid>
        <w:gridCol w:w="9736"/>
      </w:tblGrid>
      <w:tr w:rsidR="00D36202" w:rsidRPr="00CC1ADD" w14:paraId="674CA998" w14:textId="77777777" w:rsidTr="004A6A27">
        <w:trPr>
          <w:trHeight w:val="993"/>
        </w:trPr>
        <w:tc>
          <w:tcPr>
            <w:tcW w:w="9736" w:type="dxa"/>
            <w:tcBorders>
              <w:top w:val="single" w:sz="2" w:space="0" w:color="auto"/>
              <w:left w:val="single" w:sz="2" w:space="0" w:color="auto"/>
              <w:bottom w:val="single" w:sz="2" w:space="0" w:color="auto"/>
              <w:right w:val="single" w:sz="2" w:space="0" w:color="auto"/>
            </w:tcBorders>
            <w:shd w:val="clear" w:color="auto" w:fill="D9E2F3" w:themeFill="accent1" w:themeFillTint="33"/>
            <w:vAlign w:val="center"/>
          </w:tcPr>
          <w:p w14:paraId="35144FF8" w14:textId="690118B8" w:rsidR="00D36202" w:rsidRPr="00CC1ADD" w:rsidRDefault="00D36202" w:rsidP="0017608D">
            <w:pPr>
              <w:pStyle w:val="mpcheading4"/>
              <w:keepNext w:val="0"/>
              <w:shd w:val="clear" w:color="auto" w:fill="D9E2F3" w:themeFill="accent1" w:themeFillTint="33"/>
              <w:ind w:left="2127" w:hanging="2127"/>
              <w:rPr>
                <w:rFonts w:cstheme="minorHAnsi"/>
              </w:rPr>
            </w:pPr>
            <w:r w:rsidRPr="00CC1ADD">
              <w:rPr>
                <w:rFonts w:cstheme="minorHAnsi"/>
              </w:rPr>
              <w:t>Recommendation</w:t>
            </w:r>
            <w:r w:rsidR="00C85324">
              <w:rPr>
                <w:rFonts w:cstheme="minorHAnsi"/>
              </w:rPr>
              <w:t xml:space="preserve"> 5</w:t>
            </w:r>
            <w:r w:rsidRPr="00CC1ADD">
              <w:rPr>
                <w:rFonts w:cstheme="minorHAnsi"/>
              </w:rPr>
              <w:t xml:space="preserve">: </w:t>
            </w:r>
            <w:r w:rsidRPr="00CC1ADD">
              <w:rPr>
                <w:rFonts w:cstheme="minorHAnsi"/>
              </w:rPr>
              <w:tab/>
            </w:r>
            <w:r w:rsidR="00372E4A">
              <w:rPr>
                <w:rFonts w:cstheme="minorHAnsi"/>
              </w:rPr>
              <w:t xml:space="preserve">Changes be made to the way the HSR is calculated </w:t>
            </w:r>
            <w:r w:rsidRPr="00CC1ADD">
              <w:rPr>
                <w:rFonts w:cstheme="minorHAnsi"/>
              </w:rPr>
              <w:t xml:space="preserve">for non-dairy beverages, based on adjusted </w:t>
            </w:r>
            <w:r w:rsidR="00226420">
              <w:rPr>
                <w:rFonts w:cstheme="minorHAnsi"/>
              </w:rPr>
              <w:t xml:space="preserve">total </w:t>
            </w:r>
            <w:r w:rsidRPr="00CC1ADD">
              <w:rPr>
                <w:rFonts w:cstheme="minorHAnsi"/>
              </w:rPr>
              <w:t>sugars, energy and FVNL points to better discern water (and beverages similar in nutritional profile to water) from high energy drinks.</w:t>
            </w:r>
          </w:p>
        </w:tc>
      </w:tr>
    </w:tbl>
    <w:p w14:paraId="03131785" w14:textId="77777777" w:rsidR="00D36202" w:rsidRPr="00CC1ADD" w:rsidRDefault="00D36202" w:rsidP="0017608D">
      <w:pPr>
        <w:pStyle w:val="mpcNormal"/>
        <w:keepNext w:val="0"/>
      </w:pPr>
    </w:p>
    <w:p w14:paraId="5E7081EB" w14:textId="11413D5A" w:rsidR="00226420" w:rsidRPr="0017608D" w:rsidRDefault="00D36202" w:rsidP="005A25A2">
      <w:pPr>
        <w:pStyle w:val="mpcNormal"/>
        <w:keepNext w:val="0"/>
      </w:pPr>
      <w:r w:rsidRPr="0017608D">
        <w:t>Th</w:t>
      </w:r>
      <w:r w:rsidR="00331057" w:rsidRPr="0017608D">
        <w:t xml:space="preserve">is </w:t>
      </w:r>
      <w:r w:rsidRPr="0017608D">
        <w:t>approach is similar to that used by the French Nutri</w:t>
      </w:r>
      <w:r w:rsidR="002862B6" w:rsidRPr="0017608D">
        <w:t>-</w:t>
      </w:r>
      <w:r w:rsidRPr="0017608D">
        <w:t xml:space="preserve">Score </w:t>
      </w:r>
      <w:r w:rsidR="00BF11EE" w:rsidRPr="0017608D">
        <w:t>S</w:t>
      </w:r>
      <w:r w:rsidRPr="0017608D">
        <w:t xml:space="preserve">ystem and involves adjusting the HSR Calculator </w:t>
      </w:r>
      <w:r w:rsidR="00226420" w:rsidRPr="0017608D">
        <w:t xml:space="preserve">specifically </w:t>
      </w:r>
      <w:r w:rsidRPr="0017608D">
        <w:t>for the non</w:t>
      </w:r>
      <w:r w:rsidRPr="0017608D">
        <w:noBreakHyphen/>
        <w:t xml:space="preserve">dairy beverages category (HSR Category 1) to account for the limited variety of nutrients driving the HSRs in this </w:t>
      </w:r>
      <w:r w:rsidR="00153CBD" w:rsidRPr="0017608D">
        <w:t>C</w:t>
      </w:r>
      <w:r w:rsidRPr="0017608D">
        <w:t>ategory.</w:t>
      </w:r>
      <w:r w:rsidR="00C85324" w:rsidRPr="0017608D">
        <w:t xml:space="preserve"> </w:t>
      </w:r>
      <w:r w:rsidR="00226420" w:rsidRPr="0017608D">
        <w:t xml:space="preserve">This is achieved by: </w:t>
      </w:r>
    </w:p>
    <w:p w14:paraId="172CAB0B" w14:textId="450C41B6" w:rsidR="00226420" w:rsidRPr="0017608D" w:rsidRDefault="00226420" w:rsidP="005A25A2">
      <w:pPr>
        <w:pStyle w:val="mpcNormal"/>
        <w:keepNext w:val="0"/>
      </w:pPr>
    </w:p>
    <w:p w14:paraId="63EDECCB" w14:textId="3B21A211" w:rsidR="00BA35A1" w:rsidRPr="0017608D" w:rsidRDefault="00BA35A1" w:rsidP="00F720A0">
      <w:pPr>
        <w:pStyle w:val="mpcbullets1"/>
      </w:pPr>
      <w:r w:rsidRPr="0017608D">
        <w:t xml:space="preserve">maintaining the current policy position such that an automatic HSR of 5 applies to packaged </w:t>
      </w:r>
      <w:r w:rsidR="001F1A1F">
        <w:t xml:space="preserve">plain still or carbonated </w:t>
      </w:r>
      <w:r w:rsidRPr="0017608D">
        <w:t xml:space="preserve">water as regulated in </w:t>
      </w:r>
      <w:hyperlink r:id="rId70" w:history="1">
        <w:r w:rsidRPr="0017608D">
          <w:rPr>
            <w:rStyle w:val="Hyperlink"/>
            <w:i/>
          </w:rPr>
          <w:t>Standard 2.6.2 Non-alcoholic beverages and brewed soft drinks</w:t>
        </w:r>
      </w:hyperlink>
      <w:r w:rsidRPr="0017608D">
        <w:rPr>
          <w:rStyle w:val="Hyperlink"/>
          <w:i/>
        </w:rPr>
        <w:t xml:space="preserve"> </w:t>
      </w:r>
      <w:r w:rsidRPr="0017608D">
        <w:t>of the Code</w:t>
      </w:r>
    </w:p>
    <w:p w14:paraId="00A8E816" w14:textId="0EDB5D12" w:rsidR="00226420" w:rsidRPr="0017608D" w:rsidRDefault="00226420" w:rsidP="00F720A0">
      <w:pPr>
        <w:pStyle w:val="mpcbullets1"/>
      </w:pPr>
      <w:r w:rsidRPr="0017608D">
        <w:t>including an additional policy</w:t>
      </w:r>
      <w:r w:rsidR="007E3016" w:rsidRPr="0017608D">
        <w:t xml:space="preserve"> position</w:t>
      </w:r>
      <w:r w:rsidRPr="0017608D">
        <w:t xml:space="preserve"> to increase the HSRs of</w:t>
      </w:r>
      <w:r w:rsidR="00BA35A1" w:rsidRPr="0017608D">
        <w:t xml:space="preserve"> </w:t>
      </w:r>
      <w:r w:rsidR="001F1A1F">
        <w:t xml:space="preserve">still or carbonated </w:t>
      </w:r>
      <w:r w:rsidRPr="0017608D">
        <w:t xml:space="preserve">unsweetened </w:t>
      </w:r>
      <w:r w:rsidR="00BA35A1" w:rsidRPr="0017608D">
        <w:t xml:space="preserve">flavoured </w:t>
      </w:r>
      <w:r w:rsidRPr="0017608D">
        <w:t>waters</w:t>
      </w:r>
    </w:p>
    <w:p w14:paraId="7CF1D7ED" w14:textId="17BAC9E2" w:rsidR="00BA35A1" w:rsidRDefault="00BA35A1" w:rsidP="00BA35A1">
      <w:pPr>
        <w:pStyle w:val="mpcbullets2"/>
        <w:keepNext w:val="0"/>
      </w:pPr>
      <w:r w:rsidRPr="0017608D">
        <w:t xml:space="preserve">An automatic HSR of 4.5 applies to uncarbonated, carbonated, mineralised or soda waters that </w:t>
      </w:r>
      <w:r w:rsidR="001F1A1F">
        <w:t>contain only</w:t>
      </w:r>
      <w:r w:rsidRPr="0017608D">
        <w:t xml:space="preserve"> additions </w:t>
      </w:r>
      <w:r w:rsidR="004A6A27">
        <w:t xml:space="preserve">of </w:t>
      </w:r>
      <w:r w:rsidRPr="0017608D">
        <w:t xml:space="preserve">substances at Good Manufacturing Practice (GMP) as per </w:t>
      </w:r>
      <w:hyperlink r:id="rId71" w:history="1">
        <w:r w:rsidRPr="0017608D">
          <w:rPr>
            <w:rStyle w:val="Hyperlink"/>
            <w:i/>
          </w:rPr>
          <w:t>Schedule 16 Types of substances that may be used as food additives</w:t>
        </w:r>
      </w:hyperlink>
      <w:r w:rsidRPr="0017608D">
        <w:t xml:space="preserve"> of the Code</w:t>
      </w:r>
      <w:r w:rsidR="001F1A1F">
        <w:t xml:space="preserve"> and no added sugars</w:t>
      </w:r>
      <w:r w:rsidRPr="0017608D">
        <w:t>.</w:t>
      </w:r>
    </w:p>
    <w:p w14:paraId="22B512B4" w14:textId="12C3F3BF" w:rsidR="001F1A1F" w:rsidRPr="0017608D" w:rsidRDefault="00E66A39" w:rsidP="00BA35A1">
      <w:pPr>
        <w:pStyle w:val="mpcbullets2"/>
        <w:keepNext w:val="0"/>
      </w:pPr>
      <w:r>
        <w:t>An example of a permitted substance would be citric acid from lemon juice.</w:t>
      </w:r>
    </w:p>
    <w:p w14:paraId="1F14797C" w14:textId="6FC720DC" w:rsidR="00226420" w:rsidRPr="0017608D" w:rsidRDefault="00226420" w:rsidP="0017608D">
      <w:pPr>
        <w:pStyle w:val="mpcbullets2"/>
      </w:pPr>
      <w:r w:rsidRPr="0017608D">
        <w:t>As waters (flavoured and unflavoured) have no nutrients, this result cannot be reached solely through use of the HSR Calculator</w:t>
      </w:r>
      <w:r w:rsidR="00BA35A1" w:rsidRPr="0017608D">
        <w:t>.</w:t>
      </w:r>
    </w:p>
    <w:p w14:paraId="0241CA13" w14:textId="36748ECF" w:rsidR="00226420" w:rsidRPr="0017608D" w:rsidRDefault="00226420" w:rsidP="00F720A0">
      <w:pPr>
        <w:pStyle w:val="mpcbullets1"/>
      </w:pPr>
      <w:r w:rsidRPr="0017608D">
        <w:t>using the points tables for total sugars</w:t>
      </w:r>
      <w:r w:rsidR="00BA35A1" w:rsidRPr="0017608D">
        <w:t xml:space="preserve"> and</w:t>
      </w:r>
      <w:r w:rsidRPr="0017608D">
        <w:t xml:space="preserve"> energy that were developed specifically for non-dairy beverages </w:t>
      </w:r>
      <w:r w:rsidR="0067385B" w:rsidRPr="0017608D">
        <w:t>as part of</w:t>
      </w:r>
      <w:r w:rsidRPr="0017608D">
        <w:t xml:space="preserve"> the Nutri-Score System</w:t>
      </w:r>
    </w:p>
    <w:p w14:paraId="61D0A1EB" w14:textId="10A9E099" w:rsidR="00226420" w:rsidRPr="0017608D" w:rsidRDefault="00226420" w:rsidP="00226420">
      <w:pPr>
        <w:pStyle w:val="mpcbullets2"/>
      </w:pPr>
      <w:r w:rsidRPr="0017608D">
        <w:t xml:space="preserve">These </w:t>
      </w:r>
      <w:r w:rsidR="00BA35A1" w:rsidRPr="0017608D">
        <w:t xml:space="preserve">points tables </w:t>
      </w:r>
      <w:r w:rsidRPr="0017608D">
        <w:t>were developed to reflect the distribution of energy and total sugars in beverages.</w:t>
      </w:r>
      <w:r w:rsidRPr="0017608D">
        <w:rPr>
          <w:rStyle w:val="FootnoteReference"/>
        </w:rPr>
        <w:footnoteReference w:id="94"/>
      </w:r>
    </w:p>
    <w:p w14:paraId="601A148A" w14:textId="7FF1D3CA" w:rsidR="00BA35A1" w:rsidRPr="0017608D" w:rsidRDefault="00BA35A1" w:rsidP="00226420">
      <w:pPr>
        <w:pStyle w:val="mpcbullets2"/>
      </w:pPr>
      <w:r w:rsidRPr="0017608D">
        <w:t>This provides improved discrimination within this category across the full spectrum of HSRs (from 0.5 to 5).</w:t>
      </w:r>
    </w:p>
    <w:p w14:paraId="67B527CD" w14:textId="1C2E5E35" w:rsidR="00BA35A1" w:rsidRPr="0017608D" w:rsidRDefault="00BA35A1" w:rsidP="00F720A0">
      <w:pPr>
        <w:pStyle w:val="mpcbullets1"/>
      </w:pPr>
      <w:r w:rsidRPr="0017608D">
        <w:t xml:space="preserve">adjusting the points table for FVNL that was developed specifically for non-dairy beverages </w:t>
      </w:r>
      <w:r w:rsidR="0067385B" w:rsidRPr="0017608D">
        <w:t xml:space="preserve">as part of </w:t>
      </w:r>
      <w:r w:rsidRPr="0017608D">
        <w:t>the Nutri</w:t>
      </w:r>
      <w:r w:rsidRPr="0017608D">
        <w:noBreakHyphen/>
        <w:t xml:space="preserve">Score System </w:t>
      </w:r>
    </w:p>
    <w:p w14:paraId="51231C7E" w14:textId="4EC06DAF" w:rsidR="00BA35A1" w:rsidRPr="0017608D" w:rsidRDefault="00BA35A1" w:rsidP="0017608D">
      <w:pPr>
        <w:pStyle w:val="mpcbullets2"/>
      </w:pPr>
      <w:r w:rsidRPr="0017608D">
        <w:t xml:space="preserve">This recognises the nutritional value of juices containing 100% fruit and vegetable content, while ensuring these products do not receive the same ratings as </w:t>
      </w:r>
      <w:r w:rsidR="0067385B" w:rsidRPr="0017608D">
        <w:t xml:space="preserve">low energy </w:t>
      </w:r>
      <w:r w:rsidRPr="0017608D">
        <w:t>waters.</w:t>
      </w:r>
    </w:p>
    <w:p w14:paraId="7984C22D" w14:textId="77777777" w:rsidR="00D36202" w:rsidRPr="00CC1ADD" w:rsidRDefault="00D36202" w:rsidP="0017608D">
      <w:pPr>
        <w:pStyle w:val="mpcNormal"/>
        <w:keepNext w:val="0"/>
      </w:pPr>
    </w:p>
    <w:p w14:paraId="58D0EF3C" w14:textId="792DA987" w:rsidR="00D36202" w:rsidRPr="00CC1ADD" w:rsidRDefault="00D36202" w:rsidP="0017608D">
      <w:pPr>
        <w:pStyle w:val="mpcNormal"/>
        <w:keepNext w:val="0"/>
      </w:pPr>
      <w:r w:rsidRPr="00CC1ADD">
        <w:t xml:space="preserve">The proposed points tables and method for calculating the HSRs for HSR Category 1 are at </w:t>
      </w:r>
      <w:r w:rsidRPr="00CC1ADD">
        <w:rPr>
          <w:u w:val="single"/>
        </w:rPr>
        <w:t xml:space="preserve">Appendix </w:t>
      </w:r>
      <w:r w:rsidR="009B0396">
        <w:rPr>
          <w:u w:val="single"/>
        </w:rPr>
        <w:t>E</w:t>
      </w:r>
      <w:r w:rsidRPr="00CC1ADD">
        <w:t>.</w:t>
      </w:r>
    </w:p>
    <w:p w14:paraId="21A3A263" w14:textId="77777777" w:rsidR="0067385B" w:rsidRDefault="0067385B" w:rsidP="0017608D">
      <w:pPr>
        <w:pStyle w:val="mpcNormal"/>
        <w:keepNext w:val="0"/>
      </w:pPr>
    </w:p>
    <w:p w14:paraId="7D7A2103" w14:textId="026A9825" w:rsidR="00D36202" w:rsidRDefault="00D36202" w:rsidP="0017608D">
      <w:pPr>
        <w:pStyle w:val="mpcNormal"/>
        <w:keepNext w:val="0"/>
      </w:pPr>
      <w:r w:rsidRPr="0017608D">
        <w:t>Under this approach, plain waters would score 5, unsweetened flavoured waters would score 4.5, 100% fruit and vegetable juices would score between 2.5 and 4 (based on their sugars and energy content), diet drinks would score no more than 3.5 and sugary soft drinks would continue to score between 0.5 and 2 (based on their sugars and energy content).</w:t>
      </w:r>
    </w:p>
    <w:p w14:paraId="515173F7" w14:textId="77777777" w:rsidR="00D36202" w:rsidRPr="00CC1ADD" w:rsidRDefault="00D36202" w:rsidP="0017608D">
      <w:pPr>
        <w:pStyle w:val="mpcNormal"/>
        <w:keepNext w:val="0"/>
      </w:pPr>
    </w:p>
    <w:p w14:paraId="3CDA9895" w14:textId="77777777" w:rsidR="00D36202" w:rsidRPr="00CC1ADD" w:rsidRDefault="00D36202" w:rsidP="0017608D">
      <w:pPr>
        <w:pStyle w:val="mpcNormal"/>
        <w:keepNext w:val="0"/>
      </w:pPr>
      <w:r w:rsidRPr="00CC1ADD">
        <w:t>Based on modelling, this would result in a spread of beverages against HSRs as follows:</w:t>
      </w:r>
    </w:p>
    <w:p w14:paraId="291C5B68" w14:textId="77777777" w:rsidR="00D36202" w:rsidRPr="00CC1ADD" w:rsidRDefault="00D36202" w:rsidP="0017608D">
      <w:pPr>
        <w:pStyle w:val="mpcNormal"/>
        <w:keepNext w:val="0"/>
      </w:pPr>
    </w:p>
    <w:tbl>
      <w:tblPr>
        <w:tblStyle w:val="TableGrid"/>
        <w:tblW w:w="0" w:type="auto"/>
        <w:tblLook w:val="04A0" w:firstRow="1" w:lastRow="0" w:firstColumn="1" w:lastColumn="0" w:noHBand="0" w:noVBand="1"/>
      </w:tblPr>
      <w:tblGrid>
        <w:gridCol w:w="1271"/>
        <w:gridCol w:w="8465"/>
      </w:tblGrid>
      <w:tr w:rsidR="00D36202" w:rsidRPr="0067385B" w14:paraId="2DC4CCDB" w14:textId="77777777" w:rsidTr="0017608D">
        <w:trPr>
          <w:trHeight w:val="463"/>
          <w:tblHeader/>
        </w:trPr>
        <w:tc>
          <w:tcPr>
            <w:tcW w:w="1271" w:type="dxa"/>
            <w:shd w:val="clear" w:color="auto" w:fill="516A8E"/>
            <w:vAlign w:val="center"/>
          </w:tcPr>
          <w:p w14:paraId="3FEB5F00" w14:textId="77777777" w:rsidR="00D36202" w:rsidRPr="0017608D" w:rsidRDefault="00D36202" w:rsidP="0017608D">
            <w:pPr>
              <w:pStyle w:val="mpcNormal"/>
              <w:keepNext w:val="0"/>
              <w:rPr>
                <w:b/>
                <w:color w:val="FFFFFF" w:themeColor="background1"/>
                <w:sz w:val="20"/>
                <w:szCs w:val="20"/>
              </w:rPr>
            </w:pPr>
            <w:r w:rsidRPr="0017608D">
              <w:rPr>
                <w:b/>
                <w:color w:val="FFFFFF" w:themeColor="background1"/>
                <w:sz w:val="20"/>
                <w:szCs w:val="20"/>
              </w:rPr>
              <w:t>HSR</w:t>
            </w:r>
            <w:bookmarkStart w:id="116" w:name="HSR"/>
            <w:bookmarkEnd w:id="116"/>
          </w:p>
        </w:tc>
        <w:tc>
          <w:tcPr>
            <w:tcW w:w="8465" w:type="dxa"/>
            <w:shd w:val="clear" w:color="auto" w:fill="516A8E"/>
            <w:vAlign w:val="center"/>
          </w:tcPr>
          <w:p w14:paraId="43A86202" w14:textId="77777777" w:rsidR="00D36202" w:rsidRPr="0017608D" w:rsidRDefault="00D36202" w:rsidP="0017608D">
            <w:pPr>
              <w:pStyle w:val="mpcNormal"/>
              <w:keepNext w:val="0"/>
              <w:rPr>
                <w:b/>
                <w:color w:val="FFFFFF" w:themeColor="background1"/>
                <w:sz w:val="20"/>
                <w:szCs w:val="20"/>
              </w:rPr>
            </w:pPr>
            <w:r w:rsidRPr="0017608D">
              <w:rPr>
                <w:b/>
                <w:color w:val="FFFFFF" w:themeColor="background1"/>
                <w:sz w:val="20"/>
                <w:szCs w:val="20"/>
              </w:rPr>
              <w:t>Examples of beverages likely to receive this rating</w:t>
            </w:r>
          </w:p>
        </w:tc>
      </w:tr>
      <w:tr w:rsidR="00D36202" w:rsidRPr="0067385B" w14:paraId="11DCA7C4" w14:textId="77777777" w:rsidTr="0059693D">
        <w:tc>
          <w:tcPr>
            <w:tcW w:w="1271" w:type="dxa"/>
          </w:tcPr>
          <w:p w14:paraId="71F3B723" w14:textId="77777777" w:rsidR="00D36202" w:rsidRPr="0017608D" w:rsidRDefault="00D36202" w:rsidP="0017608D">
            <w:pPr>
              <w:pStyle w:val="mpcNormal"/>
              <w:keepNext w:val="0"/>
              <w:rPr>
                <w:sz w:val="20"/>
                <w:szCs w:val="20"/>
              </w:rPr>
            </w:pPr>
            <w:r w:rsidRPr="0017608D">
              <w:rPr>
                <w:sz w:val="20"/>
                <w:szCs w:val="20"/>
              </w:rPr>
              <w:t>5</w:t>
            </w:r>
          </w:p>
        </w:tc>
        <w:tc>
          <w:tcPr>
            <w:tcW w:w="8465" w:type="dxa"/>
          </w:tcPr>
          <w:p w14:paraId="2DC5A1CB" w14:textId="19894A84" w:rsidR="00D36202" w:rsidRPr="0017608D" w:rsidRDefault="00AE5CE0" w:rsidP="0017608D">
            <w:pPr>
              <w:pStyle w:val="mpcNormal"/>
              <w:keepNext w:val="0"/>
              <w:rPr>
                <w:sz w:val="20"/>
                <w:szCs w:val="20"/>
              </w:rPr>
            </w:pPr>
            <w:r w:rsidRPr="0017608D">
              <w:rPr>
                <w:sz w:val="20"/>
                <w:szCs w:val="20"/>
              </w:rPr>
              <w:t xml:space="preserve">still or carbonated </w:t>
            </w:r>
            <w:r w:rsidR="00D36202" w:rsidRPr="0017608D">
              <w:rPr>
                <w:sz w:val="20"/>
                <w:szCs w:val="20"/>
              </w:rPr>
              <w:t>water with no additives</w:t>
            </w:r>
          </w:p>
        </w:tc>
      </w:tr>
      <w:tr w:rsidR="00D36202" w:rsidRPr="0067385B" w14:paraId="746C0FF0" w14:textId="77777777" w:rsidTr="0059693D">
        <w:tc>
          <w:tcPr>
            <w:tcW w:w="1271" w:type="dxa"/>
          </w:tcPr>
          <w:p w14:paraId="591CB476" w14:textId="77777777" w:rsidR="00D36202" w:rsidRPr="0017608D" w:rsidRDefault="00D36202" w:rsidP="0017608D">
            <w:pPr>
              <w:pStyle w:val="mpcNormal"/>
              <w:keepNext w:val="0"/>
              <w:rPr>
                <w:sz w:val="20"/>
                <w:szCs w:val="20"/>
              </w:rPr>
            </w:pPr>
            <w:r w:rsidRPr="0017608D">
              <w:rPr>
                <w:sz w:val="20"/>
                <w:szCs w:val="20"/>
              </w:rPr>
              <w:t>4.5</w:t>
            </w:r>
          </w:p>
        </w:tc>
        <w:tc>
          <w:tcPr>
            <w:tcW w:w="8465" w:type="dxa"/>
          </w:tcPr>
          <w:p w14:paraId="3D43FDCA" w14:textId="73DFA58F" w:rsidR="00D36202" w:rsidRPr="0017608D" w:rsidRDefault="00AE5CE0" w:rsidP="0017608D">
            <w:pPr>
              <w:pStyle w:val="mpcNormal"/>
              <w:keepNext w:val="0"/>
              <w:rPr>
                <w:sz w:val="20"/>
                <w:szCs w:val="20"/>
              </w:rPr>
            </w:pPr>
            <w:r w:rsidRPr="0017608D">
              <w:rPr>
                <w:sz w:val="20"/>
                <w:szCs w:val="20"/>
              </w:rPr>
              <w:t xml:space="preserve">flavoured waters, </w:t>
            </w:r>
            <w:r w:rsidR="00D36202" w:rsidRPr="0017608D">
              <w:rPr>
                <w:sz w:val="20"/>
                <w:szCs w:val="20"/>
              </w:rPr>
              <w:t>mineral</w:t>
            </w:r>
            <w:r w:rsidRPr="0017608D">
              <w:rPr>
                <w:sz w:val="20"/>
                <w:szCs w:val="20"/>
              </w:rPr>
              <w:t xml:space="preserve"> and</w:t>
            </w:r>
            <w:r w:rsidR="00D36202" w:rsidRPr="0017608D">
              <w:rPr>
                <w:sz w:val="20"/>
                <w:szCs w:val="20"/>
              </w:rPr>
              <w:t xml:space="preserve"> soda water</w:t>
            </w:r>
            <w:r w:rsidRPr="0017608D">
              <w:rPr>
                <w:sz w:val="20"/>
                <w:szCs w:val="20"/>
              </w:rPr>
              <w:t>s with</w:t>
            </w:r>
            <w:r w:rsidR="00D36202" w:rsidRPr="0017608D">
              <w:rPr>
                <w:sz w:val="20"/>
                <w:szCs w:val="20"/>
              </w:rPr>
              <w:t xml:space="preserve"> flavour</w:t>
            </w:r>
            <w:r w:rsidRPr="0017608D">
              <w:rPr>
                <w:sz w:val="20"/>
                <w:szCs w:val="20"/>
              </w:rPr>
              <w:t xml:space="preserve"> and</w:t>
            </w:r>
            <w:r w:rsidR="00D36202" w:rsidRPr="0017608D">
              <w:rPr>
                <w:sz w:val="20"/>
                <w:szCs w:val="20"/>
              </w:rPr>
              <w:t xml:space="preserve"> no sugars</w:t>
            </w:r>
          </w:p>
        </w:tc>
      </w:tr>
      <w:tr w:rsidR="00D36202" w:rsidRPr="0067385B" w14:paraId="4968118B" w14:textId="77777777" w:rsidTr="0059693D">
        <w:tc>
          <w:tcPr>
            <w:tcW w:w="1271" w:type="dxa"/>
          </w:tcPr>
          <w:p w14:paraId="70AC570E" w14:textId="77777777" w:rsidR="00D36202" w:rsidRPr="0017608D" w:rsidRDefault="00D36202" w:rsidP="0017608D">
            <w:pPr>
              <w:pStyle w:val="mpcNormal"/>
              <w:keepNext w:val="0"/>
              <w:rPr>
                <w:sz w:val="20"/>
                <w:szCs w:val="20"/>
              </w:rPr>
            </w:pPr>
            <w:r w:rsidRPr="0017608D">
              <w:rPr>
                <w:sz w:val="20"/>
                <w:szCs w:val="20"/>
              </w:rPr>
              <w:t>4</w:t>
            </w:r>
          </w:p>
        </w:tc>
        <w:tc>
          <w:tcPr>
            <w:tcW w:w="8465" w:type="dxa"/>
          </w:tcPr>
          <w:p w14:paraId="1E94B171" w14:textId="06C1C24F" w:rsidR="00D36202" w:rsidRPr="0017608D" w:rsidRDefault="00D36202" w:rsidP="0017608D">
            <w:pPr>
              <w:pStyle w:val="mpcNormal"/>
              <w:keepNext w:val="0"/>
              <w:rPr>
                <w:sz w:val="20"/>
                <w:szCs w:val="20"/>
              </w:rPr>
            </w:pPr>
            <w:r w:rsidRPr="0017608D">
              <w:rPr>
                <w:sz w:val="20"/>
                <w:szCs w:val="20"/>
              </w:rPr>
              <w:t>fruit and vegetable juices relatively low in sugars</w:t>
            </w:r>
            <w:r w:rsidR="004A6A27">
              <w:rPr>
                <w:sz w:val="20"/>
                <w:szCs w:val="20"/>
              </w:rPr>
              <w:t xml:space="preserve"> (grapefruit juice, tomato juice)</w:t>
            </w:r>
            <w:r w:rsidR="00612D78">
              <w:rPr>
                <w:sz w:val="20"/>
                <w:szCs w:val="20"/>
              </w:rPr>
              <w:t xml:space="preserve">, </w:t>
            </w:r>
            <w:r w:rsidR="00612D78" w:rsidRPr="006868BE">
              <w:rPr>
                <w:sz w:val="20"/>
                <w:szCs w:val="20"/>
              </w:rPr>
              <w:t>coconut waters</w:t>
            </w:r>
          </w:p>
        </w:tc>
      </w:tr>
      <w:tr w:rsidR="00D36202" w:rsidRPr="0067385B" w14:paraId="11F19D4C" w14:textId="77777777" w:rsidTr="0059693D">
        <w:tc>
          <w:tcPr>
            <w:tcW w:w="1271" w:type="dxa"/>
          </w:tcPr>
          <w:p w14:paraId="3875E500" w14:textId="77777777" w:rsidR="00D36202" w:rsidRPr="0017608D" w:rsidRDefault="00D36202" w:rsidP="0017608D">
            <w:pPr>
              <w:pStyle w:val="mpcNormal"/>
              <w:keepNext w:val="0"/>
              <w:rPr>
                <w:sz w:val="20"/>
                <w:szCs w:val="20"/>
              </w:rPr>
            </w:pPr>
            <w:r w:rsidRPr="0017608D">
              <w:rPr>
                <w:sz w:val="20"/>
                <w:szCs w:val="20"/>
              </w:rPr>
              <w:t>3 – 3.5</w:t>
            </w:r>
          </w:p>
        </w:tc>
        <w:tc>
          <w:tcPr>
            <w:tcW w:w="8465" w:type="dxa"/>
          </w:tcPr>
          <w:p w14:paraId="1DDF133C" w14:textId="382A8138" w:rsidR="00D36202" w:rsidRPr="0017608D" w:rsidRDefault="00D36202" w:rsidP="0017608D">
            <w:pPr>
              <w:pStyle w:val="mpcNormal"/>
              <w:keepNext w:val="0"/>
              <w:rPr>
                <w:sz w:val="20"/>
                <w:szCs w:val="20"/>
              </w:rPr>
            </w:pPr>
            <w:r w:rsidRPr="0017608D">
              <w:rPr>
                <w:sz w:val="20"/>
                <w:szCs w:val="20"/>
              </w:rPr>
              <w:t>artificially sweetened beverages with no added sugars, fruit</w:t>
            </w:r>
            <w:r w:rsidR="004A6A27">
              <w:rPr>
                <w:sz w:val="20"/>
                <w:szCs w:val="20"/>
              </w:rPr>
              <w:t xml:space="preserve"> </w:t>
            </w:r>
            <w:r w:rsidRPr="0017608D">
              <w:rPr>
                <w:sz w:val="20"/>
                <w:szCs w:val="20"/>
              </w:rPr>
              <w:t>juices</w:t>
            </w:r>
            <w:r w:rsidR="004A6A27">
              <w:rPr>
                <w:sz w:val="20"/>
                <w:szCs w:val="20"/>
              </w:rPr>
              <w:t xml:space="preserve"> (orange juice, apple juice),</w:t>
            </w:r>
            <w:r w:rsidRPr="0017608D">
              <w:rPr>
                <w:sz w:val="20"/>
                <w:szCs w:val="20"/>
              </w:rPr>
              <w:t xml:space="preserve"> </w:t>
            </w:r>
            <w:r w:rsidR="004A6A27">
              <w:rPr>
                <w:sz w:val="20"/>
                <w:szCs w:val="20"/>
              </w:rPr>
              <w:t>fruit</w:t>
            </w:r>
            <w:r w:rsidRPr="0017608D">
              <w:rPr>
                <w:sz w:val="20"/>
                <w:szCs w:val="20"/>
              </w:rPr>
              <w:t xml:space="preserve"> drinks, diet cordials</w:t>
            </w:r>
            <w:r w:rsidR="008B6118" w:rsidRPr="0017608D">
              <w:rPr>
                <w:sz w:val="20"/>
                <w:szCs w:val="20"/>
              </w:rPr>
              <w:t>, diluted fruit juices</w:t>
            </w:r>
          </w:p>
        </w:tc>
      </w:tr>
      <w:tr w:rsidR="00D36202" w:rsidRPr="0067385B" w14:paraId="1586E28E" w14:textId="77777777" w:rsidTr="0059693D">
        <w:tc>
          <w:tcPr>
            <w:tcW w:w="1271" w:type="dxa"/>
          </w:tcPr>
          <w:p w14:paraId="7D2C1E6F" w14:textId="77777777" w:rsidR="00D36202" w:rsidRPr="0017608D" w:rsidRDefault="00D36202" w:rsidP="0017608D">
            <w:pPr>
              <w:pStyle w:val="mpcNormal"/>
              <w:keepNext w:val="0"/>
              <w:rPr>
                <w:sz w:val="20"/>
                <w:szCs w:val="20"/>
              </w:rPr>
            </w:pPr>
            <w:r w:rsidRPr="0017608D">
              <w:rPr>
                <w:sz w:val="20"/>
                <w:szCs w:val="20"/>
              </w:rPr>
              <w:t>2 – 2.5</w:t>
            </w:r>
          </w:p>
        </w:tc>
        <w:tc>
          <w:tcPr>
            <w:tcW w:w="8465" w:type="dxa"/>
          </w:tcPr>
          <w:p w14:paraId="20988083" w14:textId="223C22BE" w:rsidR="00D36202" w:rsidRPr="0017608D" w:rsidRDefault="00D36202" w:rsidP="0017608D">
            <w:pPr>
              <w:pStyle w:val="mpcNormal"/>
              <w:keepNext w:val="0"/>
              <w:rPr>
                <w:sz w:val="20"/>
                <w:szCs w:val="20"/>
              </w:rPr>
            </w:pPr>
            <w:r w:rsidRPr="0017608D">
              <w:rPr>
                <w:sz w:val="20"/>
                <w:szCs w:val="20"/>
              </w:rPr>
              <w:t>fruit drinks,</w:t>
            </w:r>
            <w:r w:rsidR="008B6118" w:rsidRPr="0017608D">
              <w:rPr>
                <w:sz w:val="20"/>
                <w:szCs w:val="20"/>
              </w:rPr>
              <w:t xml:space="preserve"> diluted fruit juices,</w:t>
            </w:r>
            <w:r w:rsidRPr="0017608D">
              <w:rPr>
                <w:sz w:val="20"/>
                <w:szCs w:val="20"/>
              </w:rPr>
              <w:t xml:space="preserve"> kombucha, low sugar</w:t>
            </w:r>
            <w:r w:rsidR="00B33DA3" w:rsidRPr="0017608D">
              <w:rPr>
                <w:sz w:val="20"/>
                <w:szCs w:val="20"/>
              </w:rPr>
              <w:t>-</w:t>
            </w:r>
            <w:r w:rsidRPr="0017608D">
              <w:rPr>
                <w:sz w:val="20"/>
                <w:szCs w:val="20"/>
              </w:rPr>
              <w:t>sweetened beverages, high sugar fruit juices</w:t>
            </w:r>
            <w:r w:rsidR="00980BD1">
              <w:rPr>
                <w:sz w:val="20"/>
                <w:szCs w:val="20"/>
              </w:rPr>
              <w:t xml:space="preserve"> (grape juice)</w:t>
            </w:r>
          </w:p>
        </w:tc>
      </w:tr>
      <w:tr w:rsidR="00D36202" w:rsidRPr="0067385B" w14:paraId="52F01181" w14:textId="77777777" w:rsidTr="0059693D">
        <w:trPr>
          <w:trHeight w:val="67"/>
        </w:trPr>
        <w:tc>
          <w:tcPr>
            <w:tcW w:w="1271" w:type="dxa"/>
          </w:tcPr>
          <w:p w14:paraId="72AE2791" w14:textId="77777777" w:rsidR="00D36202" w:rsidRPr="0017608D" w:rsidRDefault="00D36202" w:rsidP="0017608D">
            <w:pPr>
              <w:pStyle w:val="mpcNormal"/>
              <w:keepNext w:val="0"/>
              <w:rPr>
                <w:sz w:val="20"/>
                <w:szCs w:val="20"/>
              </w:rPr>
            </w:pPr>
            <w:r w:rsidRPr="0017608D">
              <w:rPr>
                <w:sz w:val="20"/>
                <w:szCs w:val="20"/>
              </w:rPr>
              <w:t>0.5 – 1.5</w:t>
            </w:r>
          </w:p>
        </w:tc>
        <w:tc>
          <w:tcPr>
            <w:tcW w:w="8465" w:type="dxa"/>
          </w:tcPr>
          <w:p w14:paraId="1E30D88B" w14:textId="5D163635" w:rsidR="00D36202" w:rsidRPr="0017608D" w:rsidRDefault="00D36202" w:rsidP="0017608D">
            <w:pPr>
              <w:pStyle w:val="mpcNormal"/>
              <w:keepNext w:val="0"/>
              <w:rPr>
                <w:sz w:val="20"/>
                <w:szCs w:val="20"/>
              </w:rPr>
            </w:pPr>
            <w:r w:rsidRPr="0017608D">
              <w:rPr>
                <w:sz w:val="20"/>
                <w:szCs w:val="20"/>
              </w:rPr>
              <w:t>full sugar soft drinks, energy drinks, grape juice, fruit nectars</w:t>
            </w:r>
          </w:p>
        </w:tc>
      </w:tr>
    </w:tbl>
    <w:p w14:paraId="6B7810B0" w14:textId="7367A3DE" w:rsidR="0067385B" w:rsidRDefault="0067385B">
      <w:pPr>
        <w:pStyle w:val="mpcNormal"/>
        <w:keepNext w:val="0"/>
      </w:pPr>
    </w:p>
    <w:p w14:paraId="6A0675B4" w14:textId="448B1357" w:rsidR="004560A4" w:rsidRDefault="004560A4">
      <w:pPr>
        <w:pStyle w:val="mpcNormal"/>
        <w:keepNext w:val="0"/>
      </w:pPr>
      <w:r>
        <w:t xml:space="preserve">See </w:t>
      </w:r>
      <w:r w:rsidRPr="0017608D">
        <w:rPr>
          <w:u w:val="single"/>
        </w:rPr>
        <w:t xml:space="preserve">Appendix </w:t>
      </w:r>
      <w:r w:rsidR="009B0396">
        <w:rPr>
          <w:u w:val="single"/>
        </w:rPr>
        <w:t>F</w:t>
      </w:r>
      <w:r>
        <w:t xml:space="preserve"> for more extensive modelling of the impact of this recommendation on a range of non-dairy beverages. </w:t>
      </w:r>
    </w:p>
    <w:p w14:paraId="3576B1E0" w14:textId="77777777" w:rsidR="004560A4" w:rsidRPr="00CC1ADD" w:rsidRDefault="004560A4" w:rsidP="0017608D">
      <w:pPr>
        <w:pStyle w:val="mpcNormal"/>
        <w:keepNext w:val="0"/>
      </w:pPr>
    </w:p>
    <w:p w14:paraId="486326CB" w14:textId="77777777" w:rsidR="00D36202" w:rsidRPr="00CC1ADD" w:rsidRDefault="00D36202" w:rsidP="0017608D">
      <w:pPr>
        <w:pStyle w:val="mpcNormal"/>
        <w:keepNext w:val="0"/>
      </w:pPr>
      <w:r w:rsidRPr="00CC1ADD">
        <w:t>This approach:</w:t>
      </w:r>
    </w:p>
    <w:p w14:paraId="1ED412EA" w14:textId="77777777" w:rsidR="00D36202" w:rsidRPr="00CC1ADD" w:rsidRDefault="00D36202" w:rsidP="0017608D">
      <w:pPr>
        <w:pStyle w:val="mpcNormal"/>
        <w:keepNext w:val="0"/>
      </w:pPr>
    </w:p>
    <w:p w14:paraId="48E65454" w14:textId="53845B5B" w:rsidR="00D36202" w:rsidRPr="00CC1ADD" w:rsidRDefault="00D36202" w:rsidP="00F720A0">
      <w:pPr>
        <w:pStyle w:val="mpcbullets1"/>
        <w:numPr>
          <w:ilvl w:val="0"/>
          <w:numId w:val="7"/>
        </w:numPr>
      </w:pPr>
      <w:r w:rsidRPr="00CC1ADD">
        <w:t>promotes those beverages closest in nutritional profile to water, with the same hydrating qualities and no or low calories (</w:t>
      </w:r>
      <w:r w:rsidR="0030513A">
        <w:t>for example,</w:t>
      </w:r>
      <w:r w:rsidR="0030513A" w:rsidRPr="00CC1ADD">
        <w:t xml:space="preserve"> </w:t>
      </w:r>
      <w:r w:rsidRPr="00CC1ADD">
        <w:t>unsweetened flavoured waters) as healthy non-dairy beverage options</w:t>
      </w:r>
    </w:p>
    <w:p w14:paraId="473DF2A2" w14:textId="77777777" w:rsidR="00D36202" w:rsidRPr="00CC1ADD" w:rsidRDefault="00D36202" w:rsidP="00F720A0">
      <w:pPr>
        <w:pStyle w:val="mpcbullets1"/>
        <w:numPr>
          <w:ilvl w:val="0"/>
          <w:numId w:val="7"/>
        </w:numPr>
      </w:pPr>
      <w:r w:rsidRPr="00CC1ADD">
        <w:t>is adapted specifically for beverages and their particular nutrient profile</w:t>
      </w:r>
    </w:p>
    <w:p w14:paraId="2E91FBB5" w14:textId="6CE5390C" w:rsidR="00D36202" w:rsidRPr="00CC1ADD" w:rsidRDefault="00D36202" w:rsidP="007E3016">
      <w:pPr>
        <w:pStyle w:val="mpcbullets2"/>
        <w:keepNext w:val="0"/>
      </w:pPr>
      <w:r w:rsidRPr="00CC1ADD">
        <w:t>It spreads beverages across t</w:t>
      </w:r>
      <w:r w:rsidR="00331057">
        <w:t xml:space="preserve">he full range of HSRs </w:t>
      </w:r>
      <w:r w:rsidRPr="00CC1ADD">
        <w:t xml:space="preserve">and enables consumers to distinguish between </w:t>
      </w:r>
      <w:r w:rsidR="00331057">
        <w:t>products</w:t>
      </w:r>
      <w:r w:rsidRPr="00CC1ADD">
        <w:t xml:space="preserve"> with varying levels of energy and sugar</w:t>
      </w:r>
      <w:r w:rsidR="00331057">
        <w:t>s</w:t>
      </w:r>
      <w:r w:rsidRPr="00CC1ADD">
        <w:t xml:space="preserve">, as well as encouraging reformulation by manufacturers. </w:t>
      </w:r>
    </w:p>
    <w:p w14:paraId="317213D7" w14:textId="1895DFC6" w:rsidR="00D36202" w:rsidRDefault="00D36202" w:rsidP="00F720A0">
      <w:pPr>
        <w:pStyle w:val="mpcbullets1"/>
        <w:numPr>
          <w:ilvl w:val="0"/>
          <w:numId w:val="7"/>
        </w:numPr>
      </w:pPr>
      <w:r w:rsidRPr="00CC1ADD">
        <w:t>provides recognition for the fruit and vegetable content in juice, while positioning juices below water and similar low energy beverages</w:t>
      </w:r>
      <w:r w:rsidR="007E3016">
        <w:t>.</w:t>
      </w:r>
    </w:p>
    <w:p w14:paraId="006FE4B8" w14:textId="266AD758" w:rsidR="00D36202" w:rsidRDefault="00D36202" w:rsidP="007E3016">
      <w:pPr>
        <w:pStyle w:val="mpcbullets2"/>
        <w:keepNext w:val="0"/>
      </w:pPr>
      <w:r>
        <w:t xml:space="preserve">100% </w:t>
      </w:r>
      <w:r w:rsidR="005D7CEC">
        <w:t xml:space="preserve">fruit and vegetable </w:t>
      </w:r>
      <w:r>
        <w:t>juice</w:t>
      </w:r>
      <w:r w:rsidR="005D7CEC">
        <w:t>s</w:t>
      </w:r>
      <w:r>
        <w:t xml:space="preserve"> would receive</w:t>
      </w:r>
      <w:r w:rsidR="005D7CEC">
        <w:t xml:space="preserve"> HSRs </w:t>
      </w:r>
      <w:r>
        <w:t xml:space="preserve">between 2.5 and 4. This would be a significant change for many fruit juices </w:t>
      </w:r>
      <w:r w:rsidR="005D7CEC">
        <w:t xml:space="preserve">(which currently receive HSRs of 5) </w:t>
      </w:r>
      <w:r>
        <w:t xml:space="preserve">and would </w:t>
      </w:r>
      <w:r w:rsidR="005D7CEC">
        <w:t>result in higher HSRs</w:t>
      </w:r>
      <w:r>
        <w:t xml:space="preserve"> for juices inherently lower in sugar</w:t>
      </w:r>
      <w:r w:rsidR="005D7CEC">
        <w:t>s</w:t>
      </w:r>
      <w:r>
        <w:t xml:space="preserve"> </w:t>
      </w:r>
      <w:r w:rsidR="005D7CEC">
        <w:t>(</w:t>
      </w:r>
      <w:r w:rsidR="0030513A">
        <w:t>for example,</w:t>
      </w:r>
      <w:r w:rsidR="0030513A" w:rsidRPr="00CC1ADD">
        <w:t xml:space="preserve"> </w:t>
      </w:r>
      <w:r w:rsidR="005D7CEC">
        <w:t xml:space="preserve">grapefruit or lemon juices) </w:t>
      </w:r>
      <w:r>
        <w:t xml:space="preserve">and </w:t>
      </w:r>
      <w:r w:rsidR="005D7CEC">
        <w:t>lower HSRs</w:t>
      </w:r>
      <w:r>
        <w:t xml:space="preserve"> for juices </w:t>
      </w:r>
      <w:r w:rsidR="005D7CEC">
        <w:t>a</w:t>
      </w:r>
      <w:r>
        <w:t xml:space="preserve"> high sugar</w:t>
      </w:r>
      <w:r w:rsidR="005D7CEC">
        <w:t>s</w:t>
      </w:r>
      <w:r>
        <w:t xml:space="preserve"> content</w:t>
      </w:r>
      <w:r w:rsidR="005D7CEC">
        <w:t xml:space="preserve"> (</w:t>
      </w:r>
      <w:r w:rsidR="0030513A">
        <w:t>for example,</w:t>
      </w:r>
      <w:r w:rsidR="0030513A" w:rsidRPr="00CC1ADD">
        <w:t xml:space="preserve"> </w:t>
      </w:r>
      <w:r w:rsidR="005D7CEC">
        <w:t>apple or pear juices)</w:t>
      </w:r>
      <w:r>
        <w:t xml:space="preserve">. </w:t>
      </w:r>
    </w:p>
    <w:p w14:paraId="5FA61081" w14:textId="1B57453C" w:rsidR="00D36202" w:rsidRDefault="00D36202" w:rsidP="007E3016">
      <w:pPr>
        <w:pStyle w:val="mpcbullets2"/>
        <w:keepNext w:val="0"/>
      </w:pPr>
      <w:r>
        <w:t xml:space="preserve">While this guides consumers to the lower energy </w:t>
      </w:r>
      <w:r w:rsidR="005D7CEC">
        <w:t>options</w:t>
      </w:r>
      <w:r>
        <w:t xml:space="preserve">, </w:t>
      </w:r>
      <w:r w:rsidR="005D7CEC">
        <w:t>the varied HSRs of juices may</w:t>
      </w:r>
      <w:r>
        <w:t xml:space="preserve"> confus</w:t>
      </w:r>
      <w:r w:rsidR="005D7CEC">
        <w:t>e</w:t>
      </w:r>
      <w:r>
        <w:t xml:space="preserve"> consumer</w:t>
      </w:r>
      <w:r w:rsidR="005D7CEC">
        <w:t>s</w:t>
      </w:r>
      <w:r>
        <w:t xml:space="preserve">. Consumers may also question </w:t>
      </w:r>
      <w:r w:rsidR="005D7CEC">
        <w:t xml:space="preserve">where </w:t>
      </w:r>
      <w:r>
        <w:t xml:space="preserve">a diet soft drink </w:t>
      </w:r>
      <w:r w:rsidR="005D7CEC">
        <w:t>receives a higher HSR</w:t>
      </w:r>
      <w:r>
        <w:t xml:space="preserve"> </w:t>
      </w:r>
      <w:r w:rsidR="005D7CEC">
        <w:t>than some</w:t>
      </w:r>
      <w:r>
        <w:t xml:space="preserve"> fruit juice</w:t>
      </w:r>
      <w:r w:rsidR="005D7CEC">
        <w:t>s</w:t>
      </w:r>
      <w:r>
        <w:t xml:space="preserve">. </w:t>
      </w:r>
    </w:p>
    <w:p w14:paraId="75A15AF6" w14:textId="2AA4EA72" w:rsidR="005D7CEC" w:rsidRDefault="005D7CEC" w:rsidP="007E3016">
      <w:pPr>
        <w:pStyle w:val="mpcbullets2"/>
        <w:keepNext w:val="0"/>
      </w:pPr>
      <w:r>
        <w:t>There is potential to</w:t>
      </w:r>
      <w:r w:rsidR="00D36202">
        <w:t xml:space="preserve"> reduce the impact on fruit juices </w:t>
      </w:r>
      <w:r>
        <w:t xml:space="preserve">by making a policy decision that </w:t>
      </w:r>
      <w:r w:rsidRPr="00BC44D0">
        <w:t>juice</w:t>
      </w:r>
      <w:r>
        <w:t>s</w:t>
      </w:r>
      <w:r w:rsidRPr="00BC44D0">
        <w:t xml:space="preserve"> (as defined under </w:t>
      </w:r>
      <w:r w:rsidR="0067385B">
        <w:t>S</w:t>
      </w:r>
      <w:r w:rsidRPr="00BC44D0">
        <w:t xml:space="preserve">tandard 2.6.1) and fruit drinks (with </w:t>
      </w:r>
      <w:r w:rsidRPr="00BB7FF6">
        <w:t>&gt;</w:t>
      </w:r>
      <w:r w:rsidR="0067385B">
        <w:t xml:space="preserve"> </w:t>
      </w:r>
      <w:r w:rsidRPr="00BB7FF6">
        <w:t>25%</w:t>
      </w:r>
      <w:r w:rsidRPr="00BC44D0">
        <w:t xml:space="preserve"> </w:t>
      </w:r>
      <w:r w:rsidR="0067385B">
        <w:t>fruit and vegetable content</w:t>
      </w:r>
      <w:r w:rsidRPr="00BC44D0">
        <w:t>) with no added sugar</w:t>
      </w:r>
      <w:r>
        <w:t>s</w:t>
      </w:r>
      <w:r w:rsidRPr="00BC44D0">
        <w:t xml:space="preserve"> </w:t>
      </w:r>
      <w:r>
        <w:t>receive a</w:t>
      </w:r>
      <w:r w:rsidR="00C85324">
        <w:t>n</w:t>
      </w:r>
      <w:r>
        <w:t xml:space="preserve"> HSR of 4. However, this removes differentiation between juices with significantly different energy contents.</w:t>
      </w:r>
    </w:p>
    <w:p w14:paraId="328DE90B" w14:textId="77777777" w:rsidR="00D36202" w:rsidRPr="00CC1ADD" w:rsidRDefault="00D36202" w:rsidP="00F720A0">
      <w:pPr>
        <w:pStyle w:val="mpcbullets1"/>
        <w:numPr>
          <w:ilvl w:val="0"/>
          <w:numId w:val="7"/>
        </w:numPr>
      </w:pPr>
      <w:r w:rsidRPr="00CC1ADD">
        <w:t>positions beverages with no sugars (such as diet soft drinks) above full sugar options.</w:t>
      </w:r>
    </w:p>
    <w:p w14:paraId="0932096A" w14:textId="77777777" w:rsidR="00D36202" w:rsidRPr="00CC1ADD" w:rsidRDefault="00D36202" w:rsidP="007E3016">
      <w:pPr>
        <w:pStyle w:val="mpcbullets2"/>
        <w:keepNext w:val="0"/>
      </w:pPr>
      <w:r w:rsidRPr="00CC1ADD">
        <w:t>Some stakeholders have raised concerns regarding emerging evidence on the possible adverse health outcomes from consumption of non-nutritive sweeteners.</w:t>
      </w:r>
      <w:r w:rsidRPr="00546558">
        <w:rPr>
          <w:rFonts w:cs="Times New Roman (Body CS)"/>
          <w:vertAlign w:val="superscript"/>
        </w:rPr>
        <w:footnoteReference w:id="95"/>
      </w:r>
      <w:r w:rsidRPr="00CC1ADD">
        <w:t xml:space="preserve"> However, this is not settled science and the presence or absence of non-nutritive sweeteners is not taken into account for any other food category.</w:t>
      </w:r>
    </w:p>
    <w:p w14:paraId="5F9FE6BF" w14:textId="77777777" w:rsidR="00D36202" w:rsidRPr="00CC1ADD" w:rsidRDefault="00D36202" w:rsidP="007E3016">
      <w:pPr>
        <w:pStyle w:val="mpcNormal"/>
        <w:keepNext w:val="0"/>
      </w:pPr>
    </w:p>
    <w:p w14:paraId="146412EB" w14:textId="13C2EEC9" w:rsidR="00D36202" w:rsidRDefault="005D7CEC" w:rsidP="007E3016">
      <w:pPr>
        <w:pStyle w:val="mpcNormal"/>
        <w:keepNext w:val="0"/>
      </w:pPr>
      <w:r>
        <w:t>The significant</w:t>
      </w:r>
      <w:r w:rsidR="00D36202" w:rsidRPr="00093B7D">
        <w:t xml:space="preserve"> impact of this </w:t>
      </w:r>
      <w:r w:rsidR="00554AE9">
        <w:t>recommendation</w:t>
      </w:r>
      <w:r w:rsidR="00554AE9" w:rsidRPr="00093B7D">
        <w:t xml:space="preserve"> </w:t>
      </w:r>
      <w:r w:rsidRPr="00093B7D">
        <w:t>across the non-dairy beverage category</w:t>
      </w:r>
      <w:r>
        <w:t xml:space="preserve"> is acknowledged</w:t>
      </w:r>
      <w:r w:rsidR="00F62606">
        <w:t xml:space="preserve"> – t</w:t>
      </w:r>
      <w:r>
        <w:t>he</w:t>
      </w:r>
      <w:r w:rsidR="00F62606">
        <w:t xml:space="preserve"> </w:t>
      </w:r>
      <w:r>
        <w:t xml:space="preserve">HSRs for </w:t>
      </w:r>
      <w:r w:rsidR="00554AE9">
        <w:t xml:space="preserve">unsweetened </w:t>
      </w:r>
      <w:r>
        <w:t>f</w:t>
      </w:r>
      <w:r w:rsidR="00D36202">
        <w:t>lavoured water</w:t>
      </w:r>
      <w:r>
        <w:t>s</w:t>
      </w:r>
      <w:r w:rsidR="00D36202">
        <w:t xml:space="preserve"> </w:t>
      </w:r>
      <w:r>
        <w:t xml:space="preserve">would </w:t>
      </w:r>
      <w:r w:rsidR="00D36202">
        <w:t>increas</w:t>
      </w:r>
      <w:r>
        <w:t>e</w:t>
      </w:r>
      <w:r w:rsidR="00D36202">
        <w:t xml:space="preserve"> (from 2 to 4.5) and </w:t>
      </w:r>
      <w:r>
        <w:t xml:space="preserve">the HSRs for </w:t>
      </w:r>
      <w:r w:rsidR="007E3016">
        <w:t xml:space="preserve">many </w:t>
      </w:r>
      <w:r>
        <w:t>f</w:t>
      </w:r>
      <w:r w:rsidR="00D36202">
        <w:t xml:space="preserve">ruit </w:t>
      </w:r>
      <w:r>
        <w:t xml:space="preserve">and vegetable </w:t>
      </w:r>
      <w:r w:rsidR="00D36202">
        <w:t xml:space="preserve">juices </w:t>
      </w:r>
      <w:r>
        <w:t>would decrease</w:t>
      </w:r>
      <w:r w:rsidR="00554AE9">
        <w:t xml:space="preserve"> (from between 4 and 5 to between 2.5 and 4)</w:t>
      </w:r>
      <w:r w:rsidR="00D36202">
        <w:t xml:space="preserve">. </w:t>
      </w:r>
      <w:r w:rsidR="00554AE9">
        <w:t>However, the Review considers that these changes would better support consumer choice across this product category.</w:t>
      </w:r>
    </w:p>
    <w:p w14:paraId="4EE21E9D" w14:textId="77777777" w:rsidR="00554AE9" w:rsidRDefault="00554AE9" w:rsidP="00554AE9">
      <w:pPr>
        <w:pStyle w:val="mpcNormal"/>
        <w:keepNext w:val="0"/>
      </w:pPr>
    </w:p>
    <w:p w14:paraId="53BD3EB5" w14:textId="51AC25BF" w:rsidR="00554AE9" w:rsidRDefault="00554AE9" w:rsidP="00554AE9">
      <w:pPr>
        <w:pStyle w:val="mpcNormal"/>
        <w:keepNext w:val="0"/>
      </w:pPr>
      <w:r w:rsidRPr="0017608D">
        <w:t xml:space="preserve">Some stakeholders </w:t>
      </w:r>
      <w:r w:rsidR="00E66A39">
        <w:t xml:space="preserve">have </w:t>
      </w:r>
      <w:r w:rsidRPr="0017608D">
        <w:t>suggested that profiling non-dairy beverages based solely on their energy content would achieve the desired outcome. However, the Review found that this option resulted in artificially sweetened beverages (such as diet soft drinks) receiving the same or similar scores to waters. It also failed to account for the nutritional content of fruit and vegetable juices (noting there is debate on the nutritional value of these products).</w:t>
      </w:r>
    </w:p>
    <w:p w14:paraId="5430F983" w14:textId="75E0EA5B" w:rsidR="004A6A27" w:rsidRDefault="004A6A27" w:rsidP="00554AE9">
      <w:pPr>
        <w:pStyle w:val="mpcNormal"/>
        <w:keepNext w:val="0"/>
      </w:pPr>
    </w:p>
    <w:p w14:paraId="508BA81C" w14:textId="634156BB" w:rsidR="004A6A27" w:rsidRDefault="004A6A27" w:rsidP="00554AE9">
      <w:pPr>
        <w:pStyle w:val="mpcNormal"/>
        <w:keepNext w:val="0"/>
      </w:pPr>
      <w:r>
        <w:t>As noted in Chapter 8, stakeholder views are sought regarding the proposed approach to non-dairy beverages</w:t>
      </w:r>
      <w:r w:rsidR="00BD6E51">
        <w:t>.</w:t>
      </w:r>
    </w:p>
    <w:p w14:paraId="475214C0" w14:textId="77777777" w:rsidR="000A3464" w:rsidRPr="00CC1ADD" w:rsidRDefault="000A3464" w:rsidP="0017608D">
      <w:pPr>
        <w:pStyle w:val="mpcNormal"/>
        <w:keepNext w:val="0"/>
      </w:pPr>
    </w:p>
    <w:p w14:paraId="32F2F7AC" w14:textId="77777777" w:rsidR="000A3464" w:rsidRPr="00CC1ADD" w:rsidRDefault="000A3464" w:rsidP="0017608D">
      <w:pPr>
        <w:pStyle w:val="mpcheading2"/>
        <w:keepNext/>
        <w:rPr>
          <w:sz w:val="22"/>
          <w:szCs w:val="22"/>
        </w:rPr>
      </w:pPr>
      <w:bookmarkStart w:id="117" w:name="Transition"/>
      <w:bookmarkStart w:id="118" w:name="_Toc1746504"/>
      <w:bookmarkEnd w:id="117"/>
      <w:r w:rsidRPr="00CC1ADD">
        <w:rPr>
          <w:sz w:val="22"/>
          <w:szCs w:val="22"/>
        </w:rPr>
        <w:t>Transition period</w:t>
      </w:r>
      <w:bookmarkEnd w:id="118"/>
    </w:p>
    <w:p w14:paraId="2E1446DF" w14:textId="4E93BDB0" w:rsidR="000A3464" w:rsidRPr="00CC1ADD" w:rsidRDefault="000A3464" w:rsidP="0017608D">
      <w:pPr>
        <w:keepNext/>
        <w:rPr>
          <w:rFonts w:cstheme="minorHAnsi"/>
          <w:sz w:val="22"/>
          <w:szCs w:val="22"/>
        </w:rPr>
      </w:pPr>
      <w:r w:rsidRPr="00CC1ADD">
        <w:rPr>
          <w:rFonts w:cstheme="minorHAnsi"/>
          <w:sz w:val="22"/>
          <w:szCs w:val="22"/>
        </w:rPr>
        <w:t xml:space="preserve">It is recommended that a </w:t>
      </w:r>
      <w:r w:rsidR="004560A4" w:rsidRPr="00CC1ADD">
        <w:rPr>
          <w:rFonts w:cstheme="minorHAnsi"/>
          <w:sz w:val="22"/>
          <w:szCs w:val="22"/>
        </w:rPr>
        <w:t>two-year</w:t>
      </w:r>
      <w:r w:rsidRPr="00CC1ADD">
        <w:rPr>
          <w:rFonts w:cstheme="minorHAnsi"/>
          <w:sz w:val="22"/>
          <w:szCs w:val="22"/>
        </w:rPr>
        <w:t xml:space="preserve"> transition period (</w:t>
      </w:r>
      <w:r w:rsidR="00FD3F05">
        <w:rPr>
          <w:rFonts w:cstheme="minorHAnsi"/>
          <w:sz w:val="22"/>
          <w:szCs w:val="22"/>
        </w:rPr>
        <w:t xml:space="preserve">starting </w:t>
      </w:r>
      <w:r w:rsidRPr="00CC1ADD">
        <w:rPr>
          <w:rFonts w:cstheme="minorHAnsi"/>
          <w:sz w:val="22"/>
          <w:szCs w:val="22"/>
        </w:rPr>
        <w:t xml:space="preserve">from </w:t>
      </w:r>
      <w:r w:rsidR="00FD3F05">
        <w:rPr>
          <w:rFonts w:cstheme="minorHAnsi"/>
          <w:sz w:val="22"/>
          <w:szCs w:val="22"/>
        </w:rPr>
        <w:t>the date recommendations are accepted by government</w:t>
      </w:r>
      <w:r w:rsidRPr="00CC1ADD">
        <w:rPr>
          <w:rFonts w:cstheme="minorHAnsi"/>
          <w:sz w:val="22"/>
          <w:szCs w:val="22"/>
        </w:rPr>
        <w:t>) be provided for industry to implement the changes described in this Chapter. This:</w:t>
      </w:r>
    </w:p>
    <w:p w14:paraId="5AEF9421" w14:textId="77777777" w:rsidR="000A3464" w:rsidRPr="00CC1ADD" w:rsidRDefault="000A3464">
      <w:pPr>
        <w:rPr>
          <w:rFonts w:cstheme="minorHAnsi"/>
          <w:sz w:val="22"/>
          <w:szCs w:val="22"/>
        </w:rPr>
      </w:pPr>
    </w:p>
    <w:p w14:paraId="3EE09B7F" w14:textId="2EF15355" w:rsidR="008B6118" w:rsidRDefault="00F851BC" w:rsidP="00C3403E">
      <w:pPr>
        <w:pStyle w:val="ListParagraph"/>
        <w:numPr>
          <w:ilvl w:val="0"/>
          <w:numId w:val="31"/>
        </w:numPr>
        <w:contextualSpacing w:val="0"/>
        <w:rPr>
          <w:rFonts w:cstheme="minorHAnsi"/>
          <w:sz w:val="22"/>
          <w:szCs w:val="22"/>
        </w:rPr>
      </w:pPr>
      <w:r>
        <w:rPr>
          <w:rFonts w:cstheme="minorHAnsi"/>
          <w:sz w:val="22"/>
          <w:szCs w:val="22"/>
        </w:rPr>
        <w:t>i</w:t>
      </w:r>
      <w:r w:rsidR="008B6118">
        <w:rPr>
          <w:rFonts w:cstheme="minorHAnsi"/>
          <w:sz w:val="22"/>
          <w:szCs w:val="22"/>
        </w:rPr>
        <w:t>s consistent with other food regulation and labelling transition periods</w:t>
      </w:r>
    </w:p>
    <w:p w14:paraId="34129BE4" w14:textId="4CA05B6F" w:rsidR="000A3464" w:rsidRPr="00CC1ADD" w:rsidRDefault="000A3464" w:rsidP="00C3403E">
      <w:pPr>
        <w:pStyle w:val="ListParagraph"/>
        <w:numPr>
          <w:ilvl w:val="0"/>
          <w:numId w:val="31"/>
        </w:numPr>
        <w:contextualSpacing w:val="0"/>
        <w:rPr>
          <w:rFonts w:cstheme="minorHAnsi"/>
          <w:sz w:val="22"/>
          <w:szCs w:val="22"/>
        </w:rPr>
      </w:pPr>
      <w:r w:rsidRPr="00CC1ADD">
        <w:rPr>
          <w:rFonts w:cstheme="minorHAnsi"/>
          <w:sz w:val="22"/>
          <w:szCs w:val="22"/>
        </w:rPr>
        <w:t>acknowledges common contracting periods between suppliers and large retailers (minimising the need for mid-contract renegotiations where labels are affected by changes in HSRs)</w:t>
      </w:r>
    </w:p>
    <w:p w14:paraId="48F354DE" w14:textId="77777777" w:rsidR="000A3464" w:rsidRPr="00CC1ADD" w:rsidRDefault="000A3464" w:rsidP="00C3403E">
      <w:pPr>
        <w:pStyle w:val="ListParagraph"/>
        <w:numPr>
          <w:ilvl w:val="0"/>
          <w:numId w:val="31"/>
        </w:numPr>
        <w:contextualSpacing w:val="0"/>
        <w:rPr>
          <w:rFonts w:cstheme="minorHAnsi"/>
          <w:sz w:val="22"/>
          <w:szCs w:val="22"/>
        </w:rPr>
      </w:pPr>
      <w:r w:rsidRPr="00CC1ADD">
        <w:rPr>
          <w:rFonts w:cstheme="minorHAnsi"/>
          <w:sz w:val="22"/>
          <w:szCs w:val="22"/>
        </w:rPr>
        <w:t xml:space="preserve">provides a reasonable period within which manufacturers could reformulate should they wish to avoid label changes </w:t>
      </w:r>
    </w:p>
    <w:p w14:paraId="3A0B96B9" w14:textId="27996E35" w:rsidR="000A3464" w:rsidRPr="00CC1ADD" w:rsidRDefault="000A3464" w:rsidP="00C3403E">
      <w:pPr>
        <w:pStyle w:val="ListParagraph"/>
        <w:numPr>
          <w:ilvl w:val="0"/>
          <w:numId w:val="31"/>
        </w:numPr>
        <w:contextualSpacing w:val="0"/>
        <w:rPr>
          <w:rFonts w:cstheme="minorHAnsi"/>
          <w:sz w:val="22"/>
          <w:szCs w:val="22"/>
        </w:rPr>
      </w:pPr>
      <w:r w:rsidRPr="00CC1ADD">
        <w:rPr>
          <w:rFonts w:cstheme="minorHAnsi"/>
          <w:sz w:val="22"/>
          <w:szCs w:val="22"/>
        </w:rPr>
        <w:t>enables adjustments to be made by organisations responding to other initiatives that have been built around the HSR System (</w:t>
      </w:r>
      <w:r w:rsidR="004505FF" w:rsidRPr="00CC1ADD">
        <w:rPr>
          <w:rFonts w:cstheme="minorHAnsi"/>
          <w:sz w:val="22"/>
          <w:szCs w:val="22"/>
        </w:rPr>
        <w:t>refer</w:t>
      </w:r>
      <w:r w:rsidRPr="00CC1ADD">
        <w:rPr>
          <w:rFonts w:cstheme="minorHAnsi"/>
          <w:sz w:val="22"/>
          <w:szCs w:val="22"/>
        </w:rPr>
        <w:t xml:space="preserve"> </w:t>
      </w:r>
      <w:r w:rsidRPr="00CC1ADD">
        <w:rPr>
          <w:rFonts w:cstheme="minorHAnsi"/>
          <w:sz w:val="22"/>
          <w:szCs w:val="22"/>
          <w:u w:val="single"/>
        </w:rPr>
        <w:t>Appendix C</w:t>
      </w:r>
      <w:r w:rsidRPr="00CC1ADD">
        <w:rPr>
          <w:rFonts w:cstheme="minorHAnsi"/>
          <w:sz w:val="22"/>
          <w:szCs w:val="22"/>
        </w:rPr>
        <w:t xml:space="preserve"> for examples)</w:t>
      </w:r>
    </w:p>
    <w:p w14:paraId="3184B882" w14:textId="77777777" w:rsidR="00F851BC" w:rsidRDefault="000A3464" w:rsidP="00C3403E">
      <w:pPr>
        <w:pStyle w:val="ListParagraph"/>
        <w:numPr>
          <w:ilvl w:val="0"/>
          <w:numId w:val="31"/>
        </w:numPr>
        <w:contextualSpacing w:val="0"/>
        <w:rPr>
          <w:rFonts w:cstheme="minorHAnsi"/>
          <w:sz w:val="22"/>
          <w:szCs w:val="22"/>
        </w:rPr>
      </w:pPr>
      <w:r w:rsidRPr="00CC1ADD">
        <w:rPr>
          <w:rFonts w:cstheme="minorHAnsi"/>
          <w:sz w:val="22"/>
          <w:szCs w:val="22"/>
        </w:rPr>
        <w:t>provides a reasonable period within which to educate consumers about the changes (refer Chapter 4)</w:t>
      </w:r>
    </w:p>
    <w:p w14:paraId="24A0E5A2" w14:textId="5C52C38D" w:rsidR="00143F7D" w:rsidRDefault="00F851BC" w:rsidP="00C3403E">
      <w:pPr>
        <w:pStyle w:val="ListParagraph"/>
        <w:numPr>
          <w:ilvl w:val="0"/>
          <w:numId w:val="31"/>
        </w:numPr>
        <w:contextualSpacing w:val="0"/>
        <w:rPr>
          <w:rFonts w:cstheme="minorHAnsi"/>
          <w:sz w:val="22"/>
          <w:szCs w:val="22"/>
        </w:rPr>
      </w:pPr>
      <w:r>
        <w:rPr>
          <w:rFonts w:cstheme="minorHAnsi"/>
          <w:sz w:val="22"/>
          <w:szCs w:val="22"/>
        </w:rPr>
        <w:t>acknowledges that some of the areas of greatest change are in product categories where uptake has been high</w:t>
      </w:r>
      <w:r w:rsidR="000A3464" w:rsidRPr="0017608D">
        <w:rPr>
          <w:rFonts w:cstheme="minorHAnsi"/>
          <w:sz w:val="22"/>
          <w:szCs w:val="22"/>
        </w:rPr>
        <w:t>.</w:t>
      </w:r>
    </w:p>
    <w:p w14:paraId="511CD163" w14:textId="0CB073E7" w:rsidR="008B6118" w:rsidRDefault="008B6118">
      <w:pPr>
        <w:rPr>
          <w:rFonts w:cstheme="minorHAnsi"/>
          <w:sz w:val="22"/>
          <w:szCs w:val="22"/>
        </w:rPr>
      </w:pPr>
    </w:p>
    <w:p w14:paraId="685B2C66" w14:textId="65C4DEDA" w:rsidR="008B6118" w:rsidRPr="0017608D" w:rsidRDefault="00CF3274" w:rsidP="0017608D">
      <w:pPr>
        <w:rPr>
          <w:rFonts w:cstheme="minorHAnsi"/>
          <w:sz w:val="22"/>
          <w:szCs w:val="22"/>
        </w:rPr>
      </w:pPr>
      <w:r w:rsidRPr="002E732B">
        <w:rPr>
          <w:rFonts w:cstheme="minorHAnsi"/>
          <w:sz w:val="22"/>
          <w:szCs w:val="22"/>
        </w:rPr>
        <w:t>It is acknowledged that change management will be important throughout this period. R</w:t>
      </w:r>
      <w:r w:rsidR="008B6118" w:rsidRPr="002E732B">
        <w:rPr>
          <w:rFonts w:cstheme="minorHAnsi"/>
          <w:sz w:val="22"/>
          <w:szCs w:val="22"/>
        </w:rPr>
        <w:t>isk</w:t>
      </w:r>
      <w:r w:rsidRPr="002E732B">
        <w:rPr>
          <w:rFonts w:cstheme="minorHAnsi"/>
          <w:sz w:val="22"/>
          <w:szCs w:val="22"/>
        </w:rPr>
        <w:t xml:space="preserve">s to consumer trust in the System and in the products displaying the HSR (which may potentially be </w:t>
      </w:r>
      <w:r w:rsidR="008B6118" w:rsidRPr="002E732B">
        <w:rPr>
          <w:rFonts w:cstheme="minorHAnsi"/>
          <w:sz w:val="22"/>
          <w:szCs w:val="22"/>
        </w:rPr>
        <w:t>displaying different HSRs side-by-side in the supermarket</w:t>
      </w:r>
      <w:r w:rsidRPr="002E732B">
        <w:rPr>
          <w:rFonts w:cstheme="minorHAnsi"/>
          <w:sz w:val="22"/>
          <w:szCs w:val="22"/>
        </w:rPr>
        <w:t xml:space="preserve"> during this period)</w:t>
      </w:r>
      <w:r w:rsidR="008B6118" w:rsidRPr="002E732B">
        <w:rPr>
          <w:rFonts w:cstheme="minorHAnsi"/>
          <w:sz w:val="22"/>
          <w:szCs w:val="22"/>
        </w:rPr>
        <w:t xml:space="preserve"> will need to be managed </w:t>
      </w:r>
      <w:r w:rsidRPr="002E732B">
        <w:rPr>
          <w:rFonts w:cstheme="minorHAnsi"/>
          <w:sz w:val="22"/>
          <w:szCs w:val="22"/>
        </w:rPr>
        <w:t>throughout the transition</w:t>
      </w:r>
      <w:r w:rsidR="002E732B">
        <w:rPr>
          <w:rFonts w:cstheme="minorHAnsi"/>
          <w:sz w:val="22"/>
          <w:szCs w:val="22"/>
        </w:rPr>
        <w:t xml:space="preserve"> (refer Chapters 4 and 6)</w:t>
      </w:r>
      <w:r w:rsidRPr="002E732B">
        <w:rPr>
          <w:rFonts w:cstheme="minorHAnsi"/>
          <w:sz w:val="22"/>
          <w:szCs w:val="22"/>
        </w:rPr>
        <w:t>.</w:t>
      </w:r>
      <w:r>
        <w:rPr>
          <w:rFonts w:cstheme="minorHAnsi"/>
          <w:sz w:val="22"/>
          <w:szCs w:val="22"/>
        </w:rPr>
        <w:t xml:space="preserve"> </w:t>
      </w:r>
    </w:p>
    <w:p w14:paraId="088FB201" w14:textId="77777777" w:rsidR="004A580D" w:rsidRPr="00CC1ADD" w:rsidRDefault="000A3464">
      <w:pPr>
        <w:pStyle w:val="mpcheading1"/>
      </w:pPr>
      <w:r w:rsidRPr="00CC1ADD">
        <w:rPr>
          <w:rFonts w:cstheme="minorHAnsi"/>
          <w:sz w:val="22"/>
          <w:szCs w:val="22"/>
        </w:rPr>
        <w:br w:type="column"/>
      </w:r>
      <w:bookmarkStart w:id="119" w:name="Chapter6"/>
      <w:bookmarkStart w:id="120" w:name="_Toc1746505"/>
      <w:bookmarkEnd w:id="119"/>
      <w:r w:rsidR="004A580D" w:rsidRPr="00CC1ADD">
        <w:t>Chapter 6 – Management of the Health Star Rating System</w:t>
      </w:r>
      <w:bookmarkEnd w:id="120"/>
      <w:r w:rsidR="004A580D" w:rsidRPr="00CC1ADD">
        <w:t xml:space="preserve"> </w:t>
      </w:r>
    </w:p>
    <w:p w14:paraId="0BAC8AF6" w14:textId="77777777" w:rsidR="004A580D" w:rsidRPr="00CC1ADD" w:rsidRDefault="004A580D">
      <w:pPr>
        <w:pStyle w:val="mpcheading2"/>
        <w:rPr>
          <w:lang w:eastAsia="en-GB"/>
        </w:rPr>
      </w:pPr>
      <w:bookmarkStart w:id="121" w:name="Summary6"/>
      <w:bookmarkStart w:id="122" w:name="_Toc1746506"/>
      <w:bookmarkEnd w:id="121"/>
      <w:r w:rsidRPr="00CC1ADD">
        <w:rPr>
          <w:lang w:eastAsia="en-GB"/>
        </w:rPr>
        <w:t>Summary</w:t>
      </w:r>
      <w:bookmarkEnd w:id="122"/>
    </w:p>
    <w:p w14:paraId="32C7E45D" w14:textId="77777777" w:rsidR="008F12EF" w:rsidRDefault="008F12EF" w:rsidP="008F12EF">
      <w:pPr>
        <w:pStyle w:val="mpcNormal"/>
      </w:pPr>
      <w:r>
        <w:t>Effective</w:t>
      </w:r>
      <w:r w:rsidRPr="008324C4">
        <w:t xml:space="preserve"> public health interventions </w:t>
      </w:r>
      <w:r>
        <w:t xml:space="preserve">rely on strong foundations, </w:t>
      </w:r>
      <w:r w:rsidRPr="008324C4">
        <w:t>includ</w:t>
      </w:r>
      <w:r>
        <w:t>ing</w:t>
      </w:r>
      <w:r w:rsidRPr="008324C4">
        <w:t>:</w:t>
      </w:r>
    </w:p>
    <w:p w14:paraId="399097C8" w14:textId="77777777" w:rsidR="008F12EF" w:rsidRPr="008324C4" w:rsidRDefault="008F12EF" w:rsidP="008F12EF">
      <w:pPr>
        <w:pStyle w:val="mpcNormal"/>
      </w:pPr>
    </w:p>
    <w:p w14:paraId="7B1B9EE2" w14:textId="77777777" w:rsidR="008F12EF" w:rsidRPr="008F12EF" w:rsidRDefault="008F12EF" w:rsidP="00F720A0">
      <w:pPr>
        <w:pStyle w:val="mpcbullets1"/>
      </w:pPr>
      <w:r w:rsidRPr="008F12EF">
        <w:t>clear leadership, accountability, strategy and management structures</w:t>
      </w:r>
    </w:p>
    <w:p w14:paraId="6DAB2C06" w14:textId="77777777" w:rsidR="008F12EF" w:rsidRPr="008F12EF" w:rsidRDefault="008F12EF" w:rsidP="00F720A0">
      <w:pPr>
        <w:pStyle w:val="mpcbullets1"/>
      </w:pPr>
      <w:r w:rsidRPr="008F12EF">
        <w:t>effective engagement of stakeholders both within and outside governments</w:t>
      </w:r>
    </w:p>
    <w:p w14:paraId="5AC4DFFC" w14:textId="51982486" w:rsidR="008F12EF" w:rsidRPr="008F12EF" w:rsidRDefault="008F12EF" w:rsidP="00F720A0">
      <w:pPr>
        <w:pStyle w:val="mpcbullets1"/>
      </w:pPr>
      <w:r w:rsidRPr="008F12EF">
        <w:t>ongoing collection of data and effective monitoring and evaluation to assess the impact of the intervention over time.</w:t>
      </w:r>
      <w:r w:rsidRPr="008F12EF">
        <w:rPr>
          <w:vertAlign w:val="superscript"/>
        </w:rPr>
        <w:footnoteReference w:id="96"/>
      </w:r>
    </w:p>
    <w:p w14:paraId="4DD19F7C" w14:textId="77777777" w:rsidR="008F12EF" w:rsidRDefault="008F12EF" w:rsidP="008F12EF">
      <w:pPr>
        <w:pStyle w:val="mpcNormal"/>
      </w:pPr>
    </w:p>
    <w:p w14:paraId="7DE0492F" w14:textId="77777777" w:rsidR="008F12EF" w:rsidRDefault="008F12EF" w:rsidP="008F12EF">
      <w:pPr>
        <w:pStyle w:val="mpcNormal"/>
      </w:pPr>
      <w:r>
        <w:t>These foundations have largely existed for the HSR System. For example:</w:t>
      </w:r>
    </w:p>
    <w:p w14:paraId="20649AEB" w14:textId="77777777" w:rsidR="008F12EF" w:rsidRDefault="008F12EF" w:rsidP="008F12EF">
      <w:pPr>
        <w:pStyle w:val="mpcNormal"/>
      </w:pPr>
    </w:p>
    <w:p w14:paraId="4E97F32D" w14:textId="1F449F8B" w:rsidR="008F12EF" w:rsidRDefault="008F12EF" w:rsidP="00F720A0">
      <w:pPr>
        <w:pStyle w:val="mpcbullets1"/>
      </w:pPr>
      <w:r w:rsidRPr="008F12EF">
        <w:t>the</w:t>
      </w:r>
      <w:r>
        <w:t xml:space="preserve"> S</w:t>
      </w:r>
      <w:r w:rsidRPr="00CC1ADD">
        <w:t>ystem has been stewarded by the HSRAC, a committee accountable to the FRSC and the Forum</w:t>
      </w:r>
    </w:p>
    <w:p w14:paraId="3658DBF7" w14:textId="74C26FA7" w:rsidR="008F12EF" w:rsidRDefault="008F12EF" w:rsidP="008F12EF">
      <w:pPr>
        <w:pStyle w:val="mpcbullets2"/>
      </w:pPr>
      <w:r w:rsidRPr="00CC1ADD">
        <w:t xml:space="preserve">Key </w:t>
      </w:r>
      <w:r w:rsidRPr="008F12EF">
        <w:t>strengths</w:t>
      </w:r>
      <w:r w:rsidRPr="00CC1ADD">
        <w:t xml:space="preserve"> of the arrangements have included: </w:t>
      </w:r>
      <w:r>
        <w:t>clear accountabilities between</w:t>
      </w:r>
      <w:r w:rsidR="00E7786C">
        <w:t xml:space="preserve"> the</w:t>
      </w:r>
      <w:r>
        <w:t xml:space="preserve"> HSRAC and </w:t>
      </w:r>
      <w:r w:rsidR="00E7786C">
        <w:t xml:space="preserve">the </w:t>
      </w:r>
      <w:r>
        <w:t>FRSC</w:t>
      </w:r>
      <w:r w:rsidRPr="009547E1">
        <w:t xml:space="preserve"> </w:t>
      </w:r>
      <w:r>
        <w:t xml:space="preserve">(with </w:t>
      </w:r>
      <w:r w:rsidR="00E7786C">
        <w:t xml:space="preserve">the </w:t>
      </w:r>
      <w:r>
        <w:t xml:space="preserve">FRSC/the Forum maintaining ultimate responsibility for policy decisions relating to the HSR System); </w:t>
      </w:r>
      <w:r w:rsidRPr="00CC1ADD">
        <w:t xml:space="preserve">cooperative working </w:t>
      </w:r>
      <w:r>
        <w:t>relationships</w:t>
      </w:r>
      <w:r w:rsidRPr="00CC1ADD">
        <w:t xml:space="preserve"> between industry, public health, consumer groups and government; </w:t>
      </w:r>
      <w:r>
        <w:t xml:space="preserve">and a high degree of </w:t>
      </w:r>
      <w:r w:rsidRPr="00CC1ADD">
        <w:t>transparency</w:t>
      </w:r>
      <w:r>
        <w:t>.</w:t>
      </w:r>
    </w:p>
    <w:p w14:paraId="09FB6BAD" w14:textId="77777777" w:rsidR="008F12EF" w:rsidRPr="008F12EF" w:rsidRDefault="008F12EF" w:rsidP="00F720A0">
      <w:pPr>
        <w:pStyle w:val="mpcbullets1"/>
      </w:pPr>
      <w:r w:rsidRPr="008F12EF">
        <w:t>System implementation and any changes to the System have been supported by a high degree of stakeholder interest, engagement and extensive stakeholder consultation</w:t>
      </w:r>
    </w:p>
    <w:p w14:paraId="0D5E7044" w14:textId="350C6FFB" w:rsidR="008F12EF" w:rsidRDefault="008F12EF" w:rsidP="00F720A0">
      <w:pPr>
        <w:pStyle w:val="mpcbullets1"/>
      </w:pPr>
      <w:r>
        <w:t>the performance of the System has been monitored and evaluated, with findings informing this Review and influencing adjustments to communications with stakeholders (refer Chapters 3 and 4).</w:t>
      </w:r>
    </w:p>
    <w:p w14:paraId="7B059ED1" w14:textId="77777777" w:rsidR="008F12EF" w:rsidRDefault="008F12EF" w:rsidP="008F12EF">
      <w:pPr>
        <w:pStyle w:val="mpcNormal"/>
      </w:pPr>
    </w:p>
    <w:p w14:paraId="21AAA805" w14:textId="71DF64AF" w:rsidR="008F12EF" w:rsidRDefault="008F12EF" w:rsidP="008F12EF">
      <w:pPr>
        <w:pStyle w:val="mpcNormal"/>
      </w:pPr>
      <w:r>
        <w:t>Importantly, the System has also been supported by Australian, State and Territory and New Zealand governments – both financially and through the participation of government officers in HSR System governance committees. This has provided confidence in the System, enabled national campaigns to be run and facilitated monitoring of the System across Australia and New Zealand.</w:t>
      </w:r>
    </w:p>
    <w:p w14:paraId="2AFC9777" w14:textId="77777777" w:rsidR="008F12EF" w:rsidRPr="00CC1ADD" w:rsidRDefault="008F12EF" w:rsidP="008F12EF">
      <w:pPr>
        <w:pStyle w:val="mpcNormal"/>
      </w:pPr>
    </w:p>
    <w:p w14:paraId="374B8D4B" w14:textId="45583CA9" w:rsidR="008F12EF" w:rsidRDefault="008F12EF" w:rsidP="008F12EF">
      <w:pPr>
        <w:pStyle w:val="mpcNormal"/>
      </w:pPr>
      <w:r>
        <w:t xml:space="preserve">The next </w:t>
      </w:r>
      <w:r w:rsidR="00BD6E51">
        <w:t>few</w:t>
      </w:r>
      <w:r>
        <w:t xml:space="preserve"> years will be critical to the HSR System. Over this time, changes will be implemented to better align the System with Dietary Guidelines and address consumer concerns, </w:t>
      </w:r>
      <w:r w:rsidR="00A90016">
        <w:t>with</w:t>
      </w:r>
      <w:r>
        <w:t xml:space="preserve"> uptake by industry expected to increase considerably.</w:t>
      </w:r>
    </w:p>
    <w:p w14:paraId="687840A6" w14:textId="77777777" w:rsidR="008F12EF" w:rsidRDefault="008F12EF" w:rsidP="008F12EF">
      <w:pPr>
        <w:pStyle w:val="mpcNormal"/>
      </w:pPr>
    </w:p>
    <w:p w14:paraId="6855084E" w14:textId="77777777" w:rsidR="008F12EF" w:rsidRDefault="008F12EF" w:rsidP="008F12EF">
      <w:pPr>
        <w:pStyle w:val="mpcNormal"/>
      </w:pPr>
      <w:r>
        <w:t>This change process will need to be managed carefully in order to ensure that:</w:t>
      </w:r>
    </w:p>
    <w:p w14:paraId="212C76AC" w14:textId="77777777" w:rsidR="008F12EF" w:rsidRDefault="008F12EF" w:rsidP="008F12EF">
      <w:pPr>
        <w:pStyle w:val="mpcNormal"/>
      </w:pPr>
    </w:p>
    <w:p w14:paraId="41D17243" w14:textId="5EDCE29B" w:rsidR="008F12EF" w:rsidRPr="008F12EF" w:rsidRDefault="008F12EF" w:rsidP="00F720A0">
      <w:pPr>
        <w:pStyle w:val="mpcbullets1"/>
      </w:pPr>
      <w:r w:rsidRPr="008F12EF">
        <w:t>the reason</w:t>
      </w:r>
      <w:r>
        <w:t>s</w:t>
      </w:r>
      <w:r w:rsidRPr="008F12EF">
        <w:t xml:space="preserve"> for changes to </w:t>
      </w:r>
      <w:r>
        <w:t xml:space="preserve">the </w:t>
      </w:r>
      <w:r w:rsidRPr="008F12EF">
        <w:t>HSR</w:t>
      </w:r>
      <w:r>
        <w:t xml:space="preserve"> System are</w:t>
      </w:r>
      <w:r w:rsidRPr="008F12EF">
        <w:t xml:space="preserve"> understood by consumers</w:t>
      </w:r>
    </w:p>
    <w:p w14:paraId="1B193CA6" w14:textId="77777777" w:rsidR="008F12EF" w:rsidRPr="008F12EF" w:rsidRDefault="008F12EF" w:rsidP="00F720A0">
      <w:pPr>
        <w:pStyle w:val="mpcbullets1"/>
      </w:pPr>
      <w:r w:rsidRPr="008F12EF">
        <w:t>there is appropriate support for industry in adopting the changes (including guidance materials and the opportunity for anomalies and complaints to be considered)</w:t>
      </w:r>
    </w:p>
    <w:p w14:paraId="32386AA5" w14:textId="52936659" w:rsidR="008F12EF" w:rsidRPr="008F12EF" w:rsidRDefault="008F12EF" w:rsidP="00F720A0">
      <w:pPr>
        <w:pStyle w:val="mpcbullets1"/>
      </w:pPr>
      <w:r w:rsidRPr="008F12EF">
        <w:t xml:space="preserve">industry appropriately applies </w:t>
      </w:r>
      <w:r>
        <w:t>the</w:t>
      </w:r>
      <w:r w:rsidRPr="008F12EF">
        <w:t xml:space="preserve"> </w:t>
      </w:r>
      <w:r>
        <w:t>System</w:t>
      </w:r>
      <w:r w:rsidRPr="008F12EF">
        <w:t xml:space="preserve"> and makes steady progress towards the uptake target described in Chapter 7</w:t>
      </w:r>
    </w:p>
    <w:p w14:paraId="39601A94" w14:textId="77777777" w:rsidR="008F12EF" w:rsidRDefault="008F12EF" w:rsidP="00F720A0">
      <w:pPr>
        <w:pStyle w:val="mpcbullets1"/>
      </w:pPr>
      <w:r w:rsidRPr="008F12EF">
        <w:t>related government initiatives (such as reformulation activities and healthy food and drink policies that reference the HSR System) can</w:t>
      </w:r>
      <w:r>
        <w:t xml:space="preserve"> be adjusted as needed.</w:t>
      </w:r>
    </w:p>
    <w:p w14:paraId="36E8630D" w14:textId="77777777" w:rsidR="008F12EF" w:rsidRDefault="008F12EF" w:rsidP="008F12EF">
      <w:pPr>
        <w:rPr>
          <w:sz w:val="22"/>
          <w:szCs w:val="22"/>
        </w:rPr>
      </w:pPr>
    </w:p>
    <w:p w14:paraId="0C2CC7E9" w14:textId="77777777" w:rsidR="008F12EF" w:rsidRDefault="008F12EF" w:rsidP="008F12EF">
      <w:pPr>
        <w:pStyle w:val="mpcNormal"/>
      </w:pPr>
      <w:r>
        <w:t>A</w:t>
      </w:r>
      <w:r w:rsidRPr="00CC1ADD">
        <w:t xml:space="preserve">s the HSR System moves into the next stage of implementation, </w:t>
      </w:r>
      <w:r>
        <w:t>the Review recommends:</w:t>
      </w:r>
    </w:p>
    <w:p w14:paraId="2CFDF57C" w14:textId="77777777" w:rsidR="008F12EF" w:rsidRDefault="008F12EF" w:rsidP="008F12EF">
      <w:pPr>
        <w:pStyle w:val="mpcNormal"/>
      </w:pPr>
    </w:p>
    <w:p w14:paraId="25BF6699" w14:textId="6022F98A" w:rsidR="008F12EF" w:rsidRPr="008F12EF" w:rsidRDefault="008F12EF" w:rsidP="00F720A0">
      <w:pPr>
        <w:pStyle w:val="mpcbullets1"/>
      </w:pPr>
      <w:r w:rsidRPr="008F12EF">
        <w:t xml:space="preserve">government funding is continued for a further </w:t>
      </w:r>
      <w:r w:rsidR="00BD6E51">
        <w:t>four</w:t>
      </w:r>
      <w:r w:rsidRPr="008F12EF">
        <w:t xml:space="preserve"> years </w:t>
      </w:r>
    </w:p>
    <w:p w14:paraId="779AAA43" w14:textId="15DBCD2F" w:rsidR="008F12EF" w:rsidRPr="00FE529B" w:rsidRDefault="008F12EF" w:rsidP="00F720A0">
      <w:pPr>
        <w:pStyle w:val="mpcbullets1"/>
      </w:pPr>
      <w:r w:rsidRPr="008F12EF">
        <w:t>minor changes</w:t>
      </w:r>
      <w:r w:rsidRPr="00FE529B">
        <w:t xml:space="preserve"> </w:t>
      </w:r>
      <w:r w:rsidR="00A90016">
        <w:t>are</w:t>
      </w:r>
      <w:r w:rsidRPr="00FE529B">
        <w:t xml:space="preserve"> made to the governance arrangements </w:t>
      </w:r>
    </w:p>
    <w:p w14:paraId="538A19CA" w14:textId="196843CA" w:rsidR="008F12EF" w:rsidRPr="00CC1ADD" w:rsidRDefault="008F12EF" w:rsidP="00F720A0">
      <w:pPr>
        <w:pStyle w:val="mpcbullets1"/>
      </w:pPr>
      <w:r w:rsidRPr="00FE529B">
        <w:t xml:space="preserve">critical infrastructure </w:t>
      </w:r>
      <w:r>
        <w:t xml:space="preserve">necessary </w:t>
      </w:r>
      <w:r w:rsidRPr="00FE529B">
        <w:t>to support implementation and evaluation of food</w:t>
      </w:r>
      <w:r w:rsidR="00E7786C">
        <w:t xml:space="preserve"> and </w:t>
      </w:r>
      <w:r w:rsidRPr="00FE529B">
        <w:t>nutrition</w:t>
      </w:r>
      <w:r w:rsidRPr="00FE529B">
        <w:noBreakHyphen/>
        <w:t>related public health initiatives</w:t>
      </w:r>
      <w:r w:rsidR="00A90016">
        <w:t xml:space="preserve"> is enhanced</w:t>
      </w:r>
      <w:r w:rsidR="00E7786C">
        <w:t xml:space="preserve">. </w:t>
      </w:r>
    </w:p>
    <w:p w14:paraId="1347BFDD" w14:textId="77777777" w:rsidR="008F12EF" w:rsidRDefault="008F12EF" w:rsidP="008F12EF"/>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736"/>
      </w:tblGrid>
      <w:tr w:rsidR="008F12EF" w:rsidRPr="00CC1ADD" w14:paraId="6768C944" w14:textId="77777777" w:rsidTr="00BD6E51">
        <w:trPr>
          <w:trHeight w:val="791"/>
        </w:trPr>
        <w:tc>
          <w:tcPr>
            <w:tcW w:w="9736" w:type="dxa"/>
            <w:shd w:val="clear" w:color="auto" w:fill="D9E2F3" w:themeFill="accent1" w:themeFillTint="33"/>
            <w:vAlign w:val="center"/>
          </w:tcPr>
          <w:p w14:paraId="42984A57" w14:textId="22C54FFD" w:rsidR="008F12EF" w:rsidRPr="00D42FCE" w:rsidRDefault="008F12EF" w:rsidP="00E7786C">
            <w:pPr>
              <w:keepNext/>
              <w:ind w:left="2160" w:hanging="2160"/>
            </w:pPr>
            <w:r w:rsidRPr="00CC1ADD">
              <w:rPr>
                <w:b/>
                <w:sz w:val="22"/>
                <w:szCs w:val="22"/>
              </w:rPr>
              <w:t xml:space="preserve">Recommendation </w:t>
            </w:r>
            <w:r>
              <w:rPr>
                <w:b/>
                <w:sz w:val="22"/>
                <w:szCs w:val="22"/>
              </w:rPr>
              <w:t>6</w:t>
            </w:r>
            <w:r w:rsidRPr="00CC1ADD">
              <w:rPr>
                <w:b/>
                <w:sz w:val="22"/>
                <w:szCs w:val="22"/>
              </w:rPr>
              <w:t xml:space="preserve">: </w:t>
            </w:r>
            <w:r w:rsidRPr="00CC1ADD">
              <w:rPr>
                <w:b/>
                <w:sz w:val="22"/>
                <w:szCs w:val="22"/>
              </w:rPr>
              <w:tab/>
              <w:t>HSR System implementation</w:t>
            </w:r>
            <w:r>
              <w:rPr>
                <w:b/>
                <w:sz w:val="22"/>
                <w:szCs w:val="22"/>
              </w:rPr>
              <w:t xml:space="preserve"> continue to </w:t>
            </w:r>
            <w:r w:rsidRPr="00CC1ADD">
              <w:rPr>
                <w:b/>
                <w:sz w:val="22"/>
                <w:szCs w:val="22"/>
              </w:rPr>
              <w:t>be jointly funded by Australia</w:t>
            </w:r>
            <w:r>
              <w:rPr>
                <w:b/>
                <w:sz w:val="22"/>
                <w:szCs w:val="22"/>
              </w:rPr>
              <w:t>n</w:t>
            </w:r>
            <w:r w:rsidRPr="00CC1ADD">
              <w:rPr>
                <w:b/>
                <w:sz w:val="22"/>
                <w:szCs w:val="22"/>
              </w:rPr>
              <w:t xml:space="preserve">, State </w:t>
            </w:r>
            <w:r w:rsidRPr="00E7786C">
              <w:rPr>
                <w:b/>
                <w:sz w:val="22"/>
                <w:szCs w:val="22"/>
              </w:rPr>
              <w:t>and Territory and New Zealand governments for a further four years</w:t>
            </w:r>
            <w:r w:rsidR="00372E4A">
              <w:rPr>
                <w:b/>
              </w:rPr>
              <w:t>.</w:t>
            </w:r>
          </w:p>
        </w:tc>
      </w:tr>
    </w:tbl>
    <w:p w14:paraId="39FE117E" w14:textId="77777777" w:rsidR="008F12EF" w:rsidRPr="009547E1" w:rsidRDefault="008F12EF" w:rsidP="008F12EF">
      <w:pPr>
        <w:rPr>
          <w:sz w:val="22"/>
          <w:szCs w:val="22"/>
        </w:rPr>
      </w:pPr>
    </w:p>
    <w:tbl>
      <w:tblPr>
        <w:tblStyle w:val="TableGrid"/>
        <w:tblW w:w="0" w:type="auto"/>
        <w:tblLook w:val="04A0" w:firstRow="1" w:lastRow="0" w:firstColumn="1" w:lastColumn="0" w:noHBand="0" w:noVBand="1"/>
      </w:tblPr>
      <w:tblGrid>
        <w:gridCol w:w="9736"/>
      </w:tblGrid>
      <w:tr w:rsidR="008F12EF" w:rsidRPr="00CC1ADD" w14:paraId="31438937" w14:textId="77777777" w:rsidTr="00BD6E51">
        <w:trPr>
          <w:trHeight w:val="2120"/>
        </w:trPr>
        <w:tc>
          <w:tcPr>
            <w:tcW w:w="9736" w:type="dxa"/>
            <w:shd w:val="clear" w:color="auto" w:fill="D9E2F3" w:themeFill="accent1" w:themeFillTint="33"/>
            <w:vAlign w:val="center"/>
          </w:tcPr>
          <w:p w14:paraId="72A4212A" w14:textId="77777777" w:rsidR="008F12EF" w:rsidRPr="00CC1ADD" w:rsidRDefault="008F12EF" w:rsidP="00E7786C">
            <w:pPr>
              <w:pStyle w:val="mpcNormal"/>
              <w:rPr>
                <w:b/>
              </w:rPr>
            </w:pPr>
            <w:r w:rsidRPr="00CC1ADD">
              <w:rPr>
                <w:b/>
              </w:rPr>
              <w:t xml:space="preserve">Recommendation </w:t>
            </w:r>
            <w:r>
              <w:rPr>
                <w:b/>
              </w:rPr>
              <w:t>7</w:t>
            </w:r>
            <w:r w:rsidRPr="00CC1ADD">
              <w:rPr>
                <w:b/>
              </w:rPr>
              <w:t xml:space="preserve">: </w:t>
            </w:r>
            <w:r>
              <w:rPr>
                <w:b/>
              </w:rPr>
              <w:tab/>
              <w:t>Minor changes be made to the governance of the H</w:t>
            </w:r>
            <w:r w:rsidRPr="00CC1ADD">
              <w:rPr>
                <w:b/>
              </w:rPr>
              <w:t xml:space="preserve">SR System </w:t>
            </w:r>
            <w:r>
              <w:rPr>
                <w:b/>
              </w:rPr>
              <w:t>to:</w:t>
            </w:r>
          </w:p>
          <w:p w14:paraId="1D994697" w14:textId="77777777" w:rsidR="008F12EF" w:rsidRPr="00CC1ADD" w:rsidRDefault="008F12EF" w:rsidP="00E7786C">
            <w:pPr>
              <w:pStyle w:val="mpcNormal"/>
              <w:rPr>
                <w:b/>
              </w:rPr>
            </w:pPr>
          </w:p>
          <w:p w14:paraId="1C35CBED" w14:textId="19AE728B" w:rsidR="008F12EF" w:rsidRPr="00980BD1" w:rsidRDefault="008F12EF" w:rsidP="00F720A0">
            <w:pPr>
              <w:pStyle w:val="mpcbullets1"/>
              <w:rPr>
                <w:b/>
              </w:rPr>
            </w:pPr>
            <w:r w:rsidRPr="00980BD1">
              <w:rPr>
                <w:b/>
              </w:rPr>
              <w:t xml:space="preserve">support greater consumer confidence in the System </w:t>
            </w:r>
            <w:r w:rsidR="00372E4A" w:rsidRPr="00980BD1">
              <w:rPr>
                <w:b/>
              </w:rPr>
              <w:t>by transferring the management of the HSR Calculator and TAG database to FSANZ</w:t>
            </w:r>
          </w:p>
          <w:p w14:paraId="56DCF7FF" w14:textId="40C3E01D" w:rsidR="008F12EF" w:rsidRPr="00980BD1" w:rsidRDefault="00372E4A" w:rsidP="00F720A0">
            <w:pPr>
              <w:pStyle w:val="mpcbullets1"/>
              <w:rPr>
                <w:b/>
              </w:rPr>
            </w:pPr>
            <w:r w:rsidRPr="00980BD1">
              <w:rPr>
                <w:b/>
              </w:rPr>
              <w:t>clarify the role of governance</w:t>
            </w:r>
            <w:r w:rsidR="008F12EF" w:rsidRPr="00980BD1">
              <w:rPr>
                <w:b/>
              </w:rPr>
              <w:t xml:space="preserve"> committees </w:t>
            </w:r>
          </w:p>
          <w:p w14:paraId="35799FB6" w14:textId="5374CD4A" w:rsidR="00372E4A" w:rsidRPr="00980BD1" w:rsidRDefault="00372E4A" w:rsidP="00F720A0">
            <w:pPr>
              <w:pStyle w:val="mpcbullets1"/>
              <w:rPr>
                <w:b/>
              </w:rPr>
            </w:pPr>
            <w:r w:rsidRPr="00980BD1">
              <w:rPr>
                <w:b/>
              </w:rPr>
              <w:t>increase the transparency</w:t>
            </w:r>
            <w:r w:rsidR="00BD6E51" w:rsidRPr="00980BD1">
              <w:rPr>
                <w:b/>
              </w:rPr>
              <w:t xml:space="preserve"> of the System</w:t>
            </w:r>
          </w:p>
          <w:p w14:paraId="7622D49D" w14:textId="77777777" w:rsidR="008F12EF" w:rsidRPr="00011E20" w:rsidRDefault="008F12EF" w:rsidP="00F720A0">
            <w:pPr>
              <w:pStyle w:val="mpcbullets1"/>
            </w:pPr>
            <w:r w:rsidRPr="00980BD1">
              <w:rPr>
                <w:b/>
              </w:rPr>
              <w:t>improve monitoring, enabling the System to be more responsive.</w:t>
            </w:r>
          </w:p>
        </w:tc>
      </w:tr>
    </w:tbl>
    <w:p w14:paraId="06F3D854" w14:textId="77777777" w:rsidR="008F12EF" w:rsidRDefault="008F12EF" w:rsidP="008F12EF">
      <w:pPr>
        <w:pStyle w:val="mpcNormal"/>
      </w:pPr>
    </w:p>
    <w:tbl>
      <w:tblPr>
        <w:tblStyle w:val="TableGrid"/>
        <w:tblW w:w="0" w:type="auto"/>
        <w:tblLook w:val="04A0" w:firstRow="1" w:lastRow="0" w:firstColumn="1" w:lastColumn="0" w:noHBand="0" w:noVBand="1"/>
      </w:tblPr>
      <w:tblGrid>
        <w:gridCol w:w="9736"/>
      </w:tblGrid>
      <w:tr w:rsidR="008F12EF" w:rsidRPr="00CC1ADD" w14:paraId="10A7CF8A" w14:textId="77777777" w:rsidTr="00BD6E51">
        <w:trPr>
          <w:trHeight w:val="1561"/>
        </w:trPr>
        <w:tc>
          <w:tcPr>
            <w:tcW w:w="9736" w:type="dxa"/>
            <w:shd w:val="clear" w:color="auto" w:fill="D9E2F3" w:themeFill="accent1" w:themeFillTint="33"/>
            <w:vAlign w:val="center"/>
          </w:tcPr>
          <w:p w14:paraId="57812651" w14:textId="71EB0F76" w:rsidR="008F12EF" w:rsidRPr="00E7786C" w:rsidRDefault="00E7786C" w:rsidP="00372E4A">
            <w:pPr>
              <w:pStyle w:val="mpcNormal"/>
              <w:ind w:left="2160" w:hanging="2160"/>
            </w:pPr>
            <w:r w:rsidRPr="00CC1ADD">
              <w:rPr>
                <w:b/>
              </w:rPr>
              <w:t xml:space="preserve">Recommendation </w:t>
            </w:r>
            <w:r>
              <w:rPr>
                <w:b/>
              </w:rPr>
              <w:t>8</w:t>
            </w:r>
            <w:r w:rsidRPr="00CC1ADD">
              <w:rPr>
                <w:b/>
              </w:rPr>
              <w:t xml:space="preserve">: </w:t>
            </w:r>
            <w:r>
              <w:rPr>
                <w:b/>
              </w:rPr>
              <w:tab/>
              <w:t>E</w:t>
            </w:r>
            <w:r w:rsidRPr="006868BE">
              <w:rPr>
                <w:b/>
              </w:rPr>
              <w:t>nhanc</w:t>
            </w:r>
            <w:r>
              <w:rPr>
                <w:b/>
              </w:rPr>
              <w:t>e</w:t>
            </w:r>
            <w:r w:rsidRPr="006868BE">
              <w:rPr>
                <w:b/>
              </w:rPr>
              <w:t xml:space="preserve"> the critical infrastructure to support implementation and evaluation of food and nutrition</w:t>
            </w:r>
            <w:r w:rsidRPr="006868BE">
              <w:rPr>
                <w:b/>
              </w:rPr>
              <w:noBreakHyphen/>
              <w:t>related public health initiatives</w:t>
            </w:r>
            <w:r>
              <w:rPr>
                <w:b/>
              </w:rPr>
              <w:t>,</w:t>
            </w:r>
            <w:r w:rsidRPr="006868BE">
              <w:rPr>
                <w:b/>
              </w:rPr>
              <w:t xml:space="preserve"> including the HSR System, through</w:t>
            </w:r>
            <w:r>
              <w:rPr>
                <w:b/>
              </w:rPr>
              <w:t>:</w:t>
            </w:r>
            <w:r w:rsidRPr="006868BE">
              <w:rPr>
                <w:b/>
              </w:rPr>
              <w:t xml:space="preserve"> regular updates to Dietary Guidelines</w:t>
            </w:r>
            <w:r w:rsidR="00372E4A">
              <w:rPr>
                <w:b/>
              </w:rPr>
              <w:t xml:space="preserve">; </w:t>
            </w:r>
            <w:r w:rsidRPr="006868BE">
              <w:rPr>
                <w:b/>
              </w:rPr>
              <w:t>regular national health and nutrition surveys</w:t>
            </w:r>
            <w:r w:rsidR="00372E4A">
              <w:rPr>
                <w:b/>
              </w:rPr>
              <w:t xml:space="preserve">; </w:t>
            </w:r>
            <w:r w:rsidRPr="006868BE">
              <w:rPr>
                <w:b/>
              </w:rPr>
              <w:t>establishment of a comprehensive, dataset of branded food products</w:t>
            </w:r>
            <w:r w:rsidR="00372E4A">
              <w:rPr>
                <w:b/>
              </w:rPr>
              <w:t xml:space="preserve">; and </w:t>
            </w:r>
            <w:r>
              <w:rPr>
                <w:b/>
              </w:rPr>
              <w:t>improved monitoring of the System.</w:t>
            </w:r>
          </w:p>
        </w:tc>
      </w:tr>
    </w:tbl>
    <w:p w14:paraId="10D19A02" w14:textId="77777777" w:rsidR="008F12EF" w:rsidRDefault="008F12EF" w:rsidP="008F12EF">
      <w:pPr>
        <w:pStyle w:val="mpcNormal"/>
      </w:pPr>
    </w:p>
    <w:p w14:paraId="0C2B42EC" w14:textId="77777777" w:rsidR="00E7786C" w:rsidRDefault="00E7786C" w:rsidP="00E7786C">
      <w:r>
        <w:rPr>
          <w:sz w:val="22"/>
          <w:szCs w:val="22"/>
        </w:rPr>
        <w:t>T</w:t>
      </w:r>
      <w:r w:rsidRPr="00CC1ADD">
        <w:rPr>
          <w:sz w:val="22"/>
          <w:szCs w:val="22"/>
        </w:rPr>
        <w:t xml:space="preserve">he </w:t>
      </w:r>
      <w:r>
        <w:rPr>
          <w:sz w:val="22"/>
          <w:szCs w:val="22"/>
        </w:rPr>
        <w:t xml:space="preserve">recommended changes </w:t>
      </w:r>
      <w:r w:rsidRPr="00CC1ADD">
        <w:rPr>
          <w:sz w:val="22"/>
          <w:szCs w:val="22"/>
        </w:rPr>
        <w:t>minimise cost and duplication, dovetail with existing policy processes and support other public health initiatives.</w:t>
      </w:r>
    </w:p>
    <w:p w14:paraId="540DED08" w14:textId="77777777" w:rsidR="008F12EF" w:rsidRDefault="008F12EF" w:rsidP="008F12EF">
      <w:pPr>
        <w:pStyle w:val="mpcNormal"/>
      </w:pPr>
    </w:p>
    <w:p w14:paraId="354B2F7D" w14:textId="77777777" w:rsidR="008F12EF" w:rsidRPr="00CC1ADD" w:rsidRDefault="008F12EF" w:rsidP="008F12EF">
      <w:pPr>
        <w:pStyle w:val="mpcheading2"/>
        <w:rPr>
          <w:sz w:val="22"/>
        </w:rPr>
      </w:pPr>
      <w:bookmarkStart w:id="123" w:name="Funding"/>
      <w:bookmarkStart w:id="124" w:name="_Toc1746507"/>
      <w:bookmarkEnd w:id="123"/>
      <w:r w:rsidRPr="00CC1ADD">
        <w:rPr>
          <w:lang w:eastAsia="en-GB"/>
        </w:rPr>
        <w:t>HSR System Funding</w:t>
      </w:r>
      <w:bookmarkEnd w:id="124"/>
      <w:r w:rsidRPr="00CC1ADD">
        <w:rPr>
          <w:lang w:eastAsia="en-GB"/>
        </w:rPr>
        <w:t xml:space="preserve"> </w:t>
      </w:r>
    </w:p>
    <w:p w14:paraId="20699140" w14:textId="06D9D519" w:rsidR="008F12EF" w:rsidRPr="00FE529B" w:rsidRDefault="008F12EF" w:rsidP="008F12EF">
      <w:pPr>
        <w:rPr>
          <w:sz w:val="22"/>
          <w:szCs w:val="22"/>
        </w:rPr>
      </w:pPr>
      <w:r w:rsidRPr="00FE529B">
        <w:rPr>
          <w:sz w:val="22"/>
          <w:szCs w:val="22"/>
        </w:rPr>
        <w:t xml:space="preserve">A key strength of the HSR System is the joint funding arrangement between Australian, State and Territory and New Zealand </w:t>
      </w:r>
      <w:r w:rsidR="00A90016">
        <w:rPr>
          <w:sz w:val="22"/>
          <w:szCs w:val="22"/>
        </w:rPr>
        <w:t>g</w:t>
      </w:r>
      <w:r w:rsidRPr="00FE529B">
        <w:rPr>
          <w:sz w:val="22"/>
          <w:szCs w:val="22"/>
        </w:rPr>
        <w:t>overnment</w:t>
      </w:r>
      <w:r w:rsidR="00A90016">
        <w:rPr>
          <w:sz w:val="22"/>
          <w:szCs w:val="22"/>
        </w:rPr>
        <w:t>s</w:t>
      </w:r>
      <w:r w:rsidRPr="00FE529B">
        <w:rPr>
          <w:sz w:val="22"/>
          <w:szCs w:val="22"/>
        </w:rPr>
        <w:t>. Government funding has enabled:</w:t>
      </w:r>
    </w:p>
    <w:p w14:paraId="0CF5F8A1" w14:textId="77777777" w:rsidR="008F12EF" w:rsidRPr="00FE529B" w:rsidRDefault="008F12EF" w:rsidP="008F12EF">
      <w:pPr>
        <w:rPr>
          <w:sz w:val="22"/>
          <w:szCs w:val="22"/>
        </w:rPr>
      </w:pPr>
    </w:p>
    <w:p w14:paraId="534FEAB0" w14:textId="77777777" w:rsidR="008F12EF" w:rsidRPr="00E7786C" w:rsidRDefault="008F12EF" w:rsidP="00F720A0">
      <w:pPr>
        <w:pStyle w:val="mpcbullets1"/>
      </w:pPr>
      <w:r>
        <w:t xml:space="preserve">promotion of the </w:t>
      </w:r>
      <w:r w:rsidRPr="00E7786C">
        <w:t>HSR System in both Australia and New Zealand</w:t>
      </w:r>
    </w:p>
    <w:p w14:paraId="3BEB569A" w14:textId="217FBBC6" w:rsidR="008F12EF" w:rsidRPr="00E7786C" w:rsidRDefault="008F12EF" w:rsidP="00F720A0">
      <w:pPr>
        <w:pStyle w:val="mpcbullets1"/>
      </w:pPr>
      <w:r w:rsidRPr="00E7786C">
        <w:t xml:space="preserve">independent monitoring and evaluation of the impact of </w:t>
      </w:r>
      <w:r w:rsidR="00A90016">
        <w:t xml:space="preserve">the </w:t>
      </w:r>
      <w:r w:rsidRPr="00E7786C">
        <w:t xml:space="preserve">HSR System and the campaigns </w:t>
      </w:r>
    </w:p>
    <w:p w14:paraId="4E6624AA" w14:textId="0A4D8DB3" w:rsidR="008F12EF" w:rsidRPr="00CC1ADD" w:rsidRDefault="008F12EF" w:rsidP="00F720A0">
      <w:pPr>
        <w:pStyle w:val="mpcbullets1"/>
      </w:pPr>
      <w:r w:rsidRPr="00E7786C">
        <w:t>provision of secretariat</w:t>
      </w:r>
      <w:r>
        <w:t xml:space="preserve"> support for</w:t>
      </w:r>
      <w:r w:rsidR="00A90016">
        <w:t xml:space="preserve"> the</w:t>
      </w:r>
      <w:r>
        <w:t xml:space="preserve"> HSRAC, the TAG and SMAG</w:t>
      </w:r>
      <w:r w:rsidRPr="00CC1ADD">
        <w:t>.</w:t>
      </w:r>
      <w:r>
        <w:t xml:space="preserve"> I</w:t>
      </w:r>
      <w:r w:rsidRPr="00CC1ADD">
        <w:t>n addition, the HSR Secretariat:</w:t>
      </w:r>
    </w:p>
    <w:p w14:paraId="3F997BFA" w14:textId="77777777" w:rsidR="008F12EF" w:rsidRPr="00CC1ADD" w:rsidRDefault="008F12EF" w:rsidP="008F12EF">
      <w:pPr>
        <w:pStyle w:val="mpcbullets2"/>
        <w:keepNext w:val="0"/>
      </w:pPr>
      <w:r w:rsidRPr="00CC1ADD">
        <w:t>provides a consumer and industry information/enquiry service</w:t>
      </w:r>
    </w:p>
    <w:p w14:paraId="7E360713" w14:textId="77777777" w:rsidR="008F12EF" w:rsidRPr="00CC1ADD" w:rsidRDefault="008F12EF" w:rsidP="008F12EF">
      <w:pPr>
        <w:pStyle w:val="mpcbullets2"/>
        <w:keepNext w:val="0"/>
      </w:pPr>
      <w:r w:rsidRPr="00CC1ADD">
        <w:t>deals with applications for consideration of anomalies</w:t>
      </w:r>
    </w:p>
    <w:p w14:paraId="79BA5B43" w14:textId="77777777" w:rsidR="008F12EF" w:rsidRPr="00CC1ADD" w:rsidRDefault="008F12EF" w:rsidP="008F12EF">
      <w:pPr>
        <w:pStyle w:val="mpcbullets2"/>
        <w:keepNext w:val="0"/>
      </w:pPr>
      <w:r w:rsidRPr="00CC1ADD">
        <w:t>manages intellectual property and licensing issues associated with the HSR System</w:t>
      </w:r>
    </w:p>
    <w:p w14:paraId="7D4C00D0" w14:textId="77777777" w:rsidR="008F12EF" w:rsidRPr="00CC1ADD" w:rsidRDefault="008F12EF" w:rsidP="008F12EF">
      <w:pPr>
        <w:pStyle w:val="mpcbullets2"/>
        <w:keepNext w:val="0"/>
      </w:pPr>
      <w:r w:rsidRPr="00CC1ADD">
        <w:t>develops resources for inclusion on the website</w:t>
      </w:r>
      <w:r>
        <w:t xml:space="preserve"> and </w:t>
      </w:r>
      <w:r w:rsidRPr="00CC1ADD">
        <w:t>updates the HSR System website</w:t>
      </w:r>
    </w:p>
    <w:p w14:paraId="67C825EB" w14:textId="77777777" w:rsidR="008F12EF" w:rsidRPr="00CC1ADD" w:rsidRDefault="008F12EF" w:rsidP="008F12EF">
      <w:pPr>
        <w:pStyle w:val="mpcbullets2"/>
        <w:keepNext w:val="0"/>
      </w:pPr>
      <w:r w:rsidRPr="00CC1ADD">
        <w:t>co-ordinates</w:t>
      </w:r>
      <w:r>
        <w:t xml:space="preserve"> public</w:t>
      </w:r>
      <w:r w:rsidRPr="00CC1ADD">
        <w:t xml:space="preserve"> consultation on HSR System issues</w:t>
      </w:r>
      <w:r>
        <w:t>.</w:t>
      </w:r>
    </w:p>
    <w:p w14:paraId="04639A0B" w14:textId="77777777" w:rsidR="008F12EF" w:rsidRPr="00FE529B" w:rsidRDefault="008F12EF" w:rsidP="008F12EF">
      <w:pPr>
        <w:rPr>
          <w:sz w:val="22"/>
          <w:szCs w:val="22"/>
        </w:rPr>
      </w:pPr>
    </w:p>
    <w:p w14:paraId="0A5E5629" w14:textId="23461A70" w:rsidR="00BD6E51" w:rsidRDefault="00BD6E51" w:rsidP="00BD6E51">
      <w:pPr>
        <w:pStyle w:val="mpcNormal"/>
      </w:pPr>
      <w:r>
        <w:t>Table 4</w:t>
      </w:r>
      <w:r w:rsidRPr="00CC1ADD">
        <w:t xml:space="preserve"> describes the areas of expenditure</w:t>
      </w:r>
      <w:r>
        <w:t xml:space="preserve"> (actual or projected)</w:t>
      </w:r>
      <w:r w:rsidRPr="00CC1ADD">
        <w:t xml:space="preserve"> </w:t>
      </w:r>
      <w:r>
        <w:t>from implementation of the System</w:t>
      </w:r>
      <w:r w:rsidRPr="00CC1ADD">
        <w:t xml:space="preserve"> to end June 201</w:t>
      </w:r>
      <w:r>
        <w:t>9</w:t>
      </w:r>
      <w:r w:rsidRPr="00CC1ADD">
        <w:t>.</w:t>
      </w:r>
      <w:r w:rsidRPr="000B2EE2">
        <w:t xml:space="preserve"> </w:t>
      </w:r>
      <w:r w:rsidRPr="00653C46">
        <w:t xml:space="preserve">Contributions to this expenditure were made by the Australian, State and Territory and New Zealand </w:t>
      </w:r>
      <w:r>
        <w:t>g</w:t>
      </w:r>
      <w:r w:rsidRPr="00653C46">
        <w:t>overnment</w:t>
      </w:r>
      <w:r>
        <w:t>s</w:t>
      </w:r>
      <w:r w:rsidRPr="00653C46">
        <w:t>.</w:t>
      </w:r>
    </w:p>
    <w:p w14:paraId="34E59787" w14:textId="66F2F80C" w:rsidR="00BD6E51" w:rsidRDefault="00BD6E51" w:rsidP="00BD6E51">
      <w:pPr>
        <w:pStyle w:val="mpcNormal"/>
      </w:pPr>
    </w:p>
    <w:p w14:paraId="1222D4AE" w14:textId="195CA7A7" w:rsidR="00BD6E51" w:rsidRPr="00CC1ADD" w:rsidRDefault="00BD6E51" w:rsidP="00BD6E51">
      <w:pPr>
        <w:pStyle w:val="mpctableheading"/>
      </w:pPr>
      <w:r>
        <w:t>Table 4: Expenditure (actual and projected) on HSR System implementation from 2013-14 to 2018-19</w:t>
      </w:r>
    </w:p>
    <w:p w14:paraId="601C18B1" w14:textId="77777777" w:rsidR="00BD6E51" w:rsidRPr="00CC1ADD" w:rsidRDefault="00BD6E51" w:rsidP="00BD6E51">
      <w:pPr>
        <w:pStyle w:val="mpcNormal"/>
      </w:pPr>
    </w:p>
    <w:tbl>
      <w:tblPr>
        <w:tblStyle w:val="TableGrid"/>
        <w:tblW w:w="9765" w:type="dxa"/>
        <w:tblInd w:w="-5" w:type="dxa"/>
        <w:tblLook w:val="04A0" w:firstRow="1" w:lastRow="0" w:firstColumn="1" w:lastColumn="0" w:noHBand="0" w:noVBand="1"/>
      </w:tblPr>
      <w:tblGrid>
        <w:gridCol w:w="3828"/>
        <w:gridCol w:w="991"/>
        <w:gridCol w:w="990"/>
        <w:gridCol w:w="990"/>
        <w:gridCol w:w="976"/>
        <w:gridCol w:w="976"/>
        <w:gridCol w:w="1014"/>
      </w:tblGrid>
      <w:tr w:rsidR="00BD6E51" w:rsidRPr="00CC1ADD" w14:paraId="57C8F979" w14:textId="77777777" w:rsidTr="00BD6E51">
        <w:tc>
          <w:tcPr>
            <w:tcW w:w="3828" w:type="dxa"/>
            <w:shd w:val="clear" w:color="auto" w:fill="516A8E"/>
          </w:tcPr>
          <w:p w14:paraId="30EC282D" w14:textId="77777777" w:rsidR="00BD6E51" w:rsidRPr="00CC1ADD" w:rsidRDefault="00BD6E51" w:rsidP="00F720A0">
            <w:pPr>
              <w:pStyle w:val="mpcNormal"/>
              <w:rPr>
                <w:b/>
                <w:color w:val="FFFFFF" w:themeColor="background1"/>
                <w:sz w:val="20"/>
              </w:rPr>
            </w:pPr>
            <w:bookmarkStart w:id="125" w:name="Budget"/>
            <w:bookmarkEnd w:id="125"/>
            <w:r w:rsidRPr="00CC1ADD">
              <w:rPr>
                <w:b/>
                <w:color w:val="FFFFFF" w:themeColor="background1"/>
                <w:sz w:val="20"/>
              </w:rPr>
              <w:t>Budget component</w:t>
            </w:r>
          </w:p>
        </w:tc>
        <w:tc>
          <w:tcPr>
            <w:tcW w:w="991" w:type="dxa"/>
            <w:shd w:val="clear" w:color="auto" w:fill="516A8E"/>
          </w:tcPr>
          <w:p w14:paraId="6ECE1312" w14:textId="77777777" w:rsidR="00BD6E51" w:rsidRPr="00CC1ADD" w:rsidRDefault="00BD6E51" w:rsidP="00F720A0">
            <w:pPr>
              <w:pStyle w:val="mpcNormal"/>
              <w:rPr>
                <w:b/>
                <w:color w:val="FFFFFF" w:themeColor="background1"/>
                <w:sz w:val="20"/>
              </w:rPr>
            </w:pPr>
            <w:r w:rsidRPr="00CC1ADD">
              <w:rPr>
                <w:b/>
                <w:color w:val="FFFFFF" w:themeColor="background1"/>
                <w:sz w:val="20"/>
              </w:rPr>
              <w:t>2013-14 Actual</w:t>
            </w:r>
          </w:p>
        </w:tc>
        <w:tc>
          <w:tcPr>
            <w:tcW w:w="990" w:type="dxa"/>
            <w:shd w:val="clear" w:color="auto" w:fill="516A8E"/>
          </w:tcPr>
          <w:p w14:paraId="72BE99BD" w14:textId="77777777" w:rsidR="00BD6E51" w:rsidRPr="00CC1ADD" w:rsidRDefault="00BD6E51" w:rsidP="00F720A0">
            <w:pPr>
              <w:pStyle w:val="mpcNormal"/>
              <w:rPr>
                <w:b/>
                <w:color w:val="FFFFFF" w:themeColor="background1"/>
                <w:sz w:val="20"/>
              </w:rPr>
            </w:pPr>
            <w:r w:rsidRPr="00CC1ADD">
              <w:rPr>
                <w:b/>
                <w:color w:val="FFFFFF" w:themeColor="background1"/>
                <w:sz w:val="20"/>
              </w:rPr>
              <w:t>2014-15 Actual</w:t>
            </w:r>
          </w:p>
        </w:tc>
        <w:tc>
          <w:tcPr>
            <w:tcW w:w="990" w:type="dxa"/>
            <w:shd w:val="clear" w:color="auto" w:fill="516A8E"/>
          </w:tcPr>
          <w:p w14:paraId="151CDFC6" w14:textId="77777777" w:rsidR="00BD6E51" w:rsidRPr="00CC1ADD" w:rsidRDefault="00BD6E51" w:rsidP="00F720A0">
            <w:pPr>
              <w:pStyle w:val="mpcNormal"/>
              <w:rPr>
                <w:b/>
                <w:color w:val="FFFFFF" w:themeColor="background1"/>
                <w:sz w:val="20"/>
              </w:rPr>
            </w:pPr>
            <w:r w:rsidRPr="00CC1ADD">
              <w:rPr>
                <w:b/>
                <w:color w:val="FFFFFF" w:themeColor="background1"/>
                <w:sz w:val="20"/>
              </w:rPr>
              <w:t>2015-16 Actual</w:t>
            </w:r>
          </w:p>
        </w:tc>
        <w:tc>
          <w:tcPr>
            <w:tcW w:w="976" w:type="dxa"/>
            <w:shd w:val="clear" w:color="auto" w:fill="516A8E"/>
          </w:tcPr>
          <w:p w14:paraId="0FC16901" w14:textId="77777777" w:rsidR="00BD6E51" w:rsidRPr="00CC1ADD" w:rsidRDefault="00BD6E51" w:rsidP="00F720A0">
            <w:pPr>
              <w:pStyle w:val="mpcNormal"/>
              <w:rPr>
                <w:b/>
                <w:color w:val="FFFFFF" w:themeColor="background1"/>
                <w:sz w:val="20"/>
              </w:rPr>
            </w:pPr>
            <w:r w:rsidRPr="00CC1ADD">
              <w:rPr>
                <w:b/>
                <w:color w:val="FFFFFF" w:themeColor="background1"/>
                <w:sz w:val="20"/>
              </w:rPr>
              <w:t>2016-17 Actual</w:t>
            </w:r>
          </w:p>
        </w:tc>
        <w:tc>
          <w:tcPr>
            <w:tcW w:w="976" w:type="dxa"/>
            <w:shd w:val="clear" w:color="auto" w:fill="516A8E"/>
          </w:tcPr>
          <w:p w14:paraId="09E5F613" w14:textId="77777777" w:rsidR="00BD6E51" w:rsidRPr="00CC1ADD" w:rsidRDefault="00BD6E51" w:rsidP="00F720A0">
            <w:pPr>
              <w:pStyle w:val="mpcNormal"/>
              <w:rPr>
                <w:b/>
                <w:color w:val="FFFFFF" w:themeColor="background1"/>
                <w:sz w:val="20"/>
              </w:rPr>
            </w:pPr>
            <w:r w:rsidRPr="00CC1ADD">
              <w:rPr>
                <w:b/>
                <w:color w:val="FFFFFF" w:themeColor="background1"/>
                <w:sz w:val="20"/>
              </w:rPr>
              <w:t>2017-18 Actual</w:t>
            </w:r>
          </w:p>
        </w:tc>
        <w:tc>
          <w:tcPr>
            <w:tcW w:w="1014" w:type="dxa"/>
            <w:shd w:val="clear" w:color="auto" w:fill="516A8E"/>
          </w:tcPr>
          <w:p w14:paraId="561DFEE8" w14:textId="77777777" w:rsidR="00BD6E51" w:rsidRPr="00CC1ADD" w:rsidRDefault="00BD6E51" w:rsidP="00F720A0">
            <w:pPr>
              <w:pStyle w:val="mpcNormal"/>
              <w:rPr>
                <w:b/>
                <w:color w:val="FFFFFF" w:themeColor="background1"/>
                <w:sz w:val="20"/>
              </w:rPr>
            </w:pPr>
            <w:r>
              <w:rPr>
                <w:b/>
                <w:color w:val="FFFFFF" w:themeColor="background1"/>
                <w:sz w:val="20"/>
              </w:rPr>
              <w:t>2018-19 Projected</w:t>
            </w:r>
          </w:p>
        </w:tc>
      </w:tr>
      <w:tr w:rsidR="00BD6E51" w:rsidRPr="00CC1ADD" w14:paraId="4155A231" w14:textId="77777777" w:rsidTr="00BD6E51">
        <w:tc>
          <w:tcPr>
            <w:tcW w:w="3828" w:type="dxa"/>
            <w:shd w:val="clear" w:color="auto" w:fill="F2F2F2" w:themeFill="background1" w:themeFillShade="F2"/>
          </w:tcPr>
          <w:p w14:paraId="54178613" w14:textId="77777777" w:rsidR="00BD6E51" w:rsidRPr="00CC1ADD" w:rsidRDefault="00BD6E51" w:rsidP="00BD6E51">
            <w:pPr>
              <w:pStyle w:val="mpcNormal"/>
              <w:keepNext w:val="0"/>
              <w:rPr>
                <w:color w:val="000000"/>
                <w:sz w:val="20"/>
              </w:rPr>
            </w:pPr>
            <w:r w:rsidRPr="00CC1ADD">
              <w:rPr>
                <w:color w:val="000000"/>
                <w:sz w:val="20"/>
              </w:rPr>
              <w:t xml:space="preserve">Governance committees, </w:t>
            </w:r>
            <w:r>
              <w:rPr>
                <w:color w:val="000000"/>
                <w:sz w:val="20"/>
              </w:rPr>
              <w:t xml:space="preserve">Secretariat, </w:t>
            </w:r>
            <w:r w:rsidRPr="00CC1ADD">
              <w:rPr>
                <w:color w:val="000000"/>
                <w:sz w:val="20"/>
              </w:rPr>
              <w:t xml:space="preserve">workshops, </w:t>
            </w:r>
            <w:r>
              <w:rPr>
                <w:color w:val="000000"/>
                <w:sz w:val="20"/>
              </w:rPr>
              <w:t xml:space="preserve">legal and IP, </w:t>
            </w:r>
            <w:r w:rsidRPr="00CC1ADD">
              <w:rPr>
                <w:color w:val="000000"/>
                <w:sz w:val="20"/>
              </w:rPr>
              <w:t>technical advice and contribution to Chair’s host jurisdiction (including on costs, travel and salary for support staff)</w:t>
            </w:r>
            <w:r>
              <w:rPr>
                <w:color w:val="000000"/>
                <w:sz w:val="20"/>
              </w:rPr>
              <w:t xml:space="preserve"> – Australia and New Zealand</w:t>
            </w:r>
          </w:p>
        </w:tc>
        <w:tc>
          <w:tcPr>
            <w:tcW w:w="991" w:type="dxa"/>
          </w:tcPr>
          <w:p w14:paraId="257F6F0E" w14:textId="77777777" w:rsidR="00BD6E51" w:rsidRPr="00CC1ADD" w:rsidRDefault="00BD6E51" w:rsidP="00BD6E51">
            <w:pPr>
              <w:pStyle w:val="mpcNormal"/>
              <w:keepNext w:val="0"/>
              <w:rPr>
                <w:color w:val="000000"/>
                <w:sz w:val="20"/>
              </w:rPr>
            </w:pPr>
            <w:r w:rsidRPr="00CC1ADD">
              <w:rPr>
                <w:color w:val="000000"/>
                <w:sz w:val="20"/>
              </w:rPr>
              <w:t>$</w:t>
            </w:r>
            <w:r>
              <w:rPr>
                <w:color w:val="000000"/>
                <w:sz w:val="20"/>
              </w:rPr>
              <w:t>911,315</w:t>
            </w:r>
          </w:p>
        </w:tc>
        <w:tc>
          <w:tcPr>
            <w:tcW w:w="990" w:type="dxa"/>
          </w:tcPr>
          <w:p w14:paraId="24D431FF" w14:textId="77777777" w:rsidR="00BD6E51" w:rsidRPr="00CC1ADD" w:rsidRDefault="00BD6E51" w:rsidP="00BD6E51">
            <w:pPr>
              <w:pStyle w:val="mpcNormal"/>
              <w:keepNext w:val="0"/>
              <w:rPr>
                <w:color w:val="000000"/>
                <w:sz w:val="20"/>
              </w:rPr>
            </w:pPr>
            <w:r w:rsidRPr="00CC1ADD">
              <w:rPr>
                <w:color w:val="000000"/>
                <w:sz w:val="20"/>
              </w:rPr>
              <w:t>$</w:t>
            </w:r>
            <w:r>
              <w:rPr>
                <w:color w:val="000000"/>
                <w:sz w:val="20"/>
              </w:rPr>
              <w:t>902,797</w:t>
            </w:r>
          </w:p>
        </w:tc>
        <w:tc>
          <w:tcPr>
            <w:tcW w:w="990" w:type="dxa"/>
          </w:tcPr>
          <w:p w14:paraId="7B8EC92B" w14:textId="77777777" w:rsidR="00BD6E51" w:rsidRPr="00CC1ADD" w:rsidRDefault="00BD6E51" w:rsidP="00BD6E51">
            <w:pPr>
              <w:pStyle w:val="mpcNormal"/>
              <w:keepNext w:val="0"/>
              <w:rPr>
                <w:color w:val="000000"/>
                <w:sz w:val="20"/>
              </w:rPr>
            </w:pPr>
            <w:r w:rsidRPr="00CC1ADD">
              <w:rPr>
                <w:color w:val="000000"/>
                <w:sz w:val="20"/>
              </w:rPr>
              <w:t>$</w:t>
            </w:r>
            <w:r>
              <w:rPr>
                <w:color w:val="000000"/>
                <w:sz w:val="20"/>
              </w:rPr>
              <w:t>705,604</w:t>
            </w:r>
          </w:p>
        </w:tc>
        <w:tc>
          <w:tcPr>
            <w:tcW w:w="976" w:type="dxa"/>
          </w:tcPr>
          <w:p w14:paraId="2FC8660A" w14:textId="77777777" w:rsidR="00BD6E51" w:rsidRPr="00CC1ADD" w:rsidRDefault="00BD6E51" w:rsidP="00BD6E51">
            <w:pPr>
              <w:pStyle w:val="mpcNormal"/>
              <w:keepNext w:val="0"/>
              <w:rPr>
                <w:color w:val="000000"/>
                <w:sz w:val="20"/>
              </w:rPr>
            </w:pPr>
            <w:r w:rsidRPr="00CC1ADD">
              <w:rPr>
                <w:color w:val="000000"/>
                <w:sz w:val="20"/>
              </w:rPr>
              <w:t>$</w:t>
            </w:r>
            <w:r>
              <w:rPr>
                <w:color w:val="000000"/>
                <w:sz w:val="20"/>
              </w:rPr>
              <w:t>634,442</w:t>
            </w:r>
          </w:p>
        </w:tc>
        <w:tc>
          <w:tcPr>
            <w:tcW w:w="976" w:type="dxa"/>
          </w:tcPr>
          <w:p w14:paraId="35FF6B5E" w14:textId="77777777" w:rsidR="00BD6E51" w:rsidRPr="00CC1ADD" w:rsidRDefault="00BD6E51" w:rsidP="00BD6E51">
            <w:pPr>
              <w:pStyle w:val="mpcNormal"/>
              <w:keepNext w:val="0"/>
              <w:rPr>
                <w:color w:val="000000"/>
                <w:sz w:val="20"/>
              </w:rPr>
            </w:pPr>
            <w:r w:rsidRPr="00CC1ADD">
              <w:rPr>
                <w:color w:val="000000"/>
                <w:sz w:val="20"/>
              </w:rPr>
              <w:t>$</w:t>
            </w:r>
            <w:r>
              <w:rPr>
                <w:color w:val="000000"/>
                <w:sz w:val="20"/>
              </w:rPr>
              <w:t>845,066</w:t>
            </w:r>
          </w:p>
        </w:tc>
        <w:tc>
          <w:tcPr>
            <w:tcW w:w="1014" w:type="dxa"/>
          </w:tcPr>
          <w:p w14:paraId="22C6D7E8" w14:textId="77777777" w:rsidR="00BD6E51" w:rsidRPr="00CC1ADD" w:rsidRDefault="00BD6E51" w:rsidP="00BD6E51">
            <w:pPr>
              <w:pStyle w:val="mpcNormal"/>
              <w:keepNext w:val="0"/>
              <w:rPr>
                <w:color w:val="000000"/>
                <w:sz w:val="20"/>
              </w:rPr>
            </w:pPr>
            <w:r>
              <w:rPr>
                <w:color w:val="000000"/>
                <w:sz w:val="20"/>
              </w:rPr>
              <w:t>$940,000</w:t>
            </w:r>
          </w:p>
        </w:tc>
      </w:tr>
    </w:tbl>
    <w:p w14:paraId="0D3C1383" w14:textId="77777777" w:rsidR="00BD6E51" w:rsidRPr="00CC1ADD" w:rsidRDefault="00BD6E51" w:rsidP="00BD6E51">
      <w:pPr>
        <w:pStyle w:val="mpcNormal"/>
        <w:keepNext w:val="0"/>
      </w:pPr>
    </w:p>
    <w:p w14:paraId="54C536AB" w14:textId="1A900788" w:rsidR="00BD6E51" w:rsidRDefault="00BD6E51" w:rsidP="00BD6E51">
      <w:pPr>
        <w:pStyle w:val="mpcNormal"/>
        <w:keepNext w:val="0"/>
      </w:pPr>
      <w:r>
        <w:t>In Australia,</w:t>
      </w:r>
      <w:r w:rsidR="00CC6DA9">
        <w:t xml:space="preserve"> an additional</w:t>
      </w:r>
      <w:r>
        <w:t xml:space="preserve"> $1,560,474 has been expended to </w:t>
      </w:r>
      <w:r w:rsidR="00C97B3A">
        <w:t>30 June 2018</w:t>
      </w:r>
      <w:r>
        <w:t xml:space="preserve"> on monitoring and evaluation and </w:t>
      </w:r>
      <w:r w:rsidRPr="00CC1ADD">
        <w:t>$</w:t>
      </w:r>
      <w:r>
        <w:t>7,603,631</w:t>
      </w:r>
      <w:r>
        <w:rPr>
          <w:rStyle w:val="FootnoteReference"/>
        </w:rPr>
        <w:footnoteReference w:id="97"/>
      </w:r>
      <w:r>
        <w:t xml:space="preserve"> on social marketing and education.</w:t>
      </w:r>
    </w:p>
    <w:p w14:paraId="2CCF3329" w14:textId="77777777" w:rsidR="00BD6E51" w:rsidRDefault="00BD6E51" w:rsidP="00BD6E51">
      <w:pPr>
        <w:pStyle w:val="mpcNormal"/>
        <w:keepNext w:val="0"/>
      </w:pPr>
    </w:p>
    <w:p w14:paraId="23EA7B19" w14:textId="31E0F14B" w:rsidR="00BD6E51" w:rsidRPr="00FE529B" w:rsidRDefault="00BD6E51" w:rsidP="00BD6E51">
      <w:pPr>
        <w:pStyle w:val="mpcNormal"/>
        <w:keepNext w:val="0"/>
      </w:pPr>
      <w:r w:rsidRPr="00FE529B">
        <w:t xml:space="preserve">The New Zealand </w:t>
      </w:r>
      <w:r>
        <w:t>G</w:t>
      </w:r>
      <w:r w:rsidRPr="00FE529B">
        <w:t xml:space="preserve">overnment also </w:t>
      </w:r>
      <w:r>
        <w:t xml:space="preserve">separately </w:t>
      </w:r>
      <w:r w:rsidRPr="00FE529B">
        <w:t xml:space="preserve">funded </w:t>
      </w:r>
      <w:r w:rsidR="009B0396">
        <w:t xml:space="preserve">approximately </w:t>
      </w:r>
      <w:r w:rsidRPr="00FE529B">
        <w:t>NZD$2,315,000 for monitoring, evaluation, social marketing and education in New Zealand.</w:t>
      </w:r>
    </w:p>
    <w:p w14:paraId="75812154" w14:textId="77777777" w:rsidR="00BD6E51" w:rsidRPr="00CC1ADD" w:rsidRDefault="00BD6E51" w:rsidP="00BD6E51">
      <w:pPr>
        <w:pStyle w:val="mpcNormal"/>
      </w:pPr>
    </w:p>
    <w:p w14:paraId="75E89D02" w14:textId="77777777" w:rsidR="00BD6E51" w:rsidRDefault="00BD6E51" w:rsidP="00BD6E51">
      <w:pPr>
        <w:pStyle w:val="mpcNormal"/>
      </w:pPr>
      <w:r>
        <w:t>The most significant component of the expenditure in both countries has been social marketing campaigns.</w:t>
      </w:r>
    </w:p>
    <w:p w14:paraId="6C83BE11" w14:textId="7C534AEF" w:rsidR="008F12EF" w:rsidRDefault="008F12EF" w:rsidP="008F12EF">
      <w:pPr>
        <w:rPr>
          <w:sz w:val="22"/>
          <w:szCs w:val="22"/>
        </w:rPr>
      </w:pPr>
    </w:p>
    <w:p w14:paraId="6258FD8D" w14:textId="77777777" w:rsidR="008F12EF" w:rsidRPr="00CC1ADD" w:rsidRDefault="008F12EF" w:rsidP="008F12EF">
      <w:pPr>
        <w:pStyle w:val="mpcNormal"/>
      </w:pPr>
      <w:r w:rsidRPr="00CC1ADD">
        <w:t>It is important to acknowledge that considerable additional in-kind</w:t>
      </w:r>
      <w:r>
        <w:t xml:space="preserve"> support</w:t>
      </w:r>
      <w:r w:rsidRPr="00CC1ADD">
        <w:t xml:space="preserve"> and human resources have been contributed by a wide range of stakeholders. For example:</w:t>
      </w:r>
    </w:p>
    <w:p w14:paraId="0B040376" w14:textId="77777777" w:rsidR="008F12EF" w:rsidRPr="00CC1ADD" w:rsidRDefault="008F12EF" w:rsidP="008F12EF">
      <w:pPr>
        <w:pStyle w:val="mpcNormal"/>
      </w:pPr>
    </w:p>
    <w:p w14:paraId="3405754C" w14:textId="77777777" w:rsidR="008F12EF" w:rsidRPr="00CC1ADD" w:rsidRDefault="008F12EF" w:rsidP="00F720A0">
      <w:pPr>
        <w:pStyle w:val="mpcbullets1"/>
      </w:pPr>
      <w:r w:rsidRPr="00CC1ADD">
        <w:t>as noted in Chapter 4, some jurisdictions have funded their own HSR System promotions</w:t>
      </w:r>
    </w:p>
    <w:p w14:paraId="5071BDA0" w14:textId="6F2EF048" w:rsidR="008F12EF" w:rsidRPr="00CC1ADD" w:rsidRDefault="008F12EF" w:rsidP="00F720A0">
      <w:pPr>
        <w:pStyle w:val="mpcbullets1"/>
      </w:pPr>
      <w:r w:rsidRPr="00CC1ADD">
        <w:t xml:space="preserve">the Australian Government draws on other resources in the </w:t>
      </w:r>
      <w:r w:rsidR="00A90016">
        <w:t xml:space="preserve">Commonwealth </w:t>
      </w:r>
      <w:r w:rsidRPr="00CC1ADD">
        <w:t xml:space="preserve">Department </w:t>
      </w:r>
      <w:r w:rsidR="00A90016">
        <w:t xml:space="preserve">of Health </w:t>
      </w:r>
      <w:r w:rsidRPr="00CC1ADD">
        <w:t>to support the HSR Secretariat (including web support, public health expertise and social marketing expertise)</w:t>
      </w:r>
    </w:p>
    <w:p w14:paraId="368474DF" w14:textId="77777777" w:rsidR="008F12EF" w:rsidRPr="00CC1ADD" w:rsidRDefault="008F12EF" w:rsidP="00F720A0">
      <w:pPr>
        <w:pStyle w:val="mpcbullets1"/>
      </w:pPr>
      <w:r w:rsidRPr="00CC1ADD">
        <w:t xml:space="preserve">members of the HSRAC and </w:t>
      </w:r>
      <w:r>
        <w:t xml:space="preserve">the </w:t>
      </w:r>
      <w:r w:rsidRPr="00CC1ADD">
        <w:t>TAG bring a wide range of professional and technical expertise and are not remunerated for their time</w:t>
      </w:r>
      <w:r>
        <w:t xml:space="preserve"> or travel expenses</w:t>
      </w:r>
      <w:r w:rsidRPr="00CC1ADD">
        <w:t>.</w:t>
      </w:r>
    </w:p>
    <w:p w14:paraId="12846F5F" w14:textId="77777777" w:rsidR="008F12EF" w:rsidRDefault="008F12EF" w:rsidP="008F12EF">
      <w:pPr>
        <w:pStyle w:val="mpcbullets2"/>
        <w:keepNext w:val="0"/>
      </w:pPr>
      <w:r w:rsidRPr="00CC1ADD">
        <w:t>Advisory group members and others have dedicated significant time (and deployed the resources of their organisations) to help implement the HSR System and contribute to the Review.</w:t>
      </w:r>
    </w:p>
    <w:p w14:paraId="7DB1599D" w14:textId="77777777" w:rsidR="008F12EF" w:rsidRDefault="008F12EF" w:rsidP="008F12EF">
      <w:pPr>
        <w:pStyle w:val="mpcbullets2"/>
        <w:keepNext w:val="0"/>
        <w:numPr>
          <w:ilvl w:val="0"/>
          <w:numId w:val="0"/>
        </w:numPr>
        <w:ind w:left="1080" w:hanging="360"/>
      </w:pPr>
    </w:p>
    <w:p w14:paraId="17C7CE87" w14:textId="5F0C0C1F" w:rsidR="008F12EF" w:rsidRDefault="008F12EF" w:rsidP="008F12EF">
      <w:pPr>
        <w:pStyle w:val="mpcbullets2"/>
        <w:keepNext w:val="0"/>
        <w:numPr>
          <w:ilvl w:val="0"/>
          <w:numId w:val="0"/>
        </w:numPr>
      </w:pPr>
      <w:r>
        <w:t>This investment has been critical</w:t>
      </w:r>
      <w:r w:rsidR="00A90016">
        <w:t>,</w:t>
      </w:r>
      <w:r>
        <w:t xml:space="preserve"> not just to enable implementation of the HSR </w:t>
      </w:r>
      <w:r w:rsidR="00A90016">
        <w:t xml:space="preserve">System </w:t>
      </w:r>
      <w:r>
        <w:t xml:space="preserve">but also to demonstrate </w:t>
      </w:r>
      <w:r w:rsidR="00A90016">
        <w:t>g</w:t>
      </w:r>
      <w:r>
        <w:t xml:space="preserve">overnment commitment to the initiative and </w:t>
      </w:r>
      <w:r w:rsidR="00A90016">
        <w:t>influence</w:t>
      </w:r>
      <w:r>
        <w:t xml:space="preserve"> consumer</w:t>
      </w:r>
      <w:r w:rsidR="00A90016">
        <w:t xml:space="preserve"> acceptance of the System</w:t>
      </w:r>
      <w:r>
        <w:t xml:space="preserve"> and uptake by industry.</w:t>
      </w:r>
    </w:p>
    <w:p w14:paraId="674AD97F" w14:textId="77777777" w:rsidR="008F12EF" w:rsidRDefault="008F12EF" w:rsidP="008F12EF">
      <w:pPr>
        <w:pStyle w:val="mpcbullets2"/>
        <w:keepNext w:val="0"/>
        <w:numPr>
          <w:ilvl w:val="0"/>
          <w:numId w:val="0"/>
        </w:numPr>
      </w:pPr>
    </w:p>
    <w:p w14:paraId="3D86CFC7" w14:textId="1907EC8C" w:rsidR="008F12EF" w:rsidRDefault="008F12EF" w:rsidP="008F12EF">
      <w:pPr>
        <w:pStyle w:val="mpcbullets2"/>
        <w:keepNext w:val="0"/>
        <w:numPr>
          <w:ilvl w:val="0"/>
          <w:numId w:val="0"/>
        </w:numPr>
      </w:pPr>
      <w:r>
        <w:t xml:space="preserve">Recognising government budgetary constraints, the Review considered whether government funding for the HSR </w:t>
      </w:r>
      <w:r w:rsidR="00E7786C">
        <w:t xml:space="preserve">System </w:t>
      </w:r>
      <w:r>
        <w:t xml:space="preserve">could cease </w:t>
      </w:r>
      <w:r w:rsidR="00E7786C">
        <w:t xml:space="preserve">at this point </w:t>
      </w:r>
      <w:r w:rsidR="00A90016">
        <w:t>and</w:t>
      </w:r>
      <w:r>
        <w:t xml:space="preserve"> whether </w:t>
      </w:r>
      <w:r w:rsidR="00E7786C">
        <w:t xml:space="preserve">management of the </w:t>
      </w:r>
      <w:r>
        <w:t>HSR System could be funded by industry.</w:t>
      </w:r>
    </w:p>
    <w:p w14:paraId="77DDDBAF" w14:textId="77777777" w:rsidR="008F12EF" w:rsidRDefault="008F12EF" w:rsidP="008F12EF">
      <w:pPr>
        <w:pStyle w:val="mpcbullets2"/>
        <w:keepNext w:val="0"/>
        <w:numPr>
          <w:ilvl w:val="0"/>
          <w:numId w:val="0"/>
        </w:numPr>
      </w:pPr>
    </w:p>
    <w:p w14:paraId="1541B2FA" w14:textId="3A9223FF" w:rsidR="008F12EF" w:rsidRDefault="008F12EF" w:rsidP="008F12EF">
      <w:pPr>
        <w:pStyle w:val="mpcbullets2"/>
        <w:keepNext w:val="0"/>
        <w:numPr>
          <w:ilvl w:val="0"/>
          <w:numId w:val="0"/>
        </w:numPr>
      </w:pPr>
      <w:r>
        <w:t>Neither of these options are considered viable at this time:</w:t>
      </w:r>
    </w:p>
    <w:p w14:paraId="137BC4B5" w14:textId="77777777" w:rsidR="00E7786C" w:rsidRDefault="00E7786C" w:rsidP="008F12EF">
      <w:pPr>
        <w:pStyle w:val="mpcbullets2"/>
        <w:keepNext w:val="0"/>
        <w:numPr>
          <w:ilvl w:val="0"/>
          <w:numId w:val="0"/>
        </w:numPr>
      </w:pPr>
    </w:p>
    <w:p w14:paraId="147BD19A" w14:textId="2A07E673" w:rsidR="008F12EF" w:rsidRDefault="008F12EF" w:rsidP="00F720A0">
      <w:pPr>
        <w:pStyle w:val="mpcbullets1"/>
      </w:pPr>
      <w:r>
        <w:t xml:space="preserve">While significant progress has been made in relation to the HSR System implementation, the </w:t>
      </w:r>
      <w:r w:rsidR="00E7786C">
        <w:t>Sy</w:t>
      </w:r>
      <w:r>
        <w:t xml:space="preserve">stem is not yet fully embedded. The changes proposed by this Review will </w:t>
      </w:r>
      <w:r w:rsidR="00E7786C">
        <w:t>cause</w:t>
      </w:r>
      <w:r>
        <w:t xml:space="preserve"> some disruption to the </w:t>
      </w:r>
      <w:r w:rsidR="00E7786C">
        <w:t>S</w:t>
      </w:r>
      <w:r>
        <w:t>ystem in the short term</w:t>
      </w:r>
      <w:r w:rsidR="00E7786C">
        <w:t>,</w:t>
      </w:r>
      <w:r>
        <w:t xml:space="preserve"> which will require careful management, stakeholder </w:t>
      </w:r>
      <w:r w:rsidR="00E7786C">
        <w:t>communication</w:t>
      </w:r>
      <w:r>
        <w:t xml:space="preserve"> and monitoring. A critical issue for all stakeholders is whether the System should be mandated or not. If the System is not mandated (as recommended in Chapter 7) there must be capacity to monitor uptake, which is most appropriately funded </w:t>
      </w:r>
      <w:r w:rsidR="00E7786C">
        <w:t xml:space="preserve">and managed </w:t>
      </w:r>
      <w:r>
        <w:t>by governments</w:t>
      </w:r>
      <w:r w:rsidR="00E7786C">
        <w:t>.</w:t>
      </w:r>
    </w:p>
    <w:p w14:paraId="6D24BDEF" w14:textId="253470B9" w:rsidR="008F12EF" w:rsidRDefault="008F12EF" w:rsidP="00F720A0">
      <w:pPr>
        <w:pStyle w:val="mpcbullets1"/>
      </w:pPr>
      <w:r>
        <w:t xml:space="preserve">Industry funding of the HSR System would likely undermine credibility of the System. While confidence in the System is growing (discussed in Chapter 3), </w:t>
      </w:r>
      <w:r w:rsidR="00A90016">
        <w:t xml:space="preserve">a key reason for consumer mistrust in the System </w:t>
      </w:r>
      <w:r>
        <w:t>is a</w:t>
      </w:r>
      <w:r w:rsidR="00E7786C">
        <w:t>n</w:t>
      </w:r>
      <w:r>
        <w:t xml:space="preserve"> </w:t>
      </w:r>
      <w:r w:rsidR="00E7786C">
        <w:t>incorrect</w:t>
      </w:r>
      <w:r>
        <w:t xml:space="preserve"> belief that it is industry funded</w:t>
      </w:r>
      <w:r w:rsidR="007F7247">
        <w:t xml:space="preserve"> or that manufacturers ‘pay for the rating’</w:t>
      </w:r>
      <w:r>
        <w:t>. Industry funding of the System may also undermine industry’s willingness to use the System and to invest in promotion of the System through their own avenues (as has occurred to date).</w:t>
      </w:r>
    </w:p>
    <w:p w14:paraId="3597747C" w14:textId="77777777" w:rsidR="008F12EF" w:rsidRDefault="008F12EF" w:rsidP="00F720A0">
      <w:pPr>
        <w:pStyle w:val="mpcbullets1"/>
        <w:numPr>
          <w:ilvl w:val="0"/>
          <w:numId w:val="0"/>
        </w:numPr>
        <w:ind w:left="360"/>
      </w:pPr>
    </w:p>
    <w:p w14:paraId="0E5C79DD" w14:textId="67D52419" w:rsidR="008F12EF" w:rsidRDefault="008F12EF" w:rsidP="00F720A0">
      <w:pPr>
        <w:pStyle w:val="mpcbullets1"/>
        <w:numPr>
          <w:ilvl w:val="0"/>
          <w:numId w:val="0"/>
        </w:numPr>
      </w:pPr>
      <w:r>
        <w:t>The Review recommends that government</w:t>
      </w:r>
      <w:r w:rsidR="00CC6DA9">
        <w:t>s</w:t>
      </w:r>
      <w:r>
        <w:t xml:space="preserve"> continue to invest in HSR System implementation for a further four years</w:t>
      </w:r>
      <w:r w:rsidR="00602820">
        <w:t xml:space="preserve"> from the date the recommendations in this Report are accepted:</w:t>
      </w:r>
    </w:p>
    <w:p w14:paraId="0CBBCB56" w14:textId="77777777" w:rsidR="008F12EF" w:rsidRDefault="008F12EF" w:rsidP="00F720A0">
      <w:pPr>
        <w:pStyle w:val="mpcbullets1"/>
        <w:numPr>
          <w:ilvl w:val="0"/>
          <w:numId w:val="0"/>
        </w:numPr>
      </w:pPr>
    </w:p>
    <w:p w14:paraId="5845CE4F" w14:textId="7A7F8717" w:rsidR="008F12EF" w:rsidRDefault="008F12EF" w:rsidP="00F720A0">
      <w:pPr>
        <w:pStyle w:val="mpcbullets1"/>
      </w:pPr>
      <w:r>
        <w:t xml:space="preserve">funding over the first two years </w:t>
      </w:r>
      <w:r w:rsidR="00A90016">
        <w:t>(</w:t>
      </w:r>
      <w:r w:rsidR="00602820">
        <w:t>the transition period</w:t>
      </w:r>
      <w:r w:rsidR="00A90016">
        <w:t>)</w:t>
      </w:r>
      <w:r w:rsidR="00602820">
        <w:t xml:space="preserve"> </w:t>
      </w:r>
      <w:r>
        <w:t>should focus on consumer education (including why changes are being made, addressing misunderstandings and emphasising government endorsement), revisions to guidance materials,</w:t>
      </w:r>
      <w:r w:rsidR="00602820">
        <w:t xml:space="preserve"> building</w:t>
      </w:r>
      <w:r>
        <w:t xml:space="preserve"> industry support and monitoring</w:t>
      </w:r>
    </w:p>
    <w:p w14:paraId="5456F819" w14:textId="13BA6617" w:rsidR="00E677BF" w:rsidRDefault="008F12EF" w:rsidP="00F720A0">
      <w:pPr>
        <w:pStyle w:val="mpcbullets1"/>
      </w:pPr>
      <w:r>
        <w:t xml:space="preserve">funding over the </w:t>
      </w:r>
      <w:r w:rsidR="00A90016">
        <w:t>following</w:t>
      </w:r>
      <w:r>
        <w:t xml:space="preserve"> two years should focus on monitoring. </w:t>
      </w:r>
    </w:p>
    <w:p w14:paraId="5C9DFA1A" w14:textId="3994E6B1" w:rsidR="00E677BF" w:rsidRDefault="008F12EF" w:rsidP="00CC6DA9">
      <w:pPr>
        <w:pStyle w:val="mpcbullets2"/>
        <w:keepNext w:val="0"/>
        <w:ind w:left="850"/>
      </w:pPr>
      <w:r>
        <w:t xml:space="preserve">By this time, the HSR System should be sufficiently embedded such that dedicated funding </w:t>
      </w:r>
      <w:r w:rsidR="00602820">
        <w:t>for promotion</w:t>
      </w:r>
      <w:r w:rsidR="00A90016">
        <w:t xml:space="preserve"> is not required</w:t>
      </w:r>
      <w:r>
        <w:t xml:space="preserve">. </w:t>
      </w:r>
    </w:p>
    <w:p w14:paraId="090891C8" w14:textId="2062EA3F" w:rsidR="008F12EF" w:rsidRDefault="008F12EF" w:rsidP="00E677BF">
      <w:pPr>
        <w:pStyle w:val="mpcbullets2"/>
      </w:pPr>
      <w:r>
        <w:t xml:space="preserve">Funding for monitoring </w:t>
      </w:r>
      <w:r w:rsidR="00335668">
        <w:t>must</w:t>
      </w:r>
      <w:r>
        <w:t xml:space="preserve"> be continued</w:t>
      </w:r>
      <w:r w:rsidR="00335668">
        <w:t>,</w:t>
      </w:r>
      <w:r>
        <w:t xml:space="preserve"> including so governments can make future decisions about whether uptake targets have been met and whether the System should remain voluntary.</w:t>
      </w:r>
    </w:p>
    <w:p w14:paraId="28CD5A68" w14:textId="77777777" w:rsidR="008F12EF" w:rsidRDefault="008F12EF" w:rsidP="00F720A0">
      <w:pPr>
        <w:pStyle w:val="mpcbullets1"/>
        <w:numPr>
          <w:ilvl w:val="0"/>
          <w:numId w:val="0"/>
        </w:numPr>
        <w:ind w:left="360"/>
      </w:pPr>
    </w:p>
    <w:p w14:paraId="69121CD3" w14:textId="5F039034" w:rsidR="008F12EF" w:rsidRPr="00CC1ADD" w:rsidRDefault="008F12EF" w:rsidP="008F12EF">
      <w:pPr>
        <w:pStyle w:val="mpcheading2"/>
        <w:spacing w:after="0"/>
        <w:rPr>
          <w:lang w:eastAsia="en-GB"/>
        </w:rPr>
      </w:pPr>
      <w:bookmarkStart w:id="126" w:name="Governance2"/>
      <w:bookmarkStart w:id="127" w:name="_Toc536809186"/>
      <w:bookmarkStart w:id="128" w:name="_Toc1746508"/>
      <w:bookmarkEnd w:id="126"/>
      <w:r w:rsidRPr="00CC1ADD">
        <w:rPr>
          <w:lang w:eastAsia="en-GB"/>
        </w:rPr>
        <w:t>Governance arrangements</w:t>
      </w:r>
      <w:bookmarkEnd w:id="127"/>
      <w:bookmarkEnd w:id="128"/>
    </w:p>
    <w:p w14:paraId="4AD12911" w14:textId="77777777" w:rsidR="00E7786C" w:rsidRPr="00CC1ADD" w:rsidRDefault="00E7786C" w:rsidP="00E7786C">
      <w:pPr>
        <w:pStyle w:val="mpcNormal"/>
      </w:pPr>
    </w:p>
    <w:p w14:paraId="55213F66" w14:textId="77777777" w:rsidR="00E7786C" w:rsidRPr="00CC1ADD" w:rsidRDefault="00E7786C" w:rsidP="00E7786C">
      <w:pPr>
        <w:pStyle w:val="mpcheading3"/>
      </w:pPr>
      <w:r>
        <w:t xml:space="preserve">Strengths of the existing governance arrangements </w:t>
      </w:r>
    </w:p>
    <w:p w14:paraId="778A1E2B" w14:textId="77777777" w:rsidR="00E7786C" w:rsidRPr="00CC1ADD" w:rsidRDefault="00E7786C" w:rsidP="00E7786C">
      <w:pPr>
        <w:pStyle w:val="mpcNormal"/>
      </w:pPr>
    </w:p>
    <w:p w14:paraId="50030882" w14:textId="77777777" w:rsidR="00335668" w:rsidRDefault="00E7786C" w:rsidP="00E7786C">
      <w:pPr>
        <w:pStyle w:val="mpcNormal"/>
      </w:pPr>
      <w:r w:rsidRPr="00CC1ADD">
        <w:t>To evaluate the governance arrangements, mpconsulting</w:t>
      </w:r>
      <w:r w:rsidR="00335668">
        <w:t>:</w:t>
      </w:r>
    </w:p>
    <w:p w14:paraId="2B83E599" w14:textId="77777777" w:rsidR="00335668" w:rsidRDefault="00335668" w:rsidP="00E7786C">
      <w:pPr>
        <w:pStyle w:val="mpcNormal"/>
      </w:pPr>
    </w:p>
    <w:p w14:paraId="08B449F7" w14:textId="0DC1337A" w:rsidR="00E7786C" w:rsidRPr="00CC1ADD" w:rsidRDefault="00E7786C" w:rsidP="00F720A0">
      <w:pPr>
        <w:pStyle w:val="mpcbullets1"/>
      </w:pPr>
      <w:r w:rsidRPr="00CC1ADD">
        <w:t>observe</w:t>
      </w:r>
      <w:r w:rsidR="00A90016">
        <w:t>d</w:t>
      </w:r>
      <w:r w:rsidRPr="00CC1ADD">
        <w:t xml:space="preserve"> meetings of the HSRAC and the TAG</w:t>
      </w:r>
    </w:p>
    <w:p w14:paraId="44D48283" w14:textId="47E098D3" w:rsidR="00E7786C" w:rsidRPr="00CC1ADD" w:rsidRDefault="00E7786C" w:rsidP="00F720A0">
      <w:pPr>
        <w:pStyle w:val="mpcbullets1"/>
      </w:pPr>
      <w:r w:rsidRPr="00CC1ADD">
        <w:t xml:space="preserve">spoke with FRSC, HSRAC and TAG members about their experience and expectations of the governance arrangements </w:t>
      </w:r>
    </w:p>
    <w:p w14:paraId="279FA8FE" w14:textId="723FFE5B" w:rsidR="00E7786C" w:rsidRPr="00CC1ADD" w:rsidRDefault="00E7786C" w:rsidP="00F720A0">
      <w:pPr>
        <w:pStyle w:val="mpcbullets1"/>
      </w:pPr>
      <w:r w:rsidRPr="00CC1ADD">
        <w:t>reviewed materials available on the HSR System website</w:t>
      </w:r>
      <w:r w:rsidR="00335668">
        <w:t>,</w:t>
      </w:r>
      <w:r w:rsidRPr="00CC1ADD">
        <w:t xml:space="preserve"> including </w:t>
      </w:r>
      <w:r w:rsidR="00335668">
        <w:t xml:space="preserve">committee terms of reference, </w:t>
      </w:r>
      <w:r w:rsidRPr="00CC1ADD">
        <w:t>profiles of members</w:t>
      </w:r>
      <w:r w:rsidR="00335668">
        <w:t xml:space="preserve"> and </w:t>
      </w:r>
      <w:r w:rsidRPr="00CC1ADD">
        <w:t>meeting communiques</w:t>
      </w:r>
    </w:p>
    <w:p w14:paraId="3322E41A" w14:textId="77777777" w:rsidR="00E7786C" w:rsidRPr="00CC1ADD" w:rsidRDefault="00E7786C" w:rsidP="00F720A0">
      <w:pPr>
        <w:pStyle w:val="mpcbullets1"/>
      </w:pPr>
      <w:r w:rsidRPr="00CC1ADD">
        <w:t>considered input provided by stakeholders through forums and submissions.</w:t>
      </w:r>
    </w:p>
    <w:p w14:paraId="5C958C64" w14:textId="77777777" w:rsidR="00E7786C" w:rsidRPr="00CC1ADD" w:rsidRDefault="00E7786C" w:rsidP="00E7786C">
      <w:pPr>
        <w:pStyle w:val="mpcNormal"/>
      </w:pPr>
    </w:p>
    <w:p w14:paraId="7037B516" w14:textId="77777777" w:rsidR="00E7786C" w:rsidRPr="00CC1ADD" w:rsidRDefault="00E7786C" w:rsidP="00E7786C">
      <w:pPr>
        <w:pStyle w:val="mpcNormal"/>
      </w:pPr>
      <w:r w:rsidRPr="00CC1ADD">
        <w:t xml:space="preserve">Overall the Review considers that the existing </w:t>
      </w:r>
      <w:r>
        <w:t xml:space="preserve">governance arrangements </w:t>
      </w:r>
      <w:r w:rsidRPr="00CC1ADD">
        <w:t xml:space="preserve">have worked well. </w:t>
      </w:r>
      <w:r>
        <w:t xml:space="preserve">Some of the key strengths have included: </w:t>
      </w:r>
    </w:p>
    <w:p w14:paraId="242B0840" w14:textId="77777777" w:rsidR="00E7786C" w:rsidRDefault="00E7786C" w:rsidP="00E7786C">
      <w:pPr>
        <w:pStyle w:val="mpcheading4"/>
      </w:pPr>
    </w:p>
    <w:p w14:paraId="21E85173" w14:textId="77777777" w:rsidR="00E7786C" w:rsidRPr="00CC1ADD" w:rsidRDefault="00E7786C" w:rsidP="00F720A0">
      <w:pPr>
        <w:pStyle w:val="mpcbullets1"/>
      </w:pPr>
      <w:r>
        <w:t>c</w:t>
      </w:r>
      <w:r w:rsidRPr="00CC1ADD">
        <w:t>ross-sectoral representation from industry, public health, consumer groups and government</w:t>
      </w:r>
      <w:r>
        <w:t>s on key committees</w:t>
      </w:r>
    </w:p>
    <w:p w14:paraId="68896637" w14:textId="77777777" w:rsidR="00E7786C" w:rsidRDefault="00E7786C" w:rsidP="00E7786C">
      <w:pPr>
        <w:pStyle w:val="mpcbullets2"/>
      </w:pPr>
      <w:r w:rsidRPr="00CC1ADD">
        <w:t xml:space="preserve">The HSRAC is comprised of 10 members, including four members from government and three members each from industry and community. </w:t>
      </w:r>
    </w:p>
    <w:p w14:paraId="7A234A15" w14:textId="77777777" w:rsidR="00E7786C" w:rsidRDefault="00E7786C" w:rsidP="00E7786C">
      <w:pPr>
        <w:pStyle w:val="mpcbullets2"/>
      </w:pPr>
      <w:r w:rsidRPr="00CC1ADD">
        <w:t>HSRAC members act as a conduit for information to their stakeholders (subject to any confidentiality requirements) and provide input and feedback that reflects the interests of their stakeholders.</w:t>
      </w:r>
    </w:p>
    <w:p w14:paraId="36DDFC5E" w14:textId="77777777" w:rsidR="00E7786C" w:rsidRDefault="00E7786C" w:rsidP="00E7786C">
      <w:pPr>
        <w:pStyle w:val="mpcbullets2"/>
      </w:pPr>
      <w:r>
        <w:t>T</w:t>
      </w:r>
      <w:r w:rsidRPr="00CC1ADD">
        <w:t xml:space="preserve">he collaborative working relationships have facilitated strong buy-in during the early stages of </w:t>
      </w:r>
      <w:r>
        <w:t xml:space="preserve">HSR </w:t>
      </w:r>
      <w:r w:rsidRPr="00CC1ADD">
        <w:t>System implementation.</w:t>
      </w:r>
    </w:p>
    <w:p w14:paraId="7D277BFC" w14:textId="77777777" w:rsidR="00E7786C" w:rsidRPr="00CC1ADD" w:rsidRDefault="00E7786C" w:rsidP="00F720A0">
      <w:pPr>
        <w:pStyle w:val="mpcbullets1"/>
        <w:numPr>
          <w:ilvl w:val="0"/>
          <w:numId w:val="0"/>
        </w:numPr>
      </w:pPr>
    </w:p>
    <w:p w14:paraId="6ECC6A94" w14:textId="77777777" w:rsidR="00E7786C" w:rsidRDefault="00E7786C" w:rsidP="00F720A0">
      <w:pPr>
        <w:pStyle w:val="mpcbullets1"/>
      </w:pPr>
      <w:r>
        <w:t>s</w:t>
      </w:r>
      <w:r w:rsidRPr="00CC1ADD">
        <w:t>table HSRAC membership</w:t>
      </w:r>
    </w:p>
    <w:p w14:paraId="3321AFAB" w14:textId="0C4BBEB4" w:rsidR="00E7786C" w:rsidRDefault="00E7786C" w:rsidP="00E7786C">
      <w:pPr>
        <w:pStyle w:val="mpcbullets2"/>
      </w:pPr>
      <w:r w:rsidRPr="00CC1ADD">
        <w:t xml:space="preserve">HSRAC members are appointed for five years. Most members have been on the </w:t>
      </w:r>
      <w:r w:rsidR="00A90016">
        <w:t>HSRAC since appointment</w:t>
      </w:r>
      <w:r w:rsidRPr="00CC1ADD">
        <w:t xml:space="preserve"> or have remained closely involved with the HSR System. This continuity </w:t>
      </w:r>
      <w:r>
        <w:t xml:space="preserve">has been </w:t>
      </w:r>
      <w:r w:rsidRPr="00CC1ADD">
        <w:t>important, particularly as the System is complex and technical. This has ensured a consistent approach to issues, including the treatment of complaints and anomalies.</w:t>
      </w:r>
    </w:p>
    <w:p w14:paraId="2E5D0F5C" w14:textId="77777777" w:rsidR="00E7786C" w:rsidRDefault="00E7786C" w:rsidP="00E7786C">
      <w:pPr>
        <w:pStyle w:val="mpcbullets2"/>
        <w:numPr>
          <w:ilvl w:val="0"/>
          <w:numId w:val="0"/>
        </w:numPr>
        <w:ind w:left="1080" w:hanging="360"/>
      </w:pPr>
    </w:p>
    <w:p w14:paraId="432306E7" w14:textId="77777777" w:rsidR="00E7786C" w:rsidRDefault="00E7786C" w:rsidP="00F720A0">
      <w:pPr>
        <w:pStyle w:val="mpcbullets1"/>
      </w:pPr>
      <w:r>
        <w:t>a strong, effective Secretariat</w:t>
      </w:r>
    </w:p>
    <w:p w14:paraId="31CC9486" w14:textId="2F6224F1" w:rsidR="00E7786C" w:rsidRDefault="00E7786C" w:rsidP="00E677BF">
      <w:pPr>
        <w:pStyle w:val="mpcbullets2"/>
        <w:keepNext w:val="0"/>
        <w:ind w:left="850"/>
      </w:pPr>
      <w:r>
        <w:t xml:space="preserve">The HSR Secretariat provides </w:t>
      </w:r>
      <w:r w:rsidRPr="00CC1ADD">
        <w:t>substantial support to the HSRAC,</w:t>
      </w:r>
      <w:r>
        <w:t xml:space="preserve"> the</w:t>
      </w:r>
      <w:r w:rsidRPr="00CC1ADD">
        <w:t xml:space="preserve"> TAG and </w:t>
      </w:r>
      <w:r>
        <w:t xml:space="preserve">the </w:t>
      </w:r>
      <w:r w:rsidRPr="00CC1ADD">
        <w:t xml:space="preserve">SMAG, </w:t>
      </w:r>
      <w:r>
        <w:t xml:space="preserve">and also manages much of the day-to-day administration of the HSR System including an </w:t>
      </w:r>
      <w:r w:rsidRPr="00CC1ADD">
        <w:t>information/enquiry service</w:t>
      </w:r>
      <w:r>
        <w:t xml:space="preserve">, </w:t>
      </w:r>
      <w:r w:rsidRPr="00CC1ADD">
        <w:t>develop</w:t>
      </w:r>
      <w:r>
        <w:t xml:space="preserve">ment of resources, maintenance of the HSR website and </w:t>
      </w:r>
      <w:r w:rsidRPr="00CC1ADD">
        <w:t>coordinat</w:t>
      </w:r>
      <w:r>
        <w:t xml:space="preserve">ion of </w:t>
      </w:r>
      <w:r w:rsidRPr="00CC1ADD">
        <w:t>consultation on HSR System issues</w:t>
      </w:r>
      <w:r>
        <w:t xml:space="preserve">. </w:t>
      </w:r>
    </w:p>
    <w:p w14:paraId="106AB2E6" w14:textId="4B1CEAA2" w:rsidR="00E7786C" w:rsidRDefault="00E7786C" w:rsidP="00E677BF">
      <w:pPr>
        <w:pStyle w:val="mpcbullets2"/>
        <w:keepNext w:val="0"/>
        <w:ind w:left="850"/>
      </w:pPr>
      <w:r w:rsidRPr="00CC1ADD">
        <w:t xml:space="preserve">Despite the expansive role, the costs of the HSR Secretariat have been below budget and the savings have been reapplied to supplement other </w:t>
      </w:r>
      <w:r>
        <w:t xml:space="preserve">HSR </w:t>
      </w:r>
      <w:r w:rsidR="00A90016">
        <w:t xml:space="preserve">System </w:t>
      </w:r>
      <w:r w:rsidRPr="00CC1ADD">
        <w:t>program activities</w:t>
      </w:r>
      <w:r>
        <w:t>.</w:t>
      </w:r>
    </w:p>
    <w:p w14:paraId="685DC957" w14:textId="0CC57CD0" w:rsidR="00E7786C" w:rsidRPr="00CC1ADD" w:rsidRDefault="00E7786C" w:rsidP="00E677BF">
      <w:pPr>
        <w:pStyle w:val="mpcbullets2"/>
        <w:keepNext w:val="0"/>
        <w:ind w:left="850"/>
      </w:pPr>
      <w:r>
        <w:t xml:space="preserve">The linkages between the HSR Secretariat and the FRSC Secretariat (with both located in the </w:t>
      </w:r>
      <w:r w:rsidR="00A90016">
        <w:t xml:space="preserve">Commonwealth </w:t>
      </w:r>
      <w:r>
        <w:t>Department of Health) is also a strength of the existing arrangements.</w:t>
      </w:r>
    </w:p>
    <w:p w14:paraId="7101F9C0" w14:textId="77777777" w:rsidR="00E7786C" w:rsidRDefault="00E7786C" w:rsidP="00E7786C">
      <w:pPr>
        <w:rPr>
          <w:rFonts w:cstheme="minorHAnsi"/>
          <w:sz w:val="22"/>
          <w:szCs w:val="22"/>
        </w:rPr>
      </w:pPr>
    </w:p>
    <w:p w14:paraId="73D73135" w14:textId="77777777" w:rsidR="00E7786C" w:rsidRDefault="00E7786C" w:rsidP="00F720A0">
      <w:pPr>
        <w:pStyle w:val="mpcbullets1"/>
      </w:pPr>
      <w:r>
        <w:t>a highly consultative approach</w:t>
      </w:r>
    </w:p>
    <w:p w14:paraId="2187C534" w14:textId="77777777" w:rsidR="00E7786C" w:rsidRDefault="00E7786C" w:rsidP="00E7786C">
      <w:pPr>
        <w:pStyle w:val="mpcbullets2"/>
      </w:pPr>
      <w:r>
        <w:t>The development of the HSR System was subject to extensive consultation over many years. When significant issues have arisen, these have also been subject to extensive consultation (such as the ‘as prepared’ issue). The high degree of consultation has generally been acknowledged by stakeholders.</w:t>
      </w:r>
    </w:p>
    <w:p w14:paraId="70A5149C" w14:textId="77777777" w:rsidR="00E7786C" w:rsidRDefault="00E7786C" w:rsidP="00E7786C">
      <w:pPr>
        <w:pStyle w:val="mpcbullets2"/>
        <w:numPr>
          <w:ilvl w:val="0"/>
          <w:numId w:val="0"/>
        </w:numPr>
        <w:ind w:left="851"/>
      </w:pPr>
    </w:p>
    <w:p w14:paraId="4C851708" w14:textId="36268360" w:rsidR="00335668" w:rsidRPr="00335668" w:rsidRDefault="00E7786C" w:rsidP="00F720A0">
      <w:pPr>
        <w:pStyle w:val="mpcbullets1"/>
      </w:pPr>
      <w:r>
        <w:t xml:space="preserve">a high degree of transparency </w:t>
      </w:r>
    </w:p>
    <w:p w14:paraId="56882973" w14:textId="66B9FEDE" w:rsidR="00335668" w:rsidRPr="00335668" w:rsidRDefault="00335668" w:rsidP="00335668">
      <w:pPr>
        <w:pStyle w:val="mpcbullets2"/>
      </w:pPr>
      <w:r w:rsidRPr="00CC1ADD">
        <w:t xml:space="preserve">The </w:t>
      </w:r>
      <w:r w:rsidRPr="00335668">
        <w:t xml:space="preserve">availability of information on the HSR System website </w:t>
      </w:r>
      <w:r w:rsidR="002E732B">
        <w:t xml:space="preserve">and the highly consultative approach to resolving issues with the HSR System </w:t>
      </w:r>
      <w:r w:rsidRPr="00335668">
        <w:t>demonstrates a high degree of transparency</w:t>
      </w:r>
      <w:r w:rsidR="00A90016">
        <w:t>. F</w:t>
      </w:r>
      <w:r w:rsidR="002E732B">
        <w:t>urther detail regarding the transparency of the HSR System is provided later in this Chapter</w:t>
      </w:r>
      <w:r w:rsidRPr="00335668">
        <w:t>.</w:t>
      </w:r>
    </w:p>
    <w:p w14:paraId="76BFE6A0" w14:textId="77777777" w:rsidR="00E7786C" w:rsidRPr="00CC1ADD" w:rsidRDefault="00E7786C" w:rsidP="00E7786C">
      <w:pPr>
        <w:pStyle w:val="mpcbullets2"/>
        <w:numPr>
          <w:ilvl w:val="0"/>
          <w:numId w:val="0"/>
        </w:numPr>
      </w:pPr>
    </w:p>
    <w:p w14:paraId="3AFF9045" w14:textId="77777777" w:rsidR="00E7786C" w:rsidRPr="00CC1ADD" w:rsidRDefault="00E7786C" w:rsidP="00E7786C">
      <w:pPr>
        <w:pStyle w:val="mpcheading3"/>
        <w:keepNext/>
      </w:pPr>
      <w:r>
        <w:t>Future governance arrangements</w:t>
      </w:r>
    </w:p>
    <w:p w14:paraId="794E828D" w14:textId="77777777" w:rsidR="00E7786C" w:rsidRDefault="00E7786C" w:rsidP="001B1618">
      <w:pPr>
        <w:pStyle w:val="mpcNormal"/>
        <w:keepNext w:val="0"/>
      </w:pPr>
    </w:p>
    <w:p w14:paraId="53F3531B" w14:textId="335C582F" w:rsidR="00E7786C" w:rsidRPr="003963C3" w:rsidRDefault="00E7786C" w:rsidP="001B1618">
      <w:pPr>
        <w:pStyle w:val="mpcNormal"/>
        <w:keepNext w:val="0"/>
        <w:rPr>
          <w:b/>
        </w:rPr>
      </w:pPr>
      <w:r w:rsidRPr="003963C3">
        <w:rPr>
          <w:b/>
        </w:rPr>
        <w:t xml:space="preserve">Role of the Forum and </w:t>
      </w:r>
      <w:r w:rsidR="001B1618">
        <w:rPr>
          <w:b/>
        </w:rPr>
        <w:t xml:space="preserve">the </w:t>
      </w:r>
      <w:r w:rsidRPr="003963C3">
        <w:rPr>
          <w:b/>
        </w:rPr>
        <w:t>FRSC</w:t>
      </w:r>
    </w:p>
    <w:p w14:paraId="38C824A0" w14:textId="77777777" w:rsidR="00E7786C" w:rsidRDefault="00E7786C" w:rsidP="00F720A0">
      <w:pPr>
        <w:pStyle w:val="mpcbullets1"/>
        <w:numPr>
          <w:ilvl w:val="0"/>
          <w:numId w:val="0"/>
        </w:numPr>
      </w:pPr>
    </w:p>
    <w:p w14:paraId="7131E497" w14:textId="1F2A93CE" w:rsidR="00E7786C" w:rsidRDefault="00E7786C" w:rsidP="00F720A0">
      <w:pPr>
        <w:pStyle w:val="mpcbullets1"/>
        <w:numPr>
          <w:ilvl w:val="0"/>
          <w:numId w:val="0"/>
        </w:numPr>
      </w:pPr>
      <w:r w:rsidRPr="00CC1ADD">
        <w:t xml:space="preserve">The Review </w:t>
      </w:r>
      <w:r>
        <w:t>considered whether</w:t>
      </w:r>
      <w:r w:rsidRPr="00CC1ADD">
        <w:t xml:space="preserve"> the </w:t>
      </w:r>
      <w:r>
        <w:t xml:space="preserve">Forum and </w:t>
      </w:r>
      <w:r w:rsidR="001B1618">
        <w:t xml:space="preserve">the </w:t>
      </w:r>
      <w:r w:rsidRPr="00CC1ADD">
        <w:t xml:space="preserve">FRSC </w:t>
      </w:r>
      <w:r>
        <w:t>should continue to have oversight of the HSR System or whether the HSR System could be overseen by AHMAC,</w:t>
      </w:r>
      <w:r w:rsidRPr="006A3CF8">
        <w:t xml:space="preserve"> </w:t>
      </w:r>
      <w:r w:rsidRPr="00CC1ADD">
        <w:t>given th</w:t>
      </w:r>
      <w:r>
        <w:t>at</w:t>
      </w:r>
      <w:r w:rsidRPr="00CC1ADD">
        <w:t xml:space="preserve"> AHMAC has oversight </w:t>
      </w:r>
      <w:r>
        <w:t xml:space="preserve">of </w:t>
      </w:r>
      <w:r w:rsidRPr="00CC1ADD">
        <w:t xml:space="preserve">many other health protection matters </w:t>
      </w:r>
      <w:r>
        <w:t>and national priorities.</w:t>
      </w:r>
    </w:p>
    <w:p w14:paraId="221B6639" w14:textId="77777777" w:rsidR="00E7786C" w:rsidRDefault="00E7786C" w:rsidP="00F720A0">
      <w:pPr>
        <w:pStyle w:val="mpcbullets1"/>
        <w:numPr>
          <w:ilvl w:val="0"/>
          <w:numId w:val="0"/>
        </w:numPr>
      </w:pPr>
    </w:p>
    <w:p w14:paraId="102D6BCE" w14:textId="349A5799" w:rsidR="00E7786C" w:rsidRPr="0084685D" w:rsidRDefault="00E7786C" w:rsidP="00F720A0">
      <w:pPr>
        <w:pStyle w:val="mpcbullets1"/>
        <w:numPr>
          <w:ilvl w:val="0"/>
          <w:numId w:val="0"/>
        </w:numPr>
      </w:pPr>
      <w:r w:rsidRPr="00CC1ADD">
        <w:t xml:space="preserve">The Review </w:t>
      </w:r>
      <w:r>
        <w:t xml:space="preserve">considers that the Forum and </w:t>
      </w:r>
      <w:r w:rsidR="001B1618">
        <w:t xml:space="preserve">the </w:t>
      </w:r>
      <w:r>
        <w:t xml:space="preserve">FRSC </w:t>
      </w:r>
      <w:r w:rsidRPr="00CC1ADD">
        <w:t xml:space="preserve">continue to be </w:t>
      </w:r>
      <w:r>
        <w:t xml:space="preserve">the appropriate decision makers in relation to major HSR </w:t>
      </w:r>
      <w:r w:rsidR="00A90016">
        <w:t xml:space="preserve">System </w:t>
      </w:r>
      <w:r>
        <w:t>related policy issues</w:t>
      </w:r>
      <w:r w:rsidRPr="00CC1ADD">
        <w:t>.</w:t>
      </w:r>
      <w:r>
        <w:t xml:space="preserve"> While </w:t>
      </w:r>
      <w:r w:rsidR="001B1618">
        <w:t>the HSR System is voluntary and</w:t>
      </w:r>
      <w:r>
        <w:t xml:space="preserve"> aimed at </w:t>
      </w:r>
      <w:r w:rsidRPr="00CC1ADD">
        <w:t>support</w:t>
      </w:r>
      <w:r>
        <w:t>ing</w:t>
      </w:r>
      <w:r w:rsidRPr="00CC1ADD">
        <w:t xml:space="preserve"> consumers to make healthier choices</w:t>
      </w:r>
      <w:r>
        <w:t xml:space="preserve"> rather than a food safety initiative</w:t>
      </w:r>
      <w:r w:rsidRPr="00CC1ADD">
        <w:t xml:space="preserve">, </w:t>
      </w:r>
      <w:r>
        <w:t xml:space="preserve">it directly </w:t>
      </w:r>
      <w:r w:rsidRPr="00CC1ADD">
        <w:t>impacts food labelling and drives food composition (through reformulation). As a dedicated food policy and regulation body, the FRSC is best placed to ensure that policy decisions relating to the HSR System take into account the wider food regulatory context including other labelling regulation and food standards.</w:t>
      </w:r>
    </w:p>
    <w:p w14:paraId="398D822C" w14:textId="77777777" w:rsidR="00E7786C" w:rsidRDefault="00E7786C" w:rsidP="001B1618">
      <w:pPr>
        <w:pStyle w:val="mpcNormal"/>
        <w:keepNext w:val="0"/>
        <w:rPr>
          <w:b/>
        </w:rPr>
      </w:pPr>
    </w:p>
    <w:p w14:paraId="04C79EA4" w14:textId="18A19DE7" w:rsidR="00E7786C" w:rsidRDefault="00E7786C" w:rsidP="001B1618">
      <w:pPr>
        <w:pStyle w:val="mpcNormal"/>
        <w:keepNext w:val="0"/>
        <w:rPr>
          <w:b/>
        </w:rPr>
      </w:pPr>
      <w:r w:rsidRPr="003963C3">
        <w:rPr>
          <w:b/>
        </w:rPr>
        <w:t>Rol</w:t>
      </w:r>
      <w:r>
        <w:rPr>
          <w:b/>
        </w:rPr>
        <w:t xml:space="preserve">e </w:t>
      </w:r>
      <w:r w:rsidRPr="003963C3">
        <w:rPr>
          <w:b/>
        </w:rPr>
        <w:t xml:space="preserve">of </w:t>
      </w:r>
      <w:r w:rsidR="001B1618">
        <w:rPr>
          <w:b/>
        </w:rPr>
        <w:t xml:space="preserve">the </w:t>
      </w:r>
      <w:r w:rsidRPr="003963C3">
        <w:rPr>
          <w:b/>
        </w:rPr>
        <w:t xml:space="preserve">HSRAC </w:t>
      </w:r>
    </w:p>
    <w:p w14:paraId="791DA615" w14:textId="77777777" w:rsidR="00E7786C" w:rsidRDefault="00E7786C" w:rsidP="001B1618">
      <w:pPr>
        <w:pStyle w:val="mpcNormal"/>
        <w:keepNext w:val="0"/>
        <w:rPr>
          <w:b/>
        </w:rPr>
      </w:pPr>
    </w:p>
    <w:p w14:paraId="01796FCA" w14:textId="3D94F3CB" w:rsidR="00E7786C" w:rsidRPr="00CC1ADD" w:rsidRDefault="00E7786C" w:rsidP="001B1618">
      <w:pPr>
        <w:pStyle w:val="mpcNormal"/>
        <w:keepNext w:val="0"/>
      </w:pPr>
      <w:r w:rsidRPr="00CC1ADD">
        <w:t>The HSRAC</w:t>
      </w:r>
      <w:r>
        <w:t xml:space="preserve"> Terms of Reference focus on </w:t>
      </w:r>
      <w:r w:rsidR="001B1618">
        <w:t xml:space="preserve">the </w:t>
      </w:r>
      <w:r w:rsidRPr="00CC1ADD">
        <w:t>HSRAC as a conduit of advice to the FRSC and as a conduit of information from its members to the relevant stakeholder groups.</w:t>
      </w:r>
      <w:r>
        <w:t xml:space="preserve"> </w:t>
      </w:r>
      <w:r w:rsidRPr="00CC1ADD">
        <w:t>While the HSRAC p</w:t>
      </w:r>
      <w:r>
        <w:t>erforms these functions</w:t>
      </w:r>
      <w:r w:rsidRPr="00CC1ADD">
        <w:t xml:space="preserve">, it </w:t>
      </w:r>
      <w:r>
        <w:t xml:space="preserve">also </w:t>
      </w:r>
      <w:r w:rsidRPr="00CC1ADD">
        <w:t>plays a</w:t>
      </w:r>
      <w:r>
        <w:t xml:space="preserve">n </w:t>
      </w:r>
      <w:r w:rsidRPr="00CC1ADD">
        <w:t>active role in:</w:t>
      </w:r>
    </w:p>
    <w:p w14:paraId="2AC24B1C" w14:textId="77777777" w:rsidR="00E7786C" w:rsidRPr="00CC1ADD" w:rsidRDefault="00E7786C" w:rsidP="001B1618">
      <w:pPr>
        <w:pStyle w:val="mpcNormal"/>
        <w:keepNext w:val="0"/>
      </w:pPr>
    </w:p>
    <w:p w14:paraId="7AC849E3" w14:textId="2D1695AA" w:rsidR="00E7786C" w:rsidRPr="00CC1ADD" w:rsidRDefault="00A90016" w:rsidP="00F720A0">
      <w:pPr>
        <w:pStyle w:val="mpcbullets1"/>
      </w:pPr>
      <w:r>
        <w:t>determining</w:t>
      </w:r>
      <w:r w:rsidR="00E7786C" w:rsidRPr="00CC1ADD">
        <w:t xml:space="preserve"> anomalies</w:t>
      </w:r>
    </w:p>
    <w:p w14:paraId="70C77133" w14:textId="77777777" w:rsidR="00E7786C" w:rsidRPr="00CC1ADD" w:rsidRDefault="00E7786C" w:rsidP="00F720A0">
      <w:pPr>
        <w:pStyle w:val="mpcbullets1"/>
      </w:pPr>
      <w:r w:rsidRPr="00CC1ADD">
        <w:t>identifying potential issues with the HSR System</w:t>
      </w:r>
    </w:p>
    <w:p w14:paraId="2E4EB122" w14:textId="77777777" w:rsidR="00E7786C" w:rsidRPr="00CC1ADD" w:rsidRDefault="00E7786C" w:rsidP="00F720A0">
      <w:pPr>
        <w:pStyle w:val="mpcbullets1"/>
      </w:pPr>
      <w:r w:rsidRPr="00CC1ADD">
        <w:t>dealing with non-compliance</w:t>
      </w:r>
    </w:p>
    <w:p w14:paraId="1BEE25B8" w14:textId="77777777" w:rsidR="00E7786C" w:rsidRPr="00CC1ADD" w:rsidRDefault="00E7786C" w:rsidP="00F720A0">
      <w:pPr>
        <w:pStyle w:val="mpcbullets1"/>
      </w:pPr>
      <w:r w:rsidRPr="00CC1ADD">
        <w:t>consulting stakeholders on options for resolution of issues and recommending preferred options.</w:t>
      </w:r>
    </w:p>
    <w:p w14:paraId="1A29B872" w14:textId="3C9D2191" w:rsidR="00E7786C" w:rsidRPr="00CC1ADD" w:rsidRDefault="00E7786C" w:rsidP="001B1618">
      <w:pPr>
        <w:pStyle w:val="mpcbullets2"/>
        <w:keepNext w:val="0"/>
      </w:pPr>
      <w:r w:rsidRPr="00CC1ADD">
        <w:t xml:space="preserve">For example, in relation to the ‘as prepared’ issue the HSRAC considered the issue, identified </w:t>
      </w:r>
      <w:r w:rsidR="001B1618">
        <w:t>options for addressing the issue</w:t>
      </w:r>
      <w:r w:rsidRPr="00CC1ADD">
        <w:t xml:space="preserve">, led consultation with stakeholders, </w:t>
      </w:r>
      <w:r w:rsidR="001B1618">
        <w:t>outlined</w:t>
      </w:r>
      <w:r w:rsidRPr="00CC1ADD">
        <w:t xml:space="preserve"> the ramifications of various options and recommended a preferred approach to the FRSC</w:t>
      </w:r>
      <w:r w:rsidR="001B1618">
        <w:t xml:space="preserve"> for decision</w:t>
      </w:r>
      <w:r w:rsidRPr="00CC1ADD">
        <w:t>.</w:t>
      </w:r>
    </w:p>
    <w:p w14:paraId="4D95B485" w14:textId="77777777" w:rsidR="00E7786C" w:rsidRPr="00CC1ADD" w:rsidRDefault="00E7786C" w:rsidP="001B1618">
      <w:pPr>
        <w:pStyle w:val="mpcNormal"/>
        <w:keepNext w:val="0"/>
      </w:pPr>
    </w:p>
    <w:p w14:paraId="033B3A9F" w14:textId="0DA2312C" w:rsidR="00E7786C" w:rsidRPr="00CC1ADD" w:rsidRDefault="00E7786C" w:rsidP="001B1618">
      <w:pPr>
        <w:pStyle w:val="mpcNormal"/>
        <w:keepNext w:val="0"/>
      </w:pPr>
      <w:r w:rsidRPr="00CC1ADD">
        <w:t xml:space="preserve">The HSRAC Terms of Reference also note that the HSRAC oversees the social marketing campaign and the monitoring and evaluation of the HSR System. While the HSRAC considers social marketing and monitoring reports, </w:t>
      </w:r>
      <w:r>
        <w:t>it</w:t>
      </w:r>
      <w:r w:rsidRPr="00CC1ADD">
        <w:t xml:space="preserve"> does not play a strong role in driving the content of the social marketing campaigns nor the strategic response to issues identified through monitoring data</w:t>
      </w:r>
      <w:r w:rsidR="001B1618">
        <w:t xml:space="preserve"> and evaluations</w:t>
      </w:r>
      <w:r w:rsidRPr="00CC1ADD">
        <w:t xml:space="preserve">. </w:t>
      </w:r>
    </w:p>
    <w:p w14:paraId="1244933F" w14:textId="77777777" w:rsidR="00E7786C" w:rsidRPr="00CC1ADD" w:rsidRDefault="00E7786C" w:rsidP="001B1618">
      <w:pPr>
        <w:pStyle w:val="mpcNormal"/>
        <w:keepNext w:val="0"/>
      </w:pPr>
    </w:p>
    <w:p w14:paraId="6E1C49DD" w14:textId="56785B6B" w:rsidR="00E7786C" w:rsidRPr="00CC1ADD" w:rsidRDefault="00E7786C" w:rsidP="001B1618">
      <w:pPr>
        <w:pStyle w:val="mpcNormal"/>
        <w:keepNext w:val="0"/>
      </w:pPr>
      <w:r w:rsidRPr="00CC1ADD">
        <w:t xml:space="preserve">The Review recommends the role of the HSRAC </w:t>
      </w:r>
      <w:r w:rsidR="001B1618">
        <w:t xml:space="preserve">is clarified such that </w:t>
      </w:r>
      <w:r w:rsidR="005C3022">
        <w:t>it</w:t>
      </w:r>
      <w:r>
        <w:t xml:space="preserve"> </w:t>
      </w:r>
      <w:r w:rsidR="001B1618">
        <w:t>is</w:t>
      </w:r>
      <w:r>
        <w:t xml:space="preserve"> responsible for:</w:t>
      </w:r>
    </w:p>
    <w:p w14:paraId="4E4AA369" w14:textId="77777777" w:rsidR="00E7786C" w:rsidRPr="00CC1ADD" w:rsidRDefault="00E7786C" w:rsidP="001B1618">
      <w:pPr>
        <w:pStyle w:val="mpcNormal"/>
        <w:keepNext w:val="0"/>
      </w:pPr>
    </w:p>
    <w:p w14:paraId="206BE45D" w14:textId="1495CF67" w:rsidR="00E7786C" w:rsidRDefault="00E7786C" w:rsidP="00F720A0">
      <w:pPr>
        <w:pStyle w:val="mpcbullets1"/>
      </w:pPr>
      <w:r>
        <w:t xml:space="preserve">overseeing </w:t>
      </w:r>
      <w:r w:rsidR="001B1618">
        <w:t xml:space="preserve">implementation of the </w:t>
      </w:r>
      <w:r>
        <w:t>changes to the HSR Calculator and guidance materials resulting from Review</w:t>
      </w:r>
      <w:r w:rsidR="001B1618">
        <w:t xml:space="preserve"> recommendations</w:t>
      </w:r>
    </w:p>
    <w:p w14:paraId="662488DE" w14:textId="77777777" w:rsidR="00E7786C" w:rsidRPr="00CC1ADD" w:rsidRDefault="00E7786C" w:rsidP="00F720A0">
      <w:pPr>
        <w:pStyle w:val="mpcbullets1"/>
      </w:pPr>
      <w:r w:rsidRPr="00CC1ADD">
        <w:t>actively managing issues in a timely manner. This may be through:</w:t>
      </w:r>
    </w:p>
    <w:p w14:paraId="22A3989F" w14:textId="77777777" w:rsidR="00E7786C" w:rsidRPr="00CC1ADD" w:rsidRDefault="00E7786C" w:rsidP="001B1618">
      <w:pPr>
        <w:pStyle w:val="mpcbullets2"/>
        <w:keepNext w:val="0"/>
        <w:ind w:left="850"/>
      </w:pPr>
      <w:r w:rsidRPr="00CC1ADD">
        <w:t xml:space="preserve">providing advice to industry </w:t>
      </w:r>
    </w:p>
    <w:p w14:paraId="7922DBC8" w14:textId="77777777" w:rsidR="00E7786C" w:rsidRPr="00CC1ADD" w:rsidRDefault="00E7786C" w:rsidP="001B1618">
      <w:pPr>
        <w:pStyle w:val="mpcbullets2"/>
        <w:keepNext w:val="0"/>
        <w:ind w:left="850"/>
      </w:pPr>
      <w:r w:rsidRPr="00CC1ADD">
        <w:t>updating guidance materials</w:t>
      </w:r>
    </w:p>
    <w:p w14:paraId="4956878F" w14:textId="77777777" w:rsidR="00E7786C" w:rsidRPr="00CC1ADD" w:rsidRDefault="00E7786C" w:rsidP="00E7786C">
      <w:pPr>
        <w:pStyle w:val="mpcbullets2"/>
        <w:keepNext w:val="0"/>
        <w:ind w:left="850"/>
      </w:pPr>
      <w:r w:rsidRPr="00CC1ADD">
        <w:t>consulting with stakeholders</w:t>
      </w:r>
    </w:p>
    <w:p w14:paraId="179B5530" w14:textId="35473B9D" w:rsidR="00E7786C" w:rsidRPr="00CC1ADD" w:rsidRDefault="00E7786C" w:rsidP="00E7786C">
      <w:pPr>
        <w:pStyle w:val="mpcbullets2"/>
        <w:keepNext w:val="0"/>
        <w:ind w:left="850"/>
      </w:pPr>
      <w:r w:rsidRPr="00CC1ADD">
        <w:t xml:space="preserve">making recommendations to the FRSC (where the issue is significant and </w:t>
      </w:r>
      <w:r w:rsidR="00335668">
        <w:t>has</w:t>
      </w:r>
      <w:r w:rsidRPr="00CC1ADD">
        <w:t xml:space="preserve"> policy</w:t>
      </w:r>
      <w:r w:rsidR="00335668">
        <w:t xml:space="preserve"> ramifications</w:t>
      </w:r>
      <w:r w:rsidRPr="00CC1ADD">
        <w:t xml:space="preserve">) </w:t>
      </w:r>
    </w:p>
    <w:p w14:paraId="3D1FDCEB" w14:textId="77777777" w:rsidR="00E7786C" w:rsidRDefault="00E7786C" w:rsidP="00F720A0">
      <w:pPr>
        <w:pStyle w:val="mpcbullets1"/>
      </w:pPr>
      <w:r>
        <w:t xml:space="preserve">addressing queries or complaints unable to be resolved by the HSR Secretariat </w:t>
      </w:r>
    </w:p>
    <w:p w14:paraId="0A6AEBFB" w14:textId="08C6C098" w:rsidR="00E7786C" w:rsidRDefault="00E7786C" w:rsidP="00F720A0">
      <w:pPr>
        <w:pStyle w:val="mpcbullets1"/>
      </w:pPr>
      <w:r>
        <w:t>determining anomaly applications</w:t>
      </w:r>
    </w:p>
    <w:p w14:paraId="42EBB009" w14:textId="77777777" w:rsidR="00E7786C" w:rsidRPr="00CC1ADD" w:rsidRDefault="00E7786C" w:rsidP="00F720A0">
      <w:pPr>
        <w:pStyle w:val="mpcbullets1"/>
      </w:pPr>
      <w:r w:rsidRPr="00CC1ADD">
        <w:t>managing non-compliance with the HSR System</w:t>
      </w:r>
    </w:p>
    <w:p w14:paraId="66CD176B" w14:textId="77777777" w:rsidR="00E7786C" w:rsidRPr="0084685D" w:rsidRDefault="00E7786C" w:rsidP="00F720A0">
      <w:pPr>
        <w:pStyle w:val="mpcbullets1"/>
      </w:pPr>
      <w:r w:rsidRPr="00CC1ADD">
        <w:t>driving the content and scope of marketing campaigns and other communications, informed by monitoring information.</w:t>
      </w:r>
    </w:p>
    <w:p w14:paraId="65084F04" w14:textId="77777777" w:rsidR="00E7786C" w:rsidRDefault="00E7786C" w:rsidP="005C3022">
      <w:pPr>
        <w:pStyle w:val="mpcNormal"/>
      </w:pPr>
    </w:p>
    <w:p w14:paraId="0ACC42EB" w14:textId="612214D7" w:rsidR="00E7786C" w:rsidRDefault="00E7786C" w:rsidP="005C3022">
      <w:pPr>
        <w:pStyle w:val="mpcNormal"/>
      </w:pPr>
      <w:r w:rsidRPr="00CC1ADD">
        <w:t xml:space="preserve">It is critical for the HSRAC to strategically identify actions needed in response to consumer concerns and changes in confidence and to work with partners in the System (industry, public health groups, health educators and others) to </w:t>
      </w:r>
      <w:r w:rsidR="005C3022">
        <w:t xml:space="preserve">swiftly </w:t>
      </w:r>
      <w:r w:rsidRPr="00CC1ADD">
        <w:t>develop the appropriate response and communicate key messages through a range of avenues.</w:t>
      </w:r>
    </w:p>
    <w:p w14:paraId="592FEB84" w14:textId="77777777" w:rsidR="00E7786C" w:rsidRDefault="00E7786C" w:rsidP="005C3022">
      <w:pPr>
        <w:pStyle w:val="mpcNormal"/>
      </w:pPr>
    </w:p>
    <w:p w14:paraId="147EC858" w14:textId="77777777" w:rsidR="005C3022" w:rsidRDefault="00E7786C" w:rsidP="005C3022">
      <w:pPr>
        <w:pStyle w:val="mpcNormal"/>
      </w:pPr>
      <w:r>
        <w:t xml:space="preserve">To deliver these outcomes over the next two years, it is proposed that the </w:t>
      </w:r>
      <w:r w:rsidRPr="00CC1ADD">
        <w:t>HSRAC</w:t>
      </w:r>
      <w:r>
        <w:t xml:space="preserve"> membership</w:t>
      </w:r>
      <w:r w:rsidR="005C3022">
        <w:t>:</w:t>
      </w:r>
      <w:r>
        <w:t xml:space="preserve"> </w:t>
      </w:r>
    </w:p>
    <w:p w14:paraId="35F9F41C" w14:textId="77777777" w:rsidR="005C3022" w:rsidRDefault="005C3022" w:rsidP="005C3022">
      <w:pPr>
        <w:pStyle w:val="mpcNormal"/>
      </w:pPr>
    </w:p>
    <w:p w14:paraId="6EBE9102" w14:textId="35082CDB" w:rsidR="005C3022" w:rsidRDefault="00E7786C" w:rsidP="00F720A0">
      <w:pPr>
        <w:pStyle w:val="mpcbullets1"/>
      </w:pPr>
      <w:r>
        <w:t>continue to be based on both expertise and representation</w:t>
      </w:r>
      <w:r w:rsidRPr="00BF4A9C">
        <w:t xml:space="preserve"> </w:t>
      </w:r>
      <w:r>
        <w:t xml:space="preserve">(with </w:t>
      </w:r>
      <w:r w:rsidRPr="00CC1ADD">
        <w:t>a reasonable balance of members across government, industry an</w:t>
      </w:r>
      <w:r w:rsidR="005C3022">
        <w:t xml:space="preserve">d </w:t>
      </w:r>
      <w:r w:rsidRPr="00CC1ADD">
        <w:t xml:space="preserve">public health </w:t>
      </w:r>
      <w:r>
        <w:t xml:space="preserve">and </w:t>
      </w:r>
      <w:r w:rsidR="005C3022">
        <w:t xml:space="preserve">from both </w:t>
      </w:r>
      <w:r>
        <w:t xml:space="preserve">Australia and New Zealand) </w:t>
      </w:r>
    </w:p>
    <w:p w14:paraId="7EC95B96" w14:textId="5C5D9B75" w:rsidR="005C3022" w:rsidRDefault="00E7786C" w:rsidP="00F720A0">
      <w:pPr>
        <w:pStyle w:val="mpcbullets1"/>
      </w:pPr>
      <w:r>
        <w:t xml:space="preserve">be </w:t>
      </w:r>
      <w:r w:rsidRPr="00CC1ADD">
        <w:t>reduce</w:t>
      </w:r>
      <w:r w:rsidR="005C3022">
        <w:t>d</w:t>
      </w:r>
      <w:r w:rsidRPr="00CC1ADD">
        <w:t xml:space="preserve"> in size from 10 members to eight</w:t>
      </w:r>
      <w:r>
        <w:t xml:space="preserve"> (reducing cost and streamlining decision making) </w:t>
      </w:r>
    </w:p>
    <w:p w14:paraId="1E6AFEFF" w14:textId="6175F626" w:rsidR="00E7786C" w:rsidRPr="00CC1ADD" w:rsidRDefault="00E7786C" w:rsidP="00F720A0">
      <w:pPr>
        <w:pStyle w:val="mpcbullets1"/>
      </w:pPr>
      <w:r>
        <w:t xml:space="preserve">include </w:t>
      </w:r>
      <w:r w:rsidRPr="00CC1ADD">
        <w:t>one FSANZ representative</w:t>
      </w:r>
      <w:r>
        <w:t xml:space="preserve"> (as discussed below).</w:t>
      </w:r>
      <w:r w:rsidRPr="00CC1ADD">
        <w:t xml:space="preserve"> </w:t>
      </w:r>
    </w:p>
    <w:p w14:paraId="09C54086" w14:textId="7C6266FE" w:rsidR="00E7786C" w:rsidRDefault="00E7786C" w:rsidP="005C3022">
      <w:pPr>
        <w:pStyle w:val="mpcNormal"/>
      </w:pPr>
    </w:p>
    <w:p w14:paraId="6616139C" w14:textId="232B52D1" w:rsidR="00CC6DA9" w:rsidRDefault="00CC6DA9" w:rsidP="005C3022">
      <w:pPr>
        <w:pStyle w:val="mpcNormal"/>
      </w:pPr>
      <w:r>
        <w:t>After the two-year transition period</w:t>
      </w:r>
      <w:r w:rsidR="004D3AE1">
        <w:t>,</w:t>
      </w:r>
      <w:r>
        <w:t xml:space="preserve"> it may no longer be necessary to maintain an HSR specific committee. HSR related matters could then be rolled into the FRSC agenda.</w:t>
      </w:r>
    </w:p>
    <w:p w14:paraId="7ADC5241" w14:textId="77777777" w:rsidR="00CC6DA9" w:rsidRDefault="00CC6DA9" w:rsidP="005C3022">
      <w:pPr>
        <w:pStyle w:val="mpcNormal"/>
      </w:pPr>
    </w:p>
    <w:p w14:paraId="6F491DE2" w14:textId="77777777" w:rsidR="00E7786C" w:rsidRPr="00BF4A9C" w:rsidRDefault="00E7786C" w:rsidP="00A90016">
      <w:pPr>
        <w:pStyle w:val="mpcheading4"/>
      </w:pPr>
      <w:r w:rsidRPr="00BF4A9C">
        <w:t>Role of FSANZ</w:t>
      </w:r>
    </w:p>
    <w:p w14:paraId="630C52B2" w14:textId="77777777" w:rsidR="00E7786C" w:rsidRPr="00BF4A9C" w:rsidRDefault="00E7786C" w:rsidP="00F720A0">
      <w:pPr>
        <w:pStyle w:val="mpcbullets1"/>
        <w:numPr>
          <w:ilvl w:val="0"/>
          <w:numId w:val="0"/>
        </w:numPr>
      </w:pPr>
    </w:p>
    <w:p w14:paraId="6ACD7092" w14:textId="18114A84" w:rsidR="00E7786C" w:rsidRPr="0084685D" w:rsidRDefault="00E7786C" w:rsidP="00F720A0">
      <w:pPr>
        <w:pStyle w:val="mpcbullets1"/>
        <w:numPr>
          <w:ilvl w:val="0"/>
          <w:numId w:val="0"/>
        </w:numPr>
      </w:pPr>
      <w:r w:rsidRPr="0084685D">
        <w:t>To date FSA</w:t>
      </w:r>
      <w:r>
        <w:t>NZ</w:t>
      </w:r>
      <w:r w:rsidRPr="0084685D">
        <w:t xml:space="preserve"> has played an indirect role in the HSR System through their membership on the TAG</w:t>
      </w:r>
      <w:r w:rsidR="005C3022">
        <w:t xml:space="preserve">. To date </w:t>
      </w:r>
      <w:r w:rsidR="00CC6DA9">
        <w:t>O</w:t>
      </w:r>
      <w:r w:rsidR="005C3022">
        <w:t>ther than the HSR Secretariat</w:t>
      </w:r>
      <w:r w:rsidR="00CC6DA9">
        <w:t>,</w:t>
      </w:r>
      <w:r w:rsidR="005C3022">
        <w:t xml:space="preserve"> only the FSANZ representative and</w:t>
      </w:r>
      <w:r w:rsidRPr="0084685D">
        <w:t xml:space="preserve"> </w:t>
      </w:r>
      <w:r w:rsidR="005C3022" w:rsidRPr="0084685D">
        <w:t xml:space="preserve">one industry member </w:t>
      </w:r>
      <w:r w:rsidR="005C3022">
        <w:t>have had</w:t>
      </w:r>
      <w:r w:rsidRPr="0084685D">
        <w:t xml:space="preserve"> access to the TAG database</w:t>
      </w:r>
      <w:r w:rsidR="00A90016">
        <w:t>,</w:t>
      </w:r>
      <w:r w:rsidRPr="0084685D">
        <w:t xml:space="preserve"> </w:t>
      </w:r>
      <w:r w:rsidR="00CC6DA9">
        <w:t xml:space="preserve">which is used to </w:t>
      </w:r>
      <w:r w:rsidR="005C3022">
        <w:t xml:space="preserve">model </w:t>
      </w:r>
      <w:r w:rsidR="00A90016">
        <w:t xml:space="preserve">possible </w:t>
      </w:r>
      <w:r w:rsidR="005C3022">
        <w:t>changes to the</w:t>
      </w:r>
      <w:r w:rsidRPr="0084685D">
        <w:t xml:space="preserve"> HSR </w:t>
      </w:r>
      <w:r w:rsidR="005C3022">
        <w:t>C</w:t>
      </w:r>
      <w:r w:rsidRPr="0084685D">
        <w:t>alculator.</w:t>
      </w:r>
    </w:p>
    <w:p w14:paraId="66647F2F" w14:textId="77777777" w:rsidR="00E7786C" w:rsidRPr="0084685D" w:rsidRDefault="00E7786C" w:rsidP="00F720A0">
      <w:pPr>
        <w:pStyle w:val="mpcbullets1"/>
        <w:numPr>
          <w:ilvl w:val="0"/>
          <w:numId w:val="0"/>
        </w:numPr>
      </w:pPr>
    </w:p>
    <w:p w14:paraId="38700883" w14:textId="41EA8991" w:rsidR="00E7786C" w:rsidRDefault="00E7786C" w:rsidP="00F720A0">
      <w:pPr>
        <w:pStyle w:val="mpcbullets1"/>
        <w:numPr>
          <w:ilvl w:val="0"/>
          <w:numId w:val="0"/>
        </w:numPr>
      </w:pPr>
      <w:r w:rsidRPr="0084685D">
        <w:t xml:space="preserve">FSANZ </w:t>
      </w:r>
      <w:r w:rsidR="005C3022">
        <w:t xml:space="preserve">is a </w:t>
      </w:r>
      <w:r w:rsidRPr="0084685D">
        <w:t>re</w:t>
      </w:r>
      <w:r>
        <w:t>spected</w:t>
      </w:r>
      <w:r w:rsidR="005C3022">
        <w:t>, trusted organisation</w:t>
      </w:r>
      <w:r>
        <w:t xml:space="preserve"> </w:t>
      </w:r>
      <w:r w:rsidRPr="0084685D">
        <w:t xml:space="preserve">and </w:t>
      </w:r>
      <w:r w:rsidR="005C3022">
        <w:t>FSANZ staff</w:t>
      </w:r>
      <w:r>
        <w:t xml:space="preserve"> </w:t>
      </w:r>
      <w:r w:rsidR="005C3022">
        <w:t>generally have</w:t>
      </w:r>
      <w:r w:rsidRPr="0084685D">
        <w:t xml:space="preserve"> </w:t>
      </w:r>
      <w:r w:rsidR="005C3022">
        <w:t>the technical expertise and knowledge of the Australian and New Zealand food system, food science and nutrition</w:t>
      </w:r>
      <w:r w:rsidR="005C3022" w:rsidRPr="005C3022">
        <w:t xml:space="preserve"> </w:t>
      </w:r>
      <w:r w:rsidR="005C3022">
        <w:t>(</w:t>
      </w:r>
      <w:r w:rsidR="005C3022" w:rsidRPr="0084685D">
        <w:t>including Di</w:t>
      </w:r>
      <w:r w:rsidR="005C3022">
        <w:t>etary</w:t>
      </w:r>
      <w:r w:rsidR="005C3022" w:rsidRPr="0084685D">
        <w:t xml:space="preserve"> Guidelines, </w:t>
      </w:r>
      <w:r w:rsidR="005C3022">
        <w:t>the NPSC, N</w:t>
      </w:r>
      <w:r w:rsidR="005C3022" w:rsidRPr="0084685D">
        <w:t>IP requi</w:t>
      </w:r>
      <w:r w:rsidR="005C3022">
        <w:t>r</w:t>
      </w:r>
      <w:r w:rsidR="005C3022" w:rsidRPr="0084685D">
        <w:t>ements</w:t>
      </w:r>
      <w:r w:rsidR="005C3022">
        <w:t xml:space="preserve">, </w:t>
      </w:r>
      <w:r w:rsidR="005C3022" w:rsidRPr="0084685D">
        <w:t>labe</w:t>
      </w:r>
      <w:r w:rsidR="005C3022">
        <w:t>lling</w:t>
      </w:r>
      <w:r w:rsidR="005C3022" w:rsidRPr="0084685D">
        <w:t xml:space="preserve"> </w:t>
      </w:r>
      <w:r w:rsidR="005C3022">
        <w:t xml:space="preserve">and related </w:t>
      </w:r>
      <w:r w:rsidR="005C3022" w:rsidRPr="0084685D">
        <w:t>standards</w:t>
      </w:r>
      <w:r w:rsidR="005C3022">
        <w:t xml:space="preserve">), which underpin the functioning of the </w:t>
      </w:r>
      <w:r w:rsidRPr="0084685D">
        <w:t>HSR System</w:t>
      </w:r>
      <w:r>
        <w:t>.</w:t>
      </w:r>
    </w:p>
    <w:p w14:paraId="3D036CA5" w14:textId="77777777" w:rsidR="00E7786C" w:rsidRDefault="00E7786C" w:rsidP="00F720A0">
      <w:pPr>
        <w:pStyle w:val="mpcbullets1"/>
        <w:numPr>
          <w:ilvl w:val="0"/>
          <w:numId w:val="0"/>
        </w:numPr>
      </w:pPr>
    </w:p>
    <w:p w14:paraId="4D92A55E" w14:textId="54EFED05" w:rsidR="004D3AE1" w:rsidRDefault="004D3AE1" w:rsidP="00F720A0">
      <w:pPr>
        <w:pStyle w:val="mpcbullets1"/>
        <w:numPr>
          <w:ilvl w:val="0"/>
          <w:numId w:val="0"/>
        </w:numPr>
      </w:pPr>
      <w:r>
        <w:t>The Review considers that the governance arrangements would benefit from:</w:t>
      </w:r>
    </w:p>
    <w:p w14:paraId="1364C085" w14:textId="77777777" w:rsidR="004D3AE1" w:rsidRDefault="004D3AE1" w:rsidP="00F720A0">
      <w:pPr>
        <w:pStyle w:val="mpcbullets1"/>
        <w:numPr>
          <w:ilvl w:val="0"/>
          <w:numId w:val="0"/>
        </w:numPr>
      </w:pPr>
    </w:p>
    <w:p w14:paraId="0DDEE88F" w14:textId="77777777" w:rsidR="004D3AE1" w:rsidRDefault="004D3AE1" w:rsidP="00F720A0">
      <w:pPr>
        <w:pStyle w:val="mpcbullets1"/>
      </w:pPr>
      <w:r>
        <w:t xml:space="preserve">representation of FSANZ on the HSRAC </w:t>
      </w:r>
    </w:p>
    <w:p w14:paraId="3B8C6E85" w14:textId="1CB5E979" w:rsidR="004D3AE1" w:rsidRDefault="004D3AE1" w:rsidP="00F720A0">
      <w:pPr>
        <w:pStyle w:val="mpcbullets1"/>
      </w:pPr>
      <w:r>
        <w:t>FSANZ managing the HSR Calculator and the TAG database</w:t>
      </w:r>
    </w:p>
    <w:p w14:paraId="1578C37A" w14:textId="1E72EF8F" w:rsidR="004D3AE1" w:rsidRDefault="004D3AE1" w:rsidP="00F720A0">
      <w:pPr>
        <w:pStyle w:val="mpcbullets1"/>
      </w:pPr>
      <w:r>
        <w:t xml:space="preserve">FSANZ providing advice to the HSR Secretariat and the HSRAC (on request) to assist them to resolve anomalies, respond to queries and model the impact of potential changes to the HSR Calculator. This would be a similar role to that played by the TAG </w:t>
      </w:r>
      <w:r w:rsidR="00A90016">
        <w:t>in the lead up to</w:t>
      </w:r>
      <w:r>
        <w:t xml:space="preserve"> the Review.</w:t>
      </w:r>
    </w:p>
    <w:p w14:paraId="37BF30F4" w14:textId="29C731CB" w:rsidR="005C3022" w:rsidRDefault="005C3022" w:rsidP="00F720A0">
      <w:pPr>
        <w:pStyle w:val="mpcbullets1"/>
        <w:numPr>
          <w:ilvl w:val="0"/>
          <w:numId w:val="0"/>
        </w:numPr>
      </w:pPr>
    </w:p>
    <w:p w14:paraId="550F710F" w14:textId="53EDBCD2" w:rsidR="00E7786C" w:rsidRDefault="00E7786C" w:rsidP="00F720A0">
      <w:pPr>
        <w:pStyle w:val="mpcbullets1"/>
        <w:numPr>
          <w:ilvl w:val="0"/>
          <w:numId w:val="0"/>
        </w:numPr>
      </w:pPr>
      <w:r>
        <w:t xml:space="preserve">Any stakeholder complaints or queries about the HSR </w:t>
      </w:r>
      <w:r w:rsidR="00364BC9">
        <w:t xml:space="preserve">System </w:t>
      </w:r>
      <w:r>
        <w:t>(including the HSR Calculator) would continue to be directed through the HSR Secretariat.</w:t>
      </w:r>
    </w:p>
    <w:p w14:paraId="4C713CD7" w14:textId="77777777" w:rsidR="00E7786C" w:rsidRDefault="00E7786C" w:rsidP="00E7786C">
      <w:pPr>
        <w:pStyle w:val="mpcNormal"/>
        <w:rPr>
          <w:rFonts w:eastAsia="Times New Roman"/>
          <w:color w:val="000000"/>
        </w:rPr>
      </w:pPr>
    </w:p>
    <w:p w14:paraId="2F37EFA1" w14:textId="42555A65" w:rsidR="00E7786C" w:rsidRDefault="00E7786C" w:rsidP="00E7786C">
      <w:pPr>
        <w:pStyle w:val="mpcNormal"/>
        <w:rPr>
          <w:rFonts w:eastAsia="Times New Roman"/>
          <w:b/>
          <w:color w:val="000000"/>
        </w:rPr>
      </w:pPr>
      <w:r w:rsidRPr="001B370E">
        <w:rPr>
          <w:rFonts w:eastAsia="Times New Roman"/>
          <w:b/>
          <w:color w:val="000000"/>
        </w:rPr>
        <w:t>Rol</w:t>
      </w:r>
      <w:r>
        <w:rPr>
          <w:rFonts w:eastAsia="Times New Roman"/>
          <w:b/>
          <w:color w:val="000000"/>
        </w:rPr>
        <w:t>e</w:t>
      </w:r>
      <w:r w:rsidRPr="001B370E">
        <w:rPr>
          <w:rFonts w:eastAsia="Times New Roman"/>
          <w:b/>
          <w:color w:val="000000"/>
        </w:rPr>
        <w:t xml:space="preserve"> of the </w:t>
      </w:r>
      <w:r w:rsidR="00A90016">
        <w:rPr>
          <w:rFonts w:eastAsia="Times New Roman"/>
          <w:b/>
          <w:color w:val="000000"/>
        </w:rPr>
        <w:t xml:space="preserve">HSR </w:t>
      </w:r>
      <w:r w:rsidRPr="001B370E">
        <w:rPr>
          <w:rFonts w:eastAsia="Times New Roman"/>
          <w:b/>
          <w:color w:val="000000"/>
        </w:rPr>
        <w:t>Secreta</w:t>
      </w:r>
      <w:r>
        <w:rPr>
          <w:rFonts w:eastAsia="Times New Roman"/>
          <w:b/>
          <w:color w:val="000000"/>
        </w:rPr>
        <w:t>r</w:t>
      </w:r>
      <w:r w:rsidRPr="001B370E">
        <w:rPr>
          <w:rFonts w:eastAsia="Times New Roman"/>
          <w:b/>
          <w:color w:val="000000"/>
        </w:rPr>
        <w:t xml:space="preserve">iat </w:t>
      </w:r>
    </w:p>
    <w:p w14:paraId="0FF0C011" w14:textId="77777777" w:rsidR="00E7786C" w:rsidRDefault="00E7786C" w:rsidP="00E7786C">
      <w:pPr>
        <w:pStyle w:val="mpcNormal"/>
        <w:rPr>
          <w:rFonts w:eastAsia="Times New Roman"/>
          <w:b/>
          <w:color w:val="000000"/>
        </w:rPr>
      </w:pPr>
    </w:p>
    <w:p w14:paraId="22051815" w14:textId="77777777" w:rsidR="00E7786C" w:rsidRDefault="00E7786C" w:rsidP="00E7786C">
      <w:pPr>
        <w:pStyle w:val="mpcNormal"/>
      </w:pPr>
      <w:r w:rsidRPr="00541E05">
        <w:t xml:space="preserve">It is proposed that for </w:t>
      </w:r>
      <w:r>
        <w:t xml:space="preserve">the </w:t>
      </w:r>
      <w:r w:rsidRPr="00541E05">
        <w:t>per</w:t>
      </w:r>
      <w:r>
        <w:t>iod</w:t>
      </w:r>
      <w:r w:rsidRPr="00541E05">
        <w:t xml:space="preserve"> o</w:t>
      </w:r>
      <w:r>
        <w:t>f</w:t>
      </w:r>
      <w:r w:rsidRPr="00541E05">
        <w:t xml:space="preserve"> the transition, the HSR Secre</w:t>
      </w:r>
      <w:r>
        <w:t xml:space="preserve">tariat </w:t>
      </w:r>
      <w:r w:rsidRPr="00541E05">
        <w:t>continue to support the HSRAC</w:t>
      </w:r>
      <w:r>
        <w:t>, as well as:</w:t>
      </w:r>
    </w:p>
    <w:p w14:paraId="3879912E" w14:textId="77777777" w:rsidR="00E7786C" w:rsidRDefault="00E7786C" w:rsidP="00E7786C">
      <w:pPr>
        <w:pStyle w:val="mpcNormal"/>
      </w:pPr>
    </w:p>
    <w:p w14:paraId="2AC36A5A" w14:textId="2614F642" w:rsidR="00E7786C" w:rsidRDefault="00E7786C" w:rsidP="00F720A0">
      <w:pPr>
        <w:pStyle w:val="mpcbullets1"/>
      </w:pPr>
      <w:r>
        <w:t>develop revised guidance materials (</w:t>
      </w:r>
      <w:r w:rsidR="00364BC9">
        <w:t>refer</w:t>
      </w:r>
      <w:r>
        <w:t xml:space="preserve"> Chap</w:t>
      </w:r>
      <w:r w:rsidR="00364BC9">
        <w:t>t</w:t>
      </w:r>
      <w:r>
        <w:t>er</w:t>
      </w:r>
      <w:r w:rsidR="00364BC9">
        <w:t xml:space="preserve"> </w:t>
      </w:r>
      <w:r>
        <w:t xml:space="preserve">7) for consideration by </w:t>
      </w:r>
      <w:r w:rsidR="00364BC9">
        <w:t xml:space="preserve">the </w:t>
      </w:r>
      <w:r>
        <w:t>HSRAC</w:t>
      </w:r>
    </w:p>
    <w:p w14:paraId="25D3D3F7" w14:textId="77777777" w:rsidR="00E7786C" w:rsidRPr="00CC1ADD" w:rsidRDefault="00E7786C" w:rsidP="00F720A0">
      <w:pPr>
        <w:pStyle w:val="mpcbullets1"/>
      </w:pPr>
      <w:r w:rsidRPr="00CC1ADD">
        <w:t>provide a consumer and industry information/enquiry service</w:t>
      </w:r>
    </w:p>
    <w:p w14:paraId="4A777954" w14:textId="026243FE" w:rsidR="00E7786C" w:rsidRPr="00CC1ADD" w:rsidRDefault="00364BC9" w:rsidP="00F720A0">
      <w:pPr>
        <w:pStyle w:val="mpcbullets1"/>
      </w:pPr>
      <w:r>
        <w:t>manage</w:t>
      </w:r>
      <w:r w:rsidR="00E7786C" w:rsidRPr="00CC1ADD">
        <w:t xml:space="preserve"> applications for consideration of anomalies</w:t>
      </w:r>
    </w:p>
    <w:p w14:paraId="64767A1C" w14:textId="77777777" w:rsidR="00E7786C" w:rsidRPr="00CC1ADD" w:rsidRDefault="00E7786C" w:rsidP="00F720A0">
      <w:pPr>
        <w:pStyle w:val="mpcbullets1"/>
      </w:pPr>
      <w:r w:rsidRPr="00CC1ADD">
        <w:t>manage intellectual property and licensing issues associated with the HSR System</w:t>
      </w:r>
    </w:p>
    <w:p w14:paraId="303761E9" w14:textId="54A27404" w:rsidR="00E7786C" w:rsidRPr="00CC1ADD" w:rsidRDefault="00364BC9" w:rsidP="00F720A0">
      <w:pPr>
        <w:pStyle w:val="mpcbullets1"/>
      </w:pPr>
      <w:r>
        <w:t xml:space="preserve">manage the HSR </w:t>
      </w:r>
      <w:r w:rsidR="00A90016">
        <w:t xml:space="preserve">System </w:t>
      </w:r>
      <w:r>
        <w:t xml:space="preserve">website and </w:t>
      </w:r>
      <w:r w:rsidR="00E7786C" w:rsidRPr="00CC1ADD">
        <w:t xml:space="preserve">develop resources for </w:t>
      </w:r>
      <w:r>
        <w:t>publication through the website</w:t>
      </w:r>
    </w:p>
    <w:p w14:paraId="57B3E409" w14:textId="77777777" w:rsidR="00E7786C" w:rsidRPr="00CC1ADD" w:rsidRDefault="00E7786C" w:rsidP="00F720A0">
      <w:pPr>
        <w:pStyle w:val="mpcbullets1"/>
      </w:pPr>
      <w:r w:rsidRPr="00CC1ADD">
        <w:t>co-ordinate</w:t>
      </w:r>
      <w:r>
        <w:t xml:space="preserve"> any public</w:t>
      </w:r>
      <w:r w:rsidRPr="00CC1ADD">
        <w:t xml:space="preserve"> consultation on HSR System issues</w:t>
      </w:r>
      <w:r>
        <w:t>.</w:t>
      </w:r>
    </w:p>
    <w:p w14:paraId="66B3AD23" w14:textId="77777777" w:rsidR="004D3AE1" w:rsidRDefault="004D3AE1" w:rsidP="004D3AE1">
      <w:pPr>
        <w:pStyle w:val="mpcNormal"/>
      </w:pPr>
    </w:p>
    <w:p w14:paraId="160612FA" w14:textId="4648C89F" w:rsidR="004D3AE1" w:rsidRDefault="004D3AE1" w:rsidP="004D3AE1">
      <w:pPr>
        <w:pStyle w:val="mpcNormal"/>
      </w:pPr>
      <w:r>
        <w:t>After the two-year transition period, it may no longer be necessary to maintain a separate HSR Secretariat. This role could be combined with that of the existing Food Regulation Secretariat.</w:t>
      </w:r>
    </w:p>
    <w:p w14:paraId="00CA29D6" w14:textId="77777777" w:rsidR="004D3AE1" w:rsidRDefault="004D3AE1" w:rsidP="00E7786C">
      <w:pPr>
        <w:pStyle w:val="mpcNormal"/>
      </w:pPr>
    </w:p>
    <w:p w14:paraId="54ADB434" w14:textId="0B133FB0" w:rsidR="00E7786C" w:rsidRPr="00CC1ADD" w:rsidRDefault="00E7786C" w:rsidP="00E7786C">
      <w:pPr>
        <w:pStyle w:val="mpcNormal"/>
      </w:pPr>
      <w:r>
        <w:t xml:space="preserve">A proposed governance structure, including roles and responsibilities is at Figure </w:t>
      </w:r>
      <w:r w:rsidR="00372E4A">
        <w:t>1</w:t>
      </w:r>
      <w:r w:rsidR="004D3AE1">
        <w:t>1</w:t>
      </w:r>
      <w:r>
        <w:t>.</w:t>
      </w:r>
    </w:p>
    <w:p w14:paraId="26E70356" w14:textId="65C9429E" w:rsidR="00E7786C" w:rsidRDefault="00E7786C" w:rsidP="00364BC9">
      <w:pPr>
        <w:pStyle w:val="mpcNormal"/>
        <w:jc w:val="center"/>
      </w:pPr>
    </w:p>
    <w:p w14:paraId="74E3BBD8" w14:textId="4771E1A9" w:rsidR="004D3AE1" w:rsidRPr="00CC1ADD" w:rsidRDefault="0000694B" w:rsidP="004D3AE1">
      <w:pPr>
        <w:pStyle w:val="mpcNormal"/>
        <w:jc w:val="center"/>
      </w:pPr>
      <w:r w:rsidRPr="0000694B">
        <w:rPr>
          <w:noProof/>
          <w:lang w:eastAsia="en-AU"/>
        </w:rPr>
        <w:drawing>
          <wp:inline distT="0" distB="0" distL="0" distR="0" wp14:anchorId="76EAE1C3" wp14:editId="354BAE1D">
            <wp:extent cx="4596963" cy="4353369"/>
            <wp:effectExtent l="0" t="0" r="635" b="3175"/>
            <wp:docPr id="42" name="Picture 42" descr="Governance structure showing the HSR Secretariat reporting to and supporting the HSRAC, FSANZ provding advice to the HSRAC, the HSRAC reporting to the FRSC and the FRSC reporting to the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1418" t="1491" r="1428" b="1757"/>
                    <a:stretch/>
                  </pic:blipFill>
                  <pic:spPr bwMode="auto">
                    <a:xfrm>
                      <a:off x="0" y="0"/>
                      <a:ext cx="4607859" cy="4363688"/>
                    </a:xfrm>
                    <a:prstGeom prst="rect">
                      <a:avLst/>
                    </a:prstGeom>
                    <a:ln>
                      <a:noFill/>
                    </a:ln>
                    <a:extLst>
                      <a:ext uri="{53640926-AAD7-44D8-BBD7-CCE9431645EC}">
                        <a14:shadowObscured xmlns:a14="http://schemas.microsoft.com/office/drawing/2010/main"/>
                      </a:ext>
                    </a:extLst>
                  </pic:spPr>
                </pic:pic>
              </a:graphicData>
            </a:graphic>
          </wp:inline>
        </w:drawing>
      </w:r>
    </w:p>
    <w:p w14:paraId="1963AE93" w14:textId="23D8A05D" w:rsidR="00E7786C" w:rsidRPr="00335668" w:rsidRDefault="00E7786C" w:rsidP="00E7786C">
      <w:pPr>
        <w:jc w:val="center"/>
        <w:rPr>
          <w:sz w:val="20"/>
        </w:rPr>
      </w:pPr>
      <w:r w:rsidRPr="00335668">
        <w:rPr>
          <w:b/>
          <w:sz w:val="20"/>
        </w:rPr>
        <w:t xml:space="preserve">Figure </w:t>
      </w:r>
      <w:r w:rsidR="00372E4A">
        <w:rPr>
          <w:b/>
          <w:sz w:val="20"/>
        </w:rPr>
        <w:t>1</w:t>
      </w:r>
      <w:r w:rsidR="004D3AE1">
        <w:rPr>
          <w:b/>
          <w:sz w:val="20"/>
        </w:rPr>
        <w:t>1</w:t>
      </w:r>
      <w:r w:rsidRPr="00335668">
        <w:rPr>
          <w:b/>
          <w:sz w:val="20"/>
        </w:rPr>
        <w:t>:</w:t>
      </w:r>
      <w:r w:rsidRPr="00335668">
        <w:rPr>
          <w:sz w:val="20"/>
        </w:rPr>
        <w:t xml:space="preserve"> Proposed governance structure for the management of the HSR System moving forward.</w:t>
      </w:r>
    </w:p>
    <w:p w14:paraId="202CF0A8" w14:textId="77777777" w:rsidR="00E7786C" w:rsidRPr="00CC1ADD" w:rsidRDefault="00E7786C" w:rsidP="00E7786C">
      <w:pPr>
        <w:pStyle w:val="mpcNormal"/>
      </w:pPr>
    </w:p>
    <w:p w14:paraId="771919CC" w14:textId="3B31B8B3" w:rsidR="00E7786C" w:rsidRPr="001B370E" w:rsidRDefault="00335668" w:rsidP="00E7786C">
      <w:pPr>
        <w:pStyle w:val="mpcheading3"/>
        <w:keepNext/>
      </w:pPr>
      <w:r>
        <w:t>I</w:t>
      </w:r>
      <w:r w:rsidR="00E7786C" w:rsidRPr="00C201C7">
        <w:t>mprov</w:t>
      </w:r>
      <w:r>
        <w:t>ing</w:t>
      </w:r>
      <w:r w:rsidR="00E7786C" w:rsidRPr="00C201C7">
        <w:t xml:space="preserve"> transparency </w:t>
      </w:r>
    </w:p>
    <w:p w14:paraId="18FF8CDD" w14:textId="77777777" w:rsidR="00E7786C" w:rsidRDefault="00E7786C" w:rsidP="00E7786C">
      <w:pPr>
        <w:pStyle w:val="mpcNormal"/>
      </w:pPr>
    </w:p>
    <w:p w14:paraId="1ECBC78A" w14:textId="5388A304" w:rsidR="00E7786C" w:rsidRPr="00CC1ADD" w:rsidRDefault="00E7786C" w:rsidP="00E7786C">
      <w:pPr>
        <w:pStyle w:val="mpcNormal"/>
      </w:pPr>
      <w:r>
        <w:t>Some p</w:t>
      </w:r>
      <w:r w:rsidRPr="00CC1ADD">
        <w:t>ublic submissions to the Review in October 2017 highlighted concerns about the transparency of the HSR System</w:t>
      </w:r>
      <w:r>
        <w:t xml:space="preserve">. </w:t>
      </w:r>
      <w:r w:rsidRPr="00CC1ADD">
        <w:t xml:space="preserve">For example, </w:t>
      </w:r>
      <w:r>
        <w:t>some</w:t>
      </w:r>
      <w:r w:rsidRPr="00CC1ADD">
        <w:t xml:space="preserve"> stakeholders suggested there was inadequate information about</w:t>
      </w:r>
      <w:r>
        <w:t xml:space="preserve"> </w:t>
      </w:r>
      <w:r w:rsidRPr="00CC1ADD">
        <w:t>committee members</w:t>
      </w:r>
      <w:r>
        <w:t xml:space="preserve">, </w:t>
      </w:r>
      <w:r w:rsidRPr="00CC1ADD">
        <w:t>the anomaly and dispute resolution process</w:t>
      </w:r>
      <w:r>
        <w:t xml:space="preserve">es, </w:t>
      </w:r>
      <w:r w:rsidRPr="00CC1ADD">
        <w:t>the outcomes of HSRAC meetings</w:t>
      </w:r>
      <w:r>
        <w:t xml:space="preserve">, </w:t>
      </w:r>
      <w:r w:rsidRPr="00CC1ADD">
        <w:t xml:space="preserve">the campaigns </w:t>
      </w:r>
      <w:r>
        <w:t xml:space="preserve">and the </w:t>
      </w:r>
      <w:r w:rsidRPr="00CC1ADD">
        <w:t>monitoring of the HSR System.</w:t>
      </w:r>
    </w:p>
    <w:p w14:paraId="0AB2B707" w14:textId="77777777" w:rsidR="00E7786C" w:rsidRDefault="00E7786C" w:rsidP="00E7786C">
      <w:pPr>
        <w:pStyle w:val="mpcNormal"/>
      </w:pPr>
    </w:p>
    <w:p w14:paraId="05243C5F" w14:textId="7FDDF6A8" w:rsidR="00E7786C" w:rsidRDefault="00E7786C" w:rsidP="00E7786C">
      <w:pPr>
        <w:pStyle w:val="mpcNormal"/>
      </w:pPr>
      <w:r w:rsidRPr="00CC1ADD">
        <w:t xml:space="preserve">While some of this information was not available when the HSR System was first implemented in 2013, all of this information is now available on the HSR </w:t>
      </w:r>
      <w:r>
        <w:t xml:space="preserve">System </w:t>
      </w:r>
      <w:r w:rsidRPr="00CC1ADD">
        <w:t>website.</w:t>
      </w:r>
      <w:r>
        <w:t xml:space="preserve"> </w:t>
      </w:r>
      <w:r w:rsidRPr="00CC1ADD">
        <w:t>For example, the HSR System website includes:</w:t>
      </w:r>
    </w:p>
    <w:p w14:paraId="014C9188" w14:textId="77777777" w:rsidR="00364BC9" w:rsidRDefault="00364BC9" w:rsidP="00E7786C">
      <w:pPr>
        <w:pStyle w:val="mpcNormal"/>
      </w:pPr>
    </w:p>
    <w:p w14:paraId="43AB1768" w14:textId="77777777" w:rsidR="00364BC9" w:rsidRPr="00CC1ADD" w:rsidRDefault="00364BC9" w:rsidP="00F720A0">
      <w:pPr>
        <w:pStyle w:val="mpcbullets1"/>
      </w:pPr>
      <w:r w:rsidRPr="00CC1ADD">
        <w:t xml:space="preserve">information about the </w:t>
      </w:r>
      <w:hyperlink r:id="rId73" w:history="1">
        <w:r w:rsidRPr="00C94F1E">
          <w:rPr>
            <w:rStyle w:val="Hyperlink"/>
          </w:rPr>
          <w:t>governance committees</w:t>
        </w:r>
      </w:hyperlink>
      <w:r w:rsidRPr="00CC1ADD">
        <w:t xml:space="preserve"> including:</w:t>
      </w:r>
      <w:r>
        <w:t xml:space="preserve"> </w:t>
      </w:r>
      <w:r w:rsidRPr="00CC1ADD">
        <w:t>Terms of Reference for the HSRAC and the TAG</w:t>
      </w:r>
      <w:r>
        <w:t xml:space="preserve">; </w:t>
      </w:r>
      <w:r w:rsidRPr="00CC1ADD">
        <w:t>profiles of HSRAC and TAG members, providing transparency regarding membership and each member’s credentials</w:t>
      </w:r>
      <w:r>
        <w:t xml:space="preserve">; </w:t>
      </w:r>
      <w:r w:rsidRPr="00CC1ADD">
        <w:t>outcomes of HSRAC meetings since 2014</w:t>
      </w:r>
      <w:r>
        <w:t xml:space="preserve">; </w:t>
      </w:r>
      <w:r w:rsidRPr="00CC1ADD">
        <w:t xml:space="preserve">a Declaration of Interest Register recording, since 2014, the relevant HSRAC member, their declaration and the outcome </w:t>
      </w:r>
    </w:p>
    <w:p w14:paraId="15ADD244" w14:textId="77777777" w:rsidR="00364BC9" w:rsidRPr="00CC1ADD" w:rsidRDefault="00276EB3" w:rsidP="00F720A0">
      <w:pPr>
        <w:pStyle w:val="mpcbullets1"/>
      </w:pPr>
      <w:hyperlink r:id="rId74" w:history="1">
        <w:r w:rsidR="00364BC9" w:rsidRPr="00C94F1E">
          <w:rPr>
            <w:rStyle w:val="Hyperlink"/>
          </w:rPr>
          <w:t>campaign materials and public relations resources</w:t>
        </w:r>
      </w:hyperlink>
      <w:r w:rsidR="00364BC9" w:rsidRPr="00CC1ADD">
        <w:t xml:space="preserve"> including:</w:t>
      </w:r>
      <w:r w:rsidR="00364BC9">
        <w:t xml:space="preserve"> </w:t>
      </w:r>
      <w:r w:rsidR="00364BC9" w:rsidRPr="00CC1ADD">
        <w:t>campaign objectives</w:t>
      </w:r>
    </w:p>
    <w:p w14:paraId="48683A3E" w14:textId="77777777" w:rsidR="00364BC9" w:rsidRPr="00CC1ADD" w:rsidRDefault="00364BC9" w:rsidP="00F720A0">
      <w:pPr>
        <w:pStyle w:val="mpcbullets1"/>
      </w:pPr>
      <w:r w:rsidRPr="00CC1ADD">
        <w:t>print advertisements, out of home advertisements, online advertisements and video transcripts and links to videos</w:t>
      </w:r>
      <w:r>
        <w:t xml:space="preserve">; </w:t>
      </w:r>
      <w:r w:rsidRPr="00CC1ADD">
        <w:t>fact sheets, posters, infographics, photo albums, articles about the HSR and links to social media accounts</w:t>
      </w:r>
    </w:p>
    <w:p w14:paraId="618F378F" w14:textId="77777777" w:rsidR="00364BC9" w:rsidRPr="00CC1ADD" w:rsidRDefault="00276EB3" w:rsidP="00F720A0">
      <w:pPr>
        <w:pStyle w:val="mpcbullets1"/>
      </w:pPr>
      <w:hyperlink r:id="rId75" w:history="1">
        <w:r w:rsidR="00364BC9" w:rsidRPr="00C94F1E">
          <w:rPr>
            <w:rStyle w:val="Hyperlink"/>
          </w:rPr>
          <w:t>research and evaluations</w:t>
        </w:r>
      </w:hyperlink>
      <w:r w:rsidR="00364BC9" w:rsidRPr="00CC1ADD">
        <w:t xml:space="preserve"> including:</w:t>
      </w:r>
      <w:r w:rsidR="00364BC9">
        <w:t xml:space="preserve"> </w:t>
      </w:r>
      <w:r w:rsidR="00364BC9" w:rsidRPr="00CC1ADD">
        <w:t>qualitative and quantitative research that informed the HSR System and the campaigns</w:t>
      </w:r>
      <w:r w:rsidR="00364BC9">
        <w:t xml:space="preserve">; </w:t>
      </w:r>
      <w:r w:rsidR="00364BC9" w:rsidRPr="00CC1ADD">
        <w:t>evaluation of 2015, 2016 and 2017 campaign activity</w:t>
      </w:r>
      <w:r w:rsidR="00364BC9">
        <w:t xml:space="preserve">; </w:t>
      </w:r>
      <w:r w:rsidR="00364BC9" w:rsidRPr="00CC1ADD">
        <w:t>details of the outcomes of the two-year review</w:t>
      </w:r>
      <w:r w:rsidR="00364BC9">
        <w:t xml:space="preserve">; </w:t>
      </w:r>
      <w:r w:rsidR="00364BC9" w:rsidRPr="00CC1ADD">
        <w:t>progress reports on monitoring the implementation of the HSR System</w:t>
      </w:r>
    </w:p>
    <w:p w14:paraId="4E535D63" w14:textId="77777777" w:rsidR="00364BC9" w:rsidRPr="00CC1ADD" w:rsidRDefault="00364BC9" w:rsidP="00F720A0">
      <w:pPr>
        <w:pStyle w:val="mpcbullets1"/>
      </w:pPr>
      <w:r w:rsidRPr="00CC1ADD">
        <w:t xml:space="preserve">the </w:t>
      </w:r>
      <w:hyperlink r:id="rId76" w:history="1">
        <w:r w:rsidRPr="00C94F1E">
          <w:rPr>
            <w:rStyle w:val="Hyperlink"/>
          </w:rPr>
          <w:t>process for assessing anomalies and a register of potential anomalies</w:t>
        </w:r>
      </w:hyperlink>
      <w:r w:rsidRPr="00CC1ADD">
        <w:t xml:space="preserve"> including</w:t>
      </w:r>
      <w:r>
        <w:t xml:space="preserve">: </w:t>
      </w:r>
      <w:r w:rsidRPr="00CC1ADD">
        <w:t>the date the potential anomaly was submitted (dating back to 3 April 2014)</w:t>
      </w:r>
      <w:r>
        <w:t xml:space="preserve">; </w:t>
      </w:r>
      <w:r w:rsidRPr="00CC1ADD">
        <w:t>a brief description of the application (as submitted by the applicant)</w:t>
      </w:r>
      <w:r>
        <w:t xml:space="preserve">; </w:t>
      </w:r>
      <w:r w:rsidRPr="00CC1ADD">
        <w:t>the date the potential anomaly was considered by the HSRAC</w:t>
      </w:r>
      <w:r>
        <w:t xml:space="preserve">; </w:t>
      </w:r>
      <w:r w:rsidRPr="00CC1ADD">
        <w:t xml:space="preserve">the HSRAC’s determination of the issue, the rationale and the next steps </w:t>
      </w:r>
    </w:p>
    <w:p w14:paraId="6F328324" w14:textId="77777777" w:rsidR="00364BC9" w:rsidRPr="00335668" w:rsidRDefault="00276EB3" w:rsidP="00F720A0">
      <w:pPr>
        <w:pStyle w:val="mpcbullets1"/>
      </w:pPr>
      <w:hyperlink r:id="rId77" w:history="1">
        <w:r w:rsidR="00364BC9" w:rsidRPr="00C94F1E">
          <w:rPr>
            <w:rStyle w:val="Hyperlink"/>
          </w:rPr>
          <w:t>companies implementing the HSR</w:t>
        </w:r>
      </w:hyperlink>
      <w:r w:rsidR="00364BC9" w:rsidRPr="00CC1ADD">
        <w:t>.</w:t>
      </w:r>
    </w:p>
    <w:p w14:paraId="72CF01B3" w14:textId="77777777" w:rsidR="00E7786C" w:rsidRDefault="00E7786C" w:rsidP="00E7786C">
      <w:pPr>
        <w:pStyle w:val="mpcNormal"/>
      </w:pPr>
    </w:p>
    <w:p w14:paraId="0A813208" w14:textId="77777777" w:rsidR="00E7786C" w:rsidRPr="00CC1ADD" w:rsidRDefault="00E7786C" w:rsidP="00E7786C">
      <w:pPr>
        <w:pStyle w:val="mpcNormal"/>
      </w:pPr>
      <w:r w:rsidRPr="00CC1ADD">
        <w:t>The availability of this information demonstrates there is presently a high degree of transparency regarding the governance and operation of the HSR System. The HSR Secretariat has advised that the HSR System website is currently under review to make information more readily accessible. This will continue to improve transparency.</w:t>
      </w:r>
    </w:p>
    <w:p w14:paraId="19691614" w14:textId="77777777" w:rsidR="00E7786C" w:rsidRPr="00CC1ADD" w:rsidRDefault="00E7786C" w:rsidP="00E7786C">
      <w:pPr>
        <w:pStyle w:val="mpcNormal"/>
      </w:pPr>
    </w:p>
    <w:p w14:paraId="6F80C771" w14:textId="77777777" w:rsidR="00E7786C" w:rsidRDefault="00E7786C" w:rsidP="00E7786C">
      <w:pPr>
        <w:pStyle w:val="mpcNormal"/>
      </w:pPr>
      <w:r w:rsidRPr="00CC1ADD">
        <w:t>The remaining area of concern for stakeholders was the management of the TAG database and the level of industry involvement in the management of the HSR Calculator. It is proposed that th</w:t>
      </w:r>
      <w:r>
        <w:t xml:space="preserve">is </w:t>
      </w:r>
      <w:r w:rsidRPr="00CC1ADD">
        <w:t>be addressed through</w:t>
      </w:r>
      <w:r>
        <w:t>:</w:t>
      </w:r>
    </w:p>
    <w:p w14:paraId="3A703383" w14:textId="77777777" w:rsidR="00E7786C" w:rsidRDefault="00E7786C" w:rsidP="00E7786C">
      <w:pPr>
        <w:pStyle w:val="mpcNormal"/>
      </w:pPr>
    </w:p>
    <w:p w14:paraId="7D74ECFF" w14:textId="460DF12D" w:rsidR="00E7786C" w:rsidRDefault="00E7786C" w:rsidP="00F720A0">
      <w:pPr>
        <w:pStyle w:val="mpcbullets1"/>
      </w:pPr>
      <w:r w:rsidRPr="00CC1ADD">
        <w:t xml:space="preserve">the </w:t>
      </w:r>
      <w:r>
        <w:t xml:space="preserve">changes </w:t>
      </w:r>
      <w:r w:rsidR="002E732B">
        <w:t xml:space="preserve">to </w:t>
      </w:r>
      <w:r w:rsidR="0000694B">
        <w:t xml:space="preserve">the </w:t>
      </w:r>
      <w:r w:rsidR="002E732B">
        <w:t>governance arrangement</w:t>
      </w:r>
      <w:r w:rsidR="0000694B">
        <w:t xml:space="preserve">s previously </w:t>
      </w:r>
      <w:r w:rsidR="002E732B">
        <w:t xml:space="preserve">described </w:t>
      </w:r>
      <w:r>
        <w:t>(with FSA</w:t>
      </w:r>
      <w:r w:rsidR="002E732B">
        <w:t>NZ</w:t>
      </w:r>
      <w:r>
        <w:t xml:space="preserve"> managing the TAG database and HSR Calculator)</w:t>
      </w:r>
    </w:p>
    <w:p w14:paraId="09B4ECA0" w14:textId="10698178" w:rsidR="00E7786C" w:rsidRDefault="00E7786C" w:rsidP="00F720A0">
      <w:pPr>
        <w:pStyle w:val="mpcbullets1"/>
      </w:pPr>
      <w:r w:rsidRPr="00CC1ADD">
        <w:t xml:space="preserve">publication of information regarding the development of the HSR Calculator and details regarding its operation. </w:t>
      </w:r>
      <w:hyperlink r:id="rId78" w:history="1">
        <w:r w:rsidRPr="002E732B">
          <w:rPr>
            <w:rStyle w:val="Hyperlink"/>
          </w:rPr>
          <w:t>This information</w:t>
        </w:r>
      </w:hyperlink>
      <w:r w:rsidRPr="00CC1ADD">
        <w:t xml:space="preserve"> was published as part of the Review and is proposed to be included on the HSR System website.</w:t>
      </w:r>
    </w:p>
    <w:p w14:paraId="7CE65E82" w14:textId="77777777" w:rsidR="00E7786C" w:rsidRPr="00CC1ADD" w:rsidRDefault="00E7786C" w:rsidP="00F720A0">
      <w:pPr>
        <w:pStyle w:val="mpcbullets1"/>
        <w:numPr>
          <w:ilvl w:val="0"/>
          <w:numId w:val="0"/>
        </w:numPr>
        <w:ind w:left="360"/>
      </w:pPr>
    </w:p>
    <w:p w14:paraId="2CC49DC2" w14:textId="77777777" w:rsidR="00E7786C" w:rsidRPr="002C6289" w:rsidRDefault="00E7786C" w:rsidP="00E7786C">
      <w:pPr>
        <w:pStyle w:val="mpcNormal"/>
      </w:pPr>
      <w:r w:rsidRPr="00CC1ADD">
        <w:t>Where stakeholders have concerns about the HSR Calculator, or any other aspect of the HSR System, they have an opportunity to raise these issues through the HSR Secretariat. As discussed above, the HSRAC should review comments and concerns and be actively involved in addressing these.</w:t>
      </w:r>
    </w:p>
    <w:p w14:paraId="0DE4F11F" w14:textId="77777777" w:rsidR="00E7786C" w:rsidRDefault="00E7786C" w:rsidP="00E7786C">
      <w:pPr>
        <w:jc w:val="center"/>
        <w:rPr>
          <w:sz w:val="21"/>
        </w:rPr>
      </w:pPr>
    </w:p>
    <w:p w14:paraId="2302FD58" w14:textId="77777777" w:rsidR="00E7786C" w:rsidRPr="00CC1ADD" w:rsidRDefault="00E7786C" w:rsidP="00E7786C">
      <w:pPr>
        <w:pStyle w:val="mpcheading3"/>
        <w:keepNext/>
      </w:pPr>
      <w:r w:rsidRPr="00CC1ADD">
        <w:t xml:space="preserve">Improved monitoring of the HSR System </w:t>
      </w:r>
    </w:p>
    <w:p w14:paraId="44BDCC98" w14:textId="77777777" w:rsidR="00E7786C" w:rsidRPr="00CC1ADD" w:rsidRDefault="00E7786C" w:rsidP="00E7786C">
      <w:pPr>
        <w:keepNext/>
        <w:rPr>
          <w:sz w:val="22"/>
          <w:szCs w:val="22"/>
        </w:rPr>
      </w:pPr>
    </w:p>
    <w:p w14:paraId="405EC2D4" w14:textId="3163422D" w:rsidR="00E7786C" w:rsidRPr="00CC1ADD" w:rsidRDefault="00E7786C" w:rsidP="00E7786C">
      <w:pPr>
        <w:keepNext/>
        <w:rPr>
          <w:sz w:val="22"/>
          <w:szCs w:val="22"/>
        </w:rPr>
      </w:pPr>
      <w:r w:rsidRPr="00CC1ADD">
        <w:rPr>
          <w:sz w:val="22"/>
          <w:szCs w:val="22"/>
        </w:rPr>
        <w:t xml:space="preserve">As noted in Chapter 2, monitoring of the HSR System is undertaken by both the NHF and the MPI against three </w:t>
      </w:r>
      <w:r w:rsidR="00A90016">
        <w:rPr>
          <w:sz w:val="22"/>
          <w:szCs w:val="22"/>
        </w:rPr>
        <w:t>AoEs</w:t>
      </w:r>
      <w:r w:rsidRPr="00CC1ADD">
        <w:rPr>
          <w:sz w:val="22"/>
          <w:szCs w:val="22"/>
        </w:rPr>
        <w:t>. While this monitoring provides valuable information about the System, it has the following limitations:</w:t>
      </w:r>
    </w:p>
    <w:p w14:paraId="0E65102B" w14:textId="77777777" w:rsidR="00E7786C" w:rsidRPr="00CC1ADD" w:rsidRDefault="00E7786C" w:rsidP="00E7786C">
      <w:pPr>
        <w:rPr>
          <w:sz w:val="22"/>
          <w:szCs w:val="22"/>
        </w:rPr>
      </w:pPr>
    </w:p>
    <w:p w14:paraId="5629EA3B" w14:textId="77777777" w:rsidR="00E7786C" w:rsidRPr="00CC1ADD" w:rsidRDefault="00E7786C" w:rsidP="00F720A0">
      <w:pPr>
        <w:pStyle w:val="mpcbullets1"/>
      </w:pPr>
      <w:r w:rsidRPr="00CC1ADD">
        <w:t xml:space="preserve">the monitoring results between Australia and New Zealand and across years are not always comparable </w:t>
      </w:r>
    </w:p>
    <w:p w14:paraId="210BC482" w14:textId="77777777" w:rsidR="00E7786C" w:rsidRPr="00CC1ADD" w:rsidRDefault="00E7786C" w:rsidP="00F720A0">
      <w:pPr>
        <w:pStyle w:val="mpcbullets1"/>
      </w:pPr>
      <w:r w:rsidRPr="00CC1ADD">
        <w:t>there is limited capacity to measure changes in the nutritional profile of foods (reformulation)</w:t>
      </w:r>
    </w:p>
    <w:p w14:paraId="5B7E785B" w14:textId="77777777" w:rsidR="00E7786C" w:rsidRPr="00CC1ADD" w:rsidRDefault="00E7786C" w:rsidP="00F720A0">
      <w:pPr>
        <w:pStyle w:val="mpcbullets1"/>
      </w:pPr>
      <w:r w:rsidRPr="00CC1ADD">
        <w:t>the monitoring questions focus on consumer understanding and awareness rather than on how they are using the HSR and how it is or is not changing their purchasing behaviours (noting there has been some consideration of this in the most recent monitoring report)</w:t>
      </w:r>
    </w:p>
    <w:p w14:paraId="1DDC1FB1" w14:textId="77777777" w:rsidR="00E7786C" w:rsidRPr="00CC1ADD" w:rsidRDefault="00E7786C" w:rsidP="00F720A0">
      <w:pPr>
        <w:pStyle w:val="mpcbullets1"/>
      </w:pPr>
      <w:r w:rsidRPr="00CC1ADD">
        <w:t>there is no structured approach for reviewing the monitoring data and identifying what it means for the HSR System, including necessary changes to communications and campaigns and changes to evaluation questions as the System evolves.</w:t>
      </w:r>
    </w:p>
    <w:p w14:paraId="20B87A9B" w14:textId="77777777" w:rsidR="00E7786C" w:rsidRPr="00CC1ADD" w:rsidRDefault="00E7786C" w:rsidP="00E7786C">
      <w:pPr>
        <w:rPr>
          <w:sz w:val="22"/>
          <w:szCs w:val="22"/>
        </w:rPr>
      </w:pPr>
    </w:p>
    <w:p w14:paraId="64C50ECD" w14:textId="467608F3" w:rsidR="008F12EF" w:rsidRPr="00E7786C" w:rsidRDefault="00E7786C" w:rsidP="00E7786C">
      <w:pPr>
        <w:rPr>
          <w:sz w:val="22"/>
          <w:szCs w:val="22"/>
        </w:rPr>
      </w:pPr>
      <w:r w:rsidRPr="00CC1ADD">
        <w:rPr>
          <w:sz w:val="22"/>
          <w:szCs w:val="22"/>
        </w:rPr>
        <w:t>Rather than increasing the investment in monitoring, the Review recommends better coordination of monitoring across Australia and New Zealand and</w:t>
      </w:r>
      <w:r>
        <w:rPr>
          <w:sz w:val="22"/>
          <w:szCs w:val="22"/>
        </w:rPr>
        <w:t xml:space="preserve"> more responsive </w:t>
      </w:r>
      <w:r w:rsidRPr="00CC1ADD">
        <w:rPr>
          <w:sz w:val="22"/>
          <w:szCs w:val="22"/>
        </w:rPr>
        <w:t>governance to ensure monitoring results can be used strategically and in real time.</w:t>
      </w:r>
    </w:p>
    <w:p w14:paraId="76D5C2C2" w14:textId="77777777" w:rsidR="008F12EF" w:rsidRDefault="008F12EF" w:rsidP="008F12EF">
      <w:pPr>
        <w:pStyle w:val="mpcNormal"/>
      </w:pPr>
    </w:p>
    <w:p w14:paraId="019D8916" w14:textId="41A8836A" w:rsidR="008F12EF" w:rsidRPr="00CC1ADD" w:rsidRDefault="0000694B" w:rsidP="00A90016">
      <w:pPr>
        <w:pStyle w:val="mpcheading2"/>
        <w:keepNext/>
        <w:rPr>
          <w:sz w:val="21"/>
        </w:rPr>
      </w:pPr>
      <w:bookmarkStart w:id="129" w:name="Infrastructure"/>
      <w:bookmarkStart w:id="130" w:name="_Toc536809185"/>
      <w:bookmarkStart w:id="131" w:name="_Toc1746509"/>
      <w:bookmarkEnd w:id="129"/>
      <w:r>
        <w:rPr>
          <w:lang w:eastAsia="en-GB"/>
        </w:rPr>
        <w:t>Critical p</w:t>
      </w:r>
      <w:r w:rsidR="008F12EF" w:rsidRPr="00CC1ADD">
        <w:rPr>
          <w:lang w:eastAsia="en-GB"/>
        </w:rPr>
        <w:t>ublic health infrastructure</w:t>
      </w:r>
      <w:bookmarkEnd w:id="130"/>
      <w:r>
        <w:rPr>
          <w:lang w:eastAsia="en-GB"/>
        </w:rPr>
        <w:t xml:space="preserve"> to support the HSR System</w:t>
      </w:r>
      <w:bookmarkEnd w:id="131"/>
    </w:p>
    <w:p w14:paraId="13A0C72B" w14:textId="77777777" w:rsidR="008F12EF" w:rsidRPr="00CC1ADD" w:rsidRDefault="008F12EF" w:rsidP="00A90016">
      <w:pPr>
        <w:pStyle w:val="mpcNormal"/>
      </w:pPr>
      <w:r w:rsidRPr="00CC1ADD">
        <w:t xml:space="preserve">Review of the HSR System has been challenging, in part because there is: contention over the Dietary Guidelines; dated health and nutrition survey information in Australia and New Zealand; no central, trusted and comprehensive database of food products and their HSR status; and challenges in monitoring the HSR System. </w:t>
      </w:r>
    </w:p>
    <w:p w14:paraId="1A057C9D" w14:textId="77777777" w:rsidR="008F12EF" w:rsidRPr="00CC1ADD" w:rsidRDefault="008F12EF" w:rsidP="008F12EF">
      <w:pPr>
        <w:pStyle w:val="mpcNormal"/>
      </w:pPr>
    </w:p>
    <w:p w14:paraId="5F8A56A8" w14:textId="77777777" w:rsidR="008F12EF" w:rsidRPr="00CC1ADD" w:rsidRDefault="008F12EF" w:rsidP="008F12EF">
      <w:pPr>
        <w:pStyle w:val="mpcNormal"/>
      </w:pPr>
      <w:r w:rsidRPr="00CC1ADD">
        <w:t>If industry and governments are to invest in a public health and nutrition intervention as significant as the HSR System and consumers are to have confidence in the System:</w:t>
      </w:r>
      <w:r w:rsidRPr="00CC1ADD">
        <w:br/>
      </w:r>
    </w:p>
    <w:p w14:paraId="592B5564" w14:textId="77777777" w:rsidR="008F12EF" w:rsidRPr="00CC1ADD" w:rsidRDefault="008F12EF" w:rsidP="00F720A0">
      <w:pPr>
        <w:pStyle w:val="mpcbullets1"/>
      </w:pPr>
      <w:r w:rsidRPr="00CC1ADD">
        <w:t xml:space="preserve">the guidelines </w:t>
      </w:r>
      <w:r>
        <w:t xml:space="preserve">and scientific evidence </w:t>
      </w:r>
      <w:r w:rsidRPr="00CC1ADD">
        <w:t>on which the intervention is based must be up to date</w:t>
      </w:r>
    </w:p>
    <w:p w14:paraId="6E77C421" w14:textId="77777777" w:rsidR="008F12EF" w:rsidRPr="00CC1ADD" w:rsidRDefault="008F12EF" w:rsidP="00F720A0">
      <w:pPr>
        <w:pStyle w:val="mpcbullets1"/>
      </w:pPr>
      <w:r w:rsidRPr="00CC1ADD">
        <w:t xml:space="preserve">implementation of the intervention must be effectively monitored, including to track dietary trends. This is important so that: </w:t>
      </w:r>
    </w:p>
    <w:p w14:paraId="03AC07EC" w14:textId="77777777" w:rsidR="008F12EF" w:rsidRPr="00CC1ADD" w:rsidRDefault="008F12EF" w:rsidP="008F12EF">
      <w:pPr>
        <w:pStyle w:val="mpcbullets2"/>
      </w:pPr>
      <w:r>
        <w:t xml:space="preserve">public health professionals can examine national dietary trends </w:t>
      </w:r>
    </w:p>
    <w:p w14:paraId="79B8ABCB" w14:textId="77777777" w:rsidR="008F12EF" w:rsidRPr="00CC1ADD" w:rsidRDefault="008F12EF" w:rsidP="008F12EF">
      <w:pPr>
        <w:pStyle w:val="mpcbullets2"/>
      </w:pPr>
      <w:r w:rsidRPr="00CC1ADD">
        <w:t>researchers can better link dietary intakes to disease measures</w:t>
      </w:r>
    </w:p>
    <w:p w14:paraId="3CA37A64" w14:textId="77777777" w:rsidR="008F12EF" w:rsidRPr="00CC1ADD" w:rsidRDefault="008F12EF" w:rsidP="008F12EF">
      <w:pPr>
        <w:pStyle w:val="mpcbullets2"/>
      </w:pPr>
      <w:r w:rsidRPr="00CC1ADD">
        <w:t xml:space="preserve">policy makers can develop </w:t>
      </w:r>
      <w:r>
        <w:t>interventions to</w:t>
      </w:r>
      <w:r w:rsidRPr="00CC1ADD">
        <w:t xml:space="preserve"> </w:t>
      </w:r>
      <w:r>
        <w:t>support</w:t>
      </w:r>
      <w:r w:rsidRPr="00CC1ADD">
        <w:t xml:space="preserve"> public health</w:t>
      </w:r>
      <w:r w:rsidRPr="00CC1ADD">
        <w:rPr>
          <w:rStyle w:val="FootnoteReference"/>
        </w:rPr>
        <w:footnoteReference w:id="98"/>
      </w:r>
    </w:p>
    <w:p w14:paraId="669B1AAE" w14:textId="77777777" w:rsidR="008F12EF" w:rsidRPr="00CC1ADD" w:rsidRDefault="008F12EF" w:rsidP="00C3403E">
      <w:pPr>
        <w:pStyle w:val="mpcNormal"/>
        <w:numPr>
          <w:ilvl w:val="0"/>
          <w:numId w:val="21"/>
        </w:numPr>
      </w:pPr>
      <w:r w:rsidRPr="00CC1ADD">
        <w:t>there should be a way to measure (on a regular and ongoing basis) the prevalence of health conditions and health risk factors (including overweight and obesity) such that the impact of interventions can be assessed.</w:t>
      </w:r>
    </w:p>
    <w:p w14:paraId="675B6292" w14:textId="77777777" w:rsidR="008F12EF" w:rsidRPr="00CC1ADD" w:rsidRDefault="008F12EF" w:rsidP="008F12EF">
      <w:pPr>
        <w:rPr>
          <w:rFonts w:cstheme="minorHAnsi"/>
          <w:sz w:val="22"/>
          <w:szCs w:val="22"/>
        </w:rPr>
      </w:pPr>
    </w:p>
    <w:p w14:paraId="37E16151" w14:textId="77777777" w:rsidR="008F12EF" w:rsidRPr="00CC1ADD" w:rsidRDefault="008F12EF" w:rsidP="008F12EF">
      <w:pPr>
        <w:pStyle w:val="mpcheading3"/>
      </w:pPr>
      <w:r w:rsidRPr="00CC1ADD">
        <w:t>Currency of Dietary Guidelines</w:t>
      </w:r>
    </w:p>
    <w:p w14:paraId="5C5F37F1" w14:textId="77777777" w:rsidR="008F12EF" w:rsidRPr="00CC1ADD" w:rsidRDefault="008F12EF" w:rsidP="008F12EF">
      <w:pPr>
        <w:pStyle w:val="mpcNormal"/>
      </w:pPr>
    </w:p>
    <w:p w14:paraId="4BF1F862" w14:textId="77777777" w:rsidR="008F12EF" w:rsidRPr="00CC1ADD" w:rsidRDefault="008F12EF" w:rsidP="008F12EF">
      <w:pPr>
        <w:pStyle w:val="mpcNormal"/>
      </w:pPr>
      <w:r w:rsidRPr="00CC1ADD">
        <w:t>The ADG were last updated in 2013 and evolved from a 2003 edition that integrated updates of the Dietary Guidelines for Older Australians (1999), the Dietary Guidelines for Adults (2003) and the Dietary Guidelines for Children and Adolescents in Australia (2003). The</w:t>
      </w:r>
      <w:r>
        <w:t xml:space="preserve"> ADG</w:t>
      </w:r>
      <w:r w:rsidRPr="00CC1ADD">
        <w:t xml:space="preserve"> also include an update of the Australian Guide to Healthy Eating (1998).</w:t>
      </w:r>
    </w:p>
    <w:p w14:paraId="1CD2ADA8" w14:textId="77777777" w:rsidR="008F12EF" w:rsidRPr="00CC1ADD" w:rsidRDefault="008F12EF" w:rsidP="008F12EF">
      <w:pPr>
        <w:pStyle w:val="mpcNormal"/>
      </w:pPr>
    </w:p>
    <w:p w14:paraId="595CC8A4" w14:textId="77777777" w:rsidR="008F12EF" w:rsidRPr="00CC1ADD" w:rsidRDefault="008F12EF" w:rsidP="008F12EF">
      <w:pPr>
        <w:pStyle w:val="mpcNormal"/>
      </w:pPr>
      <w:r w:rsidRPr="00CC1ADD">
        <w:t xml:space="preserve">Nutrition science and the food supply change quickly, with implications for dietary guidelines and policy. For example, the ADG note that whole fruit is preferable to fruit juice, but also state that the occasional 125mL serve of fruit juice may assist with nutrient intake. This is not consistent with the more recent NZEAG </w:t>
      </w:r>
      <w:r>
        <w:t xml:space="preserve">that </w:t>
      </w:r>
      <w:r w:rsidRPr="00CC1ADD">
        <w:t xml:space="preserve">recommend eating fresh fruit and drinking plain water, rather than drinking fruit juice. </w:t>
      </w:r>
    </w:p>
    <w:p w14:paraId="578A27C6" w14:textId="77777777" w:rsidR="008F12EF" w:rsidRPr="00CC1ADD" w:rsidRDefault="008F12EF" w:rsidP="008F12EF">
      <w:pPr>
        <w:pStyle w:val="mpcNormal"/>
      </w:pPr>
    </w:p>
    <w:p w14:paraId="6A24BBDB" w14:textId="05A37D94" w:rsidR="008F12EF" w:rsidRPr="00CC1ADD" w:rsidRDefault="008F12EF" w:rsidP="008F12EF">
      <w:pPr>
        <w:pStyle w:val="mpcNormal"/>
      </w:pPr>
      <w:r w:rsidRPr="00CC1ADD">
        <w:t xml:space="preserve">The Review recommends </w:t>
      </w:r>
      <w:r>
        <w:t xml:space="preserve">regular </w:t>
      </w:r>
      <w:r w:rsidRPr="00CC1ADD">
        <w:t>updates to Dietary Guidelines to ensure that public health interventions such as the HSR System continue to be based on the best available science and data regarding the diets of Australians and New Zealanders. This is also consistent with the recommendations of others, including the Senate Select Committee into the Obesity Epidemic in Australia that recommended updating the ADG every five years</w:t>
      </w:r>
      <w:r w:rsidRPr="00CC1ADD">
        <w:rPr>
          <w:rStyle w:val="FootnoteReference"/>
        </w:rPr>
        <w:footnoteReference w:id="99"/>
      </w:r>
      <w:r w:rsidRPr="00CC1ADD">
        <w:t>.</w:t>
      </w:r>
    </w:p>
    <w:p w14:paraId="1E47B41A" w14:textId="77777777" w:rsidR="008F12EF" w:rsidRPr="00CC1ADD" w:rsidRDefault="008F12EF" w:rsidP="008F12EF">
      <w:pPr>
        <w:pStyle w:val="mpcNormal"/>
      </w:pPr>
    </w:p>
    <w:p w14:paraId="3FD5005E" w14:textId="77777777" w:rsidR="008F12EF" w:rsidRPr="00CC1ADD" w:rsidRDefault="008F12EF" w:rsidP="008F12EF">
      <w:pPr>
        <w:pStyle w:val="mpcheading3"/>
      </w:pPr>
      <w:r w:rsidRPr="00CC1ADD">
        <w:t>Health and nutrition survey information</w:t>
      </w:r>
    </w:p>
    <w:p w14:paraId="697BF574" w14:textId="77777777" w:rsidR="008F12EF" w:rsidRPr="00CC1ADD" w:rsidRDefault="008F12EF" w:rsidP="008F12EF">
      <w:pPr>
        <w:pStyle w:val="mpcNormal"/>
      </w:pPr>
    </w:p>
    <w:p w14:paraId="53846524" w14:textId="77777777" w:rsidR="008F12EF" w:rsidRPr="00CC1ADD" w:rsidRDefault="008F12EF" w:rsidP="008F12EF">
      <w:pPr>
        <w:pStyle w:val="mpcNormal"/>
      </w:pPr>
      <w:r w:rsidRPr="00CC1ADD">
        <w:t xml:space="preserve">The </w:t>
      </w:r>
      <w:r>
        <w:t>AHS</w:t>
      </w:r>
      <w:r w:rsidRPr="00CC1ADD">
        <w:t xml:space="preserve"> collects important information about the foods and nutrients people consume and enables conclusions to be drawn about whether populations are meeting their daily recommended nutrient intakes and the contribution of different types of foods and beverages to their overall diet. The AHS provides baseline information to enable governments, industry and others to target health messages and interventions. The results of the 2011-12 survey </w:t>
      </w:r>
      <w:r>
        <w:t>have</w:t>
      </w:r>
      <w:r w:rsidRPr="00CC1ADD">
        <w:t xml:space="preserve"> informed this Review.</w:t>
      </w:r>
    </w:p>
    <w:p w14:paraId="1928F58A" w14:textId="77777777" w:rsidR="008F12EF" w:rsidRPr="00CC1ADD" w:rsidRDefault="008F12EF" w:rsidP="008F12EF">
      <w:pPr>
        <w:pStyle w:val="mpcNormal"/>
      </w:pPr>
    </w:p>
    <w:p w14:paraId="53607258" w14:textId="77777777" w:rsidR="008F12EF" w:rsidRPr="00CC1ADD" w:rsidRDefault="008F12EF" w:rsidP="002E732B">
      <w:pPr>
        <w:pStyle w:val="mpcNormal"/>
        <w:keepNext w:val="0"/>
      </w:pPr>
      <w:r w:rsidRPr="00CC1ADD">
        <w:t xml:space="preserve">While New Zealand conducts a continuous New Zealand Health Survey (NZHS) (enabling publication of annual updates on general health), a national nutrition survey has not been completed since </w:t>
      </w:r>
      <w:r>
        <w:t xml:space="preserve">the NZANS in </w:t>
      </w:r>
      <w:r w:rsidRPr="00CC1ADD">
        <w:t xml:space="preserve">2008-09. </w:t>
      </w:r>
      <w:r>
        <w:t>While t</w:t>
      </w:r>
      <w:r w:rsidRPr="00CC1ADD">
        <w:t xml:space="preserve">he results of the </w:t>
      </w:r>
      <w:r>
        <w:t>2008-09</w:t>
      </w:r>
      <w:r w:rsidRPr="00CC1ADD">
        <w:t xml:space="preserve"> survey </w:t>
      </w:r>
      <w:r>
        <w:t>have</w:t>
      </w:r>
      <w:r w:rsidRPr="00CC1ADD">
        <w:t xml:space="preserve"> informed this Review</w:t>
      </w:r>
      <w:r>
        <w:t>, t</w:t>
      </w:r>
      <w:r w:rsidRPr="00CC1ADD">
        <w:t>his has posed challenges in comparing Australian and New Zealander dietary patterns.</w:t>
      </w:r>
    </w:p>
    <w:p w14:paraId="360F7130" w14:textId="77777777" w:rsidR="008F12EF" w:rsidRPr="00CC1ADD" w:rsidRDefault="008F12EF" w:rsidP="002E732B">
      <w:pPr>
        <w:pStyle w:val="mpcNormal"/>
        <w:keepNext w:val="0"/>
      </w:pPr>
    </w:p>
    <w:p w14:paraId="09760267" w14:textId="77777777" w:rsidR="008F12EF" w:rsidRPr="00CC1ADD" w:rsidRDefault="008F12EF" w:rsidP="002E732B">
      <w:pPr>
        <w:pStyle w:val="mpcNormal"/>
        <w:keepNext w:val="0"/>
      </w:pPr>
      <w:r w:rsidRPr="00CC1ADD">
        <w:t xml:space="preserve">The Review recommends that health and nutrition surveys be conducted </w:t>
      </w:r>
      <w:r>
        <w:t>regularly</w:t>
      </w:r>
      <w:r w:rsidRPr="00CC1ADD">
        <w:t xml:space="preserve">. The data from these surveys plays an essential role in informing the Dietary Guidelines, industry reformulation targets and government decisions regarding the focus and impact of public health interventions.  </w:t>
      </w:r>
    </w:p>
    <w:p w14:paraId="0F46D33B" w14:textId="77777777" w:rsidR="008F12EF" w:rsidRPr="00CC1ADD" w:rsidRDefault="008F12EF" w:rsidP="002E732B">
      <w:pPr>
        <w:pStyle w:val="mpcNormal"/>
        <w:keepNext w:val="0"/>
      </w:pPr>
    </w:p>
    <w:p w14:paraId="2B223F8C" w14:textId="77777777" w:rsidR="008F12EF" w:rsidRPr="00CC1ADD" w:rsidRDefault="008F12EF" w:rsidP="008F12EF">
      <w:pPr>
        <w:pStyle w:val="mpcheading3"/>
        <w:keepNext/>
      </w:pPr>
      <w:r w:rsidRPr="00CC1ADD">
        <w:t>Central, trusted, comprehensive database of food products and HSR status</w:t>
      </w:r>
    </w:p>
    <w:p w14:paraId="5BECB1C7" w14:textId="77777777" w:rsidR="008F12EF" w:rsidRPr="00CC1ADD" w:rsidRDefault="008F12EF" w:rsidP="008F12EF">
      <w:pPr>
        <w:pStyle w:val="mpcNormal"/>
      </w:pPr>
    </w:p>
    <w:p w14:paraId="226D09EB" w14:textId="77777777" w:rsidR="008F12EF" w:rsidRPr="00CC1ADD" w:rsidRDefault="008F12EF" w:rsidP="008F12EF">
      <w:pPr>
        <w:pStyle w:val="mpcNormal"/>
      </w:pPr>
      <w:r w:rsidRPr="00CC1ADD">
        <w:t>There are a number of databases holding food composition data</w:t>
      </w:r>
      <w:r>
        <w:t xml:space="preserve"> including</w:t>
      </w:r>
      <w:r w:rsidRPr="00CC1ADD">
        <w:t>:</w:t>
      </w:r>
    </w:p>
    <w:p w14:paraId="4C22420E" w14:textId="77777777" w:rsidR="008F12EF" w:rsidRPr="00CC1ADD" w:rsidRDefault="008F12EF" w:rsidP="008F12EF">
      <w:pPr>
        <w:rPr>
          <w:sz w:val="22"/>
          <w:szCs w:val="22"/>
        </w:rPr>
      </w:pPr>
    </w:p>
    <w:p w14:paraId="594CEA14" w14:textId="77777777" w:rsidR="008F12EF" w:rsidRPr="00CC1ADD" w:rsidRDefault="008F12EF" w:rsidP="00F720A0">
      <w:pPr>
        <w:pStyle w:val="mpcbullets1"/>
      </w:pPr>
      <w:r w:rsidRPr="00CC1ADD">
        <w:rPr>
          <w:b/>
        </w:rPr>
        <w:t>the TAG database</w:t>
      </w:r>
      <w:r w:rsidRPr="00CC1ADD">
        <w:t xml:space="preserve"> – This database contains 5,885 foods and beverages, with confidential data provided directly by industry. The TAG database holds the most reliable data for modelling HSR System changes – as it includes accurate values for FVNL content (and for a limited number of products, the wholegrain, calcium and added sugars content). However, the database is only available to the Australian Department of Health and two members of the TAG. Further, there is no process for regularly updating the data and the database does not note whether the HSR is actually displayed on the product</w:t>
      </w:r>
      <w:r>
        <w:t>.</w:t>
      </w:r>
    </w:p>
    <w:p w14:paraId="76BCD6AE" w14:textId="77777777" w:rsidR="008F12EF" w:rsidRPr="00CC1ADD" w:rsidRDefault="008F12EF" w:rsidP="00F720A0">
      <w:pPr>
        <w:pStyle w:val="mpcbullets1"/>
      </w:pPr>
      <w:r w:rsidRPr="00CC1ADD">
        <w:rPr>
          <w:b/>
        </w:rPr>
        <w:t>FoodSwitch (George Institute), FoodTrack (NHF) and NutriTrack (University of Auckland)</w:t>
      </w:r>
      <w:r w:rsidRPr="00CC1ADD">
        <w:t xml:space="preserve"> – These databases are much larger than the TAG database and note where products are actually displaying the HSR and what the HSR is. Data is collected using smartphone applications and in-store sampling (rather than being provided by industry). As such, the key limitation is that FVNL, added sugars and wholegrain contents are estimated (based on ingredients). All of these databases are also proprietary.</w:t>
      </w:r>
    </w:p>
    <w:p w14:paraId="4584D41C" w14:textId="77777777" w:rsidR="008F12EF" w:rsidRPr="00CC1ADD" w:rsidRDefault="008F12EF" w:rsidP="00F720A0">
      <w:pPr>
        <w:pStyle w:val="mpcbullets1"/>
      </w:pPr>
      <w:r w:rsidRPr="00CC1ADD">
        <w:rPr>
          <w:b/>
        </w:rPr>
        <w:t>AUSNUT and the Australian Food Composition Database (FSANZ)</w:t>
      </w:r>
      <w:r w:rsidRPr="00CC1ADD">
        <w:t xml:space="preserve"> – </w:t>
      </w:r>
      <w:r>
        <w:t xml:space="preserve">Are </w:t>
      </w:r>
      <w:r w:rsidRPr="00CC1ADD">
        <w:t>food nutrient database</w:t>
      </w:r>
      <w:r>
        <w:t>s</w:t>
      </w:r>
      <w:r w:rsidRPr="00CC1ADD">
        <w:t xml:space="preserve"> that include the average nutrient content of foods</w:t>
      </w:r>
      <w:r>
        <w:t>. AUSNUT</w:t>
      </w:r>
      <w:r w:rsidRPr="00CC1ADD">
        <w:t xml:space="preserve"> is a survey</w:t>
      </w:r>
      <w:r>
        <w:t>-</w:t>
      </w:r>
      <w:r w:rsidRPr="00CC1ADD">
        <w:t xml:space="preserve">specific database that </w:t>
      </w:r>
      <w:r>
        <w:t xml:space="preserve">includes data for foods as consumed and </w:t>
      </w:r>
      <w:r w:rsidRPr="00CC1ADD">
        <w:t xml:space="preserve">is only updated </w:t>
      </w:r>
      <w:r>
        <w:t>when</w:t>
      </w:r>
      <w:r w:rsidRPr="00CC1ADD">
        <w:t xml:space="preserve"> a new </w:t>
      </w:r>
      <w:r>
        <w:t>national health survey</w:t>
      </w:r>
      <w:r w:rsidRPr="00CC1ADD">
        <w:t xml:space="preserve"> is undertaken. The Australian Food Composition Database (formerly NUTTAB) is a reference database containing </w:t>
      </w:r>
      <w:r>
        <w:t xml:space="preserve">mainly analytical </w:t>
      </w:r>
      <w:r w:rsidRPr="00CC1ADD">
        <w:t>data for commonly consumed foods. Neither database include</w:t>
      </w:r>
      <w:r>
        <w:t>s</w:t>
      </w:r>
      <w:r w:rsidRPr="00CC1ADD">
        <w:t xml:space="preserve"> individual branded products or, for example, </w:t>
      </w:r>
      <w:r>
        <w:t xml:space="preserve">the </w:t>
      </w:r>
      <w:r w:rsidRPr="00CC1ADD">
        <w:t>FVNL content of foods.</w:t>
      </w:r>
    </w:p>
    <w:p w14:paraId="13CA1C9A" w14:textId="77777777" w:rsidR="008F12EF" w:rsidRPr="00CC1ADD" w:rsidRDefault="008F12EF" w:rsidP="008F12EF">
      <w:pPr>
        <w:pStyle w:val="mpcbullets2"/>
        <w:keepNext w:val="0"/>
      </w:pPr>
      <w:r w:rsidRPr="00CC1ADD">
        <w:t>New Zealand also has a Food Composition Database</w:t>
      </w:r>
      <w:r>
        <w:t xml:space="preserve"> that</w:t>
      </w:r>
      <w:r w:rsidRPr="00CC1ADD">
        <w:t xml:space="preserve"> contain</w:t>
      </w:r>
      <w:r>
        <w:t>s</w:t>
      </w:r>
      <w:r w:rsidRPr="00CC1ADD">
        <w:t xml:space="preserve"> key nutrients for commonly consumed foods (rather than branded products).</w:t>
      </w:r>
    </w:p>
    <w:p w14:paraId="4BB7FF09" w14:textId="77777777" w:rsidR="008F12EF" w:rsidRPr="00CC1ADD" w:rsidRDefault="008F12EF" w:rsidP="008F12EF">
      <w:pPr>
        <w:pStyle w:val="mpcNormal"/>
      </w:pPr>
    </w:p>
    <w:p w14:paraId="3829EC24" w14:textId="4AEA9658" w:rsidR="008F12EF" w:rsidRPr="00CC1ADD" w:rsidRDefault="008F12EF" w:rsidP="008F12EF">
      <w:pPr>
        <w:pStyle w:val="mpcNormal"/>
      </w:pPr>
      <w:r w:rsidRPr="00CC1ADD">
        <w:t xml:space="preserve">While </w:t>
      </w:r>
      <w:r>
        <w:t>all</w:t>
      </w:r>
      <w:r w:rsidRPr="00CC1ADD">
        <w:t xml:space="preserve"> of these databases serve valuable purposes, there is no single bi-national data</w:t>
      </w:r>
      <w:r w:rsidR="0000694B">
        <w:t>set</w:t>
      </w:r>
      <w:r w:rsidRPr="00CC1ADD">
        <w:t xml:space="preserve"> that can be used to validate the accuracy of the HSR shown on products or track reformulation. This limits the capacity of FSANZ, the NHMRC, </w:t>
      </w:r>
      <w:r>
        <w:t>government health agencies</w:t>
      </w:r>
      <w:r w:rsidRPr="00CC1ADD">
        <w:t xml:space="preserve"> and others to analyse changes to food composition and the food supply </w:t>
      </w:r>
      <w:r>
        <w:t>or</w:t>
      </w:r>
      <w:r w:rsidRPr="00CC1ADD">
        <w:t xml:space="preserve"> to model the impact of changes including potential changes to the HSR System.</w:t>
      </w:r>
    </w:p>
    <w:p w14:paraId="3B54E411" w14:textId="77777777" w:rsidR="008F12EF" w:rsidRPr="00CC1ADD" w:rsidRDefault="008F12EF" w:rsidP="008F12EF">
      <w:pPr>
        <w:pStyle w:val="mpcNormal"/>
      </w:pPr>
    </w:p>
    <w:p w14:paraId="42BE227D" w14:textId="77777777" w:rsidR="008F12EF" w:rsidRPr="00CC1ADD" w:rsidRDefault="008F12EF" w:rsidP="008F12EF">
      <w:pPr>
        <w:pStyle w:val="mpcNormal"/>
      </w:pPr>
      <w:r w:rsidRPr="00CC1ADD">
        <w:t>The Review recommends that FSANZ expands its existing data management system (Silo</w:t>
      </w:r>
      <w:r w:rsidRPr="00CC1ADD">
        <w:rPr>
          <w:rStyle w:val="FootnoteReference"/>
        </w:rPr>
        <w:footnoteReference w:id="100"/>
      </w:r>
      <w:r w:rsidRPr="00CC1ADD">
        <w:t>) to enable the automated upload, validation, storage and reporting of branded food data including the HSR. This would complement existing datasets and include a public facing component that includes</w:t>
      </w:r>
      <w:r>
        <w:t xml:space="preserve"> the following attributes of </w:t>
      </w:r>
      <w:r w:rsidRPr="00CC1ADD">
        <w:t>products for retail sale in Australia and New Zealand:</w:t>
      </w:r>
    </w:p>
    <w:p w14:paraId="133DE5BD" w14:textId="77777777" w:rsidR="008F12EF" w:rsidRPr="00CC1ADD" w:rsidRDefault="008F12EF" w:rsidP="008F12EF">
      <w:pPr>
        <w:pStyle w:val="mpcNormal"/>
      </w:pPr>
    </w:p>
    <w:p w14:paraId="48A32C59" w14:textId="77777777" w:rsidR="008F12EF" w:rsidRPr="00CC1ADD" w:rsidRDefault="008F12EF" w:rsidP="00F720A0">
      <w:pPr>
        <w:pStyle w:val="mpcbullets1"/>
      </w:pPr>
      <w:r w:rsidRPr="00CC1ADD">
        <w:t>the product name</w:t>
      </w:r>
    </w:p>
    <w:p w14:paraId="36E91E03" w14:textId="77777777" w:rsidR="008F12EF" w:rsidRPr="00CC1ADD" w:rsidRDefault="008F12EF" w:rsidP="00F720A0">
      <w:pPr>
        <w:pStyle w:val="mpcbullets1"/>
      </w:pPr>
      <w:r w:rsidRPr="00CC1ADD">
        <w:t>the information in the NIP on a serving size and 100 gram/100 ml basis</w:t>
      </w:r>
    </w:p>
    <w:p w14:paraId="28311E1A" w14:textId="77777777" w:rsidR="008F12EF" w:rsidRPr="00CC1ADD" w:rsidRDefault="008F12EF" w:rsidP="00F720A0">
      <w:pPr>
        <w:pStyle w:val="mpcbullets1"/>
      </w:pPr>
      <w:r w:rsidRPr="00CC1ADD">
        <w:t>the form of the food</w:t>
      </w:r>
    </w:p>
    <w:p w14:paraId="7F5C8A15" w14:textId="77777777" w:rsidR="008F12EF" w:rsidRPr="00CC1ADD" w:rsidRDefault="008F12EF" w:rsidP="00F720A0">
      <w:pPr>
        <w:pStyle w:val="mpcbullets1"/>
      </w:pPr>
      <w:r w:rsidRPr="00CC1ADD">
        <w:t>the ingredient list (as it appears on the product)</w:t>
      </w:r>
    </w:p>
    <w:p w14:paraId="1C2A4224" w14:textId="77777777" w:rsidR="008F12EF" w:rsidRDefault="008F12EF" w:rsidP="00F720A0">
      <w:pPr>
        <w:pStyle w:val="mpcbullets1"/>
      </w:pPr>
      <w:r w:rsidRPr="00CC1ADD">
        <w:t xml:space="preserve">the fibre, calcium and FVNL values </w:t>
      </w:r>
      <w:r>
        <w:t>(w</w:t>
      </w:r>
      <w:r w:rsidRPr="00CC1ADD">
        <w:t>hile this is not generally included in the NIP, the inclusion of this information in the dataset enables validation of the HSR displayed by the manufacturer without revealing confidential recipe information</w:t>
      </w:r>
    </w:p>
    <w:p w14:paraId="1C3811F5" w14:textId="77777777" w:rsidR="008F12EF" w:rsidRPr="00CC1ADD" w:rsidRDefault="008F12EF" w:rsidP="00F720A0">
      <w:pPr>
        <w:pStyle w:val="mpcbullets1"/>
      </w:pPr>
      <w:r>
        <w:t>the HSR Category</w:t>
      </w:r>
    </w:p>
    <w:p w14:paraId="2E15A44B" w14:textId="438DF211" w:rsidR="008F12EF" w:rsidRPr="00CC1ADD" w:rsidRDefault="008F12EF" w:rsidP="00F720A0">
      <w:pPr>
        <w:pStyle w:val="mpcbullets1"/>
      </w:pPr>
      <w:r>
        <w:t>the HSR status of a product (</w:t>
      </w:r>
      <w:r w:rsidRPr="00CC1ADD">
        <w:t>whether the product displays the HSR and if so, the HSR</w:t>
      </w:r>
      <w:r w:rsidR="00A90016">
        <w:t xml:space="preserve"> and the HSR graphic option</w:t>
      </w:r>
      <w:r>
        <w:t>)</w:t>
      </w:r>
      <w:r w:rsidRPr="00CC1ADD">
        <w:t>.</w:t>
      </w:r>
    </w:p>
    <w:p w14:paraId="0F4CA53E" w14:textId="77777777" w:rsidR="008F12EF" w:rsidRPr="00CC1ADD" w:rsidRDefault="008F12EF" w:rsidP="008F12EF">
      <w:pPr>
        <w:pStyle w:val="mpcNormal"/>
      </w:pPr>
    </w:p>
    <w:p w14:paraId="0A6C06C1" w14:textId="32B6F3B2" w:rsidR="008F12EF" w:rsidRPr="00CC1ADD" w:rsidRDefault="008F12EF" w:rsidP="008F12EF">
      <w:pPr>
        <w:pStyle w:val="mpcNormal"/>
      </w:pPr>
      <w:r w:rsidRPr="00CC1ADD">
        <w:t xml:space="preserve">Standardised, automated uploads of information by industry (and built in </w:t>
      </w:r>
      <w:r w:rsidR="0000694B">
        <w:t xml:space="preserve">automated </w:t>
      </w:r>
      <w:r w:rsidRPr="00CC1ADD">
        <w:t xml:space="preserve">validation steps) would obviate the need for resource intensive in-store data collections or annual data submissions and ensure the quality of the data. </w:t>
      </w:r>
    </w:p>
    <w:p w14:paraId="6D4BDBAC" w14:textId="77777777" w:rsidR="008F12EF" w:rsidRPr="00CC1ADD" w:rsidRDefault="008F12EF" w:rsidP="008F12EF">
      <w:pPr>
        <w:pStyle w:val="mpcNormal"/>
      </w:pPr>
    </w:p>
    <w:p w14:paraId="12375338" w14:textId="77777777" w:rsidR="008F12EF" w:rsidRPr="00CC1ADD" w:rsidRDefault="008F12EF" w:rsidP="008F12EF">
      <w:pPr>
        <w:pStyle w:val="mpcNormal"/>
      </w:pPr>
      <w:r w:rsidRPr="00CC1ADD">
        <w:t>The dataset could:</w:t>
      </w:r>
    </w:p>
    <w:p w14:paraId="6F803706" w14:textId="77777777" w:rsidR="008F12EF" w:rsidRPr="00CC1ADD" w:rsidRDefault="008F12EF" w:rsidP="008F12EF">
      <w:pPr>
        <w:pStyle w:val="mpcNormal"/>
      </w:pPr>
    </w:p>
    <w:p w14:paraId="24CBDD6A" w14:textId="77777777" w:rsidR="008F12EF" w:rsidRPr="00CC1ADD" w:rsidRDefault="008F12EF" w:rsidP="00F720A0">
      <w:pPr>
        <w:pStyle w:val="mpcbullets1"/>
      </w:pPr>
      <w:r w:rsidRPr="00CC1ADD">
        <w:t xml:space="preserve">be modelled on the </w:t>
      </w:r>
      <w:hyperlink r:id="rId79" w:history="1">
        <w:r w:rsidRPr="00CC1ADD">
          <w:rPr>
            <w:rStyle w:val="Hyperlink"/>
          </w:rPr>
          <w:t>USDA Branded Food Products Database</w:t>
        </w:r>
      </w:hyperlink>
      <w:r w:rsidRPr="00CC1ADD">
        <w:t xml:space="preserve"> that resulted from a Public-Private Partnership</w:t>
      </w:r>
      <w:r>
        <w:t xml:space="preserve"> with the </w:t>
      </w:r>
      <w:r w:rsidRPr="00CC1ADD">
        <w:t xml:space="preserve">goal </w:t>
      </w:r>
      <w:r>
        <w:t>of</w:t>
      </w:r>
      <w:r w:rsidRPr="00CC1ADD">
        <w:t xml:space="preserve"> enhanc</w:t>
      </w:r>
      <w:r>
        <w:t>ing</w:t>
      </w:r>
      <w:r w:rsidRPr="00CC1ADD">
        <w:t xml:space="preserve"> public health and the sharing of open data</w:t>
      </w:r>
      <w:r>
        <w:t>.</w:t>
      </w:r>
      <w:r w:rsidRPr="00CC1ADD">
        <w:t xml:space="preserve"> </w:t>
      </w:r>
      <w:r>
        <w:t xml:space="preserve">The Database includes the </w:t>
      </w:r>
      <w:r w:rsidRPr="00CC1ADD">
        <w:t>nutrient composition of branded foods and private label data provided by the food industry</w:t>
      </w:r>
      <w:r w:rsidRPr="00CC1ADD">
        <w:rPr>
          <w:rStyle w:val="FootnoteReference"/>
        </w:rPr>
        <w:footnoteReference w:id="101"/>
      </w:r>
    </w:p>
    <w:p w14:paraId="3BF9E547" w14:textId="77777777" w:rsidR="008F12EF" w:rsidRPr="00CC1ADD" w:rsidRDefault="008F12EF" w:rsidP="00F720A0">
      <w:pPr>
        <w:pStyle w:val="mpcbullets1"/>
      </w:pPr>
      <w:r w:rsidRPr="00CC1ADD">
        <w:t xml:space="preserve">support public and industry confidence in the HSR System and enable validation of the HSR displayed on a product. </w:t>
      </w:r>
    </w:p>
    <w:p w14:paraId="7CDDB05A" w14:textId="378C4214" w:rsidR="008F12EF" w:rsidRPr="00CC1ADD" w:rsidRDefault="008F12EF" w:rsidP="008F12EF">
      <w:pPr>
        <w:pStyle w:val="mpcbullets2"/>
      </w:pPr>
      <w:r w:rsidRPr="00CC1ADD">
        <w:t xml:space="preserve">An automated </w:t>
      </w:r>
      <w:r>
        <w:t>IT solution</w:t>
      </w:r>
      <w:r w:rsidRPr="00CC1ADD">
        <w:t xml:space="preserve"> would provide peace of mind for manufacturers that they have displayed the correct HSR</w:t>
      </w:r>
      <w:r>
        <w:t>,</w:t>
      </w:r>
      <w:r w:rsidRPr="00CC1ADD">
        <w:t xml:space="preserve"> assure manufacturers that their competitors have also used the correct HSR and</w:t>
      </w:r>
      <w:r>
        <w:t xml:space="preserve"> alleviate </w:t>
      </w:r>
      <w:r w:rsidRPr="00CC1ADD">
        <w:t>consumer</w:t>
      </w:r>
      <w:r>
        <w:t xml:space="preserve"> </w:t>
      </w:r>
      <w:r w:rsidRPr="00CC1ADD">
        <w:t xml:space="preserve">concerns </w:t>
      </w:r>
      <w:r>
        <w:t>about manufacturers incorrectly displaying HSRs</w:t>
      </w:r>
      <w:r w:rsidR="00A90016">
        <w:t>,</w:t>
      </w:r>
      <w:r>
        <w:t xml:space="preserve"> as they can be assessed against a validated database. </w:t>
      </w:r>
    </w:p>
    <w:p w14:paraId="6701C7A1" w14:textId="77777777" w:rsidR="008F12EF" w:rsidRPr="00CC1ADD" w:rsidRDefault="008F12EF" w:rsidP="00F720A0">
      <w:pPr>
        <w:pStyle w:val="mpcbullets1"/>
      </w:pPr>
      <w:r>
        <w:t>track longitudinal reformulation of products</w:t>
      </w:r>
    </w:p>
    <w:p w14:paraId="4A54494C" w14:textId="024B91E7" w:rsidR="008F12EF" w:rsidRPr="00CC1ADD" w:rsidRDefault="008F12EF" w:rsidP="00F720A0">
      <w:pPr>
        <w:pStyle w:val="mpcbullets1"/>
      </w:pPr>
      <w:r w:rsidRPr="00CC1ADD">
        <w:t>enable anomalies or areas of confusion in the HSR calculation to be identified</w:t>
      </w:r>
      <w:r w:rsidR="0000694B">
        <w:t xml:space="preserve"> and assessed</w:t>
      </w:r>
      <w:r w:rsidRPr="00CC1ADD">
        <w:t xml:space="preserve">, </w:t>
      </w:r>
      <w:r>
        <w:t>allowing</w:t>
      </w:r>
      <w:r w:rsidRPr="00CC1ADD">
        <w:t xml:space="preserve"> the System </w:t>
      </w:r>
      <w:r>
        <w:t>to</w:t>
      </w:r>
      <w:r w:rsidRPr="00CC1ADD">
        <w:t xml:space="preserve"> be more responsive </w:t>
      </w:r>
    </w:p>
    <w:p w14:paraId="1E8CD256" w14:textId="77777777" w:rsidR="008F12EF" w:rsidRPr="00CC1ADD" w:rsidRDefault="008F12EF" w:rsidP="00F720A0">
      <w:pPr>
        <w:pStyle w:val="mpcbullets1"/>
      </w:pPr>
      <w:r w:rsidRPr="00CC1ADD">
        <w:t xml:space="preserve">support the work of FSANZ and </w:t>
      </w:r>
      <w:r>
        <w:t>government health agencies,</w:t>
      </w:r>
      <w:r w:rsidRPr="00CC1ADD">
        <w:t xml:space="preserve"> including in relation to reformulation projects, generating nutrient profiles for surveys and inform</w:t>
      </w:r>
      <w:r>
        <w:t>ing</w:t>
      </w:r>
      <w:r w:rsidRPr="00CC1ADD">
        <w:t xml:space="preserve"> </w:t>
      </w:r>
      <w:r>
        <w:t>the</w:t>
      </w:r>
      <w:r w:rsidRPr="00CC1ADD">
        <w:t xml:space="preserve"> development </w:t>
      </w:r>
      <w:r>
        <w:t>of food regulation</w:t>
      </w:r>
    </w:p>
    <w:p w14:paraId="1B6DEC09" w14:textId="77777777" w:rsidR="008F12EF" w:rsidRPr="00CC1ADD" w:rsidRDefault="008F12EF" w:rsidP="00F720A0">
      <w:pPr>
        <w:pStyle w:val="mpcbullets1"/>
      </w:pPr>
      <w:r w:rsidRPr="00CC1ADD">
        <w:t>inform the regular review of Dietary Guidelines by describing the current food supply.</w:t>
      </w:r>
    </w:p>
    <w:p w14:paraId="6304D0FC" w14:textId="77777777" w:rsidR="008F12EF" w:rsidRPr="00CC1ADD" w:rsidRDefault="008F12EF" w:rsidP="008F12EF">
      <w:pPr>
        <w:rPr>
          <w:sz w:val="22"/>
          <w:szCs w:val="22"/>
        </w:rPr>
      </w:pPr>
    </w:p>
    <w:p w14:paraId="4AD24AD5" w14:textId="77777777" w:rsidR="008F12EF" w:rsidRPr="00CC1ADD" w:rsidRDefault="008F12EF" w:rsidP="008F12EF">
      <w:pPr>
        <w:rPr>
          <w:sz w:val="22"/>
          <w:szCs w:val="22"/>
        </w:rPr>
      </w:pPr>
      <w:r w:rsidRPr="00CC1ADD">
        <w:rPr>
          <w:sz w:val="22"/>
          <w:szCs w:val="22"/>
        </w:rPr>
        <w:t>Should this recommendation be accepted, it is suggested:</w:t>
      </w:r>
    </w:p>
    <w:p w14:paraId="008DADD1" w14:textId="77777777" w:rsidR="008F12EF" w:rsidRPr="00CC1ADD" w:rsidRDefault="008F12EF" w:rsidP="008F12EF">
      <w:pPr>
        <w:rPr>
          <w:sz w:val="22"/>
          <w:szCs w:val="22"/>
        </w:rPr>
      </w:pPr>
    </w:p>
    <w:p w14:paraId="5651D5A2" w14:textId="531F8369" w:rsidR="008F12EF" w:rsidRPr="00CC1ADD" w:rsidRDefault="008F12EF" w:rsidP="00F720A0">
      <w:pPr>
        <w:pStyle w:val="mpcbullets1"/>
      </w:pPr>
      <w:r w:rsidRPr="00CC1ADD">
        <w:t xml:space="preserve">FSANZ </w:t>
      </w:r>
      <w:r>
        <w:t xml:space="preserve">be funded to </w:t>
      </w:r>
      <w:r w:rsidRPr="00CC1ADD">
        <w:t xml:space="preserve">steward the development of the database, including the staging of its roll-out </w:t>
      </w:r>
    </w:p>
    <w:p w14:paraId="1C7D9639" w14:textId="498C1CE2" w:rsidR="008F12EF" w:rsidRPr="00CC1ADD" w:rsidRDefault="008F12EF" w:rsidP="008F12EF">
      <w:pPr>
        <w:pStyle w:val="mpcbullets2"/>
        <w:keepNext w:val="0"/>
        <w:ind w:left="850"/>
      </w:pPr>
      <w:r>
        <w:t xml:space="preserve">In consultation with government agencies and stakeholders, further consideration would need to be given to </w:t>
      </w:r>
      <w:r w:rsidRPr="00CC1ADD">
        <w:t>the viability of the dataset being bi-nationa</w:t>
      </w:r>
      <w:r>
        <w:t xml:space="preserve">l, </w:t>
      </w:r>
      <w:r w:rsidR="0000694B">
        <w:t>how the database could be managed administratively by FSANZ</w:t>
      </w:r>
      <w:r>
        <w:t xml:space="preserve"> (avoiding the need for legislative amendments), data protection and uses.</w:t>
      </w:r>
    </w:p>
    <w:p w14:paraId="18F8DD01" w14:textId="77777777" w:rsidR="008F12EF" w:rsidRPr="00CC1ADD" w:rsidRDefault="008F12EF" w:rsidP="00F720A0">
      <w:pPr>
        <w:pStyle w:val="mpcbullets1"/>
      </w:pPr>
      <w:r w:rsidRPr="00CC1ADD">
        <w:t>a review of international approaches and further discussions with the USDA informs the development of the dataset (including to harmonise data dictionaries wherever possible).</w:t>
      </w:r>
    </w:p>
    <w:p w14:paraId="1E43301B" w14:textId="77777777" w:rsidR="008F12EF" w:rsidRPr="00CC1ADD" w:rsidRDefault="008F12EF" w:rsidP="008F12EF">
      <w:pPr>
        <w:pStyle w:val="mpcbullets2"/>
      </w:pPr>
      <w:r w:rsidRPr="00CC1ADD">
        <w:t xml:space="preserve">For example, there is already an international food categorisation system (FoodEx2) that has been applied to many datasets internationally. </w:t>
      </w:r>
    </w:p>
    <w:p w14:paraId="12992CE4" w14:textId="0DCDCC72" w:rsidR="008F12EF" w:rsidRPr="00CC1ADD" w:rsidRDefault="008F12EF" w:rsidP="00F720A0">
      <w:pPr>
        <w:pStyle w:val="mpcbullets1"/>
      </w:pPr>
      <w:r w:rsidRPr="00CC1ADD">
        <w:t>industry consultation inform</w:t>
      </w:r>
      <w:r>
        <w:t>s the</w:t>
      </w:r>
      <w:r w:rsidRPr="00CC1ADD">
        <w:t xml:space="preserve"> design specifications and user </w:t>
      </w:r>
      <w:r w:rsidR="002E732B">
        <w:t>guidance required</w:t>
      </w:r>
      <w:r w:rsidRPr="00CC1ADD">
        <w:t xml:space="preserve"> to minimise </w:t>
      </w:r>
      <w:r>
        <w:t xml:space="preserve">the </w:t>
      </w:r>
      <w:r w:rsidRPr="00CC1ADD">
        <w:t xml:space="preserve">reporting burden and maximise manufacturer participation. </w:t>
      </w:r>
    </w:p>
    <w:p w14:paraId="195BD955" w14:textId="494A4CFB" w:rsidR="008F12EF" w:rsidRDefault="008F12EF" w:rsidP="008F12EF">
      <w:pPr>
        <w:pStyle w:val="mpcbullets2"/>
      </w:pPr>
      <w:r w:rsidRPr="00CC1ADD">
        <w:t>The Review recognises that industry support is critical for achieving the outcomes sought</w:t>
      </w:r>
      <w:r w:rsidR="002E732B">
        <w:t xml:space="preserve"> through this recommendation</w:t>
      </w:r>
      <w:r>
        <w:t>. Co-design of the database specifications will ensure ease of use and encourage industry submission of data.</w:t>
      </w:r>
    </w:p>
    <w:p w14:paraId="73AD55B0" w14:textId="42782109" w:rsidR="008F12EF" w:rsidRPr="00CC1ADD" w:rsidRDefault="008F12EF" w:rsidP="008F12EF">
      <w:pPr>
        <w:pStyle w:val="mpcbullets2"/>
      </w:pPr>
      <w:r>
        <w:t>The Review notes that the AFGC has been developing an online Product Information Form to assist industry to record product information in a consistent manner</w:t>
      </w:r>
      <w:r w:rsidR="002E732B">
        <w:t>,</w:t>
      </w:r>
      <w:r>
        <w:t xml:space="preserve"> including to assist with regulatory compliance. This experience could be leveraged to minimise additional impost on industry.</w:t>
      </w:r>
    </w:p>
    <w:p w14:paraId="3D86F79C" w14:textId="7E5CCB0D" w:rsidR="001D5779" w:rsidRPr="00CC1ADD" w:rsidRDefault="001D5779">
      <w:pPr>
        <w:pStyle w:val="mpcheading1"/>
      </w:pPr>
      <w:r w:rsidRPr="00CC1ADD">
        <w:br w:type="column"/>
      </w:r>
      <w:bookmarkStart w:id="132" w:name="Chapter7"/>
      <w:bookmarkStart w:id="133" w:name="_Toc1746510"/>
      <w:bookmarkEnd w:id="132"/>
      <w:r w:rsidRPr="00CC1ADD">
        <w:t xml:space="preserve">Chapter 7 – </w:t>
      </w:r>
      <w:r w:rsidR="00767B1E">
        <w:t>Optimising</w:t>
      </w:r>
      <w:r w:rsidR="00767B1E" w:rsidRPr="00CC1ADD">
        <w:t xml:space="preserve"> </w:t>
      </w:r>
      <w:r w:rsidRPr="00CC1ADD">
        <w:t xml:space="preserve">uptake of the </w:t>
      </w:r>
      <w:r w:rsidR="00CB56DE">
        <w:t>Health Star Rating</w:t>
      </w:r>
      <w:r w:rsidRPr="00CC1ADD">
        <w:t xml:space="preserve"> System</w:t>
      </w:r>
      <w:bookmarkEnd w:id="133"/>
    </w:p>
    <w:p w14:paraId="7DD5DE34" w14:textId="77777777" w:rsidR="001D5779" w:rsidRPr="00CC1ADD" w:rsidRDefault="001D5779">
      <w:pPr>
        <w:pStyle w:val="mpcheading2"/>
        <w:rPr>
          <w:sz w:val="22"/>
          <w:lang w:eastAsia="en-GB"/>
        </w:rPr>
      </w:pPr>
      <w:bookmarkStart w:id="134" w:name="Summary7"/>
      <w:bookmarkStart w:id="135" w:name="_Toc1746511"/>
      <w:bookmarkEnd w:id="134"/>
      <w:r w:rsidRPr="00CC1ADD">
        <w:rPr>
          <w:lang w:eastAsia="en-GB"/>
        </w:rPr>
        <w:t>Summary</w:t>
      </w:r>
      <w:bookmarkEnd w:id="135"/>
    </w:p>
    <w:p w14:paraId="5D4663CE" w14:textId="77777777" w:rsidR="001D5779" w:rsidRPr="00CC1ADD" w:rsidRDefault="001D5779" w:rsidP="007E3016">
      <w:pPr>
        <w:pStyle w:val="mpcNormal"/>
        <w:keepNext w:val="0"/>
      </w:pPr>
      <w:r w:rsidRPr="00CC1ADD">
        <w:t>No uptake targets were set when the HSR System was implemented. Stakeholders therefore have different expectations as to what constitutes the System’s success.</w:t>
      </w:r>
    </w:p>
    <w:p w14:paraId="706FCFF7" w14:textId="77777777" w:rsidR="001D5779" w:rsidRPr="00CC1ADD" w:rsidRDefault="001D5779" w:rsidP="007E3016">
      <w:pPr>
        <w:pStyle w:val="mpcNormal"/>
        <w:keepNext w:val="0"/>
      </w:pPr>
    </w:p>
    <w:p w14:paraId="0C8A39C9" w14:textId="77777777" w:rsidR="001D5779" w:rsidRPr="00CC1ADD" w:rsidRDefault="001D5779" w:rsidP="007E3016">
      <w:pPr>
        <w:pStyle w:val="mpcNormal"/>
        <w:keepNext w:val="0"/>
      </w:pPr>
      <w:r w:rsidRPr="00CC1ADD">
        <w:t>While uptake of the HSR System has been greater than the uptake of other FoPL initiatives (including the DIG</w:t>
      </w:r>
      <w:r w:rsidRPr="00CC1ADD">
        <w:rPr>
          <w:rStyle w:val="FootnoteReference"/>
          <w:sz w:val="22"/>
        </w:rPr>
        <w:footnoteReference w:id="102"/>
      </w:r>
      <w:r w:rsidRPr="00CC1ADD">
        <w:t>), the Review considers that uptake is still not adequate to enable consumers to effectively compare similar products.</w:t>
      </w:r>
    </w:p>
    <w:p w14:paraId="2DD77BA8" w14:textId="77777777" w:rsidR="001D5779" w:rsidRPr="00CC1ADD" w:rsidRDefault="001D5779" w:rsidP="007E3016">
      <w:pPr>
        <w:pStyle w:val="mpcNormal"/>
        <w:keepNext w:val="0"/>
      </w:pPr>
    </w:p>
    <w:p w14:paraId="3EAFB93E" w14:textId="5A689035" w:rsidR="001D5779" w:rsidRPr="00CC1ADD" w:rsidRDefault="001824D7" w:rsidP="007E3016">
      <w:pPr>
        <w:pStyle w:val="mpcNormal"/>
        <w:keepNext w:val="0"/>
      </w:pPr>
      <w:r w:rsidRPr="00CC1ADD">
        <w:t>Consistent and w</w:t>
      </w:r>
      <w:r w:rsidR="001D5779" w:rsidRPr="00CC1ADD">
        <w:t xml:space="preserve">idespread adoption of the HSR System, including the full range of HSRs (0.5 to 5 stars) across food categories and </w:t>
      </w:r>
      <w:r w:rsidR="00A46252">
        <w:t xml:space="preserve">the </w:t>
      </w:r>
      <w:r w:rsidR="00865490">
        <w:t>products intended to display the HSR</w:t>
      </w:r>
      <w:r w:rsidR="001D5779" w:rsidRPr="00CC1ADD">
        <w:t>, is an outcome sought by the vast majority of stakeholders. If the HSR System is to be retained, improved uptake across the range of eligible products is necessary to achieve the public health impact sought.</w:t>
      </w:r>
    </w:p>
    <w:p w14:paraId="766257DC" w14:textId="77777777" w:rsidR="001D5779" w:rsidRPr="00CC1ADD" w:rsidRDefault="001D5779" w:rsidP="007E3016">
      <w:pPr>
        <w:pStyle w:val="mpcNormal"/>
        <w:keepNext w:val="0"/>
      </w:pPr>
    </w:p>
    <w:p w14:paraId="4C23F44E" w14:textId="77777777" w:rsidR="001824D7" w:rsidRPr="00CC1ADD" w:rsidRDefault="001824D7" w:rsidP="007E3016">
      <w:pPr>
        <w:pStyle w:val="mpcNormal"/>
        <w:keepNext w:val="0"/>
      </w:pPr>
      <w:r w:rsidRPr="00CC1ADD">
        <w:t>Key</w:t>
      </w:r>
      <w:r w:rsidR="001D5779" w:rsidRPr="00CC1ADD">
        <w:t xml:space="preserve"> question</w:t>
      </w:r>
      <w:r w:rsidRPr="00CC1ADD">
        <w:t>s</w:t>
      </w:r>
      <w:r w:rsidR="001D5779" w:rsidRPr="00CC1ADD">
        <w:t xml:space="preserve"> for the Review </w:t>
      </w:r>
      <w:r w:rsidRPr="00CC1ADD">
        <w:t>are:</w:t>
      </w:r>
    </w:p>
    <w:p w14:paraId="46E71C74" w14:textId="77777777" w:rsidR="001824D7" w:rsidRPr="00CC1ADD" w:rsidRDefault="001824D7" w:rsidP="007E3016">
      <w:pPr>
        <w:pStyle w:val="mpcNormal"/>
        <w:keepNext w:val="0"/>
      </w:pPr>
    </w:p>
    <w:p w14:paraId="2E629D25" w14:textId="65AA9E2A" w:rsidR="001824D7" w:rsidRPr="00CC1ADD" w:rsidRDefault="001824D7" w:rsidP="00F720A0">
      <w:pPr>
        <w:pStyle w:val="mpcbullets1"/>
        <w:numPr>
          <w:ilvl w:val="0"/>
          <w:numId w:val="14"/>
        </w:numPr>
      </w:pPr>
      <w:r w:rsidRPr="00CC1ADD">
        <w:t>H</w:t>
      </w:r>
      <w:r w:rsidR="001D5779" w:rsidRPr="00CC1ADD">
        <w:t xml:space="preserve">ow </w:t>
      </w:r>
      <w:r w:rsidR="0000694B">
        <w:t>c</w:t>
      </w:r>
      <w:r w:rsidR="00CD7880" w:rsidRPr="00CC1ADD">
        <w:t xml:space="preserve">ould uptake of </w:t>
      </w:r>
      <w:r w:rsidR="001D5779" w:rsidRPr="00CC1ADD">
        <w:t>the HSR</w:t>
      </w:r>
      <w:r w:rsidRPr="00CC1ADD">
        <w:t xml:space="preserve"> System</w:t>
      </w:r>
      <w:r w:rsidR="00CD7880" w:rsidRPr="00CC1ADD">
        <w:t xml:space="preserve"> best be </w:t>
      </w:r>
      <w:r w:rsidR="00767B1E">
        <w:t>optimised</w:t>
      </w:r>
      <w:r w:rsidRPr="00CC1ADD">
        <w:t>?</w:t>
      </w:r>
    </w:p>
    <w:p w14:paraId="0612493D" w14:textId="4008745C" w:rsidR="001824D7" w:rsidRPr="00CC1ADD" w:rsidRDefault="001D5779" w:rsidP="00F720A0">
      <w:pPr>
        <w:pStyle w:val="mpcbullets1"/>
        <w:numPr>
          <w:ilvl w:val="0"/>
          <w:numId w:val="14"/>
        </w:numPr>
      </w:pPr>
      <w:r w:rsidRPr="00CC1ADD">
        <w:t xml:space="preserve">Should this be done through mandating the </w:t>
      </w:r>
      <w:r w:rsidR="00CD7880" w:rsidRPr="00CC1ADD">
        <w:t>S</w:t>
      </w:r>
      <w:r w:rsidRPr="00CC1ADD">
        <w:t xml:space="preserve">ystem or maintaining the voluntary approach? </w:t>
      </w:r>
    </w:p>
    <w:p w14:paraId="68DA6260" w14:textId="183360B9" w:rsidR="001D5779" w:rsidRPr="00CC1ADD" w:rsidRDefault="001D5779" w:rsidP="00F720A0">
      <w:pPr>
        <w:pStyle w:val="mpcbullets1"/>
        <w:numPr>
          <w:ilvl w:val="0"/>
          <w:numId w:val="14"/>
        </w:numPr>
      </w:pPr>
      <w:r w:rsidRPr="00CC1ADD">
        <w:t>Can an alternative approach be identified that uses a range of levers to achieve the desired outcomes, consistent with best practice regulation?</w:t>
      </w:r>
    </w:p>
    <w:p w14:paraId="1CFCFDFB" w14:textId="77777777" w:rsidR="001D5779" w:rsidRPr="00CC1ADD" w:rsidRDefault="001D5779" w:rsidP="007E3016">
      <w:pPr>
        <w:pStyle w:val="mpcNormal"/>
        <w:keepNext w:val="0"/>
      </w:pPr>
    </w:p>
    <w:p w14:paraId="30A83863" w14:textId="77777777" w:rsidR="001D5779" w:rsidRPr="00CC1ADD" w:rsidRDefault="001D5779" w:rsidP="007E3016">
      <w:pPr>
        <w:pStyle w:val="mpcNormal"/>
        <w:keepNext w:val="0"/>
      </w:pPr>
      <w:r w:rsidRPr="00CC1ADD">
        <w:t>In identifying the recommended approach, the Review closely examined the barriers to uptake, incentives for uptake and the evidence regarding the use and distribution of the HSR across products.</w:t>
      </w:r>
    </w:p>
    <w:p w14:paraId="4087FC44" w14:textId="77777777" w:rsidR="001D5779" w:rsidRPr="00CC1ADD" w:rsidRDefault="001D5779" w:rsidP="007E3016">
      <w:pPr>
        <w:pStyle w:val="mpcNormal"/>
        <w:keepNext w:val="0"/>
      </w:pPr>
    </w:p>
    <w:p w14:paraId="3BE58F6D" w14:textId="77777777" w:rsidR="001D5779" w:rsidRPr="00CC1ADD" w:rsidRDefault="001D5779" w:rsidP="007E3016">
      <w:pPr>
        <w:pStyle w:val="mpcNormal"/>
        <w:keepNext w:val="0"/>
      </w:pPr>
      <w:r w:rsidRPr="00CC1ADD">
        <w:t>The Review found that:</w:t>
      </w:r>
    </w:p>
    <w:p w14:paraId="70BC1074" w14:textId="77777777" w:rsidR="001D5779" w:rsidRPr="00CC1ADD" w:rsidRDefault="001D5779" w:rsidP="007E3016">
      <w:pPr>
        <w:pStyle w:val="mpcNormal"/>
        <w:keepNext w:val="0"/>
      </w:pPr>
    </w:p>
    <w:p w14:paraId="79D01365" w14:textId="03C8586C" w:rsidR="001D5779" w:rsidRPr="00CC1ADD" w:rsidRDefault="001D5779" w:rsidP="00F720A0">
      <w:pPr>
        <w:pStyle w:val="mpcbullets1"/>
      </w:pPr>
      <w:r w:rsidRPr="00CC1ADD">
        <w:t>there is enthusiasm for the HSR System within industry</w:t>
      </w:r>
      <w:r w:rsidR="007C3E73">
        <w:t>,</w:t>
      </w:r>
      <w:r w:rsidRPr="00CC1ADD">
        <w:t xml:space="preserve"> with over 200 manufacturers and retailers implementing the HSR on their products across Australia and New Zealand</w:t>
      </w:r>
      <w:r w:rsidRPr="00CC1ADD">
        <w:rPr>
          <w:rStyle w:val="FootnoteReference"/>
          <w:sz w:val="22"/>
        </w:rPr>
        <w:footnoteReference w:id="103"/>
      </w:r>
      <w:r w:rsidRPr="00CC1ADD">
        <w:t xml:space="preserve"> and many of these undertaking their own promotion of the System (</w:t>
      </w:r>
      <w:r w:rsidR="004505FF" w:rsidRPr="00CC1ADD">
        <w:t>refer</w:t>
      </w:r>
      <w:r w:rsidRPr="00CC1ADD">
        <w:t xml:space="preserve"> </w:t>
      </w:r>
      <w:r w:rsidRPr="00CC1ADD">
        <w:rPr>
          <w:u w:val="single"/>
        </w:rPr>
        <w:t>Appendix C</w:t>
      </w:r>
      <w:r w:rsidRPr="00CC1ADD">
        <w:t>)</w:t>
      </w:r>
    </w:p>
    <w:p w14:paraId="3E850134" w14:textId="77777777" w:rsidR="001D5779" w:rsidRPr="00CC1ADD" w:rsidRDefault="001D5779" w:rsidP="00F720A0">
      <w:pPr>
        <w:pStyle w:val="mpcbullets1"/>
      </w:pPr>
      <w:r w:rsidRPr="00CC1ADD">
        <w:t>many major retailers are displaying the HSR on all private label products (with Coles, Woolworths and ALDI accounting for over half of all products participating in the System in Australia)</w:t>
      </w:r>
    </w:p>
    <w:p w14:paraId="0F8BF6F1" w14:textId="357F702D" w:rsidR="001D5779" w:rsidRPr="00CC1ADD" w:rsidRDefault="001D5779" w:rsidP="00F720A0">
      <w:pPr>
        <w:pStyle w:val="mpcbullets1"/>
      </w:pPr>
      <w:r w:rsidRPr="00CC1ADD">
        <w:t>compliance by those who use the HSR System is high (</w:t>
      </w:r>
      <w:r w:rsidR="00196244" w:rsidRPr="00CC1ADD">
        <w:t>refer</w:t>
      </w:r>
      <w:r w:rsidRPr="00CC1ADD">
        <w:t xml:space="preserve"> Chapter 3)</w:t>
      </w:r>
    </w:p>
    <w:p w14:paraId="078D473B" w14:textId="2F220531" w:rsidR="001D5779" w:rsidRPr="00CC1ADD" w:rsidRDefault="001D5779" w:rsidP="00F720A0">
      <w:pPr>
        <w:pStyle w:val="mpcbullets1"/>
      </w:pPr>
      <w:r w:rsidRPr="00CC1ADD">
        <w:t>the HSR System is influencing healthy reformulation (</w:t>
      </w:r>
      <w:r w:rsidR="00196244" w:rsidRPr="00CC1ADD">
        <w:t xml:space="preserve">refer </w:t>
      </w:r>
      <w:r w:rsidRPr="00CC1ADD">
        <w:t>Chapter 3).</w:t>
      </w:r>
    </w:p>
    <w:p w14:paraId="51F26771" w14:textId="77777777" w:rsidR="001D5779" w:rsidRPr="00CC1ADD" w:rsidRDefault="001D5779" w:rsidP="007E3016">
      <w:pPr>
        <w:pStyle w:val="mpcNormal"/>
        <w:keepNext w:val="0"/>
      </w:pPr>
    </w:p>
    <w:p w14:paraId="5B773F0E" w14:textId="41F79E96" w:rsidR="001D5779" w:rsidRPr="00CC1ADD" w:rsidRDefault="001D5779" w:rsidP="007E3016">
      <w:pPr>
        <w:pStyle w:val="mpcNormal"/>
        <w:keepNext w:val="0"/>
      </w:pPr>
      <w:r w:rsidRPr="00CC1ADD">
        <w:t xml:space="preserve">Despite this, there </w:t>
      </w:r>
      <w:r w:rsidR="00C36AA4">
        <w:t>is</w:t>
      </w:r>
      <w:r w:rsidR="00C36AA4" w:rsidRPr="00CC1ADD">
        <w:t xml:space="preserve"> </w:t>
      </w:r>
      <w:r w:rsidRPr="00CC1ADD">
        <w:t xml:space="preserve">a significant number of manufacturers choosing not to implement the HSR System. Some of the reasons for not adopting the </w:t>
      </w:r>
      <w:r w:rsidR="001824D7" w:rsidRPr="00CC1ADD">
        <w:t xml:space="preserve">System </w:t>
      </w:r>
      <w:r w:rsidRPr="00CC1ADD">
        <w:t>include:</w:t>
      </w:r>
    </w:p>
    <w:p w14:paraId="08BAD03C" w14:textId="77777777" w:rsidR="001D5779" w:rsidRPr="00CC1ADD" w:rsidRDefault="001D5779" w:rsidP="007E3016">
      <w:pPr>
        <w:pStyle w:val="mpcNormal"/>
        <w:keepNext w:val="0"/>
      </w:pPr>
    </w:p>
    <w:p w14:paraId="01D3409A" w14:textId="4F82A902" w:rsidR="001D5779" w:rsidRPr="00CC1ADD" w:rsidRDefault="001D5779" w:rsidP="00F720A0">
      <w:pPr>
        <w:pStyle w:val="mpcbullets1"/>
      </w:pPr>
      <w:r w:rsidRPr="00CC1ADD">
        <w:t>concerns about the current treatment of certain products, particularly FFG foods</w:t>
      </w:r>
      <w:r w:rsidR="001824D7" w:rsidRPr="00CC1ADD">
        <w:t>,</w:t>
      </w:r>
      <w:r w:rsidRPr="00CC1ADD">
        <w:t xml:space="preserve"> including dairy products and non-dairy beverages</w:t>
      </w:r>
    </w:p>
    <w:p w14:paraId="20620D45" w14:textId="77777777" w:rsidR="001D5779" w:rsidRPr="00CC1ADD" w:rsidRDefault="001D5779" w:rsidP="00F720A0">
      <w:pPr>
        <w:pStyle w:val="mpcbullets1"/>
      </w:pPr>
      <w:r w:rsidRPr="00CC1ADD">
        <w:t>a lack of certainty regarding ‘as prepared’ rules</w:t>
      </w:r>
    </w:p>
    <w:p w14:paraId="6CA3C1D2" w14:textId="77777777" w:rsidR="001D5779" w:rsidRPr="00CC1ADD" w:rsidRDefault="001D5779" w:rsidP="00F720A0">
      <w:pPr>
        <w:pStyle w:val="mpcbullets1"/>
      </w:pPr>
      <w:r w:rsidRPr="00CC1ADD">
        <w:t>a lack of clarity regarding the products on which the HSR should appear</w:t>
      </w:r>
    </w:p>
    <w:p w14:paraId="614F7725" w14:textId="72C232A0" w:rsidR="001D5779" w:rsidRPr="00CC1ADD" w:rsidRDefault="001D5779" w:rsidP="00F720A0">
      <w:pPr>
        <w:pStyle w:val="mpcbullets1"/>
      </w:pPr>
      <w:r w:rsidRPr="00CC1ADD">
        <w:t xml:space="preserve">uncertainty about whether to implement the stars or the energy icon </w:t>
      </w:r>
      <w:r w:rsidR="001824D7" w:rsidRPr="00CC1ADD">
        <w:t xml:space="preserve">– </w:t>
      </w:r>
      <w:r w:rsidRPr="00CC1ADD">
        <w:t>noting</w:t>
      </w:r>
      <w:r w:rsidR="001824D7" w:rsidRPr="00CC1ADD">
        <w:t xml:space="preserve"> </w:t>
      </w:r>
      <w:r w:rsidRPr="00CC1ADD">
        <w:t>that guidance materials encourage the use of the energy icon for certain foods and beverages, yet there is evidence this is not meaningful to most consumers, nor readily identified as part of the HSR System (which consumers associate with stars).</w:t>
      </w:r>
    </w:p>
    <w:p w14:paraId="409AA8F9" w14:textId="77777777" w:rsidR="001D5779" w:rsidRPr="00CC1ADD" w:rsidRDefault="001D5779" w:rsidP="007E3016">
      <w:pPr>
        <w:pStyle w:val="mpcNormal"/>
        <w:keepNext w:val="0"/>
      </w:pPr>
    </w:p>
    <w:p w14:paraId="08512CD4" w14:textId="538BC831" w:rsidR="001D5779" w:rsidRPr="00CC1ADD" w:rsidRDefault="001D5779" w:rsidP="007E3016">
      <w:pPr>
        <w:pStyle w:val="mpcNormal"/>
        <w:keepNext w:val="0"/>
      </w:pPr>
      <w:r w:rsidRPr="00CC1ADD">
        <w:t xml:space="preserve">Criticism of the HSR System has meant some manufacturers have been reluctant to display the HSR for fear of </w:t>
      </w:r>
      <w:r w:rsidR="00554AE9">
        <w:t>a negative</w:t>
      </w:r>
      <w:r w:rsidR="00554AE9" w:rsidRPr="00CC1ADD">
        <w:t xml:space="preserve"> </w:t>
      </w:r>
      <w:r w:rsidRPr="00CC1ADD">
        <w:t>consumer response. Others have reasonably decided to await the outcomes of the Review before investing in the HSR System.</w:t>
      </w:r>
    </w:p>
    <w:p w14:paraId="2D3188B9" w14:textId="77777777" w:rsidR="001D5779" w:rsidRPr="00CC1ADD" w:rsidRDefault="001D5779" w:rsidP="007E3016">
      <w:pPr>
        <w:pStyle w:val="mpcNormal"/>
        <w:keepNext w:val="0"/>
      </w:pPr>
      <w:r w:rsidRPr="00CC1ADD">
        <w:t xml:space="preserve"> </w:t>
      </w:r>
    </w:p>
    <w:p w14:paraId="6056F487" w14:textId="4AED2E8A" w:rsidR="001D5779" w:rsidRPr="00CC1ADD" w:rsidRDefault="001D5779" w:rsidP="007E3016">
      <w:pPr>
        <w:pStyle w:val="mpcNormal"/>
        <w:keepNext w:val="0"/>
      </w:pPr>
      <w:r w:rsidRPr="00CC1ADD">
        <w:t xml:space="preserve">Against this backdrop, the Review considers that attention should be focused on improving the </w:t>
      </w:r>
      <w:r w:rsidR="00196244" w:rsidRPr="00CC1ADD">
        <w:t xml:space="preserve">HSR </w:t>
      </w:r>
      <w:r w:rsidRPr="00CC1ADD">
        <w:t xml:space="preserve">System, setting clear uptake targets and </w:t>
      </w:r>
      <w:r w:rsidR="0000694B">
        <w:t xml:space="preserve">stakeholders working together to drive </w:t>
      </w:r>
      <w:r w:rsidR="0000694B" w:rsidRPr="00CC1ADD">
        <w:t>uptake</w:t>
      </w:r>
      <w:r w:rsidRPr="00CC1ADD">
        <w:t xml:space="preserve">, rather than mandating the System.  </w:t>
      </w:r>
    </w:p>
    <w:p w14:paraId="02EFB849" w14:textId="77777777" w:rsidR="001D5779" w:rsidRPr="00CC1ADD" w:rsidRDefault="001D5779" w:rsidP="0017608D">
      <w:pPr>
        <w:pStyle w:val="mpcNormal"/>
        <w:keepNext w:val="0"/>
      </w:pPr>
    </w:p>
    <w:p w14:paraId="417D88CF" w14:textId="5B793C45" w:rsidR="001D5779" w:rsidRPr="00CC1ADD" w:rsidRDefault="001D5779" w:rsidP="0017608D">
      <w:pPr>
        <w:pStyle w:val="mpcNormal"/>
        <w:keepNext w:val="0"/>
      </w:pPr>
      <w:r w:rsidRPr="00CC1ADD">
        <w:t xml:space="preserve">This approach </w:t>
      </w:r>
      <w:r w:rsidR="00554AE9">
        <w:t xml:space="preserve">continues to build on the significant investment and goodwill of industry and others and </w:t>
      </w:r>
      <w:r w:rsidRPr="00CC1ADD">
        <w:t>is consistent with:</w:t>
      </w:r>
    </w:p>
    <w:p w14:paraId="07F64133" w14:textId="77777777" w:rsidR="001D5779" w:rsidRPr="00CC1ADD" w:rsidRDefault="001D5779" w:rsidP="0017608D">
      <w:pPr>
        <w:pStyle w:val="mpcNormal"/>
        <w:keepNext w:val="0"/>
      </w:pPr>
    </w:p>
    <w:p w14:paraId="0D2FFD66" w14:textId="550287AB" w:rsidR="001D5779" w:rsidRPr="00CC1ADD" w:rsidRDefault="001D5779" w:rsidP="00F720A0">
      <w:pPr>
        <w:pStyle w:val="mpcbullets1"/>
      </w:pPr>
      <w:r w:rsidRPr="00CC1ADD">
        <w:t>the principles of best practice regulation, which state that</w:t>
      </w:r>
      <w:r w:rsidR="00C36AA4">
        <w:t>:</w:t>
      </w:r>
      <w:r w:rsidRPr="00CC1ADD">
        <w:t xml:space="preserve"> regulation should not be adopted as a default option; the policy option with the greatest net benefit should be adopted; and decisions to regulate should be proportionate, taking into account the need for flexibility and the extent of market failure</w:t>
      </w:r>
    </w:p>
    <w:p w14:paraId="0518EA8E" w14:textId="6CFA26AB" w:rsidR="001D5779" w:rsidRPr="00CC1ADD" w:rsidRDefault="001D5779" w:rsidP="0017608D">
      <w:pPr>
        <w:pStyle w:val="mpcbullets2"/>
        <w:keepNext w:val="0"/>
      </w:pPr>
      <w:r w:rsidRPr="00CC1ADD">
        <w:t>Applying these principles, the Review considers that the benefits of mandating the System (at this time) do not outweigh the significant disadvantages and costs of doing so</w:t>
      </w:r>
      <w:r w:rsidR="009E50B1" w:rsidRPr="00CC1ADD">
        <w:t>.</w:t>
      </w:r>
    </w:p>
    <w:p w14:paraId="27EAFB6A" w14:textId="68BE7F6A" w:rsidR="001D5779" w:rsidRDefault="001D5779" w:rsidP="00F720A0">
      <w:pPr>
        <w:pStyle w:val="mpcbullets1"/>
      </w:pPr>
      <w:r w:rsidRPr="00CC1ADD">
        <w:t>international experience</w:t>
      </w:r>
      <w:r w:rsidR="009E50B1" w:rsidRPr="00CC1ADD">
        <w:t xml:space="preserve"> </w:t>
      </w:r>
      <w:r w:rsidRPr="00CC1ADD">
        <w:t>where the majority of interpretive FoPL schemes have been implemented on a voluntary basis</w:t>
      </w:r>
    </w:p>
    <w:p w14:paraId="5E7040D8" w14:textId="1DD74A58" w:rsidR="00405E71" w:rsidRPr="00CC1ADD" w:rsidRDefault="00405E71" w:rsidP="00F720A0">
      <w:pPr>
        <w:pStyle w:val="mpcbullets1"/>
      </w:pPr>
      <w:r>
        <w:t xml:space="preserve">research (including a recent UK study) </w:t>
      </w:r>
      <w:r w:rsidRPr="00E30D87">
        <w:t>that highlight</w:t>
      </w:r>
      <w:r>
        <w:t>s</w:t>
      </w:r>
      <w:r w:rsidRPr="00E30D87">
        <w:t xml:space="preserve"> the importance </w:t>
      </w:r>
      <w:r>
        <w:t>o</w:t>
      </w:r>
      <w:r w:rsidRPr="00E30D87">
        <w:t>f setting targets and monitoring against these</w:t>
      </w:r>
      <w:r>
        <w:t xml:space="preserve"> to </w:t>
      </w:r>
      <w:r w:rsidRPr="00E30D87">
        <w:t>assess the impact of long-term</w:t>
      </w:r>
      <w:r w:rsidR="0000694B">
        <w:t>,</w:t>
      </w:r>
      <w:r w:rsidRPr="00E30D87">
        <w:t xml:space="preserve"> sustained interventions </w:t>
      </w:r>
      <w:r w:rsidR="0000694B">
        <w:t>tackling</w:t>
      </w:r>
      <w:r w:rsidRPr="00E30D87">
        <w:t xml:space="preserve"> complex issues such as obesity</w:t>
      </w:r>
      <w:r>
        <w:t>.</w:t>
      </w:r>
      <w:r w:rsidRPr="008324C4">
        <w:rPr>
          <w:rFonts w:cs="Calibri (Body)"/>
          <w:vertAlign w:val="superscript"/>
        </w:rPr>
        <w:footnoteReference w:id="104"/>
      </w:r>
      <w:r w:rsidRPr="008324C4">
        <w:rPr>
          <w:rFonts w:cs="Calibri (Body)"/>
          <w:vertAlign w:val="superscript"/>
        </w:rPr>
        <w:t>.</w:t>
      </w:r>
    </w:p>
    <w:p w14:paraId="3F19C887" w14:textId="77777777" w:rsidR="001D5779" w:rsidRPr="00CC1ADD" w:rsidRDefault="001D5779" w:rsidP="0017608D">
      <w:pPr>
        <w:pStyle w:val="mpcNormal"/>
        <w:keepNext w:val="0"/>
      </w:pPr>
    </w:p>
    <w:p w14:paraId="320D63E9" w14:textId="2C5C9827" w:rsidR="00405E71" w:rsidRDefault="00405E71" w:rsidP="00405E71">
      <w:pPr>
        <w:pStyle w:val="mpcNormal"/>
        <w:keepNext w:val="0"/>
      </w:pPr>
      <w:r w:rsidRPr="00CC1ADD">
        <w:t xml:space="preserve">If, after a </w:t>
      </w:r>
      <w:r w:rsidRPr="00EE0C9F">
        <w:t>reasonable period</w:t>
      </w:r>
      <w:r w:rsidRPr="00CC1ADD">
        <w:t xml:space="preserve"> following the implementation of the changes recommended by the Review</w:t>
      </w:r>
      <w:r>
        <w:t>,</w:t>
      </w:r>
      <w:r w:rsidRPr="00CC1ADD">
        <w:t xml:space="preserve"> uptake continues to be limited (or skewed to certain products)</w:t>
      </w:r>
      <w:r>
        <w:t>,</w:t>
      </w:r>
      <w:r w:rsidRPr="00CC1ADD">
        <w:t xml:space="preserve"> the Forum </w:t>
      </w:r>
      <w:r>
        <w:t>should consider mandating</w:t>
      </w:r>
      <w:r w:rsidRPr="00CC1ADD">
        <w:t xml:space="preserve"> the HSR System.</w:t>
      </w:r>
    </w:p>
    <w:p w14:paraId="6CF0AB58" w14:textId="267EA942" w:rsidR="007C3E73" w:rsidRPr="00405E71" w:rsidRDefault="007C3E73" w:rsidP="00405E71">
      <w:pPr>
        <w:pStyle w:val="mpcNormal"/>
        <w:keepNext w:val="0"/>
        <w:ind w:left="2160" w:hanging="2160"/>
        <w:rPr>
          <w:b/>
        </w:rPr>
      </w:pPr>
    </w:p>
    <w:tbl>
      <w:tblPr>
        <w:tblStyle w:val="TableGrid"/>
        <w:tblW w:w="0" w:type="auto"/>
        <w:tblLook w:val="04A0" w:firstRow="1" w:lastRow="0" w:firstColumn="1" w:lastColumn="0" w:noHBand="0" w:noVBand="1"/>
      </w:tblPr>
      <w:tblGrid>
        <w:gridCol w:w="9736"/>
      </w:tblGrid>
      <w:tr w:rsidR="007C3E73" w:rsidRPr="00CC1ADD" w14:paraId="43326C01" w14:textId="77777777" w:rsidTr="00405E71">
        <w:trPr>
          <w:trHeight w:val="1062"/>
        </w:trPr>
        <w:tc>
          <w:tcPr>
            <w:tcW w:w="9736" w:type="dxa"/>
            <w:shd w:val="clear" w:color="auto" w:fill="D9E2F3" w:themeFill="accent1" w:themeFillTint="33"/>
            <w:vAlign w:val="center"/>
          </w:tcPr>
          <w:p w14:paraId="05059BB0" w14:textId="19E58D60" w:rsidR="00614EF5" w:rsidRPr="00405E71" w:rsidRDefault="00405E71" w:rsidP="00405E71">
            <w:pPr>
              <w:pStyle w:val="mpcNormal"/>
              <w:keepNext w:val="0"/>
              <w:ind w:left="2160" w:hanging="2160"/>
            </w:pPr>
            <w:r w:rsidRPr="00405E71">
              <w:rPr>
                <w:b/>
              </w:rPr>
              <w:t xml:space="preserve">Recommendation 8: </w:t>
            </w:r>
            <w:r w:rsidRPr="00405E71">
              <w:rPr>
                <w:b/>
              </w:rPr>
              <w:tab/>
              <w:t>The HSR System remain voluntary but with clear uptake target set by governments (the HSR must be displayed on 70% of target products by end 2023) and all stakeholders working together to drive uptake.</w:t>
            </w:r>
          </w:p>
        </w:tc>
      </w:tr>
    </w:tbl>
    <w:p w14:paraId="00663DA1" w14:textId="77777777" w:rsidR="007C3E73" w:rsidRPr="00CC1ADD" w:rsidRDefault="007C3E73" w:rsidP="0017608D">
      <w:pPr>
        <w:pStyle w:val="mpcNormal"/>
        <w:keepNext w:val="0"/>
      </w:pPr>
    </w:p>
    <w:tbl>
      <w:tblPr>
        <w:tblStyle w:val="TableGrid"/>
        <w:tblW w:w="0" w:type="auto"/>
        <w:tblLook w:val="04A0" w:firstRow="1" w:lastRow="0" w:firstColumn="1" w:lastColumn="0" w:noHBand="0" w:noVBand="1"/>
      </w:tblPr>
      <w:tblGrid>
        <w:gridCol w:w="9736"/>
      </w:tblGrid>
      <w:tr w:rsidR="007C3E73" w:rsidRPr="00CC1ADD" w14:paraId="169C4456" w14:textId="77777777" w:rsidTr="00FC088C">
        <w:trPr>
          <w:trHeight w:val="1064"/>
        </w:trPr>
        <w:tc>
          <w:tcPr>
            <w:tcW w:w="9736" w:type="dxa"/>
            <w:shd w:val="clear" w:color="auto" w:fill="D9E2F3" w:themeFill="accent1" w:themeFillTint="33"/>
            <w:vAlign w:val="center"/>
          </w:tcPr>
          <w:p w14:paraId="04BB0ADC" w14:textId="0254BC5C" w:rsidR="007C3E73" w:rsidRPr="00FC088C" w:rsidRDefault="00614EF5" w:rsidP="00FC088C">
            <w:pPr>
              <w:pStyle w:val="mpcNormal"/>
              <w:keepNext w:val="0"/>
              <w:ind w:left="2160" w:hanging="2160"/>
              <w:rPr>
                <w:b/>
              </w:rPr>
            </w:pPr>
            <w:r w:rsidRPr="00953915">
              <w:rPr>
                <w:b/>
              </w:rPr>
              <w:t xml:space="preserve">Recommendation 9: </w:t>
            </w:r>
            <w:r w:rsidRPr="00953915">
              <w:rPr>
                <w:b/>
              </w:rPr>
              <w:tab/>
              <w:t xml:space="preserve">The existing </w:t>
            </w:r>
            <w:r w:rsidRPr="008C6958">
              <w:rPr>
                <w:b/>
                <w:i/>
              </w:rPr>
              <w:t>Guide for Industry to the HSR Calculator</w:t>
            </w:r>
            <w:r w:rsidRPr="00953915">
              <w:rPr>
                <w:b/>
              </w:rPr>
              <w:t xml:space="preserve"> and the </w:t>
            </w:r>
            <w:r w:rsidRPr="008C6958">
              <w:rPr>
                <w:b/>
                <w:i/>
              </w:rPr>
              <w:t>HSR System Style Guide</w:t>
            </w:r>
            <w:r w:rsidRPr="00953915">
              <w:rPr>
                <w:b/>
              </w:rPr>
              <w:t xml:space="preserve"> be combined, revised and strengthened, providing greater certainty for stakeholders.</w:t>
            </w:r>
          </w:p>
        </w:tc>
      </w:tr>
    </w:tbl>
    <w:p w14:paraId="3180FEDE" w14:textId="77777777" w:rsidR="00614EF5" w:rsidRPr="00CC1ADD" w:rsidRDefault="00614EF5" w:rsidP="00FC088C">
      <w:pPr>
        <w:pStyle w:val="mpcNormal"/>
        <w:keepNext w:val="0"/>
      </w:pPr>
    </w:p>
    <w:p w14:paraId="68A4C808" w14:textId="352453F9" w:rsidR="001D5779" w:rsidRPr="00CC1ADD" w:rsidRDefault="001D5779">
      <w:pPr>
        <w:pStyle w:val="mpcheading2"/>
        <w:rPr>
          <w:lang w:eastAsia="en-GB"/>
        </w:rPr>
      </w:pPr>
      <w:bookmarkStart w:id="136" w:name="Regulation"/>
      <w:bookmarkStart w:id="137" w:name="_Toc1746512"/>
      <w:bookmarkEnd w:id="136"/>
      <w:r w:rsidRPr="00CC1ADD">
        <w:rPr>
          <w:lang w:eastAsia="en-GB"/>
        </w:rPr>
        <w:t>Best practice regulation</w:t>
      </w:r>
      <w:bookmarkEnd w:id="137"/>
      <w:r w:rsidRPr="00CC1ADD">
        <w:rPr>
          <w:lang w:eastAsia="en-GB"/>
        </w:rPr>
        <w:t xml:space="preserve"> </w:t>
      </w:r>
    </w:p>
    <w:p w14:paraId="0F036A54" w14:textId="65DD96E4" w:rsidR="001D5779" w:rsidRPr="00CC1ADD" w:rsidRDefault="001D5779" w:rsidP="00FC088C">
      <w:pPr>
        <w:pStyle w:val="mpcNormal"/>
        <w:keepNext w:val="0"/>
      </w:pPr>
      <w:r w:rsidRPr="00CC1ADD">
        <w:t xml:space="preserve">In determining whether to </w:t>
      </w:r>
      <w:r w:rsidR="009E50B1" w:rsidRPr="00CC1ADD">
        <w:t xml:space="preserve">recommend </w:t>
      </w:r>
      <w:r w:rsidRPr="00CC1ADD">
        <w:t>mandat</w:t>
      </w:r>
      <w:r w:rsidR="009E50B1" w:rsidRPr="00CC1ADD">
        <w:t>ing</w:t>
      </w:r>
      <w:r w:rsidRPr="00CC1ADD">
        <w:t xml:space="preserve"> the HSR System, the Review applied the principles of best practice regulation.</w:t>
      </w:r>
    </w:p>
    <w:p w14:paraId="1112CEC4" w14:textId="77777777" w:rsidR="001D5779" w:rsidRPr="00CC1ADD" w:rsidRDefault="001D5779" w:rsidP="00FC088C">
      <w:pPr>
        <w:pStyle w:val="mpcNormal"/>
        <w:keepNext w:val="0"/>
      </w:pPr>
    </w:p>
    <w:p w14:paraId="1992FC2A" w14:textId="559CFF3E" w:rsidR="001D5779" w:rsidRPr="00CC1ADD" w:rsidRDefault="001D5779" w:rsidP="00FC088C">
      <w:pPr>
        <w:pStyle w:val="mpcNormal"/>
        <w:keepNext w:val="0"/>
      </w:pPr>
      <w:r w:rsidRPr="00CC1ADD">
        <w:t>The</w:t>
      </w:r>
      <w:r w:rsidR="00D8013B">
        <w:t xml:space="preserve"> Organisation for Economic Co-operation and Development (</w:t>
      </w:r>
      <w:r w:rsidRPr="00CC1ADD">
        <w:t>OECD</w:t>
      </w:r>
      <w:r w:rsidR="00D8013B">
        <w:t>)</w:t>
      </w:r>
      <w:r w:rsidRPr="00CC1ADD">
        <w:t xml:space="preserve">, </w:t>
      </w:r>
      <w:r w:rsidR="00C36AA4">
        <w:t xml:space="preserve">the </w:t>
      </w:r>
      <w:r w:rsidRPr="00CC1ADD">
        <w:t xml:space="preserve">Australian Government, </w:t>
      </w:r>
      <w:r w:rsidR="00C36AA4">
        <w:t xml:space="preserve">the </w:t>
      </w:r>
      <w:r w:rsidRPr="00CC1ADD">
        <w:t>New Zealand Government and a number of State and Territory governments have published guides to best practice regulation, detailing matters to be taken into account when determining how to implement public policy measures (via regulation or otherwise). For example:</w:t>
      </w:r>
    </w:p>
    <w:p w14:paraId="36E08B42" w14:textId="77777777" w:rsidR="001D5779" w:rsidRPr="00CC1ADD" w:rsidRDefault="001D5779" w:rsidP="00FC088C">
      <w:pPr>
        <w:pStyle w:val="mpcNormal"/>
        <w:keepNext w:val="0"/>
      </w:pPr>
    </w:p>
    <w:p w14:paraId="5F4B3F10" w14:textId="53C638A1" w:rsidR="001D5779" w:rsidRPr="00CC1ADD" w:rsidRDefault="001D5779" w:rsidP="00F720A0">
      <w:pPr>
        <w:pStyle w:val="mpcbullets1"/>
      </w:pPr>
      <w:r w:rsidRPr="00CC1ADD">
        <w:t xml:space="preserve">The </w:t>
      </w:r>
      <w:hyperlink r:id="rId80" w:history="1">
        <w:r w:rsidRPr="00CC1ADD">
          <w:rPr>
            <w:rStyle w:val="Hyperlink"/>
          </w:rPr>
          <w:t>Australian Government Guide to Regulation</w:t>
        </w:r>
      </w:hyperlink>
      <w:r w:rsidRPr="007C3E73">
        <w:rPr>
          <w:rStyle w:val="FootnoteReference"/>
          <w:sz w:val="22"/>
        </w:rPr>
        <w:footnoteReference w:id="105"/>
      </w:r>
      <w:r w:rsidRPr="007C3E73">
        <w:t xml:space="preserve"> </w:t>
      </w:r>
      <w:r w:rsidRPr="00CC1ADD">
        <w:t>describes 10 principles for Australian Government policy makers, including the requirement that regulation is not the default option for policy makers. Rather, the policy intervention offering the greatest net benefit should always be the recommended option. The Guide also urges policy makers to consider the problem to be solved, why government action is needed and the likely net benefit of various options.</w:t>
      </w:r>
    </w:p>
    <w:p w14:paraId="76774AD5" w14:textId="77777777" w:rsidR="00954492" w:rsidRPr="00CC1ADD" w:rsidRDefault="00954492" w:rsidP="00FC088C">
      <w:pPr>
        <w:pStyle w:val="mpcNormal"/>
        <w:keepNext w:val="0"/>
      </w:pPr>
    </w:p>
    <w:p w14:paraId="14FD02B2" w14:textId="597EBF1E" w:rsidR="001D5779" w:rsidRPr="00CC1ADD" w:rsidRDefault="001D5779" w:rsidP="00F720A0">
      <w:pPr>
        <w:pStyle w:val="mpcbullets1"/>
      </w:pPr>
      <w:r w:rsidRPr="00CC1ADD">
        <w:t xml:space="preserve">The </w:t>
      </w:r>
      <w:hyperlink r:id="rId81" w:history="1">
        <w:r w:rsidRPr="00CC1ADD">
          <w:rPr>
            <w:rStyle w:val="Hyperlink"/>
          </w:rPr>
          <w:t>NSW Government’s Guide to Better Regulation</w:t>
        </w:r>
      </w:hyperlink>
      <w:r w:rsidRPr="00CC1ADD">
        <w:rPr>
          <w:rStyle w:val="FootnoteReference"/>
          <w:sz w:val="22"/>
        </w:rPr>
        <w:footnoteReference w:id="106"/>
      </w:r>
      <w:r w:rsidRPr="00CC1ADD">
        <w:t xml:space="preserve"> articulates the characteristics of good regulation and the desirability of minimising red-tape through seven better regulation principles (broadly consistent with those of the Australian Government). The principles focus on encouraging non-regulatory approaches and ensuring that the need for government action is clearly established, effective and proportional.</w:t>
      </w:r>
    </w:p>
    <w:p w14:paraId="6E76D7E8" w14:textId="77777777" w:rsidR="00954492" w:rsidRPr="00CC1ADD" w:rsidRDefault="00954492" w:rsidP="000779B8">
      <w:pPr>
        <w:pStyle w:val="mpcNormal"/>
        <w:keepNext w:val="0"/>
      </w:pPr>
    </w:p>
    <w:p w14:paraId="13B24966" w14:textId="7417044E" w:rsidR="001D5779" w:rsidRPr="00CC1ADD" w:rsidRDefault="001D5779" w:rsidP="00F720A0">
      <w:pPr>
        <w:pStyle w:val="mpcbullets1"/>
      </w:pPr>
      <w:r w:rsidRPr="00CC1ADD">
        <w:t xml:space="preserve">The New Zealand Government has published </w:t>
      </w:r>
      <w:hyperlink r:id="rId82" w:history="1">
        <w:r w:rsidRPr="00CC1ADD">
          <w:rPr>
            <w:rStyle w:val="Hyperlink"/>
          </w:rPr>
          <w:t>Government Expectations for Good Regulatory Practice</w:t>
        </w:r>
      </w:hyperlink>
      <w:r w:rsidRPr="00CC1ADD">
        <w:rPr>
          <w:rStyle w:val="FootnoteReference"/>
          <w:sz w:val="22"/>
        </w:rPr>
        <w:footnoteReference w:id="107"/>
      </w:r>
      <w:r w:rsidRPr="00CC1ADD">
        <w:t>,</w:t>
      </w:r>
      <w:r w:rsidRPr="00CC1ADD">
        <w:rPr>
          <w:i/>
        </w:rPr>
        <w:t xml:space="preserve">  </w:t>
      </w:r>
      <w:r w:rsidRPr="00CC1ADD">
        <w:t>which details the Government’s expectations for the design of regulatory systems. It includes the expectation that clear policy objectives should be achieved in the least costly way and with the least adverse impact on market competition, property rights and individual autonomy and responsibility. It also encourages predictability, flexibility and capacity to evolve in response to changing circumstances.</w:t>
      </w:r>
    </w:p>
    <w:p w14:paraId="320D1A46" w14:textId="77777777" w:rsidR="00954492" w:rsidRPr="00CC1ADD" w:rsidRDefault="00954492" w:rsidP="000779B8">
      <w:pPr>
        <w:pStyle w:val="mpcNormal"/>
        <w:keepNext w:val="0"/>
      </w:pPr>
    </w:p>
    <w:p w14:paraId="2C994D4A" w14:textId="6CAC3BE3" w:rsidR="001D5779" w:rsidRPr="00CC1ADD" w:rsidRDefault="001D5779" w:rsidP="00F720A0">
      <w:pPr>
        <w:pStyle w:val="mpcbullets1"/>
      </w:pPr>
      <w:r w:rsidRPr="00CC1ADD">
        <w:t xml:space="preserve">The OECD has adopted the </w:t>
      </w:r>
      <w:hyperlink r:id="rId83" w:history="1">
        <w:r w:rsidRPr="00CC1ADD">
          <w:rPr>
            <w:rStyle w:val="Hyperlink"/>
          </w:rPr>
          <w:t>Recommendation of the Council on Regulatory Policy and Governance</w:t>
        </w:r>
      </w:hyperlink>
      <w:r w:rsidRPr="00CC1ADD">
        <w:rPr>
          <w:rStyle w:val="FootnoteReference"/>
          <w:sz w:val="22"/>
        </w:rPr>
        <w:footnoteReference w:id="108"/>
      </w:r>
      <w:r w:rsidR="007C3E73">
        <w:t xml:space="preserve">, </w:t>
      </w:r>
      <w:r w:rsidRPr="00CC1ADD">
        <w:t>which sets out the measures that governments should take to support the implementation and advancement of systemic regulatory reform. This guide assists governments to deliver regulation that will meet public policy objectives and have a positive economic and societal impact.</w:t>
      </w:r>
    </w:p>
    <w:p w14:paraId="1036ED3F" w14:textId="77777777" w:rsidR="001D5779" w:rsidRPr="00CC1ADD" w:rsidRDefault="001D5779" w:rsidP="000779B8">
      <w:pPr>
        <w:pStyle w:val="mpcNormal"/>
        <w:keepNext w:val="0"/>
      </w:pPr>
    </w:p>
    <w:p w14:paraId="263849CD" w14:textId="77777777" w:rsidR="001D5779" w:rsidRPr="00CC1ADD" w:rsidRDefault="001D5779" w:rsidP="000779B8">
      <w:pPr>
        <w:pStyle w:val="mpcNormal"/>
        <w:keepNext w:val="0"/>
      </w:pPr>
      <w:r w:rsidRPr="00CC1ADD">
        <w:t>Drawing on the above principles, the Review considers that:</w:t>
      </w:r>
    </w:p>
    <w:p w14:paraId="587414FD" w14:textId="77777777" w:rsidR="001D5779" w:rsidRPr="00CC1ADD" w:rsidRDefault="001D5779" w:rsidP="000779B8">
      <w:pPr>
        <w:pStyle w:val="mpcNormal"/>
        <w:keepNext w:val="0"/>
      </w:pPr>
    </w:p>
    <w:p w14:paraId="433035C3" w14:textId="189DA856" w:rsidR="00554AE9" w:rsidRDefault="00554AE9" w:rsidP="00F720A0">
      <w:pPr>
        <w:pStyle w:val="mpcbullets1"/>
      </w:pPr>
      <w:r w:rsidRPr="00CC1ADD">
        <w:t xml:space="preserve">there has been a lack of certainty about whether the HSR System will continue and a number of manufacturers have delayed implementing the System in anticipation of the outcomes of the Review. By clarifying that the HSR System is to be retained, uncertainty is removed, such that industry can invest in its implementation </w:t>
      </w:r>
    </w:p>
    <w:p w14:paraId="734FB68B" w14:textId="77777777" w:rsidR="00554AE9" w:rsidRPr="00CC1ADD" w:rsidRDefault="00554AE9" w:rsidP="00F720A0">
      <w:pPr>
        <w:pStyle w:val="mpcbullets1"/>
        <w:numPr>
          <w:ilvl w:val="0"/>
          <w:numId w:val="0"/>
        </w:numPr>
      </w:pPr>
    </w:p>
    <w:p w14:paraId="78560DBE" w14:textId="6D258368" w:rsidR="001D5779" w:rsidRPr="00CC1ADD" w:rsidRDefault="001D5779" w:rsidP="00F720A0">
      <w:pPr>
        <w:pStyle w:val="mpcbullets1"/>
      </w:pPr>
      <w:r w:rsidRPr="00CC1ADD">
        <w:t>there has been a lack of clarity regarding the outcomes to be achieved by the HSR System. Clarification is required to resolve some key issues impeding uptake of the Syste</w:t>
      </w:r>
      <w:r w:rsidR="00A507BC">
        <w:t>m and to set a goal in terms of what would be considered ‘success’ in terms of uptake</w:t>
      </w:r>
    </w:p>
    <w:p w14:paraId="08B00152" w14:textId="77777777" w:rsidR="00954492" w:rsidRPr="00CC1ADD" w:rsidRDefault="00954492" w:rsidP="000779B8">
      <w:pPr>
        <w:pStyle w:val="mpcNormal"/>
        <w:keepNext w:val="0"/>
      </w:pPr>
    </w:p>
    <w:p w14:paraId="427F03C0" w14:textId="239AA9C8" w:rsidR="001D5779" w:rsidRPr="00CC1ADD" w:rsidRDefault="001D5779" w:rsidP="00F720A0">
      <w:pPr>
        <w:pStyle w:val="mpcbullets1"/>
      </w:pPr>
      <w:r w:rsidRPr="00CC1ADD">
        <w:t>mandating the HSR System via the Cod</w:t>
      </w:r>
      <w:r w:rsidR="00A35EB9">
        <w:t>e</w:t>
      </w:r>
      <w:r w:rsidRPr="00CC1ADD">
        <w:t xml:space="preserve"> would not provide the greatest net benefit if a similar outcome can otherwise be achieved, as significant costs would be associated with:</w:t>
      </w:r>
    </w:p>
    <w:p w14:paraId="1DBFAAAE" w14:textId="0C078E01" w:rsidR="001D5779" w:rsidRPr="00CC1ADD" w:rsidRDefault="001D5779" w:rsidP="000779B8">
      <w:pPr>
        <w:pStyle w:val="mpcbullets2"/>
        <w:keepNext w:val="0"/>
      </w:pPr>
      <w:r w:rsidRPr="00CC1ADD">
        <w:t xml:space="preserve">making changes to the Code to mandate the HSR System. Changes to the Code </w:t>
      </w:r>
      <w:r w:rsidR="003A148F">
        <w:t xml:space="preserve">may </w:t>
      </w:r>
      <w:r w:rsidRPr="00CC1ADD">
        <w:t>take two to three years and involve an eight-step process, including: raising a proposal; public notification of the proposal; initial assessment and one round of consultation; assessment and drafting of the new standards; further consultation; approval by the FSANZ Board; referral to, and consideration by, the Forum and possible further review before finalisation of the standard in law</w:t>
      </w:r>
    </w:p>
    <w:p w14:paraId="5D038517" w14:textId="77777777" w:rsidR="001D5779" w:rsidRPr="00CC1ADD" w:rsidRDefault="001D5779" w:rsidP="000779B8">
      <w:pPr>
        <w:pStyle w:val="mpcbullets2"/>
        <w:keepNext w:val="0"/>
      </w:pPr>
      <w:r w:rsidRPr="00CC1ADD">
        <w:t>requiring industry to implement the HSR on all products within a defined period</w:t>
      </w:r>
    </w:p>
    <w:p w14:paraId="6B159FD1" w14:textId="77777777" w:rsidR="001D5779" w:rsidRPr="00CC1ADD" w:rsidRDefault="001D5779" w:rsidP="000779B8">
      <w:pPr>
        <w:pStyle w:val="mpcbullets2"/>
        <w:keepNext w:val="0"/>
      </w:pPr>
      <w:r w:rsidRPr="00CC1ADD">
        <w:t>each jurisdiction monitoring and enforcing compliance with the law</w:t>
      </w:r>
    </w:p>
    <w:p w14:paraId="37A0F44F" w14:textId="46FDD9B1" w:rsidR="001D5779" w:rsidRPr="00CC1ADD" w:rsidRDefault="001D5779" w:rsidP="000779B8">
      <w:pPr>
        <w:pStyle w:val="mpcbullets2"/>
        <w:keepNext w:val="0"/>
      </w:pPr>
      <w:r w:rsidRPr="00CC1ADD">
        <w:t>ongoing administrative costs to industry associated with demonstrating compliance</w:t>
      </w:r>
    </w:p>
    <w:p w14:paraId="75858EC1" w14:textId="77777777" w:rsidR="00954492" w:rsidRPr="00CC1ADD" w:rsidRDefault="00954492" w:rsidP="000779B8">
      <w:pPr>
        <w:pStyle w:val="mpcNormal"/>
        <w:keepNext w:val="0"/>
      </w:pPr>
    </w:p>
    <w:p w14:paraId="2C10348C" w14:textId="6033F288" w:rsidR="001D5779" w:rsidRPr="00CC1ADD" w:rsidRDefault="001D5779" w:rsidP="00F720A0">
      <w:pPr>
        <w:pStyle w:val="mpcbullets1"/>
      </w:pPr>
      <w:r w:rsidRPr="00CC1ADD">
        <w:t>flexibility</w:t>
      </w:r>
      <w:r w:rsidRPr="00CC1ADD">
        <w:rPr>
          <w:b/>
          <w:i/>
        </w:rPr>
        <w:t xml:space="preserve"> </w:t>
      </w:r>
      <w:r w:rsidRPr="00CC1ADD">
        <w:t xml:space="preserve">and responsiveness are strengths of the current voluntary </w:t>
      </w:r>
      <w:r w:rsidR="00BF11EE">
        <w:t>approach</w:t>
      </w:r>
      <w:r w:rsidR="00BF11EE" w:rsidRPr="00CC1ADD">
        <w:t xml:space="preserve"> </w:t>
      </w:r>
      <w:r w:rsidRPr="00CC1ADD">
        <w:t xml:space="preserve">that would be lost if the HSR System were mandated under the Code </w:t>
      </w:r>
    </w:p>
    <w:p w14:paraId="04BC9E54" w14:textId="53AC3BE3" w:rsidR="001D5779" w:rsidRPr="00CC1ADD" w:rsidRDefault="001D5779" w:rsidP="000779B8">
      <w:pPr>
        <w:pStyle w:val="mpcbullets2"/>
        <w:keepNext w:val="0"/>
        <w:widowControl w:val="0"/>
        <w:ind w:left="850"/>
      </w:pPr>
      <w:r w:rsidRPr="00CC1ADD">
        <w:t>The food supply is constantly changing, as are consumer expectations, dietary recommendations and the nutritional profile of foods. Within this context, it is critical that there is a timely mechanism for considering anomalies, providing technical advice and adjusting guidance materials</w:t>
      </w:r>
      <w:r w:rsidR="00D8013B">
        <w:t>.</w:t>
      </w:r>
    </w:p>
    <w:p w14:paraId="5312AA39" w14:textId="77777777" w:rsidR="001D5779" w:rsidRPr="00CC1ADD" w:rsidRDefault="001D5779" w:rsidP="000779B8">
      <w:pPr>
        <w:pStyle w:val="mpcbullets2"/>
        <w:keepNext w:val="0"/>
        <w:widowControl w:val="0"/>
        <w:ind w:left="850"/>
      </w:pPr>
      <w:r w:rsidRPr="00CC1ADD">
        <w:t>Anomalies are considered by a bi-national, cross-sectoral committee, with outcomes communicated directly to manufacturers and associated adjustments made to guidance material available online. While the Review has made suggestions for improving this approach, it is a broadly effective mechanism for achieving transparent and consistent outcomes, while retaining flexibility and minimising bureaucratic process.</w:t>
      </w:r>
    </w:p>
    <w:p w14:paraId="0E191EE8" w14:textId="1FC27A86" w:rsidR="001D5779" w:rsidRPr="00CC1ADD" w:rsidRDefault="001D5779" w:rsidP="000779B8">
      <w:pPr>
        <w:pStyle w:val="mpcbullets2"/>
        <w:keepNext w:val="0"/>
        <w:widowControl w:val="0"/>
        <w:ind w:left="850"/>
      </w:pPr>
      <w:r w:rsidRPr="00CC1ADD">
        <w:t>If the HSR System were to be mandated under the Code, responsibility for provision of advice, monitoring and enforcement would rest with 10 jurisdictions. While bi-national bodies exist to resolve national issues and encourage consistency (including ISFR, FRSC and the Forum), these bodies also deal with pressing food safety issues and are unlikely to prioritise the resolution of FoPL anomalies.</w:t>
      </w:r>
    </w:p>
    <w:p w14:paraId="02E33CA0" w14:textId="77777777" w:rsidR="00954492" w:rsidRPr="00CC1ADD" w:rsidRDefault="00954492" w:rsidP="000779B8">
      <w:pPr>
        <w:pStyle w:val="mpcNormal"/>
        <w:keepNext w:val="0"/>
      </w:pPr>
    </w:p>
    <w:p w14:paraId="076EFBF4" w14:textId="77777777" w:rsidR="001D5779" w:rsidRPr="00CC1ADD" w:rsidRDefault="001D5779" w:rsidP="00F720A0">
      <w:pPr>
        <w:pStyle w:val="mpcbullets1"/>
      </w:pPr>
      <w:r w:rsidRPr="00CC1ADD">
        <w:t>there is little evidence that mandating the System is necessary to sanction widespread poor performance or address persistent non-compliance.</w:t>
      </w:r>
    </w:p>
    <w:p w14:paraId="47C467BA" w14:textId="6ED61C7E" w:rsidR="001D5779" w:rsidRPr="00CC1ADD" w:rsidRDefault="001D5779" w:rsidP="000779B8">
      <w:pPr>
        <w:pStyle w:val="mpcbullets2"/>
        <w:keepNext w:val="0"/>
      </w:pPr>
      <w:r w:rsidRPr="00CC1ADD">
        <w:t>As detailed in Chapter 3, monitoring in Australia indicates that compliance with the Style Guide was at 9</w:t>
      </w:r>
      <w:r w:rsidR="00A507BC">
        <w:t>6</w:t>
      </w:r>
      <w:r w:rsidRPr="00CC1ADD">
        <w:t>% in 2018</w:t>
      </w:r>
      <w:r w:rsidR="00A507BC">
        <w:t xml:space="preserve">. Across the four years since implementation, </w:t>
      </w:r>
      <w:r w:rsidRPr="00CC1ADD">
        <w:t xml:space="preserve">compliance with the HSR Calculator </w:t>
      </w:r>
      <w:r w:rsidR="00A507BC">
        <w:t>has averaged more than 94% and wh</w:t>
      </w:r>
      <w:r w:rsidRPr="00CC1ADD">
        <w:t>ere there were inconsistencies, the manufacturer has generally understated rather than overstated the product’s HSR.</w:t>
      </w:r>
      <w:r w:rsidRPr="00CC1ADD">
        <w:rPr>
          <w:rFonts w:cs="Arial (Body CS)"/>
          <w:vertAlign w:val="superscript"/>
        </w:rPr>
        <w:footnoteReference w:id="109"/>
      </w:r>
    </w:p>
    <w:p w14:paraId="54CC2B3A" w14:textId="77777777" w:rsidR="001D5779" w:rsidRPr="00CC1ADD" w:rsidRDefault="001D5779" w:rsidP="000779B8">
      <w:pPr>
        <w:pStyle w:val="mpcNormal"/>
        <w:keepNext w:val="0"/>
      </w:pPr>
    </w:p>
    <w:p w14:paraId="37A3360C" w14:textId="6AFA764A" w:rsidR="001D5779" w:rsidRPr="00CC1ADD" w:rsidRDefault="001D5779" w:rsidP="000779B8">
      <w:pPr>
        <w:pStyle w:val="mpcNormal"/>
        <w:keepNext w:val="0"/>
      </w:pPr>
      <w:r w:rsidRPr="00CC1ADD">
        <w:t xml:space="preserve">The changes to governance arrangements described in Chapter 6 provide mechanisms for greater transparency, for anomalies to be resolved and actions to be taken in the event of non-compliance, without needing to mandate the </w:t>
      </w:r>
      <w:r w:rsidR="00D8013B">
        <w:t xml:space="preserve">HSR </w:t>
      </w:r>
      <w:r w:rsidRPr="00CC1ADD">
        <w:t>System.</w:t>
      </w:r>
    </w:p>
    <w:p w14:paraId="0B5D4C5E" w14:textId="77777777" w:rsidR="001D5779" w:rsidRPr="00CC1ADD" w:rsidRDefault="001D5779" w:rsidP="000779B8">
      <w:pPr>
        <w:pStyle w:val="mpcNormal"/>
        <w:keepNext w:val="0"/>
      </w:pPr>
    </w:p>
    <w:p w14:paraId="15477C1B" w14:textId="77AC13ED" w:rsidR="001D5779" w:rsidRPr="00CC1ADD" w:rsidRDefault="001D5779">
      <w:pPr>
        <w:pStyle w:val="mpcheading2"/>
        <w:rPr>
          <w:lang w:eastAsia="en-GB"/>
        </w:rPr>
      </w:pPr>
      <w:bookmarkStart w:id="138" w:name="International"/>
      <w:bookmarkStart w:id="139" w:name="_Toc1746513"/>
      <w:bookmarkEnd w:id="138"/>
      <w:r w:rsidRPr="00CC1ADD">
        <w:rPr>
          <w:lang w:eastAsia="en-GB"/>
        </w:rPr>
        <w:t>International experience and trade implications</w:t>
      </w:r>
      <w:bookmarkEnd w:id="139"/>
    </w:p>
    <w:p w14:paraId="6DCE8EB2" w14:textId="3A87DEC6" w:rsidR="001D5779" w:rsidRPr="00CC1ADD" w:rsidRDefault="001D5779" w:rsidP="000779B8">
      <w:pPr>
        <w:pStyle w:val="mpcNormal"/>
        <w:keepNext w:val="0"/>
      </w:pPr>
      <w:r w:rsidRPr="00CC1ADD">
        <w:t xml:space="preserve">Interpretive FoPL </w:t>
      </w:r>
      <w:r w:rsidR="00BF11EE">
        <w:t>schemes</w:t>
      </w:r>
      <w:r w:rsidR="00BF11EE" w:rsidRPr="00CC1ADD">
        <w:t xml:space="preserve"> </w:t>
      </w:r>
      <w:r w:rsidRPr="00CC1ADD">
        <w:t>are continuing to be implemented internationally. The majority of these have been implemented on a voluntary basis</w:t>
      </w:r>
      <w:r w:rsidR="00A507BC">
        <w:t>.</w:t>
      </w:r>
    </w:p>
    <w:p w14:paraId="284534A2" w14:textId="77777777" w:rsidR="001D5779" w:rsidRPr="00CC1ADD" w:rsidRDefault="001D5779" w:rsidP="000779B8">
      <w:pPr>
        <w:pStyle w:val="mpcNormal"/>
        <w:keepNext w:val="0"/>
      </w:pPr>
    </w:p>
    <w:p w14:paraId="0200E8F9" w14:textId="0D5A3BF2" w:rsidR="001D5779" w:rsidRPr="00CC1ADD" w:rsidRDefault="001D5779" w:rsidP="000779B8">
      <w:pPr>
        <w:pStyle w:val="mpcNormal"/>
      </w:pPr>
      <w:r w:rsidRPr="00CC1ADD">
        <w:t xml:space="preserve">In 2016-17, </w:t>
      </w:r>
      <w:r w:rsidR="00A648C4" w:rsidRPr="00CC1ADD">
        <w:t xml:space="preserve">the </w:t>
      </w:r>
      <w:r w:rsidRPr="00CC1ADD">
        <w:t xml:space="preserve">Codex Committee on Food Labelling undertook a stocktake of FoPL </w:t>
      </w:r>
      <w:r w:rsidR="00C36AA4">
        <w:t>schemes</w:t>
      </w:r>
      <w:r w:rsidR="00C36AA4" w:rsidRPr="00CC1ADD">
        <w:t xml:space="preserve"> </w:t>
      </w:r>
      <w:r w:rsidRPr="00CC1ADD">
        <w:t xml:space="preserve">and developed two detailed discussion papers on key issues relevant to the implementation of FoPL </w:t>
      </w:r>
      <w:r w:rsidR="00C36AA4">
        <w:t>schemes</w:t>
      </w:r>
      <w:r w:rsidR="00A507BC">
        <w:t>:</w:t>
      </w:r>
    </w:p>
    <w:p w14:paraId="36D1E3FD" w14:textId="77777777" w:rsidR="00954492" w:rsidRPr="00CC1ADD" w:rsidRDefault="00954492" w:rsidP="000779B8">
      <w:pPr>
        <w:pStyle w:val="mpcNormal"/>
      </w:pPr>
    </w:p>
    <w:p w14:paraId="1C2E582C" w14:textId="544515A1" w:rsidR="00A507BC" w:rsidRDefault="001D5779" w:rsidP="00F720A0">
      <w:pPr>
        <w:pStyle w:val="mpcbullets1"/>
      </w:pPr>
      <w:r w:rsidRPr="00CC1ADD">
        <w:t xml:space="preserve">37 member countries responded to the first discussion paper in 2016, identifying 16 different FoPL </w:t>
      </w:r>
      <w:r w:rsidR="00C36AA4">
        <w:t>schemes</w:t>
      </w:r>
      <w:r w:rsidR="00C36AA4" w:rsidRPr="00CC1ADD">
        <w:t xml:space="preserve"> </w:t>
      </w:r>
      <w:r w:rsidRPr="00CC1ADD">
        <w:t xml:space="preserve">that had been implemented across 23 countries. Of these, 10 were interpretative </w:t>
      </w:r>
      <w:r w:rsidR="00C36AA4">
        <w:t>schemes</w:t>
      </w:r>
      <w:r w:rsidR="00C36AA4" w:rsidRPr="00CC1ADD">
        <w:t xml:space="preserve"> </w:t>
      </w:r>
      <w:r w:rsidRPr="00CC1ADD">
        <w:t xml:space="preserve">(such as the HSR System) </w:t>
      </w:r>
      <w:r w:rsidR="00C36AA4">
        <w:t>that</w:t>
      </w:r>
      <w:r w:rsidR="00C36AA4" w:rsidRPr="00CC1ADD">
        <w:t xml:space="preserve"> </w:t>
      </w:r>
      <w:r w:rsidRPr="00CC1ADD">
        <w:t xml:space="preserve">include symbols, colour codes and/or graphic representations that facilitate interpretation by the consumer and six were informative </w:t>
      </w:r>
      <w:r w:rsidR="00BF11EE">
        <w:t>schemes</w:t>
      </w:r>
      <w:r w:rsidRPr="00CC1ADD">
        <w:t xml:space="preserve">. </w:t>
      </w:r>
    </w:p>
    <w:p w14:paraId="0C68B753" w14:textId="3DBE45D6" w:rsidR="00F851BC" w:rsidRDefault="001D5779" w:rsidP="00F720A0">
      <w:pPr>
        <w:pStyle w:val="mpcbullets1"/>
      </w:pPr>
      <w:r w:rsidRPr="00CC1ADD">
        <w:t xml:space="preserve">17 of the member countries reported having implemented FoPL </w:t>
      </w:r>
      <w:r w:rsidR="00C36AA4">
        <w:t>schemes</w:t>
      </w:r>
      <w:r w:rsidR="00C36AA4" w:rsidRPr="00CC1ADD">
        <w:t xml:space="preserve"> </w:t>
      </w:r>
      <w:r w:rsidRPr="00CC1ADD">
        <w:t xml:space="preserve">on a voluntary basis, four on a mandatory basis, with another two countries having implemented voluntary and mandatory FoPL </w:t>
      </w:r>
      <w:r w:rsidR="00C36AA4">
        <w:t>schemes</w:t>
      </w:r>
      <w:r w:rsidRPr="00CC1ADD">
        <w:t>.</w:t>
      </w:r>
      <w:r w:rsidRPr="00CC1ADD">
        <w:rPr>
          <w:rStyle w:val="FootnoteReference"/>
          <w:sz w:val="22"/>
        </w:rPr>
        <w:footnoteReference w:id="110"/>
      </w:r>
      <w:r w:rsidR="00A507BC">
        <w:t xml:space="preserve"> </w:t>
      </w:r>
    </w:p>
    <w:p w14:paraId="1173C70A" w14:textId="52547065" w:rsidR="001D5779" w:rsidRPr="00CC1ADD" w:rsidRDefault="001D5779" w:rsidP="005A3631">
      <w:pPr>
        <w:pStyle w:val="mpcbullets2"/>
      </w:pPr>
      <w:r w:rsidRPr="00CC1ADD">
        <w:t xml:space="preserve">For example, the UK has developed a voluntary traffic light scheme and the French Government has implemented the voluntary colour-coded scheme, Nutri-Score.  </w:t>
      </w:r>
    </w:p>
    <w:p w14:paraId="21A78BF9" w14:textId="77777777" w:rsidR="001D5779" w:rsidRPr="00CC1ADD" w:rsidRDefault="001D5779" w:rsidP="000779B8">
      <w:pPr>
        <w:pStyle w:val="mpcNormal"/>
        <w:keepNext w:val="0"/>
      </w:pPr>
    </w:p>
    <w:p w14:paraId="33B191EB" w14:textId="112AAEA5" w:rsidR="001D5779" w:rsidRPr="00CC1ADD" w:rsidRDefault="001D5779" w:rsidP="000779B8">
      <w:pPr>
        <w:pStyle w:val="mpcNormal"/>
        <w:keepNext w:val="0"/>
      </w:pPr>
      <w:r w:rsidRPr="00CC1ADD">
        <w:t xml:space="preserve">As few FoPL </w:t>
      </w:r>
      <w:r w:rsidR="00C36AA4">
        <w:t>schemes</w:t>
      </w:r>
      <w:r w:rsidR="00C36AA4" w:rsidRPr="00CC1ADD">
        <w:t xml:space="preserve"> </w:t>
      </w:r>
      <w:r w:rsidRPr="00CC1ADD">
        <w:t xml:space="preserve">are currently mandatory, evidence of the real-life impact of mandatory </w:t>
      </w:r>
      <w:r w:rsidR="00C36AA4">
        <w:t>schemes</w:t>
      </w:r>
      <w:r w:rsidR="00C36AA4" w:rsidRPr="00CC1ADD">
        <w:t xml:space="preserve"> </w:t>
      </w:r>
      <w:r w:rsidRPr="00CC1ADD">
        <w:t>on consumer behaviour and industry reformulation is limited.</w:t>
      </w:r>
      <w:r w:rsidRPr="00CC1ADD">
        <w:rPr>
          <w:rStyle w:val="FootnoteReference"/>
          <w:sz w:val="22"/>
        </w:rPr>
        <w:footnoteReference w:id="111"/>
      </w:r>
      <w:r w:rsidRPr="00CC1ADD">
        <w:t> </w:t>
      </w:r>
    </w:p>
    <w:p w14:paraId="3E37C2A2" w14:textId="77777777" w:rsidR="001D5779" w:rsidRPr="00CC1ADD" w:rsidRDefault="001D5779" w:rsidP="0017608D">
      <w:pPr>
        <w:pStyle w:val="mpcNormal"/>
        <w:keepNext w:val="0"/>
      </w:pPr>
    </w:p>
    <w:p w14:paraId="7C3287A8" w14:textId="18B43882" w:rsidR="001D5779" w:rsidRPr="00CC1ADD" w:rsidRDefault="005235DE" w:rsidP="00A72405">
      <w:pPr>
        <w:pStyle w:val="mpcheading3"/>
        <w:keepNext/>
      </w:pPr>
      <w:r w:rsidRPr="00CC1ADD">
        <w:t>F</w:t>
      </w:r>
      <w:r w:rsidR="009E50B1" w:rsidRPr="00CC1ADD">
        <w:t xml:space="preserve">oPL </w:t>
      </w:r>
      <w:r w:rsidR="001D5779" w:rsidRPr="00CC1ADD">
        <w:t>and trade policy</w:t>
      </w:r>
    </w:p>
    <w:p w14:paraId="330C50F9" w14:textId="77777777" w:rsidR="005235DE" w:rsidRPr="00CC1ADD" w:rsidRDefault="005235DE" w:rsidP="00A72405">
      <w:pPr>
        <w:pStyle w:val="mpcNormal"/>
      </w:pPr>
    </w:p>
    <w:p w14:paraId="2AF69E9F" w14:textId="2D7AA13F" w:rsidR="001D5779" w:rsidRPr="00CC1ADD" w:rsidRDefault="001D5779" w:rsidP="00A72405">
      <w:pPr>
        <w:pStyle w:val="mpcNormal"/>
      </w:pPr>
      <w:r w:rsidRPr="00CC1ADD">
        <w:t xml:space="preserve">As member states of the World Trade Organization (WTO), Australia and New Zealand are party to a range of trade agreements, including the Agreement on Technical Barriers to Trade (TBT Agreement) and the Agreement on the Application of Sanitary and Phytosanity Measures (SPS Agreement). The TBT Agreement applies to compulsory labelling requirements (technical regulations) and compulsory labelling indications (standards). </w:t>
      </w:r>
    </w:p>
    <w:p w14:paraId="522FF58E" w14:textId="77777777" w:rsidR="001D5779" w:rsidRPr="00CC1ADD" w:rsidRDefault="001D5779" w:rsidP="000779B8">
      <w:pPr>
        <w:pStyle w:val="mpcNormal"/>
        <w:keepNext w:val="0"/>
      </w:pPr>
    </w:p>
    <w:p w14:paraId="14EC207B" w14:textId="77777777" w:rsidR="001D5779" w:rsidRPr="00CC1ADD" w:rsidRDefault="001D5779" w:rsidP="000779B8">
      <w:pPr>
        <w:pStyle w:val="mpcNormal"/>
        <w:keepNext w:val="0"/>
      </w:pPr>
      <w:r w:rsidRPr="00CC1ADD">
        <w:t xml:space="preserve">Relevant, and in some cases common, principles under the Agreements include that labelling measures must: </w:t>
      </w:r>
    </w:p>
    <w:p w14:paraId="41A6C4A2" w14:textId="77777777" w:rsidR="001D5779" w:rsidRPr="00CC1ADD" w:rsidRDefault="001D5779" w:rsidP="000779B8">
      <w:pPr>
        <w:pStyle w:val="mpcNormal"/>
        <w:keepNext w:val="0"/>
      </w:pPr>
    </w:p>
    <w:p w14:paraId="35D24C4D" w14:textId="77777777" w:rsidR="001D5779" w:rsidRPr="00CC1ADD" w:rsidRDefault="001D5779" w:rsidP="00F720A0">
      <w:pPr>
        <w:pStyle w:val="mpcbullets1"/>
      </w:pPr>
      <w:r w:rsidRPr="00CC1ADD">
        <w:t>not discriminate between domestic and imported products</w:t>
      </w:r>
    </w:p>
    <w:p w14:paraId="5FC5EA75" w14:textId="77777777" w:rsidR="001D5779" w:rsidRPr="00CC1ADD" w:rsidRDefault="001D5779" w:rsidP="00F720A0">
      <w:pPr>
        <w:pStyle w:val="mpcbullets1"/>
      </w:pPr>
      <w:r w:rsidRPr="00CC1ADD">
        <w:t>be monitored and reviewed to address changes in circumstances and objectives</w:t>
      </w:r>
    </w:p>
    <w:p w14:paraId="46C06518" w14:textId="5C71B2A7" w:rsidR="001D5779" w:rsidRPr="00CC1ADD" w:rsidRDefault="001D5779" w:rsidP="00F720A0">
      <w:pPr>
        <w:pStyle w:val="mpcbullets1"/>
      </w:pPr>
      <w:r w:rsidRPr="00CC1ADD">
        <w:t xml:space="preserve">when available and where appropriate, adopt international standards as a basis (to encourage the international harmonisation of food standards). The SPS Agreement explicitly recognises </w:t>
      </w:r>
      <w:r w:rsidR="00D8013B">
        <w:t xml:space="preserve">the </w:t>
      </w:r>
      <w:r w:rsidRPr="00CC1ADD">
        <w:t>Codex as a relevant international standard setting body.</w:t>
      </w:r>
    </w:p>
    <w:p w14:paraId="5DF31459" w14:textId="77777777" w:rsidR="001D5779" w:rsidRPr="00CC1ADD" w:rsidRDefault="001D5779" w:rsidP="000779B8">
      <w:pPr>
        <w:pStyle w:val="mpcNormal"/>
        <w:keepNext w:val="0"/>
      </w:pPr>
    </w:p>
    <w:p w14:paraId="516070E0" w14:textId="77777777" w:rsidR="001D5779" w:rsidRPr="00CC1ADD" w:rsidRDefault="001D5779" w:rsidP="000779B8">
      <w:pPr>
        <w:pStyle w:val="mpcNormal"/>
        <w:keepNext w:val="0"/>
      </w:pPr>
      <w:r w:rsidRPr="00CC1ADD">
        <w:t>Under international trade law, voluntary labelling schemes are more likely than mandatory labelling requirements to be considered consistent with WTO rules.</w:t>
      </w:r>
      <w:r w:rsidRPr="00CC1ADD">
        <w:rPr>
          <w:rStyle w:val="FootnoteReference"/>
          <w:sz w:val="22"/>
        </w:rPr>
        <w:footnoteReference w:id="112"/>
      </w:r>
      <w:r w:rsidRPr="00CC1ADD">
        <w:t xml:space="preserve"> For both mandatory and voluntary claims, governments have the duty to monitor the claims and protect consumers’ right to receive accurate and true information.</w:t>
      </w:r>
      <w:r w:rsidRPr="00CC1ADD">
        <w:rPr>
          <w:rStyle w:val="FootnoteReference"/>
          <w:sz w:val="22"/>
        </w:rPr>
        <w:footnoteReference w:id="113"/>
      </w:r>
      <w:r w:rsidRPr="00CC1ADD">
        <w:t xml:space="preserve"> </w:t>
      </w:r>
    </w:p>
    <w:p w14:paraId="06F8179E" w14:textId="77777777" w:rsidR="001D5779" w:rsidRPr="00CC1ADD" w:rsidRDefault="001D5779" w:rsidP="000779B8">
      <w:pPr>
        <w:pStyle w:val="mpcNormal"/>
        <w:keepNext w:val="0"/>
      </w:pPr>
    </w:p>
    <w:p w14:paraId="76AEB640" w14:textId="5488B54B" w:rsidR="001D5779" w:rsidRPr="00CC1ADD" w:rsidRDefault="001D5779" w:rsidP="000779B8">
      <w:pPr>
        <w:pStyle w:val="mpcNormal"/>
        <w:keepNext w:val="0"/>
      </w:pPr>
      <w:r w:rsidRPr="00CC1ADD">
        <w:t xml:space="preserve">While international trade agreements are not a barrier to mandating the HSR System per se, the Review considers that if Australia and New Zealand were to continue the voluntary </w:t>
      </w:r>
      <w:r w:rsidR="00BF11EE">
        <w:t>approach</w:t>
      </w:r>
      <w:r w:rsidR="00BF11EE" w:rsidRPr="00CC1ADD">
        <w:t xml:space="preserve"> </w:t>
      </w:r>
      <w:r w:rsidRPr="00CC1ADD">
        <w:t xml:space="preserve">while monitoring its impact, this would </w:t>
      </w:r>
      <w:r w:rsidR="009E50B1" w:rsidRPr="00CC1ADD">
        <w:t xml:space="preserve">further </w:t>
      </w:r>
      <w:r w:rsidRPr="00CC1ADD">
        <w:t xml:space="preserve">support the international trade principles (of proportionality, evidence of effectiveness, </w:t>
      </w:r>
      <w:r w:rsidR="00B96215" w:rsidRPr="00CC1ADD">
        <w:t>non-discrimination and multisectoral collaboration</w:t>
      </w:r>
      <w:r w:rsidRPr="00CC1ADD">
        <w:t>) should Australia and/or New Zealand wish to mandate the System in the future.</w:t>
      </w:r>
    </w:p>
    <w:p w14:paraId="2792BBC0" w14:textId="77777777" w:rsidR="001D5779" w:rsidRPr="00CC1ADD" w:rsidRDefault="001D5779" w:rsidP="0017608D">
      <w:pPr>
        <w:pStyle w:val="mpcNormal"/>
        <w:keepNext w:val="0"/>
      </w:pPr>
    </w:p>
    <w:p w14:paraId="43396A06" w14:textId="69007938" w:rsidR="001D5779" w:rsidRPr="00CC1ADD" w:rsidRDefault="001D5779">
      <w:pPr>
        <w:pStyle w:val="mpcheading2"/>
        <w:rPr>
          <w:lang w:eastAsia="en-GB"/>
        </w:rPr>
      </w:pPr>
      <w:bookmarkStart w:id="140" w:name="Barriers"/>
      <w:bookmarkStart w:id="141" w:name="_Toc1746514"/>
      <w:bookmarkEnd w:id="140"/>
      <w:r w:rsidRPr="00CC1ADD">
        <w:rPr>
          <w:lang w:eastAsia="en-GB"/>
        </w:rPr>
        <w:t xml:space="preserve">Removing barriers to uptake </w:t>
      </w:r>
      <w:r w:rsidR="00FC782A">
        <w:rPr>
          <w:lang w:eastAsia="en-GB"/>
        </w:rPr>
        <w:t>of the HSR System</w:t>
      </w:r>
      <w:bookmarkEnd w:id="141"/>
    </w:p>
    <w:p w14:paraId="4E75ECE8" w14:textId="10DF9839" w:rsidR="001D5779" w:rsidRPr="00CC1ADD" w:rsidRDefault="009E50B1" w:rsidP="000779B8">
      <w:pPr>
        <w:pStyle w:val="mpcNormal"/>
        <w:keepNext w:val="0"/>
      </w:pPr>
      <w:r w:rsidRPr="00CC1ADD">
        <w:t>In order to achieve consistent and widespread uptake of the HSR System</w:t>
      </w:r>
      <w:r w:rsidR="00D8013B">
        <w:t>,</w:t>
      </w:r>
      <w:r w:rsidRPr="00CC1ADD">
        <w:t xml:space="preserve"> the Review proposes removing a </w:t>
      </w:r>
      <w:r w:rsidR="001D5779" w:rsidRPr="00CC1ADD">
        <w:t>number of barriers</w:t>
      </w:r>
      <w:r w:rsidRPr="00CC1ADD">
        <w:t xml:space="preserve"> to uptake.</w:t>
      </w:r>
      <w:r w:rsidR="00B96215" w:rsidRPr="00CC1ADD">
        <w:t xml:space="preserve"> </w:t>
      </w:r>
      <w:r w:rsidR="001D5779" w:rsidRPr="00CC1ADD">
        <w:t xml:space="preserve">Over the course of the Review manufacturers gave a range of reasons for not adopting the HSR System on some or all of their products, including: </w:t>
      </w:r>
    </w:p>
    <w:p w14:paraId="1D0E5088" w14:textId="77777777" w:rsidR="001D5779" w:rsidRPr="00CC1ADD" w:rsidRDefault="001D5779" w:rsidP="000779B8">
      <w:pPr>
        <w:pStyle w:val="mpcNormal"/>
        <w:keepNext w:val="0"/>
      </w:pPr>
    </w:p>
    <w:p w14:paraId="4934397D" w14:textId="759EC0C6" w:rsidR="001D5779" w:rsidRPr="00CC1ADD" w:rsidRDefault="001D5779" w:rsidP="00F720A0">
      <w:pPr>
        <w:pStyle w:val="mpcbullets1"/>
      </w:pPr>
      <w:r w:rsidRPr="00CC1ADD">
        <w:rPr>
          <w:b/>
        </w:rPr>
        <w:t>there are some products for which the HSR System does not give the expected result</w:t>
      </w:r>
      <w:r w:rsidR="00B634CB">
        <w:rPr>
          <w:b/>
        </w:rPr>
        <w:t>,</w:t>
      </w:r>
      <w:r w:rsidRPr="00CC1ADD">
        <w:t xml:space="preserve"> which has undermined confidence in the System. Such criticisms of the System have made some manufacturers reluctant to display the HSR on some or all of their products. For example:</w:t>
      </w:r>
    </w:p>
    <w:p w14:paraId="738E4035" w14:textId="77777777" w:rsidR="001D5779" w:rsidRPr="00CC1ADD" w:rsidRDefault="001D5779" w:rsidP="000779B8">
      <w:pPr>
        <w:pStyle w:val="mpcbullets2"/>
        <w:keepNext w:val="0"/>
      </w:pPr>
      <w:r w:rsidRPr="00CC1ADD">
        <w:t>the ‘as prepared’ issue and resulting HSRs caused negative media, with some manufacturers publicly criticised despite their product displaying an accurate HSR at the time</w:t>
      </w:r>
      <w:r w:rsidRPr="00CC1ADD">
        <w:rPr>
          <w:rStyle w:val="FootnoteReference"/>
          <w:sz w:val="22"/>
        </w:rPr>
        <w:footnoteReference w:id="114"/>
      </w:r>
      <w:r w:rsidRPr="00CC1ADD">
        <w:t xml:space="preserve"> </w:t>
      </w:r>
    </w:p>
    <w:p w14:paraId="33421C41" w14:textId="66AB7D92" w:rsidR="001D5779" w:rsidRDefault="001D5779" w:rsidP="005A25A2">
      <w:pPr>
        <w:pStyle w:val="mpcbullets2"/>
        <w:keepNext w:val="0"/>
      </w:pPr>
      <w:r w:rsidRPr="00CC1ADD">
        <w:t>there are a number of product outliers where the HSR does not align with consumer expectations (</w:t>
      </w:r>
      <w:r w:rsidR="00F101DD">
        <w:t>refer</w:t>
      </w:r>
      <w:r w:rsidRPr="00CC1ADD">
        <w:t xml:space="preserve"> Chapter 5)</w:t>
      </w:r>
    </w:p>
    <w:p w14:paraId="5BFD3A0E" w14:textId="77777777" w:rsidR="00F17BDF" w:rsidRPr="00CC1ADD" w:rsidRDefault="00F17BDF" w:rsidP="000779B8">
      <w:pPr>
        <w:pStyle w:val="mpcbullets2"/>
        <w:keepNext w:val="0"/>
        <w:numPr>
          <w:ilvl w:val="0"/>
          <w:numId w:val="0"/>
        </w:numPr>
      </w:pPr>
    </w:p>
    <w:p w14:paraId="0A42ABC7" w14:textId="1EEC2254" w:rsidR="001D5779" w:rsidRDefault="001D5779" w:rsidP="00F720A0">
      <w:pPr>
        <w:pStyle w:val="mpcbullets1"/>
      </w:pPr>
      <w:r w:rsidRPr="00D34697">
        <w:rPr>
          <w:b/>
        </w:rPr>
        <w:t>changes to the HSR Calculator w</w:t>
      </w:r>
      <w:r w:rsidR="00D8013B" w:rsidRPr="00D34697">
        <w:rPr>
          <w:b/>
        </w:rPr>
        <w:t>ould</w:t>
      </w:r>
      <w:r w:rsidRPr="00D34697">
        <w:rPr>
          <w:b/>
        </w:rPr>
        <w:t xml:space="preserve"> improve alignment of the HSR System with Dietary Guidelines</w:t>
      </w:r>
      <w:r w:rsidRPr="000779B8">
        <w:t xml:space="preserve"> and result in HSRs that are more in line with consumer and industry expectations</w:t>
      </w:r>
      <w:r w:rsidR="00D8013B">
        <w:t xml:space="preserve"> </w:t>
      </w:r>
      <w:r w:rsidR="00D8013B" w:rsidRPr="00CC1ADD">
        <w:t>(</w:t>
      </w:r>
      <w:r w:rsidR="00D8013B">
        <w:t>refer</w:t>
      </w:r>
      <w:r w:rsidR="00D8013B" w:rsidRPr="00CC1ADD">
        <w:t xml:space="preserve"> Chapter 5)</w:t>
      </w:r>
      <w:r w:rsidRPr="00CC1ADD">
        <w:t xml:space="preserve">. </w:t>
      </w:r>
      <w:r w:rsidR="00D8013B">
        <w:t xml:space="preserve">This will resolve some of the concerns expressed by many manufacturers that are currently considered barriers to uptake. </w:t>
      </w:r>
    </w:p>
    <w:p w14:paraId="40C7CF6D" w14:textId="77777777" w:rsidR="00F101DD" w:rsidRPr="00CC1ADD" w:rsidRDefault="00F101DD" w:rsidP="0017608D">
      <w:pPr>
        <w:pStyle w:val="mpcNormal"/>
        <w:keepNext w:val="0"/>
      </w:pPr>
    </w:p>
    <w:p w14:paraId="51EE37F1" w14:textId="77BE86D1" w:rsidR="00A72405" w:rsidRPr="00BC22AC" w:rsidRDefault="001D5779" w:rsidP="00F720A0">
      <w:pPr>
        <w:pStyle w:val="mpcbullets1"/>
        <w:rPr>
          <w:b/>
        </w:rPr>
      </w:pPr>
      <w:r w:rsidRPr="00BC22AC">
        <w:rPr>
          <w:b/>
        </w:rPr>
        <w:t>there are areas of the supporting guidance materials that require clarification to better support industry to calculate the HSR</w:t>
      </w:r>
      <w:r w:rsidR="00D34697" w:rsidRPr="00BC22AC">
        <w:rPr>
          <w:b/>
        </w:rPr>
        <w:t>s</w:t>
      </w:r>
      <w:r w:rsidRPr="00BC22AC">
        <w:rPr>
          <w:b/>
        </w:rPr>
        <w:t xml:space="preserve"> for their products</w:t>
      </w:r>
      <w:r w:rsidR="00D34697" w:rsidRPr="00BC22AC">
        <w:rPr>
          <w:b/>
        </w:rPr>
        <w:t xml:space="preserve">. </w:t>
      </w:r>
    </w:p>
    <w:p w14:paraId="72618E38" w14:textId="1CFFED57" w:rsidR="001D5779" w:rsidRPr="00CC1ADD" w:rsidRDefault="00D34697" w:rsidP="00A72405">
      <w:pPr>
        <w:pStyle w:val="mpcbullets2"/>
      </w:pPr>
      <w:r>
        <w:t>For example,</w:t>
      </w:r>
      <w:r w:rsidRPr="00694C36">
        <w:t xml:space="preserve"> clarifications</w:t>
      </w:r>
      <w:r>
        <w:t xml:space="preserve"> to industry guidance</w:t>
      </w:r>
      <w:r w:rsidRPr="00694C36">
        <w:t xml:space="preserve"> regarding:</w:t>
      </w:r>
      <w:r>
        <w:t xml:space="preserve"> </w:t>
      </w:r>
      <w:r w:rsidRPr="00CC1ADD">
        <w:t>which products should display the HSR</w:t>
      </w:r>
      <w:r>
        <w:t xml:space="preserve">; </w:t>
      </w:r>
      <w:r w:rsidRPr="00CC1ADD">
        <w:t>what is eligible to be considered FVNL and concentrated FVNL</w:t>
      </w:r>
      <w:r w:rsidR="00A72405">
        <w:t xml:space="preserve">. </w:t>
      </w:r>
      <w:r w:rsidR="001D5779" w:rsidRPr="00F101DD">
        <w:t>The</w:t>
      </w:r>
      <w:r w:rsidR="001D5779" w:rsidRPr="00CC1ADD">
        <w:t xml:space="preserve"> </w:t>
      </w:r>
      <w:r w:rsidR="00D8013B">
        <w:t xml:space="preserve">recommended </w:t>
      </w:r>
      <w:r w:rsidR="001D5779" w:rsidRPr="00CC1ADD">
        <w:t>changes to guidance materials (</w:t>
      </w:r>
      <w:r>
        <w:t>detailed later in this</w:t>
      </w:r>
      <w:r w:rsidR="001D5779" w:rsidRPr="00CC1ADD">
        <w:t xml:space="preserve"> Chapter) w</w:t>
      </w:r>
      <w:r w:rsidR="00D8013B">
        <w:t>ould</w:t>
      </w:r>
      <w:r w:rsidR="001D5779" w:rsidRPr="00CC1ADD">
        <w:t xml:space="preserve"> assist in clarifying expectations on the above and give more certainty to industry.</w:t>
      </w:r>
    </w:p>
    <w:p w14:paraId="2399E844" w14:textId="77777777" w:rsidR="001D5779" w:rsidRPr="00CC1ADD" w:rsidRDefault="001D5779" w:rsidP="000779B8">
      <w:pPr>
        <w:pStyle w:val="mpcNormal"/>
        <w:keepNext w:val="0"/>
      </w:pPr>
    </w:p>
    <w:p w14:paraId="62703E29" w14:textId="77777777" w:rsidR="001D5779" w:rsidRPr="005F07CA" w:rsidRDefault="001D5779" w:rsidP="00C3403E">
      <w:pPr>
        <w:pStyle w:val="mpcheading4"/>
        <w:keepNext w:val="0"/>
        <w:numPr>
          <w:ilvl w:val="0"/>
          <w:numId w:val="40"/>
        </w:numPr>
      </w:pPr>
      <w:r w:rsidRPr="005F07CA">
        <w:t xml:space="preserve">lack of commercial incentives and consumer demand for the HSR System </w:t>
      </w:r>
    </w:p>
    <w:p w14:paraId="070D9359" w14:textId="17141E7E" w:rsidR="001D5779" w:rsidRPr="00CC1ADD" w:rsidRDefault="001D5779" w:rsidP="000779B8">
      <w:pPr>
        <w:pStyle w:val="mpcbullets2"/>
        <w:keepNext w:val="0"/>
      </w:pPr>
      <w:r w:rsidRPr="00CC1ADD">
        <w:t>Research undertaken by Colmar Brunton for the MPI</w:t>
      </w:r>
      <w:r w:rsidR="006C5FD8" w:rsidRPr="00CC1ADD">
        <w:rPr>
          <w:rStyle w:val="FootnoteReference"/>
          <w:sz w:val="22"/>
        </w:rPr>
        <w:footnoteReference w:id="115"/>
      </w:r>
      <w:r w:rsidRPr="00CC1ADD">
        <w:t xml:space="preserve"> </w:t>
      </w:r>
      <w:r w:rsidR="00A46252">
        <w:t xml:space="preserve">in 2016 </w:t>
      </w:r>
      <w:r w:rsidRPr="00CC1ADD">
        <w:t>highlighted a number of barriers to uptake identified by industry, which generally centred around a perceived lack of commercial incentive and consumer demand for HSR System uptake, with manufacturers citing barriers such as:</w:t>
      </w:r>
    </w:p>
    <w:p w14:paraId="2EDA78C0" w14:textId="77777777" w:rsidR="001D5779" w:rsidRPr="00CC1ADD" w:rsidRDefault="001D5779" w:rsidP="00F720A0">
      <w:pPr>
        <w:pStyle w:val="mpcbullets3"/>
      </w:pPr>
      <w:r w:rsidRPr="00CC1ADD">
        <w:t>packaging logistics</w:t>
      </w:r>
    </w:p>
    <w:p w14:paraId="0E57392A" w14:textId="77777777" w:rsidR="001D5779" w:rsidRPr="00CC1ADD" w:rsidRDefault="001D5779" w:rsidP="00F720A0">
      <w:pPr>
        <w:pStyle w:val="mpcbullets3"/>
      </w:pPr>
      <w:r w:rsidRPr="00CC1ADD">
        <w:t xml:space="preserve">the absence of a solid business case/value to the business </w:t>
      </w:r>
    </w:p>
    <w:p w14:paraId="4338CAD0" w14:textId="77777777" w:rsidR="001D5779" w:rsidRPr="00CC1ADD" w:rsidRDefault="001D5779" w:rsidP="00F720A0">
      <w:pPr>
        <w:pStyle w:val="mpcbullets3"/>
      </w:pPr>
      <w:r w:rsidRPr="00CC1ADD">
        <w:t>no tangible benefit to their business</w:t>
      </w:r>
    </w:p>
    <w:p w14:paraId="74C95D22" w14:textId="77777777" w:rsidR="001D5779" w:rsidRPr="00CC1ADD" w:rsidRDefault="001D5779" w:rsidP="00F720A0">
      <w:pPr>
        <w:pStyle w:val="mpcbullets3"/>
      </w:pPr>
      <w:r w:rsidRPr="00CC1ADD">
        <w:t>poor alignment of the HSR with organisational values or the brand</w:t>
      </w:r>
    </w:p>
    <w:p w14:paraId="6C06DDCE" w14:textId="77777777" w:rsidR="001D5779" w:rsidRPr="00CC1ADD" w:rsidRDefault="001D5779" w:rsidP="00F720A0">
      <w:pPr>
        <w:pStyle w:val="mpcbullets3"/>
      </w:pPr>
      <w:r w:rsidRPr="00CC1ADD">
        <w:t>lack of momentum and visibility of HSR labelled products in stores</w:t>
      </w:r>
    </w:p>
    <w:p w14:paraId="5E781CCC" w14:textId="77777777" w:rsidR="001D5779" w:rsidRPr="00CC1ADD" w:rsidRDefault="001D5779" w:rsidP="00F720A0">
      <w:pPr>
        <w:pStyle w:val="mpcbullets3"/>
      </w:pPr>
      <w:r w:rsidRPr="00CC1ADD">
        <w:t>potential for negative impact on product sales due to a perception of inherent flaws in the System</w:t>
      </w:r>
    </w:p>
    <w:p w14:paraId="40F5ACC7" w14:textId="77777777" w:rsidR="001D5779" w:rsidRPr="00CC1ADD" w:rsidRDefault="001D5779" w:rsidP="00F720A0">
      <w:pPr>
        <w:pStyle w:val="mpcbullets3"/>
      </w:pPr>
      <w:r w:rsidRPr="00CC1ADD">
        <w:t>concerns that the HSR System is adding to consumer confusion</w:t>
      </w:r>
    </w:p>
    <w:p w14:paraId="2BF23300" w14:textId="1B9FDC0F" w:rsidR="001D5779" w:rsidRPr="00CC1ADD" w:rsidRDefault="001D5779" w:rsidP="00F720A0">
      <w:pPr>
        <w:pStyle w:val="mpcbullets3"/>
      </w:pPr>
      <w:r w:rsidRPr="00CC1ADD">
        <w:t>low levels of knowledge/understanding of the System or where to find information.</w:t>
      </w:r>
    </w:p>
    <w:p w14:paraId="059B3F46" w14:textId="77777777" w:rsidR="001D5779" w:rsidRPr="00CC1ADD" w:rsidRDefault="001D5779" w:rsidP="000779B8">
      <w:pPr>
        <w:pStyle w:val="mpcbullets2"/>
        <w:keepNext w:val="0"/>
      </w:pPr>
      <w:r w:rsidRPr="00CC1ADD">
        <w:t>While it is accepted that some manufacturers will remain resistant to the HSR System, many of the above concerns have been addressed in recommendations of the Review. Further, monitoring shows that consumer awareness and use of the System is increasing.</w:t>
      </w:r>
    </w:p>
    <w:p w14:paraId="2FD723B7" w14:textId="77777777" w:rsidR="001D5779" w:rsidRPr="00CC1ADD" w:rsidRDefault="001D5779" w:rsidP="000779B8">
      <w:pPr>
        <w:pStyle w:val="mpcbullets2"/>
        <w:keepNext w:val="0"/>
        <w:widowControl w:val="0"/>
      </w:pPr>
      <w:r w:rsidRPr="00CC1ADD">
        <w:t>Research exploring the impact of FoPL on consumers’ willingness to pay highlighted that the HSR System was the only FoPL that resulted in greater willingness to pay for healthier versus less healthy products.</w:t>
      </w:r>
      <w:r w:rsidRPr="00CC1ADD">
        <w:rPr>
          <w:rFonts w:cs="Arial (Body CS)"/>
          <w:vertAlign w:val="superscript"/>
        </w:rPr>
        <w:footnoteReference w:id="116"/>
      </w:r>
      <w:r w:rsidRPr="00CC1ADD">
        <w:t xml:space="preserve"> This demonstrates that, contrary to industry concerns, there may be a commercial advantage for manufacturers displaying the HSR on their products.</w:t>
      </w:r>
    </w:p>
    <w:p w14:paraId="6B8201AA" w14:textId="0C270EDA" w:rsidR="001D5779" w:rsidRPr="00CC1ADD" w:rsidRDefault="001D5779" w:rsidP="000779B8">
      <w:pPr>
        <w:pStyle w:val="mpcbullets2"/>
        <w:keepNext w:val="0"/>
        <w:widowControl w:val="0"/>
      </w:pPr>
      <w:r w:rsidRPr="00CC1ADD">
        <w:t xml:space="preserve">Attitudes within industry will continue to change as use of the </w:t>
      </w:r>
      <w:r w:rsidR="009E50B1" w:rsidRPr="00CC1ADD">
        <w:t xml:space="preserve">HSR </w:t>
      </w:r>
      <w:r w:rsidRPr="00CC1ADD">
        <w:t xml:space="preserve">System becomes more widespread and more integrated with industry and government driven initiatives. </w:t>
      </w:r>
    </w:p>
    <w:p w14:paraId="7586BCF5" w14:textId="77777777" w:rsidR="001D5779" w:rsidRPr="00CC1ADD" w:rsidRDefault="001D5779" w:rsidP="0017608D">
      <w:pPr>
        <w:pStyle w:val="mpcNormal"/>
        <w:keepNext w:val="0"/>
        <w:widowControl w:val="0"/>
      </w:pPr>
    </w:p>
    <w:p w14:paraId="4D0BF9EA" w14:textId="77777777" w:rsidR="001D5779" w:rsidRPr="005F07CA" w:rsidRDefault="001D5779" w:rsidP="00C3403E">
      <w:pPr>
        <w:pStyle w:val="mpcheading4"/>
        <w:keepNext w:val="0"/>
        <w:widowControl w:val="0"/>
        <w:numPr>
          <w:ilvl w:val="0"/>
          <w:numId w:val="40"/>
        </w:numPr>
      </w:pPr>
      <w:r w:rsidRPr="005F07CA">
        <w:t>uncertainty about the likelihood of the HSR System continuing</w:t>
      </w:r>
    </w:p>
    <w:p w14:paraId="5F7F6A09" w14:textId="6CF9F03F" w:rsidR="001D5779" w:rsidRPr="00CC1ADD" w:rsidRDefault="001D5779" w:rsidP="000779B8">
      <w:pPr>
        <w:pStyle w:val="mpcbullets2"/>
        <w:keepNext w:val="0"/>
        <w:widowControl w:val="0"/>
      </w:pPr>
      <w:r w:rsidRPr="00CC1ADD">
        <w:t>Some manufacturers made the decision to await the outcome of the Review before implementing the HSR on their products, particularly given the packaging logistics to be resolved, including the cost in updating artwork which may subsequently require changes.</w:t>
      </w:r>
    </w:p>
    <w:p w14:paraId="4B829EEA" w14:textId="77777777" w:rsidR="00CD7880" w:rsidRPr="00CC1ADD" w:rsidRDefault="00CD7880" w:rsidP="000779B8">
      <w:pPr>
        <w:pStyle w:val="mpcNormal"/>
        <w:keepNext w:val="0"/>
        <w:widowControl w:val="0"/>
      </w:pPr>
    </w:p>
    <w:p w14:paraId="3613C7EB" w14:textId="78CEEA13" w:rsidR="001D5779" w:rsidRPr="00CC1ADD" w:rsidRDefault="00B7170F" w:rsidP="000779B8">
      <w:pPr>
        <w:pStyle w:val="mpcheading2"/>
        <w:widowControl w:val="0"/>
        <w:rPr>
          <w:lang w:eastAsia="en-GB"/>
        </w:rPr>
      </w:pPr>
      <w:bookmarkStart w:id="142" w:name="Increasing"/>
      <w:bookmarkStart w:id="143" w:name="_Toc1746515"/>
      <w:bookmarkEnd w:id="142"/>
      <w:r>
        <w:rPr>
          <w:lang w:eastAsia="en-GB"/>
        </w:rPr>
        <w:t>Factors influencing increasing uptake</w:t>
      </w:r>
      <w:r w:rsidR="00C52B5B">
        <w:rPr>
          <w:lang w:eastAsia="en-GB"/>
        </w:rPr>
        <w:t xml:space="preserve"> of the HSR System</w:t>
      </w:r>
      <w:bookmarkEnd w:id="143"/>
    </w:p>
    <w:p w14:paraId="22F13E6B" w14:textId="015BF00C" w:rsidR="001D5779" w:rsidRPr="00CC1ADD" w:rsidRDefault="00A72405" w:rsidP="000779B8">
      <w:pPr>
        <w:pStyle w:val="mpcNormal"/>
        <w:keepNext w:val="0"/>
        <w:widowControl w:val="0"/>
      </w:pPr>
      <w:r>
        <w:t>T</w:t>
      </w:r>
      <w:r w:rsidR="001D5779" w:rsidRPr="00CC1ADD">
        <w:t xml:space="preserve">here have been significant changes in the landscape, which may act as a catalyst for manufacturers to voluntarily implement the HSR System in the future. Examples of </w:t>
      </w:r>
      <w:r w:rsidR="005F07CA">
        <w:t xml:space="preserve">such </w:t>
      </w:r>
      <w:r w:rsidR="001D5779" w:rsidRPr="00CC1ADD">
        <w:t>changes include the following.</w:t>
      </w:r>
    </w:p>
    <w:p w14:paraId="6090BBAE" w14:textId="77777777" w:rsidR="00C004F2" w:rsidRPr="00CC1ADD" w:rsidRDefault="00C004F2" w:rsidP="0017608D">
      <w:pPr>
        <w:pStyle w:val="mpcNormal"/>
        <w:keepNext w:val="0"/>
        <w:widowControl w:val="0"/>
      </w:pPr>
    </w:p>
    <w:p w14:paraId="2B7CFD9F" w14:textId="77777777" w:rsidR="00C004F2" w:rsidRPr="00D34697" w:rsidRDefault="00C004F2" w:rsidP="00F720A0">
      <w:pPr>
        <w:pStyle w:val="mpcbullets1"/>
      </w:pPr>
      <w:r w:rsidRPr="00D34697">
        <w:t>A number of manufacturers have committed strongly to the HSR System, with some committing to display the HSR across their entire product ranges.</w:t>
      </w:r>
    </w:p>
    <w:p w14:paraId="751A7674" w14:textId="17A19E31" w:rsidR="00C004F2" w:rsidRPr="00D34697" w:rsidRDefault="00C004F2" w:rsidP="0017608D">
      <w:pPr>
        <w:pStyle w:val="mpcbullets2"/>
        <w:keepNext w:val="0"/>
        <w:widowControl w:val="0"/>
      </w:pPr>
      <w:r w:rsidRPr="00D34697">
        <w:t>Lion has committed to display the HSR on 100% of their retail portfolio by 2018.</w:t>
      </w:r>
      <w:r w:rsidRPr="00D34697">
        <w:rPr>
          <w:rStyle w:val="FootnoteReference"/>
        </w:rPr>
        <w:footnoteReference w:id="117"/>
      </w:r>
    </w:p>
    <w:p w14:paraId="2E3E7373" w14:textId="46606501" w:rsidR="00C004F2" w:rsidRPr="00D34697" w:rsidRDefault="00C004F2" w:rsidP="0017608D">
      <w:pPr>
        <w:pStyle w:val="mpcbullets2"/>
        <w:keepNext w:val="0"/>
        <w:widowControl w:val="0"/>
      </w:pPr>
      <w:r w:rsidRPr="00D34697">
        <w:t>Simplot has a company policy to display the HSR graphic (specifically the stars) on food products available for commercial retail sale in Australian and New Zealand supermarkets. Simplot also declares the dietary fibre and FVNL content where these contribute to the product’s HSR.</w:t>
      </w:r>
    </w:p>
    <w:p w14:paraId="613D0793" w14:textId="3174E6D4" w:rsidR="00C004F2" w:rsidRPr="00D34697" w:rsidRDefault="00C004F2" w:rsidP="0017608D">
      <w:pPr>
        <w:pStyle w:val="mpcbullets2"/>
        <w:keepNext w:val="0"/>
        <w:widowControl w:val="0"/>
      </w:pPr>
      <w:r w:rsidRPr="00D34697">
        <w:t>Sanitarium has committed to feature the HSR on packaging across its product ranges</w:t>
      </w:r>
      <w:r w:rsidR="005C75BB" w:rsidRPr="00D34697">
        <w:t xml:space="preserve"> and has already applied the HSR to over 90% of its products</w:t>
      </w:r>
      <w:r w:rsidRPr="00D34697">
        <w:t>.</w:t>
      </w:r>
      <w:r w:rsidRPr="00D34697">
        <w:rPr>
          <w:rStyle w:val="FootnoteReference"/>
        </w:rPr>
        <w:footnoteReference w:id="118"/>
      </w:r>
    </w:p>
    <w:p w14:paraId="5BEBF801" w14:textId="1CA91A22" w:rsidR="0013787C" w:rsidRPr="00D34697" w:rsidRDefault="0013787C" w:rsidP="005A25A2">
      <w:pPr>
        <w:pStyle w:val="mpcbullets2"/>
        <w:keepNext w:val="0"/>
        <w:widowControl w:val="0"/>
      </w:pPr>
      <w:r w:rsidRPr="00D34697">
        <w:rPr>
          <w:shd w:val="clear" w:color="auto" w:fill="FFFFFF"/>
        </w:rPr>
        <w:t>Nestlé has committed commit to use the HSR, displaying it on more than 300 products in Australia and 180 in New Zealand in early 2018.</w:t>
      </w:r>
      <w:r w:rsidRPr="00D34697">
        <w:rPr>
          <w:rStyle w:val="FootnoteReference"/>
          <w:shd w:val="clear" w:color="auto" w:fill="FFFFFF"/>
        </w:rPr>
        <w:footnoteReference w:id="119"/>
      </w:r>
    </w:p>
    <w:p w14:paraId="13C46C07" w14:textId="4D645E7C" w:rsidR="005C75BB" w:rsidRPr="00D34697" w:rsidRDefault="00F17BDF" w:rsidP="00A72405">
      <w:pPr>
        <w:pStyle w:val="mpcbullets2"/>
        <w:keepNext w:val="0"/>
        <w:widowControl w:val="0"/>
      </w:pPr>
      <w:r w:rsidRPr="00D34697">
        <w:rPr>
          <w:shd w:val="clear" w:color="auto" w:fill="FFFFFF"/>
        </w:rPr>
        <w:t xml:space="preserve">Coca-Cola NZ </w:t>
      </w:r>
      <w:r w:rsidR="005C75BB" w:rsidRPr="00D34697">
        <w:rPr>
          <w:shd w:val="clear" w:color="auto" w:fill="FFFFFF"/>
        </w:rPr>
        <w:t xml:space="preserve">and Frucor </w:t>
      </w:r>
      <w:r w:rsidR="00A72405">
        <w:rPr>
          <w:shd w:val="clear" w:color="auto" w:fill="FFFFFF"/>
        </w:rPr>
        <w:t xml:space="preserve">in New Zealand </w:t>
      </w:r>
      <w:r w:rsidRPr="00D34697">
        <w:rPr>
          <w:shd w:val="clear" w:color="auto" w:fill="FFFFFF"/>
        </w:rPr>
        <w:t>appl</w:t>
      </w:r>
      <w:r w:rsidR="005C75BB" w:rsidRPr="00D34697">
        <w:rPr>
          <w:shd w:val="clear" w:color="auto" w:fill="FFFFFF"/>
        </w:rPr>
        <w:t>y</w:t>
      </w:r>
      <w:r w:rsidRPr="00D34697">
        <w:rPr>
          <w:shd w:val="clear" w:color="auto" w:fill="FFFFFF"/>
        </w:rPr>
        <w:t xml:space="preserve"> the HSR across </w:t>
      </w:r>
      <w:r w:rsidR="005C75BB" w:rsidRPr="00D34697">
        <w:rPr>
          <w:shd w:val="clear" w:color="auto" w:fill="FFFFFF"/>
        </w:rPr>
        <w:t>the majority of their beverage</w:t>
      </w:r>
      <w:r w:rsidRPr="00D34697">
        <w:rPr>
          <w:shd w:val="clear" w:color="auto" w:fill="FFFFFF"/>
        </w:rPr>
        <w:t xml:space="preserve"> products.</w:t>
      </w:r>
      <w:r w:rsidR="005C75BB" w:rsidRPr="00D34697">
        <w:rPr>
          <w:rStyle w:val="FootnoteReference"/>
        </w:rPr>
        <w:footnoteReference w:id="120"/>
      </w:r>
    </w:p>
    <w:p w14:paraId="580BDC6D" w14:textId="77777777" w:rsidR="0013787C" w:rsidRPr="00CC1ADD" w:rsidRDefault="0013787C" w:rsidP="0017608D">
      <w:pPr>
        <w:pStyle w:val="mpcNormal"/>
        <w:keepNext w:val="0"/>
        <w:widowControl w:val="0"/>
      </w:pPr>
    </w:p>
    <w:p w14:paraId="057C982E" w14:textId="61330EFB" w:rsidR="001D5779" w:rsidRPr="00D8013B" w:rsidRDefault="001D5779" w:rsidP="00F720A0">
      <w:pPr>
        <w:pStyle w:val="mpcbullets1"/>
      </w:pPr>
      <w:r w:rsidRPr="00CC1ADD">
        <w:t xml:space="preserve">Major retailers have committed to display the HSR on 100% of their private label products and are </w:t>
      </w:r>
      <w:r w:rsidRPr="00D8013B">
        <w:t>encouraging their suppliers to display the HSR on their products. For example:</w:t>
      </w:r>
    </w:p>
    <w:p w14:paraId="0C1FFE02" w14:textId="73D300E3" w:rsidR="00A50093" w:rsidRDefault="009E50B1" w:rsidP="0017608D">
      <w:pPr>
        <w:pStyle w:val="mpcbullets2"/>
        <w:keepNext w:val="0"/>
      </w:pPr>
      <w:r w:rsidRPr="00D8013B">
        <w:t xml:space="preserve">At </w:t>
      </w:r>
      <w:r w:rsidR="001D5779" w:rsidRPr="00D8013B">
        <w:t>October 2018, Woolworths</w:t>
      </w:r>
      <w:r w:rsidR="00A50093">
        <w:t xml:space="preserve"> </w:t>
      </w:r>
      <w:r w:rsidR="001D5779" w:rsidRPr="00D8013B">
        <w:t xml:space="preserve">displayed the HSR on 100% (2,345) of </w:t>
      </w:r>
      <w:r w:rsidR="00A46252">
        <w:t>eligible</w:t>
      </w:r>
      <w:r w:rsidR="001D5779" w:rsidRPr="00D8013B">
        <w:t xml:space="preserve"> products in Australia</w:t>
      </w:r>
      <w:r w:rsidR="00A50093">
        <w:t>.</w:t>
      </w:r>
      <w:r w:rsidR="00A50093" w:rsidRPr="00A50093">
        <w:t xml:space="preserve"> </w:t>
      </w:r>
      <w:r w:rsidR="00A50093">
        <w:t xml:space="preserve">At December 2018, Countdown displayed the HSR on 91% of their eligible products </w:t>
      </w:r>
      <w:r w:rsidR="00A46252">
        <w:t xml:space="preserve">in New Zealand </w:t>
      </w:r>
      <w:r w:rsidR="00A50093">
        <w:t xml:space="preserve">and are on track to reach 100% by 2020. </w:t>
      </w:r>
      <w:r w:rsidR="00A50093" w:rsidRPr="00D8013B">
        <w:t>This represents all private label brands including Macro, Woolworths, Countdown, Select, Essentials, Homebrand, Free From and Gold product lines.</w:t>
      </w:r>
    </w:p>
    <w:p w14:paraId="0BCADEC1" w14:textId="77777777" w:rsidR="001D5779" w:rsidRPr="00D8013B" w:rsidRDefault="001D5779" w:rsidP="0017608D">
      <w:pPr>
        <w:pStyle w:val="mpcbullets2"/>
        <w:keepNext w:val="0"/>
      </w:pPr>
      <w:r w:rsidRPr="00D8013B">
        <w:t>Coles has displayed the HSR on over 1,550 products.</w:t>
      </w:r>
      <w:r w:rsidRPr="00D8013B">
        <w:rPr>
          <w:rStyle w:val="FootnoteReference"/>
          <w:sz w:val="22"/>
        </w:rPr>
        <w:footnoteReference w:id="121"/>
      </w:r>
    </w:p>
    <w:p w14:paraId="00D03868" w14:textId="00B2681B" w:rsidR="001D5779" w:rsidRPr="00CC1ADD" w:rsidRDefault="001D5779" w:rsidP="0017608D">
      <w:pPr>
        <w:pStyle w:val="mpcbullets2"/>
        <w:keepNext w:val="0"/>
      </w:pPr>
      <w:r w:rsidRPr="00D8013B">
        <w:t xml:space="preserve">Foodstuffs has displayed the HSR on more than 1,067 foods and committed to </w:t>
      </w:r>
      <w:r w:rsidR="00A50093">
        <w:t>reach 100% by mid</w:t>
      </w:r>
      <w:r w:rsidR="00A50093">
        <w:noBreakHyphen/>
        <w:t xml:space="preserve">2019. Foodstuffs has </w:t>
      </w:r>
      <w:r w:rsidR="000779B8">
        <w:t xml:space="preserve">committed </w:t>
      </w:r>
      <w:r w:rsidRPr="00D8013B">
        <w:t xml:space="preserve">to </w:t>
      </w:r>
      <w:r w:rsidR="00A50093">
        <w:t>‘</w:t>
      </w:r>
      <w:r w:rsidRPr="00D8013B">
        <w:t>champion the wide adoption of the HSR</w:t>
      </w:r>
      <w:r w:rsidR="00A50093">
        <w:t>’, s</w:t>
      </w:r>
      <w:r w:rsidRPr="00D8013B">
        <w:t xml:space="preserve">pecifically </w:t>
      </w:r>
      <w:r w:rsidR="00A50093">
        <w:t>committing</w:t>
      </w:r>
      <w:r w:rsidRPr="00CC1ADD">
        <w:t xml:space="preserve"> to </w:t>
      </w:r>
      <w:r w:rsidR="00A50093">
        <w:t>display the</w:t>
      </w:r>
      <w:r w:rsidRPr="00CC1ADD">
        <w:t xml:space="preserve"> HSR on all private label foods and ‘promote wider adopting of HSR among our supplier community by championing this cause whenever we formally engage with suppliers’.</w:t>
      </w:r>
      <w:r w:rsidRPr="00CC1ADD">
        <w:rPr>
          <w:rStyle w:val="FootnoteReference"/>
          <w:sz w:val="22"/>
        </w:rPr>
        <w:footnoteReference w:id="122"/>
      </w:r>
    </w:p>
    <w:p w14:paraId="4F109A4A" w14:textId="77777777" w:rsidR="001D5779" w:rsidRPr="00CC1ADD" w:rsidRDefault="001D5779" w:rsidP="0017608D">
      <w:pPr>
        <w:pStyle w:val="mpcbullets2"/>
        <w:keepNext w:val="0"/>
      </w:pPr>
      <w:r w:rsidRPr="00CC1ADD">
        <w:t>IGA has implemented an EatWell campaign with a range of initiatives, including using the HSR to highlight healthier packaged products.</w:t>
      </w:r>
      <w:r w:rsidRPr="00CC1ADD">
        <w:rPr>
          <w:rStyle w:val="FootnoteReference"/>
          <w:sz w:val="22"/>
        </w:rPr>
        <w:footnoteReference w:id="123"/>
      </w:r>
    </w:p>
    <w:p w14:paraId="4AFBDEAD" w14:textId="77777777" w:rsidR="001D5779" w:rsidRPr="00CC1ADD" w:rsidRDefault="001D5779" w:rsidP="0017608D">
      <w:pPr>
        <w:pStyle w:val="mpcNormal"/>
        <w:keepNext w:val="0"/>
      </w:pPr>
    </w:p>
    <w:p w14:paraId="3B9A7754" w14:textId="54B9369A" w:rsidR="001D5779" w:rsidRPr="00D34697" w:rsidRDefault="001D5779" w:rsidP="00F720A0">
      <w:pPr>
        <w:pStyle w:val="mpcbullets1"/>
      </w:pPr>
      <w:r w:rsidRPr="00D34697">
        <w:t xml:space="preserve">Some </w:t>
      </w:r>
      <w:r w:rsidR="00C004F2" w:rsidRPr="00D34697">
        <w:t xml:space="preserve">manufacturers </w:t>
      </w:r>
      <w:r w:rsidRPr="00D34697">
        <w:t xml:space="preserve">are using the HSR System to guide product range development and reformulation, building this into their policies and procedures. </w:t>
      </w:r>
      <w:r w:rsidR="00D34697" w:rsidRPr="00D34697">
        <w:t>Some e</w:t>
      </w:r>
      <w:r w:rsidR="0013787C" w:rsidRPr="00D34697">
        <w:t xml:space="preserve">xamples </w:t>
      </w:r>
      <w:r w:rsidR="00D34697" w:rsidRPr="00D34697">
        <w:t xml:space="preserve">of this are </w:t>
      </w:r>
      <w:r w:rsidR="0013787C" w:rsidRPr="00D34697">
        <w:t>outlined in Chapter 3.</w:t>
      </w:r>
      <w:r w:rsidRPr="00D34697">
        <w:t xml:space="preserve"> </w:t>
      </w:r>
    </w:p>
    <w:p w14:paraId="065950C9" w14:textId="77777777" w:rsidR="001D5779" w:rsidRPr="00CC1ADD" w:rsidRDefault="001D5779" w:rsidP="0017608D">
      <w:pPr>
        <w:pStyle w:val="mpcNormal"/>
        <w:keepNext w:val="0"/>
      </w:pPr>
    </w:p>
    <w:p w14:paraId="2B7CF0A9" w14:textId="77777777" w:rsidR="001D5779" w:rsidRPr="00CC1ADD" w:rsidRDefault="001D5779" w:rsidP="00F720A0">
      <w:pPr>
        <w:pStyle w:val="mpcbullets1"/>
      </w:pPr>
      <w:r w:rsidRPr="00CC1ADD">
        <w:t>The Australian Healthy Food Partnership Reformulation Working Group has used the HSR nutrient thresholds to inform the draft reformulation targets for sodium, sugars and saturated fat, such that products reformulated to meet the targets would also increase their HSR.</w:t>
      </w:r>
    </w:p>
    <w:p w14:paraId="73293B5D" w14:textId="77777777" w:rsidR="001D5779" w:rsidRPr="00CC1ADD" w:rsidRDefault="001D5779" w:rsidP="0017608D">
      <w:pPr>
        <w:pStyle w:val="mpcNormal"/>
        <w:keepNext w:val="0"/>
      </w:pPr>
    </w:p>
    <w:p w14:paraId="0FD752ED" w14:textId="49E0D41C" w:rsidR="001D5779" w:rsidRPr="00CC1ADD" w:rsidRDefault="001D5779" w:rsidP="00F720A0">
      <w:pPr>
        <w:pStyle w:val="mpcbullets1"/>
      </w:pPr>
      <w:r w:rsidRPr="00CC1ADD">
        <w:t>Government led initiatives such as the NSW Healthy School Canteen Strategy include a requirement for all ‘</w:t>
      </w:r>
      <w:r w:rsidR="00CF3274">
        <w:t>O</w:t>
      </w:r>
      <w:r w:rsidRPr="00CC1ADD">
        <w:t xml:space="preserve">ccasional’ (i.e. discretionary) foods and drinks </w:t>
      </w:r>
      <w:r w:rsidR="00CF3274">
        <w:t xml:space="preserve">(with the exception of diet drinks) </w:t>
      </w:r>
      <w:r w:rsidRPr="00CC1ADD">
        <w:t xml:space="preserve">sold in NSW Government school canteens to have an HSR of 3.5 or above. </w:t>
      </w:r>
    </w:p>
    <w:p w14:paraId="5295168D" w14:textId="77777777" w:rsidR="001D5779" w:rsidRPr="00CC1ADD" w:rsidRDefault="001D5779" w:rsidP="0017608D">
      <w:pPr>
        <w:pStyle w:val="mpcNormal"/>
        <w:keepNext w:val="0"/>
      </w:pPr>
    </w:p>
    <w:p w14:paraId="3C8F11DD" w14:textId="611EFCE6" w:rsidR="001D5779" w:rsidRPr="00CC1ADD" w:rsidRDefault="001D5779" w:rsidP="00F720A0">
      <w:pPr>
        <w:pStyle w:val="mpcbullets1"/>
      </w:pPr>
      <w:r w:rsidRPr="00CC1ADD">
        <w:t>A number of peak industry bodies have publicly stated their support for the HSR System and actively worked with their member organisations to address System queries, monitor uptake by member organisations and seek to address technical challenges or anomalies. This includes the Australian Food and Grocery Council</w:t>
      </w:r>
      <w:r w:rsidR="002E732B">
        <w:t xml:space="preserve"> (AFGC)</w:t>
      </w:r>
      <w:r w:rsidRPr="00CC1ADD">
        <w:t>, the New Zealand Food and Grocery Council, the Australian Beverages Council, the New Zealand Beverage Council, the Grains and Legumes Nutrition Council, the Australian Breakfast Cereals Manufacturers Forum</w:t>
      </w:r>
      <w:r w:rsidR="00A72405">
        <w:t xml:space="preserve">, </w:t>
      </w:r>
      <w:r w:rsidRPr="00CC1ADD">
        <w:t>Dairy Australia</w:t>
      </w:r>
      <w:r w:rsidR="00D34697">
        <w:t xml:space="preserve"> and</w:t>
      </w:r>
      <w:r w:rsidR="00614EF5">
        <w:t xml:space="preserve"> the Australian Industry Group</w:t>
      </w:r>
      <w:r w:rsidRPr="00CC1ADD">
        <w:t>.</w:t>
      </w:r>
    </w:p>
    <w:p w14:paraId="57AD21AD" w14:textId="77777777" w:rsidR="001D5779" w:rsidRPr="00CC1ADD" w:rsidRDefault="001D5779" w:rsidP="0017608D">
      <w:pPr>
        <w:pStyle w:val="mpcNormal"/>
        <w:keepNext w:val="0"/>
      </w:pPr>
    </w:p>
    <w:p w14:paraId="27F1D43F" w14:textId="77777777" w:rsidR="001D5779" w:rsidRPr="00CC1ADD" w:rsidRDefault="001D5779" w:rsidP="00F720A0">
      <w:pPr>
        <w:pStyle w:val="mpcbullets1"/>
      </w:pPr>
      <w:r w:rsidRPr="00CC1ADD">
        <w:t>Some manufacturers and retailers have outlined their motivations behind adopting the HSR System, including that it:</w:t>
      </w:r>
    </w:p>
    <w:p w14:paraId="03684C08" w14:textId="51360F30" w:rsidR="001D5779" w:rsidRPr="00CC1ADD" w:rsidRDefault="001D5779" w:rsidP="0017608D">
      <w:pPr>
        <w:pStyle w:val="mpcbullets2"/>
        <w:keepNext w:val="0"/>
      </w:pPr>
      <w:r w:rsidRPr="00CC1ADD">
        <w:t xml:space="preserve">helps consumers to make choices and illustrates to consumers that the manufacturer is committed to nutrition and supporting their </w:t>
      </w:r>
      <w:r w:rsidR="005F07CA">
        <w:t>customers</w:t>
      </w:r>
    </w:p>
    <w:p w14:paraId="53398BE6" w14:textId="21F17630" w:rsidR="001D5779" w:rsidRPr="00CC1ADD" w:rsidRDefault="001D5779" w:rsidP="0017608D">
      <w:pPr>
        <w:pStyle w:val="mpcbullets2"/>
        <w:keepNext w:val="0"/>
      </w:pPr>
      <w:r w:rsidRPr="00CC1ADD">
        <w:t>creates a platform for discussions with other businesses and aids in visibility and relationship</w:t>
      </w:r>
      <w:r w:rsidR="00597937">
        <w:noBreakHyphen/>
      </w:r>
      <w:r w:rsidRPr="00CC1ADD">
        <w:t xml:space="preserve">building with government </w:t>
      </w:r>
    </w:p>
    <w:p w14:paraId="61B8CAD9" w14:textId="77777777" w:rsidR="001D5779" w:rsidRPr="00CC1ADD" w:rsidRDefault="001D5779" w:rsidP="0017608D">
      <w:pPr>
        <w:pStyle w:val="mpcbullets2"/>
        <w:keepNext w:val="0"/>
      </w:pPr>
      <w:r w:rsidRPr="00CC1ADD">
        <w:t>supports relative judgements between products rather than dichotomising them as ‘good’ or bad’</w:t>
      </w:r>
    </w:p>
    <w:p w14:paraId="094ACDF0" w14:textId="77777777" w:rsidR="001D5779" w:rsidRPr="00CC1ADD" w:rsidRDefault="001D5779" w:rsidP="0017608D">
      <w:pPr>
        <w:pStyle w:val="mpcbullets2"/>
        <w:keepNext w:val="0"/>
      </w:pPr>
      <w:r w:rsidRPr="00CC1ADD">
        <w:t>has the potential to have far reaching impacts in industry sustainability, reduction in obesity and enhanced public health</w:t>
      </w:r>
    </w:p>
    <w:p w14:paraId="15CB2145" w14:textId="77777777" w:rsidR="001D5779" w:rsidRPr="00CC1ADD" w:rsidRDefault="001D5779" w:rsidP="0017608D">
      <w:pPr>
        <w:pStyle w:val="mpcbullets2"/>
        <w:keepNext w:val="0"/>
      </w:pPr>
      <w:r w:rsidRPr="00CC1ADD">
        <w:t>is reflective of a socially responsible organisation</w:t>
      </w:r>
    </w:p>
    <w:p w14:paraId="2CC80692" w14:textId="5BEC1A9E" w:rsidR="001D5779" w:rsidRPr="00CC1ADD" w:rsidRDefault="001D5779" w:rsidP="0017608D">
      <w:pPr>
        <w:pStyle w:val="mpcbullets2"/>
        <w:keepNext w:val="0"/>
      </w:pPr>
      <w:r w:rsidRPr="00CC1ADD">
        <w:t xml:space="preserve">has given manufacturers </w:t>
      </w:r>
      <w:r w:rsidR="00D8013B">
        <w:t>that</w:t>
      </w:r>
      <w:r w:rsidRPr="00CC1ADD">
        <w:t xml:space="preserve"> have adopted it a competitive advantage and sets them out as an industry leader</w:t>
      </w:r>
    </w:p>
    <w:p w14:paraId="10B0D2DA" w14:textId="77777777" w:rsidR="001D5779" w:rsidRPr="00CC1ADD" w:rsidRDefault="001D5779" w:rsidP="0017608D">
      <w:pPr>
        <w:pStyle w:val="mpcbullets2"/>
        <w:keepNext w:val="0"/>
      </w:pPr>
      <w:r w:rsidRPr="00CC1ADD">
        <w:t>is highly influential in the development of new products and product reformulations</w:t>
      </w:r>
    </w:p>
    <w:p w14:paraId="6A95B76E" w14:textId="77777777" w:rsidR="001D5779" w:rsidRPr="00CC1ADD" w:rsidRDefault="001D5779" w:rsidP="0017608D">
      <w:pPr>
        <w:pStyle w:val="mpcbullets2"/>
        <w:keepNext w:val="0"/>
      </w:pPr>
      <w:r w:rsidRPr="00CC1ADD">
        <w:t>has been embedded into internal policies and procedures and their organisational culture.</w:t>
      </w:r>
      <w:r w:rsidRPr="00CC1ADD">
        <w:rPr>
          <w:rStyle w:val="FootnoteReference"/>
          <w:sz w:val="22"/>
        </w:rPr>
        <w:footnoteReference w:id="124"/>
      </w:r>
    </w:p>
    <w:p w14:paraId="0CAAE6AF" w14:textId="5109A511" w:rsidR="001D5779" w:rsidRDefault="001D5779" w:rsidP="0017608D">
      <w:pPr>
        <w:pStyle w:val="mpcNormal"/>
        <w:keepNext w:val="0"/>
        <w:rPr>
          <w:highlight w:val="cyan"/>
        </w:rPr>
      </w:pPr>
    </w:p>
    <w:tbl>
      <w:tblPr>
        <w:tblStyle w:val="TableGrid"/>
        <w:tblW w:w="0" w:type="auto"/>
        <w:tblLook w:val="04A0" w:firstRow="1" w:lastRow="0" w:firstColumn="1" w:lastColumn="0" w:noHBand="0" w:noVBand="1"/>
      </w:tblPr>
      <w:tblGrid>
        <w:gridCol w:w="9746"/>
      </w:tblGrid>
      <w:tr w:rsidR="00D34697" w:rsidRPr="00CC1ADD" w14:paraId="5FCE0617" w14:textId="77777777" w:rsidTr="00EA77C9">
        <w:trPr>
          <w:trHeight w:val="1483"/>
        </w:trPr>
        <w:tc>
          <w:tcPr>
            <w:tcW w:w="9746" w:type="dxa"/>
            <w:tcBorders>
              <w:top w:val="nil"/>
              <w:left w:val="nil"/>
              <w:bottom w:val="nil"/>
              <w:right w:val="nil"/>
            </w:tcBorders>
            <w:shd w:val="clear" w:color="auto" w:fill="D9E2F3" w:themeFill="accent1" w:themeFillTint="33"/>
            <w:vAlign w:val="center"/>
          </w:tcPr>
          <w:p w14:paraId="3AD38625" w14:textId="4D8D4658" w:rsidR="00D34697" w:rsidRPr="0017608D" w:rsidRDefault="00EA77C9" w:rsidP="00372E4A">
            <w:pPr>
              <w:pStyle w:val="mpcNormal"/>
              <w:keepNext w:val="0"/>
              <w:jc w:val="center"/>
              <w:rPr>
                <w:i/>
              </w:rPr>
            </w:pPr>
            <w:r>
              <w:rPr>
                <w:i/>
              </w:rPr>
              <w:t xml:space="preserve"> </w:t>
            </w:r>
            <w:r w:rsidR="00D34697">
              <w:rPr>
                <w:i/>
              </w:rPr>
              <w:t>‘</w:t>
            </w:r>
            <w:r w:rsidR="00D34697" w:rsidRPr="00EE0C9F">
              <w:rPr>
                <w:i/>
              </w:rPr>
              <w:t>This is a major preventative health initiative which offers an opportunity for the food and beverage industry to significantly contribute to improving the health of our nation. We know Australians trust our products and by providing transparent and easy to understand information through the Health Star Rating system, we are continuing to deliver on the trust consumers place in us and our brands.</w:t>
            </w:r>
            <w:r w:rsidR="00D34697">
              <w:rPr>
                <w:i/>
              </w:rPr>
              <w:t xml:space="preserve">’ </w:t>
            </w:r>
            <w:r w:rsidR="00A72405">
              <w:rPr>
                <w:i/>
              </w:rPr>
              <w:br/>
            </w:r>
            <w:r w:rsidR="00D34697">
              <w:rPr>
                <w:i/>
              </w:rPr>
              <w:t xml:space="preserve">– </w:t>
            </w:r>
            <w:r w:rsidR="00A72405">
              <w:rPr>
                <w:i/>
              </w:rPr>
              <w:t>Australian f</w:t>
            </w:r>
            <w:r w:rsidR="00D34697">
              <w:rPr>
                <w:i/>
              </w:rPr>
              <w:t>ood manufacturer</w:t>
            </w:r>
          </w:p>
        </w:tc>
      </w:tr>
    </w:tbl>
    <w:p w14:paraId="4EAAE8FA" w14:textId="77777777" w:rsidR="00D34697" w:rsidRPr="00CC1ADD" w:rsidRDefault="00D34697" w:rsidP="0017608D">
      <w:pPr>
        <w:pStyle w:val="mpcNormal"/>
        <w:keepNext w:val="0"/>
        <w:rPr>
          <w:highlight w:val="cyan"/>
        </w:rPr>
      </w:pPr>
    </w:p>
    <w:tbl>
      <w:tblPr>
        <w:tblStyle w:val="TableGrid"/>
        <w:tblW w:w="0" w:type="auto"/>
        <w:tblLook w:val="04A0" w:firstRow="1" w:lastRow="0" w:firstColumn="1" w:lastColumn="0" w:noHBand="0" w:noVBand="1"/>
      </w:tblPr>
      <w:tblGrid>
        <w:gridCol w:w="9746"/>
      </w:tblGrid>
      <w:tr w:rsidR="003F0C98" w:rsidRPr="00CC1ADD" w14:paraId="387D0AFF" w14:textId="77777777" w:rsidTr="00EA77C9">
        <w:trPr>
          <w:trHeight w:val="1012"/>
        </w:trPr>
        <w:tc>
          <w:tcPr>
            <w:tcW w:w="9746" w:type="dxa"/>
            <w:tcBorders>
              <w:top w:val="nil"/>
              <w:left w:val="nil"/>
              <w:bottom w:val="nil"/>
              <w:right w:val="nil"/>
            </w:tcBorders>
            <w:shd w:val="clear" w:color="auto" w:fill="D9E2F3" w:themeFill="accent1" w:themeFillTint="33"/>
            <w:vAlign w:val="center"/>
          </w:tcPr>
          <w:p w14:paraId="32C7DD2E" w14:textId="070FA97B" w:rsidR="003F0C98" w:rsidRPr="0017608D" w:rsidRDefault="003F0C98" w:rsidP="0017608D">
            <w:pPr>
              <w:pStyle w:val="mpcNormal"/>
              <w:keepNext w:val="0"/>
              <w:jc w:val="center"/>
              <w:rPr>
                <w:i/>
              </w:rPr>
            </w:pPr>
            <w:r w:rsidRPr="0017608D">
              <w:rPr>
                <w:i/>
              </w:rPr>
              <w:t>‘At a product level it helps consumers make choices, which is why it’s there. At a brand level it reflects to a certain extent the company’s commitment to nutrition and their consumers. At an organisational level it creates a platform for us to have discussions with other business and have visibility with government’.</w:t>
            </w:r>
            <w:r w:rsidRPr="0017608D">
              <w:rPr>
                <w:rStyle w:val="FootnoteReference"/>
                <w:i/>
              </w:rPr>
              <w:footnoteReference w:id="125"/>
            </w:r>
          </w:p>
        </w:tc>
      </w:tr>
    </w:tbl>
    <w:p w14:paraId="309E9B23" w14:textId="2AD680A1" w:rsidR="00A50093" w:rsidRDefault="00A50093" w:rsidP="0017608D">
      <w:pPr>
        <w:pStyle w:val="mpcNormal"/>
        <w:keepNext w:val="0"/>
      </w:pPr>
    </w:p>
    <w:p w14:paraId="02116FD7" w14:textId="456EEDDC" w:rsidR="00B7170F" w:rsidRPr="00EA77C9" w:rsidRDefault="00B7170F" w:rsidP="0017608D">
      <w:pPr>
        <w:pStyle w:val="mpcheading2"/>
      </w:pPr>
      <w:bookmarkStart w:id="144" w:name="Incentivising"/>
      <w:bookmarkStart w:id="145" w:name="_Toc1746516"/>
      <w:bookmarkEnd w:id="144"/>
      <w:r w:rsidRPr="00EA77C9">
        <w:rPr>
          <w:lang w:eastAsia="en-GB"/>
        </w:rPr>
        <w:t>Further incentivising uptake of the HSR</w:t>
      </w:r>
      <w:r w:rsidR="00CB56DE" w:rsidRPr="00EA77C9">
        <w:rPr>
          <w:lang w:eastAsia="en-GB"/>
        </w:rPr>
        <w:t xml:space="preserve"> System</w:t>
      </w:r>
      <w:bookmarkEnd w:id="145"/>
    </w:p>
    <w:p w14:paraId="71AD37D2" w14:textId="5120C885" w:rsidR="00EA77C9" w:rsidRDefault="00EA77C9" w:rsidP="00EA77C9">
      <w:pPr>
        <w:pStyle w:val="mpcNormal"/>
        <w:keepNext w:val="0"/>
        <w:widowControl w:val="0"/>
      </w:pPr>
      <w:r>
        <w:t xml:space="preserve">If uptake is to significantly increase, a </w:t>
      </w:r>
      <w:r w:rsidRPr="00EE0C9F">
        <w:t xml:space="preserve">multipronged approach </w:t>
      </w:r>
      <w:r>
        <w:t>is required, with all stakeholders contributing.</w:t>
      </w:r>
    </w:p>
    <w:p w14:paraId="445FBBBE" w14:textId="71B97D1E" w:rsidR="005F0E30" w:rsidRDefault="005F0E30">
      <w:pPr>
        <w:pStyle w:val="mpcNormal"/>
        <w:keepNext w:val="0"/>
        <w:widowControl w:val="0"/>
      </w:pPr>
    </w:p>
    <w:p w14:paraId="3A37C755" w14:textId="04DC46E3" w:rsidR="00EA77C9" w:rsidRPr="00EE0C9F" w:rsidRDefault="00EA77C9" w:rsidP="00F720A0">
      <w:pPr>
        <w:pStyle w:val="mpcbullets1"/>
      </w:pPr>
      <w:r w:rsidRPr="007E551D">
        <w:t xml:space="preserve">Government </w:t>
      </w:r>
      <w:r>
        <w:t>should</w:t>
      </w:r>
      <w:r w:rsidRPr="00EE0C9F">
        <w:t>:</w:t>
      </w:r>
    </w:p>
    <w:p w14:paraId="08E6D13D" w14:textId="188F286C" w:rsidR="00EA77C9" w:rsidRPr="00EE0C9F" w:rsidRDefault="00EA77C9" w:rsidP="00EA77C9">
      <w:pPr>
        <w:pStyle w:val="mpcbullets2"/>
      </w:pPr>
      <w:r w:rsidRPr="00EE0C9F">
        <w:t xml:space="preserve">set </w:t>
      </w:r>
      <w:r>
        <w:t xml:space="preserve">a </w:t>
      </w:r>
      <w:r w:rsidRPr="00EE0C9F">
        <w:t>clear uptake target</w:t>
      </w:r>
      <w:r>
        <w:t xml:space="preserve"> (</w:t>
      </w:r>
      <w:r w:rsidRPr="00EE0C9F">
        <w:t>as described below</w:t>
      </w:r>
      <w:r>
        <w:t xml:space="preserve">) and </w:t>
      </w:r>
      <w:r w:rsidRPr="00EE0C9F">
        <w:t xml:space="preserve">monitor </w:t>
      </w:r>
      <w:r>
        <w:t>against the target</w:t>
      </w:r>
    </w:p>
    <w:p w14:paraId="19F5BDF8" w14:textId="1E043336" w:rsidR="00EA77C9" w:rsidRDefault="00EA77C9" w:rsidP="00EA77C9">
      <w:pPr>
        <w:pStyle w:val="mpcbullets2"/>
      </w:pPr>
      <w:r>
        <w:t>contin</w:t>
      </w:r>
      <w:r w:rsidR="00A72405">
        <w:t>ue</w:t>
      </w:r>
      <w:r>
        <w:t xml:space="preserve"> to provide effective governance arrangements that support the HSR System and provide confidence in its administration</w:t>
      </w:r>
    </w:p>
    <w:p w14:paraId="03859E67" w14:textId="641CD7C8" w:rsidR="00EA77C9" w:rsidRDefault="00EA77C9" w:rsidP="00EA77C9">
      <w:pPr>
        <w:pStyle w:val="mpcbullets2"/>
      </w:pPr>
      <w:r>
        <w:t>promot</w:t>
      </w:r>
      <w:r w:rsidR="00A72405">
        <w:t>e</w:t>
      </w:r>
      <w:r>
        <w:t xml:space="preserve"> the HSR including as part of broader healthy eating messages</w:t>
      </w:r>
    </w:p>
    <w:p w14:paraId="381A7796" w14:textId="34F6D997" w:rsidR="00EA77C9" w:rsidRPr="00EE0C9F" w:rsidRDefault="00EA77C9" w:rsidP="00EA77C9">
      <w:pPr>
        <w:pStyle w:val="mpcbullets2"/>
      </w:pPr>
      <w:r w:rsidRPr="00EE0C9F">
        <w:t>recognis</w:t>
      </w:r>
      <w:r w:rsidR="00A72405">
        <w:t>e</w:t>
      </w:r>
      <w:r w:rsidRPr="00EE0C9F">
        <w:t xml:space="preserve"> manufacturers that adopt the HSR System (particularly those that display the HSR on 100% of their eligible products).</w:t>
      </w:r>
    </w:p>
    <w:p w14:paraId="6A6A88BC" w14:textId="77777777" w:rsidR="00EA77C9" w:rsidRPr="00EE0C9F" w:rsidRDefault="00EA77C9" w:rsidP="00F720A0">
      <w:pPr>
        <w:pStyle w:val="mpcbullets3"/>
      </w:pPr>
      <w:r w:rsidRPr="00EE0C9F">
        <w:t xml:space="preserve">The HSR System website and social media should </w:t>
      </w:r>
      <w:r>
        <w:t xml:space="preserve">continue to </w:t>
      </w:r>
      <w:r w:rsidRPr="00EE0C9F">
        <w:t xml:space="preserve">identify companies that adopt the HSR System, recognising that </w:t>
      </w:r>
      <w:r>
        <w:t xml:space="preserve">they </w:t>
      </w:r>
      <w:r w:rsidRPr="00EE0C9F">
        <w:t xml:space="preserve">are </w:t>
      </w:r>
      <w:r>
        <w:t xml:space="preserve">supporting </w:t>
      </w:r>
      <w:r w:rsidRPr="00EE0C9F">
        <w:t>consumers</w:t>
      </w:r>
      <w:r>
        <w:t xml:space="preserve"> to make healthy choices. Promotion should highlight </w:t>
      </w:r>
      <w:r w:rsidRPr="00EE0C9F">
        <w:t>those companies that use the HSR across their entire range of products (i.e. those that are not preferentially displaying the HSR on high rating products).</w:t>
      </w:r>
    </w:p>
    <w:p w14:paraId="140C8CEF" w14:textId="77777777" w:rsidR="00EA77C9" w:rsidRPr="00EE0C9F" w:rsidRDefault="00EA77C9" w:rsidP="00EA77C9">
      <w:pPr>
        <w:pStyle w:val="mpcNormal"/>
        <w:keepNext w:val="0"/>
        <w:widowControl w:val="0"/>
      </w:pPr>
    </w:p>
    <w:p w14:paraId="0C3A0B09" w14:textId="526F42CB" w:rsidR="00EA77C9" w:rsidRDefault="00EA77C9" w:rsidP="00F720A0">
      <w:pPr>
        <w:pStyle w:val="mpcbullets1"/>
      </w:pPr>
      <w:r>
        <w:rPr>
          <w:b/>
        </w:rPr>
        <w:t>C</w:t>
      </w:r>
      <w:r w:rsidRPr="00EE0C9F">
        <w:rPr>
          <w:b/>
        </w:rPr>
        <w:t>onsumers</w:t>
      </w:r>
      <w:r w:rsidRPr="00EE0C9F">
        <w:t xml:space="preserve"> </w:t>
      </w:r>
      <w:r>
        <w:t xml:space="preserve">can contribute by </w:t>
      </w:r>
      <w:r w:rsidRPr="00EE0C9F">
        <w:t>us</w:t>
      </w:r>
      <w:r>
        <w:t>ing</w:t>
      </w:r>
      <w:r w:rsidRPr="00EE0C9F">
        <w:t xml:space="preserve"> the HSR and demand</w:t>
      </w:r>
      <w:r>
        <w:t>ing</w:t>
      </w:r>
      <w:r w:rsidRPr="00EE0C9F">
        <w:t xml:space="preserve"> that manufacturers display the HSR across their entire product range.</w:t>
      </w:r>
    </w:p>
    <w:p w14:paraId="4087713C" w14:textId="127199A8" w:rsidR="00EA77C9" w:rsidRPr="00EE0C9F" w:rsidRDefault="00EA77C9" w:rsidP="00EA77C9">
      <w:pPr>
        <w:pStyle w:val="mpcbullets2"/>
      </w:pPr>
      <w:r>
        <w:t xml:space="preserve">Consumers hold strong influence over retailers and manufacturers. If consumers are suspicious of products that do not display the HSR (and question this) or </w:t>
      </w:r>
      <w:r w:rsidRPr="00EE0C9F">
        <w:t>request that companies use the HSR to support their decision-making</w:t>
      </w:r>
      <w:r>
        <w:t>, this is likely to drive uptake of the HSR.</w:t>
      </w:r>
    </w:p>
    <w:p w14:paraId="270FDE6B" w14:textId="77777777" w:rsidR="00EA77C9" w:rsidRPr="00EE0C9F" w:rsidRDefault="00EA77C9" w:rsidP="00EA77C9">
      <w:pPr>
        <w:pStyle w:val="mpcNormal"/>
        <w:keepNext w:val="0"/>
        <w:widowControl w:val="0"/>
      </w:pPr>
    </w:p>
    <w:p w14:paraId="26D47D9F" w14:textId="176FA1CF" w:rsidR="00EA77C9" w:rsidRPr="00EE0C9F" w:rsidRDefault="00EA77C9" w:rsidP="00F720A0">
      <w:pPr>
        <w:pStyle w:val="mpcbullets1"/>
      </w:pPr>
      <w:r>
        <w:rPr>
          <w:b/>
        </w:rPr>
        <w:t>P</w:t>
      </w:r>
      <w:r w:rsidRPr="00EE0C9F">
        <w:rPr>
          <w:b/>
        </w:rPr>
        <w:t xml:space="preserve">ublic health bodies and nutritionists </w:t>
      </w:r>
      <w:r>
        <w:t xml:space="preserve">can educate </w:t>
      </w:r>
      <w:r w:rsidRPr="00EE0C9F">
        <w:t xml:space="preserve">consumers </w:t>
      </w:r>
      <w:r>
        <w:t xml:space="preserve">about </w:t>
      </w:r>
      <w:r w:rsidRPr="00EE0C9F">
        <w:t xml:space="preserve">the HSR </w:t>
      </w:r>
      <w:r>
        <w:t xml:space="preserve">System, how it </w:t>
      </w:r>
      <w:r w:rsidRPr="00EE0C9F">
        <w:t>can help them to make healthier choices when purchasing packaged foods and provide support to use the HSR in the correct way.</w:t>
      </w:r>
    </w:p>
    <w:p w14:paraId="40E412EE" w14:textId="77777777" w:rsidR="00EA77C9" w:rsidRDefault="00EA77C9" w:rsidP="00EA77C9">
      <w:pPr>
        <w:pStyle w:val="mpcNormal"/>
        <w:keepNext w:val="0"/>
        <w:widowControl w:val="0"/>
      </w:pPr>
    </w:p>
    <w:p w14:paraId="2628389C" w14:textId="69207D2E" w:rsidR="00EA77C9" w:rsidRDefault="00EA77C9" w:rsidP="00F720A0">
      <w:pPr>
        <w:pStyle w:val="mpcbullets1"/>
      </w:pPr>
      <w:r>
        <w:rPr>
          <w:b/>
        </w:rPr>
        <w:t>I</w:t>
      </w:r>
      <w:r w:rsidRPr="00EE0C9F">
        <w:rPr>
          <w:b/>
        </w:rPr>
        <w:t>ndustry peak bodies</w:t>
      </w:r>
      <w:r w:rsidRPr="00EE0C9F">
        <w:t xml:space="preserve"> </w:t>
      </w:r>
      <w:r>
        <w:t xml:space="preserve">can </w:t>
      </w:r>
      <w:r w:rsidRPr="00EE0C9F">
        <w:t xml:space="preserve">encourage and support manufacturers to use the HSR System. </w:t>
      </w:r>
    </w:p>
    <w:p w14:paraId="08B709F5" w14:textId="21842CE3" w:rsidR="00EA77C9" w:rsidRPr="00EE0C9F" w:rsidRDefault="00EA77C9" w:rsidP="00EA77C9">
      <w:pPr>
        <w:pStyle w:val="mpcbullets2"/>
      </w:pPr>
      <w:r w:rsidRPr="00EE0C9F">
        <w:t xml:space="preserve">This may include organised </w:t>
      </w:r>
      <w:r>
        <w:t xml:space="preserve">campaigns </w:t>
      </w:r>
      <w:r w:rsidRPr="00EE0C9F">
        <w:t>to get manufacturers on board, providing support and guidance to help companies to use the System correctly and recognising companies that use the HSR across their entire product range.</w:t>
      </w:r>
    </w:p>
    <w:p w14:paraId="7105B925" w14:textId="77777777" w:rsidR="00EA77C9" w:rsidRPr="00EE0C9F" w:rsidRDefault="00EA77C9" w:rsidP="00EA77C9">
      <w:pPr>
        <w:pStyle w:val="mpcNormal"/>
        <w:keepNext w:val="0"/>
        <w:widowControl w:val="0"/>
      </w:pPr>
    </w:p>
    <w:p w14:paraId="039CA2AD" w14:textId="311D8D59" w:rsidR="00EA77C9" w:rsidRPr="00CC1ADD" w:rsidRDefault="00EA77C9" w:rsidP="00EA77C9">
      <w:pPr>
        <w:pStyle w:val="mpcNormal"/>
        <w:keepNext w:val="0"/>
        <w:widowControl w:val="0"/>
      </w:pPr>
      <w:r>
        <w:t>A</w:t>
      </w:r>
      <w:r w:rsidRPr="00EE0C9F">
        <w:t>ll of these factors will support continued increas</w:t>
      </w:r>
      <w:r>
        <w:t xml:space="preserve">ed </w:t>
      </w:r>
      <w:r w:rsidRPr="00EE0C9F">
        <w:t xml:space="preserve">uptake </w:t>
      </w:r>
      <w:r>
        <w:t xml:space="preserve">of the HSR System </w:t>
      </w:r>
      <w:r w:rsidRPr="00EE0C9F">
        <w:t>over the coming years.</w:t>
      </w:r>
      <w:r w:rsidRPr="00CC1ADD">
        <w:t xml:space="preserve"> </w:t>
      </w:r>
    </w:p>
    <w:p w14:paraId="7401C9D4" w14:textId="03A8B372" w:rsidR="00EA77C9" w:rsidRDefault="00EA77C9">
      <w:pPr>
        <w:pStyle w:val="mpcNormal"/>
        <w:keepNext w:val="0"/>
        <w:widowControl w:val="0"/>
      </w:pPr>
    </w:p>
    <w:p w14:paraId="757E7AD9" w14:textId="77777777" w:rsidR="001D5779" w:rsidRPr="00EA77C9" w:rsidRDefault="001D5779" w:rsidP="005A3631">
      <w:pPr>
        <w:pStyle w:val="mpcheading2"/>
        <w:rPr>
          <w:lang w:eastAsia="en-GB"/>
        </w:rPr>
      </w:pPr>
      <w:bookmarkStart w:id="146" w:name="Targets"/>
      <w:bookmarkStart w:id="147" w:name="_Toc1746517"/>
      <w:bookmarkEnd w:id="146"/>
      <w:r w:rsidRPr="00EA77C9">
        <w:rPr>
          <w:lang w:eastAsia="en-GB"/>
        </w:rPr>
        <w:t>Rationale for uptake targets</w:t>
      </w:r>
      <w:bookmarkEnd w:id="147"/>
    </w:p>
    <w:p w14:paraId="63B23AA2" w14:textId="6CDCC5C0" w:rsidR="001D5779" w:rsidRPr="00EA77C9" w:rsidRDefault="001D5779" w:rsidP="0017608D">
      <w:pPr>
        <w:pStyle w:val="mpcNormal"/>
        <w:keepNext w:val="0"/>
      </w:pPr>
      <w:r w:rsidRPr="00EA77C9">
        <w:t xml:space="preserve">Identifying an appropriate uptake target and timeframe within which to achieve it is challenging. In considering targets, the Review has been guided by stakeholder feedback, what can be achieved through target setting and international experience. </w:t>
      </w:r>
    </w:p>
    <w:p w14:paraId="47804E30" w14:textId="77777777" w:rsidR="001D5779" w:rsidRPr="00EA77C9" w:rsidRDefault="001D5779" w:rsidP="0017608D">
      <w:pPr>
        <w:pStyle w:val="mpcNormal"/>
        <w:keepNext w:val="0"/>
      </w:pPr>
    </w:p>
    <w:p w14:paraId="6D6D6210" w14:textId="10538261" w:rsidR="008A3672" w:rsidRPr="00EA77C9" w:rsidRDefault="001D5779">
      <w:pPr>
        <w:pStyle w:val="mpcNormal"/>
        <w:keepNext w:val="0"/>
      </w:pPr>
      <w:r w:rsidRPr="00EA77C9">
        <w:t xml:space="preserve">The Review recommends an uptake target of 70% of </w:t>
      </w:r>
      <w:r w:rsidR="008A3672" w:rsidRPr="00EA77C9">
        <w:t xml:space="preserve">target </w:t>
      </w:r>
      <w:r w:rsidRPr="00EA77C9">
        <w:t xml:space="preserve">products displaying the HSR by </w:t>
      </w:r>
      <w:r w:rsidR="00A72405">
        <w:t xml:space="preserve">end </w:t>
      </w:r>
      <w:r w:rsidRPr="00EA77C9">
        <w:t>2023</w:t>
      </w:r>
      <w:r w:rsidR="008A3672" w:rsidRPr="00EA77C9">
        <w:t xml:space="preserve">. </w:t>
      </w:r>
    </w:p>
    <w:p w14:paraId="1857E5CB" w14:textId="419816ED" w:rsidR="008A3672" w:rsidRPr="00EA77C9" w:rsidRDefault="008A3672">
      <w:pPr>
        <w:pStyle w:val="mpcNormal"/>
        <w:keepNext w:val="0"/>
      </w:pPr>
      <w:r w:rsidRPr="00EA77C9">
        <w:t>In this context, ‘target’ products refer to the products for which the HSR System is intended, i.e. exclud</w:t>
      </w:r>
      <w:r w:rsidR="00091684" w:rsidRPr="00EA77C9">
        <w:t>ing</w:t>
      </w:r>
      <w:r w:rsidRPr="00EA77C9">
        <w:t xml:space="preserve"> products for which the HSR System is not intended to apply but </w:t>
      </w:r>
      <w:r w:rsidR="00091684" w:rsidRPr="00EA77C9">
        <w:t>that</w:t>
      </w:r>
      <w:r w:rsidRPr="00EA77C9">
        <w:t xml:space="preserve"> may display the HSR. It is proposed that these products will not differ from those that are currently considered ‘eligible’ to display the HSR</w:t>
      </w:r>
      <w:r w:rsidR="00091684" w:rsidRPr="00EA77C9">
        <w:t xml:space="preserve"> and would be clarified in industry guidance</w:t>
      </w:r>
      <w:r w:rsidRPr="00EA77C9">
        <w:t xml:space="preserve">. </w:t>
      </w:r>
    </w:p>
    <w:p w14:paraId="5A33E153" w14:textId="1A7AA089" w:rsidR="008A3672" w:rsidRPr="00EA77C9" w:rsidRDefault="008A3672" w:rsidP="0017608D">
      <w:pPr>
        <w:pStyle w:val="mpcNormal"/>
        <w:keepNext w:val="0"/>
      </w:pPr>
    </w:p>
    <w:p w14:paraId="20447283" w14:textId="3488BF33" w:rsidR="001D5779" w:rsidRPr="00EA77C9" w:rsidRDefault="008A3672" w:rsidP="0017608D">
      <w:pPr>
        <w:pStyle w:val="mpcNormal"/>
        <w:keepNext w:val="0"/>
      </w:pPr>
      <w:r w:rsidRPr="00EA77C9">
        <w:t xml:space="preserve">This target is considered </w:t>
      </w:r>
      <w:r w:rsidR="000779B8" w:rsidRPr="00EA77C9">
        <w:t xml:space="preserve">appropriate </w:t>
      </w:r>
      <w:r w:rsidRPr="00EA77C9">
        <w:t>because:</w:t>
      </w:r>
    </w:p>
    <w:p w14:paraId="7CE9D4B7" w14:textId="77777777" w:rsidR="001D5779" w:rsidRPr="00EA77C9" w:rsidRDefault="001D5779" w:rsidP="0017608D">
      <w:pPr>
        <w:pStyle w:val="mpcNormal"/>
        <w:keepNext w:val="0"/>
      </w:pPr>
    </w:p>
    <w:p w14:paraId="31927B79" w14:textId="77777777" w:rsidR="001D5779" w:rsidRPr="00EA77C9" w:rsidRDefault="001D5779" w:rsidP="00F720A0">
      <w:pPr>
        <w:pStyle w:val="mpcbullets1"/>
      </w:pPr>
      <w:r w:rsidRPr="00EA77C9">
        <w:t>it is a specific and measurable target that supports the objectives of the HSR System and against which performance can be meaningfully assessed</w:t>
      </w:r>
    </w:p>
    <w:p w14:paraId="5B97A8B2" w14:textId="77777777" w:rsidR="001D5779" w:rsidRPr="00EA77C9" w:rsidRDefault="001D5779" w:rsidP="00F720A0">
      <w:pPr>
        <w:pStyle w:val="mpcbullets1"/>
      </w:pPr>
      <w:r w:rsidRPr="00EA77C9">
        <w:t>data regarding participation in the HSR suggests that the uptake trajectory makes this an attainable target</w:t>
      </w:r>
    </w:p>
    <w:p w14:paraId="642FA967" w14:textId="495E646D" w:rsidR="001D5779" w:rsidRPr="00EA77C9" w:rsidRDefault="001D5779" w:rsidP="0017608D">
      <w:pPr>
        <w:pStyle w:val="mpcbullets2"/>
        <w:keepNext w:val="0"/>
      </w:pPr>
      <w:r w:rsidRPr="00EA77C9">
        <w:t>From 2016-17 to 2018-19, uptake of the HSR System increased by 8%. Assuming this trend continues over the next five years, a 40% increase by</w:t>
      </w:r>
      <w:r w:rsidR="00A72405">
        <w:t xml:space="preserve"> the</w:t>
      </w:r>
      <w:r w:rsidRPr="00EA77C9">
        <w:t xml:space="preserve"> </w:t>
      </w:r>
      <w:r w:rsidR="00A72405">
        <w:t>end of 20</w:t>
      </w:r>
      <w:r w:rsidRPr="00EA77C9">
        <w:t>23 to achieve 70% uptake is reasonable.</w:t>
      </w:r>
    </w:p>
    <w:p w14:paraId="1382AE1C" w14:textId="77777777" w:rsidR="001D5779" w:rsidRPr="00EA77C9" w:rsidRDefault="001D5779" w:rsidP="00F720A0">
      <w:pPr>
        <w:pStyle w:val="mpcbullets1"/>
      </w:pPr>
      <w:r w:rsidRPr="00EA77C9">
        <w:t>it is expected that recommendations to improve the HSR System will result in further increased uptake</w:t>
      </w:r>
    </w:p>
    <w:p w14:paraId="175E2BE9" w14:textId="77777777" w:rsidR="001D5779" w:rsidRPr="00EA77C9" w:rsidRDefault="001D5779" w:rsidP="00F720A0">
      <w:pPr>
        <w:pStyle w:val="mpcbullets1"/>
      </w:pPr>
      <w:r w:rsidRPr="00EA77C9">
        <w:t>it is appropriately aspirational, reflecting industry’s investment in the HSR System to date and continued stakeholder motivation to promote and support the System as a public health intervention</w:t>
      </w:r>
    </w:p>
    <w:p w14:paraId="12C744EA" w14:textId="6ACE1BCA" w:rsidR="001D5779" w:rsidRPr="00EA77C9" w:rsidRDefault="001D5779" w:rsidP="00F720A0">
      <w:pPr>
        <w:pStyle w:val="mpcbullets1"/>
      </w:pPr>
      <w:r w:rsidRPr="00EA77C9">
        <w:t xml:space="preserve">looking to the UK experience, there is evidence that 70% uptake is a realistic target across all eligible products, with a particular focus on products of most interest </w:t>
      </w:r>
      <w:r w:rsidR="00CD7880" w:rsidRPr="00EA77C9">
        <w:t>to</w:t>
      </w:r>
      <w:r w:rsidRPr="00EA77C9">
        <w:t xml:space="preserve"> consumers</w:t>
      </w:r>
    </w:p>
    <w:p w14:paraId="01AB927D" w14:textId="7C1CEA10" w:rsidR="001D5779" w:rsidRPr="00EA77C9" w:rsidRDefault="001D5779" w:rsidP="0017608D">
      <w:pPr>
        <w:pStyle w:val="mpcbullets2"/>
        <w:keepNext w:val="0"/>
      </w:pPr>
      <w:r w:rsidRPr="00EA77C9">
        <w:t>In the UK, a voluntary front of pack nutritional label scheme (traffic light labelling) was introduced in 2013, combining colour coding and percentage reference intakes. After five years, the scheme had been adopted by two-thirds of the packaged food and drink market in the UK.</w:t>
      </w:r>
      <w:r w:rsidR="00CD7880" w:rsidRPr="00EA77C9">
        <w:rPr>
          <w:rStyle w:val="FootnoteReference"/>
        </w:rPr>
        <w:footnoteReference w:id="126"/>
      </w:r>
    </w:p>
    <w:p w14:paraId="50620B85" w14:textId="77777777" w:rsidR="008A3672" w:rsidRPr="00EA77C9" w:rsidRDefault="008A3672" w:rsidP="0017608D">
      <w:pPr>
        <w:pStyle w:val="mpcNormal"/>
        <w:keepNext w:val="0"/>
      </w:pPr>
    </w:p>
    <w:p w14:paraId="4377C0D2" w14:textId="52065953" w:rsidR="00861EC1" w:rsidRDefault="00EA77C9" w:rsidP="0017608D">
      <w:pPr>
        <w:pStyle w:val="mpcNormal"/>
        <w:keepNext w:val="0"/>
      </w:pPr>
      <w:r>
        <w:t>While the Review is not recommending different uptake targets for different product categories, monitoring will enable tracking of whether the HSR is being applied on all foods consistently and on foods on which consumers have indicated that they are most likely to use the HSR. For example:</w:t>
      </w:r>
    </w:p>
    <w:p w14:paraId="36742C9C" w14:textId="77777777" w:rsidR="00EA77C9" w:rsidRDefault="00EA77C9" w:rsidP="0017608D">
      <w:pPr>
        <w:pStyle w:val="mpcNormal"/>
        <w:keepNext w:val="0"/>
      </w:pPr>
    </w:p>
    <w:p w14:paraId="4F84B7E9" w14:textId="5234F50C" w:rsidR="007F7247" w:rsidRPr="007F7247" w:rsidRDefault="007F7247" w:rsidP="00F720A0">
      <w:pPr>
        <w:pStyle w:val="mpcbullets1"/>
        <w:rPr>
          <w:rFonts w:ascii="Times New Roman" w:hAnsi="Times New Roman"/>
        </w:rPr>
      </w:pPr>
      <w:r>
        <w:t>Australian consumers have indicated</w:t>
      </w:r>
      <w:r w:rsidRPr="007F7247">
        <w:t xml:space="preserve"> they are most likely to use HSR on processed foods: breakfast cereals (70%) and muesli bars (60%)</w:t>
      </w:r>
      <w:r w:rsidR="00602820">
        <w:t xml:space="preserve"> pre-prepared meals, ready to eat foods, breads, snacks and yoghurts</w:t>
      </w:r>
      <w:r>
        <w:t>.</w:t>
      </w:r>
      <w:r>
        <w:rPr>
          <w:rStyle w:val="FootnoteReference"/>
        </w:rPr>
        <w:footnoteReference w:id="127"/>
      </w:r>
    </w:p>
    <w:p w14:paraId="19BCADA4" w14:textId="3AB37561" w:rsidR="00752513" w:rsidRDefault="00491FB9" w:rsidP="00F720A0">
      <w:pPr>
        <w:pStyle w:val="mpcbullets1"/>
      </w:pPr>
      <w:r w:rsidRPr="00CC1ADD">
        <w:t>MPI monitoring of the System asked shoppers to consider what types of</w:t>
      </w:r>
      <w:r w:rsidR="00767B1E">
        <w:t xml:space="preserve"> products</w:t>
      </w:r>
      <w:r w:rsidRPr="00CC1ADD">
        <w:t xml:space="preserve"> they use the HSR for</w:t>
      </w:r>
      <w:r w:rsidR="00F851BC">
        <w:t>. T</w:t>
      </w:r>
      <w:r w:rsidRPr="00CC1ADD">
        <w:t>he HSR was most commonly reported to be used to choose breakfast cereals (22%), muesli bars (13%), snack foods (8%) and yoghurts (6%).</w:t>
      </w:r>
      <w:r w:rsidRPr="00CC1ADD">
        <w:rPr>
          <w:rStyle w:val="FootnoteReference"/>
        </w:rPr>
        <w:footnoteReference w:id="128"/>
      </w:r>
    </w:p>
    <w:p w14:paraId="5A12924D" w14:textId="64313F4D" w:rsidR="00491FB9" w:rsidRPr="00CC1ADD" w:rsidRDefault="00491FB9" w:rsidP="00F720A0">
      <w:pPr>
        <w:pStyle w:val="mpcbullets1"/>
      </w:pPr>
      <w:r w:rsidRPr="00CC1ADD">
        <w:t>This is support</w:t>
      </w:r>
      <w:r w:rsidR="00954492" w:rsidRPr="00CC1ADD">
        <w:t>ed</w:t>
      </w:r>
      <w:r w:rsidRPr="00CC1ADD">
        <w:t xml:space="preserve"> by a study </w:t>
      </w:r>
      <w:r w:rsidR="00767B1E">
        <w:t>that</w:t>
      </w:r>
      <w:r w:rsidR="00767B1E" w:rsidRPr="00CC1ADD">
        <w:t xml:space="preserve"> </w:t>
      </w:r>
      <w:r w:rsidRPr="00CC1ADD">
        <w:t xml:space="preserve">found </w:t>
      </w:r>
      <w:r w:rsidR="00954492" w:rsidRPr="00CC1ADD">
        <w:t xml:space="preserve">UK </w:t>
      </w:r>
      <w:r w:rsidRPr="00CC1ADD">
        <w:t>shoppers looked for nutrition information predominantly for yoghurts (38%), breakfast cereals (34%), ready meals (28%), carbonated soft drinks (23%), salty snacks (22%) and confectionery (16%).</w:t>
      </w:r>
      <w:r w:rsidRPr="00CC1ADD">
        <w:rPr>
          <w:rFonts w:cs="Arial (Body CS)"/>
          <w:vertAlign w:val="superscript"/>
        </w:rPr>
        <w:footnoteReference w:id="129"/>
      </w:r>
    </w:p>
    <w:p w14:paraId="7A4A2224" w14:textId="77777777" w:rsidR="00861EC1" w:rsidRPr="00CC1ADD" w:rsidRDefault="00861EC1" w:rsidP="0017608D">
      <w:pPr>
        <w:pStyle w:val="mpcNormal"/>
        <w:keepNext w:val="0"/>
      </w:pPr>
    </w:p>
    <w:p w14:paraId="6B4C4362" w14:textId="50564CF5" w:rsidR="001D5779" w:rsidRPr="00CC1ADD" w:rsidRDefault="001D5779">
      <w:pPr>
        <w:rPr>
          <w:rFonts w:cstheme="minorHAnsi"/>
          <w:sz w:val="22"/>
          <w:szCs w:val="22"/>
        </w:rPr>
      </w:pPr>
      <w:r w:rsidRPr="00CC1ADD">
        <w:rPr>
          <w:rFonts w:cstheme="minorHAnsi"/>
          <w:sz w:val="22"/>
          <w:szCs w:val="22"/>
        </w:rPr>
        <w:t xml:space="preserve">Noting the challenge of balancing what can theoretically be achieved with what should be aspired to, the Review recommends </w:t>
      </w:r>
      <w:r w:rsidR="00767B1E">
        <w:rPr>
          <w:rFonts w:cstheme="minorHAnsi"/>
          <w:sz w:val="22"/>
          <w:szCs w:val="22"/>
        </w:rPr>
        <w:t xml:space="preserve">that </w:t>
      </w:r>
      <w:r w:rsidRPr="00CC1ADD">
        <w:rPr>
          <w:rFonts w:cstheme="minorHAnsi"/>
          <w:sz w:val="22"/>
          <w:szCs w:val="22"/>
        </w:rPr>
        <w:t xml:space="preserve">a degree of flexibility be adopted in the uptake target. This will enable uptake evidence attained through future monitoring of the </w:t>
      </w:r>
      <w:r w:rsidR="00D8013B">
        <w:rPr>
          <w:rFonts w:cstheme="minorHAnsi"/>
          <w:sz w:val="22"/>
          <w:szCs w:val="22"/>
        </w:rPr>
        <w:t xml:space="preserve">HSR </w:t>
      </w:r>
      <w:r w:rsidRPr="00CC1ADD">
        <w:rPr>
          <w:rFonts w:cstheme="minorHAnsi"/>
          <w:sz w:val="22"/>
          <w:szCs w:val="22"/>
        </w:rPr>
        <w:t xml:space="preserve">System to inform the review of targets. </w:t>
      </w:r>
    </w:p>
    <w:p w14:paraId="67C1F545" w14:textId="77777777" w:rsidR="001D5779" w:rsidRPr="00CC1ADD" w:rsidRDefault="001D5779">
      <w:pPr>
        <w:rPr>
          <w:sz w:val="22"/>
          <w:szCs w:val="22"/>
        </w:rPr>
      </w:pPr>
    </w:p>
    <w:p w14:paraId="16EB3CD9" w14:textId="63359C2F" w:rsidR="001D5779" w:rsidRPr="00CC1ADD" w:rsidRDefault="00C52B5B">
      <w:pPr>
        <w:pStyle w:val="mpcheading2"/>
      </w:pPr>
      <w:bookmarkStart w:id="148" w:name="Guidance"/>
      <w:bookmarkStart w:id="149" w:name="_Toc1746518"/>
      <w:bookmarkEnd w:id="148"/>
      <w:r>
        <w:t xml:space="preserve">HSR System </w:t>
      </w:r>
      <w:r w:rsidR="001D5779" w:rsidRPr="00CC1ADD">
        <w:t>Industry guidance</w:t>
      </w:r>
      <w:bookmarkEnd w:id="149"/>
    </w:p>
    <w:p w14:paraId="20976812" w14:textId="6A88C774" w:rsidR="001D5779" w:rsidRPr="00CC1ADD" w:rsidRDefault="00A72405">
      <w:pPr>
        <w:rPr>
          <w:rFonts w:cstheme="minorHAnsi"/>
          <w:sz w:val="22"/>
          <w:szCs w:val="22"/>
        </w:rPr>
      </w:pPr>
      <w:r>
        <w:rPr>
          <w:rFonts w:cstheme="minorHAnsi"/>
          <w:sz w:val="22"/>
          <w:szCs w:val="22"/>
        </w:rPr>
        <w:t>As a result of the Review</w:t>
      </w:r>
      <w:r w:rsidR="001D5779" w:rsidRPr="00CC1ADD">
        <w:rPr>
          <w:rFonts w:cstheme="minorHAnsi"/>
          <w:sz w:val="22"/>
          <w:szCs w:val="22"/>
        </w:rPr>
        <w:t xml:space="preserve">, changes will be needed to the Guide for Industry and the Style Guide. It is recommended that the opportunity be taken to combine, improve and strengthen these documents such that there is a single resource (similar to a Code of </w:t>
      </w:r>
      <w:r w:rsidR="00091684">
        <w:rPr>
          <w:rFonts w:cstheme="minorHAnsi"/>
          <w:sz w:val="22"/>
          <w:szCs w:val="22"/>
        </w:rPr>
        <w:t>Practice</w:t>
      </w:r>
      <w:r w:rsidR="001D5779" w:rsidRPr="00CC1ADD">
        <w:rPr>
          <w:rFonts w:cstheme="minorHAnsi"/>
          <w:sz w:val="22"/>
          <w:szCs w:val="22"/>
        </w:rPr>
        <w:t>) that describes the HSR System, its objectives and industry obligations.</w:t>
      </w:r>
    </w:p>
    <w:p w14:paraId="6B8032BC" w14:textId="77777777" w:rsidR="001D5779" w:rsidRPr="00CC1ADD" w:rsidRDefault="001D5779">
      <w:pPr>
        <w:rPr>
          <w:rFonts w:cstheme="minorHAnsi"/>
          <w:sz w:val="22"/>
          <w:szCs w:val="22"/>
        </w:rPr>
      </w:pPr>
    </w:p>
    <w:p w14:paraId="302738FB" w14:textId="77777777" w:rsidR="001D5779" w:rsidRPr="00CC1ADD" w:rsidRDefault="001D5779">
      <w:pPr>
        <w:rPr>
          <w:rFonts w:cstheme="minorHAnsi"/>
          <w:sz w:val="22"/>
          <w:szCs w:val="22"/>
        </w:rPr>
      </w:pPr>
      <w:r w:rsidRPr="00CC1ADD">
        <w:rPr>
          <w:rFonts w:cstheme="minorHAnsi"/>
          <w:sz w:val="22"/>
          <w:szCs w:val="22"/>
        </w:rPr>
        <w:t>The document should include:</w:t>
      </w:r>
    </w:p>
    <w:p w14:paraId="6BC1B133" w14:textId="77777777" w:rsidR="001D5779" w:rsidRPr="00CC1ADD" w:rsidRDefault="001D5779">
      <w:pPr>
        <w:rPr>
          <w:rFonts w:cstheme="minorHAnsi"/>
          <w:sz w:val="22"/>
          <w:szCs w:val="22"/>
        </w:rPr>
      </w:pPr>
    </w:p>
    <w:p w14:paraId="00B7DE54" w14:textId="77777777" w:rsidR="001D5779" w:rsidRPr="00CC1ADD" w:rsidRDefault="001D5779" w:rsidP="00F720A0">
      <w:pPr>
        <w:pStyle w:val="mpcbullets1"/>
      </w:pPr>
      <w:r w:rsidRPr="00CC1ADD">
        <w:t xml:space="preserve">a clear statement of the objectives of the HSR System </w:t>
      </w:r>
    </w:p>
    <w:p w14:paraId="28D8E61A" w14:textId="0E3BBA75" w:rsidR="001D5779" w:rsidRPr="00CC1ADD" w:rsidRDefault="001D5779" w:rsidP="00F720A0">
      <w:pPr>
        <w:pStyle w:val="mpcbullets1"/>
      </w:pPr>
      <w:r w:rsidRPr="00CC1ADD">
        <w:t>uptake targets</w:t>
      </w:r>
    </w:p>
    <w:p w14:paraId="4B77468A" w14:textId="4EC6CAC4" w:rsidR="00A46252" w:rsidRDefault="00A46252" w:rsidP="00F720A0">
      <w:pPr>
        <w:pStyle w:val="mpcbullets1"/>
      </w:pPr>
      <w:r>
        <w:t>descriptions and examples of the</w:t>
      </w:r>
      <w:r w:rsidR="001D5779" w:rsidRPr="00CC1ADD">
        <w:t xml:space="preserve"> products to which the HSR i</w:t>
      </w:r>
      <w:r w:rsidR="00767B1E">
        <w:t>s</w:t>
      </w:r>
      <w:r>
        <w:t>:</w:t>
      </w:r>
    </w:p>
    <w:p w14:paraId="60AF4A74" w14:textId="4229FA0E" w:rsidR="00A46252" w:rsidRDefault="001D5779" w:rsidP="0017608D">
      <w:pPr>
        <w:pStyle w:val="mpcbullets2"/>
        <w:keepNext w:val="0"/>
      </w:pPr>
      <w:r w:rsidRPr="00CC1ADD">
        <w:t>intended to apply (</w:t>
      </w:r>
      <w:r w:rsidR="008A3672">
        <w:t>target</w:t>
      </w:r>
      <w:r w:rsidR="008A3672" w:rsidRPr="00CC1ADD">
        <w:t xml:space="preserve"> </w:t>
      </w:r>
      <w:r w:rsidRPr="00CC1ADD">
        <w:t>products)</w:t>
      </w:r>
    </w:p>
    <w:p w14:paraId="2D7A43E7" w14:textId="47968B8F" w:rsidR="00A46252" w:rsidRDefault="001D5779" w:rsidP="0017608D">
      <w:pPr>
        <w:pStyle w:val="mpcbullets2"/>
        <w:keepNext w:val="0"/>
      </w:pPr>
      <w:r w:rsidRPr="00CC1ADD">
        <w:t>not intended to apply</w:t>
      </w:r>
      <w:r w:rsidR="008A3672">
        <w:t xml:space="preserve"> but which may display the HSR (eligible products)</w:t>
      </w:r>
      <w:r w:rsidRPr="00CC1ADD">
        <w:t xml:space="preserve"> </w:t>
      </w:r>
    </w:p>
    <w:p w14:paraId="24004605" w14:textId="1AC72441" w:rsidR="001D5779" w:rsidRPr="00CC1ADD" w:rsidRDefault="001D5779" w:rsidP="0017608D">
      <w:pPr>
        <w:pStyle w:val="mpcbullets2"/>
        <w:keepNext w:val="0"/>
      </w:pPr>
      <w:r w:rsidRPr="00CC1ADD">
        <w:t>those that must not display the HSR</w:t>
      </w:r>
      <w:r w:rsidR="00A46252">
        <w:t>.</w:t>
      </w:r>
    </w:p>
    <w:p w14:paraId="22A23CF2" w14:textId="77777777" w:rsidR="001D5779" w:rsidRPr="00CC1ADD" w:rsidRDefault="001D5779" w:rsidP="0017608D">
      <w:pPr>
        <w:pStyle w:val="mpcbullets2"/>
        <w:keepNext w:val="0"/>
        <w:numPr>
          <w:ilvl w:val="0"/>
          <w:numId w:val="20"/>
        </w:numPr>
      </w:pPr>
      <w:r w:rsidRPr="00CC1ADD">
        <w:t>information about how to determine the HSR of a product</w:t>
      </w:r>
    </w:p>
    <w:p w14:paraId="4508E089" w14:textId="77777777" w:rsidR="001D5779" w:rsidRPr="00CC1ADD" w:rsidRDefault="001D5779" w:rsidP="0017608D">
      <w:pPr>
        <w:pStyle w:val="mpcbullets2"/>
        <w:keepNext w:val="0"/>
      </w:pPr>
      <w:r w:rsidRPr="00CC1ADD">
        <w:t>As suggested by stakeholders it is proposed that the document would include:</w:t>
      </w:r>
    </w:p>
    <w:p w14:paraId="009AD2B2" w14:textId="77777777" w:rsidR="001D5779" w:rsidRPr="00CC1ADD" w:rsidRDefault="001D5779" w:rsidP="00F720A0">
      <w:pPr>
        <w:pStyle w:val="mpcbullets3"/>
      </w:pPr>
      <w:r w:rsidRPr="00CC1ADD">
        <w:t>further examples demonstrating how to calculate the HSR</w:t>
      </w:r>
    </w:p>
    <w:p w14:paraId="4E91B1DB" w14:textId="77777777" w:rsidR="001D5779" w:rsidRPr="00CC1ADD" w:rsidRDefault="001D5779" w:rsidP="00F720A0">
      <w:pPr>
        <w:pStyle w:val="mpcbullets3"/>
      </w:pPr>
      <w:r w:rsidRPr="00CC1ADD">
        <w:t xml:space="preserve">further detail about what is eligible to be considered FVNL and concentrated FVNL, including worked examples of how to calculate %FVNL </w:t>
      </w:r>
    </w:p>
    <w:p w14:paraId="46610B6E" w14:textId="33A88B03" w:rsidR="001D5779" w:rsidRPr="00CC1ADD" w:rsidRDefault="001D5779" w:rsidP="00F720A0">
      <w:pPr>
        <w:pStyle w:val="mpcbullets3"/>
      </w:pPr>
      <w:r w:rsidRPr="00CC1ADD">
        <w:t xml:space="preserve">which HSR </w:t>
      </w:r>
      <w:r w:rsidR="00153CBD">
        <w:t>c</w:t>
      </w:r>
      <w:r w:rsidRPr="00CC1ADD">
        <w:t xml:space="preserve">ategory certain products should sit in, including by listing a range of examples under each </w:t>
      </w:r>
      <w:r w:rsidR="00153CBD">
        <w:t>c</w:t>
      </w:r>
      <w:r w:rsidRPr="00CC1ADD">
        <w:t>ategory.</w:t>
      </w:r>
    </w:p>
    <w:p w14:paraId="14005D58" w14:textId="77777777" w:rsidR="001D5779" w:rsidRPr="00CC1ADD" w:rsidRDefault="001D5779" w:rsidP="00F720A0">
      <w:pPr>
        <w:pStyle w:val="mpcbullets1"/>
      </w:pPr>
      <w:r w:rsidRPr="00CC1ADD">
        <w:t>information about how to present the HSR graphic</w:t>
      </w:r>
    </w:p>
    <w:p w14:paraId="6D09BF66" w14:textId="6830F1EF" w:rsidR="001D5779" w:rsidRPr="00CC1ADD" w:rsidRDefault="001D5779" w:rsidP="0017608D">
      <w:pPr>
        <w:pStyle w:val="mpcbullets2"/>
        <w:keepNext w:val="0"/>
      </w:pPr>
      <w:r w:rsidRPr="00CC1ADD">
        <w:t xml:space="preserve">The document would reflect the expectation that Options 1-4 be used, and that only products displaying one of these options will be counted towards the uptake target. </w:t>
      </w:r>
    </w:p>
    <w:p w14:paraId="2A00A25E" w14:textId="77777777" w:rsidR="001D5779" w:rsidRPr="00CC1ADD" w:rsidRDefault="001D5779" w:rsidP="0017608D">
      <w:pPr>
        <w:pStyle w:val="mpcbullets2"/>
        <w:keepNext w:val="0"/>
      </w:pPr>
      <w:r w:rsidRPr="00CC1ADD">
        <w:t>Artwork files (with HSR graphics) should continue to be available to industry.</w:t>
      </w:r>
    </w:p>
    <w:p w14:paraId="7561C2CB" w14:textId="34DD1D28" w:rsidR="001D5779" w:rsidRPr="00CC1ADD" w:rsidRDefault="001D5779" w:rsidP="00F720A0">
      <w:pPr>
        <w:pStyle w:val="mpcbullets1"/>
      </w:pPr>
      <w:r w:rsidRPr="00CC1ADD">
        <w:t>complaints handling mechanisms</w:t>
      </w:r>
    </w:p>
    <w:p w14:paraId="427ACCFF" w14:textId="77777777" w:rsidR="001D5779" w:rsidRPr="00CC1ADD" w:rsidRDefault="001D5779" w:rsidP="00F720A0">
      <w:pPr>
        <w:pStyle w:val="mpcbullets1"/>
      </w:pPr>
      <w:r w:rsidRPr="00CC1ADD">
        <w:t>how compliance with the HSR System will be monitored and reported</w:t>
      </w:r>
    </w:p>
    <w:p w14:paraId="7C173829" w14:textId="77777777" w:rsidR="001D5779" w:rsidRPr="00CC1ADD" w:rsidRDefault="001D5779" w:rsidP="00F720A0">
      <w:pPr>
        <w:pStyle w:val="mpcbullets1"/>
      </w:pPr>
      <w:r w:rsidRPr="00CC1ADD">
        <w:t>actions that may be taken in the event of non-compliance (including referral to the Australian Competition and Consumer Commission and the New Zealand Commerce Commission where an inaccurate HSR is displayed such that it is misleading for consumers).</w:t>
      </w:r>
    </w:p>
    <w:p w14:paraId="21D281D2" w14:textId="77777777" w:rsidR="001D5779" w:rsidRPr="00CC1ADD" w:rsidRDefault="001D5779">
      <w:pPr>
        <w:rPr>
          <w:sz w:val="22"/>
          <w:szCs w:val="22"/>
        </w:rPr>
      </w:pPr>
    </w:p>
    <w:p w14:paraId="608FDBBD" w14:textId="615C36CE" w:rsidR="001D5779" w:rsidRPr="00CC1ADD" w:rsidRDefault="001D5779" w:rsidP="0017608D">
      <w:pPr>
        <w:pStyle w:val="mpcNormal"/>
        <w:keepNext w:val="0"/>
        <w:sectPr w:rsidR="001D5779" w:rsidRPr="00CC1ADD" w:rsidSect="00B36208">
          <w:footerReference w:type="default" r:id="rId84"/>
          <w:pgSz w:w="11900" w:h="16840"/>
          <w:pgMar w:top="1304" w:right="1077" w:bottom="1304" w:left="1077" w:header="709" w:footer="709" w:gutter="0"/>
          <w:cols w:space="708"/>
          <w:docGrid w:linePitch="360"/>
        </w:sectPr>
      </w:pPr>
      <w:r w:rsidRPr="00CC1ADD">
        <w:rPr>
          <w:color w:val="000000" w:themeColor="text1"/>
        </w:rPr>
        <w:t>As suggested by stakeholders, it is also recommended that the</w:t>
      </w:r>
      <w:r w:rsidRPr="00CC1ADD">
        <w:t xml:space="preserve"> Online Calculator and Excel spreadsheet continue to be updated to improve their stability and operational effectiveness for industry.</w:t>
      </w:r>
    </w:p>
    <w:p w14:paraId="12BAE179" w14:textId="0AC5A113" w:rsidR="00F101DD" w:rsidRDefault="00F101DD" w:rsidP="005A3631">
      <w:pPr>
        <w:pStyle w:val="mpcheading1"/>
        <w:spacing w:after="0"/>
      </w:pPr>
      <w:bookmarkStart w:id="150" w:name="Chapter8"/>
      <w:bookmarkStart w:id="151" w:name="_Toc1746519"/>
      <w:bookmarkEnd w:id="150"/>
      <w:r>
        <w:t>Chapter 8: Next Steps</w:t>
      </w:r>
      <w:bookmarkEnd w:id="151"/>
    </w:p>
    <w:p w14:paraId="181397FA" w14:textId="18B5DACE" w:rsidR="00F101DD" w:rsidRDefault="00F101DD" w:rsidP="0017608D">
      <w:pPr>
        <w:pStyle w:val="mpcNormal"/>
        <w:keepNext w:val="0"/>
      </w:pPr>
    </w:p>
    <w:p w14:paraId="45506F7E" w14:textId="77777777" w:rsidR="00861EC1" w:rsidRDefault="005D7CEC">
      <w:pPr>
        <w:pStyle w:val="ms-rteelement-p"/>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 xml:space="preserve">The Review is seeking stakeholder feedback on the Draft Review Report. You can provide feedback through the Department of Health’s </w:t>
      </w:r>
      <w:hyperlink r:id="rId85" w:history="1">
        <w:r w:rsidRPr="005D7CEC">
          <w:rPr>
            <w:rStyle w:val="Hyperlink"/>
            <w:rFonts w:asciiTheme="minorHAnsi" w:eastAsiaTheme="minorEastAsia" w:hAnsiTheme="minorHAnsi" w:cstheme="minorHAnsi"/>
            <w:sz w:val="22"/>
            <w:szCs w:val="22"/>
            <w:lang w:eastAsia="en-AU"/>
          </w:rPr>
          <w:t>Consultation Hub</w:t>
        </w:r>
      </w:hyperlink>
      <w:r>
        <w:rPr>
          <w:rFonts w:asciiTheme="minorHAnsi" w:eastAsiaTheme="minorEastAsia" w:hAnsiTheme="minorHAnsi" w:cstheme="minorHAnsi"/>
          <w:sz w:val="22"/>
          <w:szCs w:val="22"/>
          <w:lang w:eastAsia="en-AU"/>
        </w:rPr>
        <w:t xml:space="preserve">. Consultation closes on </w:t>
      </w:r>
      <w:r w:rsidRPr="00052B3F">
        <w:rPr>
          <w:rFonts w:asciiTheme="minorHAnsi" w:eastAsiaTheme="minorEastAsia" w:hAnsiTheme="minorHAnsi" w:cstheme="minorHAnsi"/>
          <w:b/>
          <w:sz w:val="22"/>
          <w:szCs w:val="22"/>
          <w:lang w:eastAsia="en-AU"/>
        </w:rPr>
        <w:t>25 March 2019</w:t>
      </w:r>
      <w:r>
        <w:rPr>
          <w:rFonts w:asciiTheme="minorHAnsi" w:eastAsiaTheme="minorEastAsia" w:hAnsiTheme="minorHAnsi" w:cstheme="minorHAnsi"/>
          <w:sz w:val="22"/>
          <w:szCs w:val="22"/>
          <w:lang w:eastAsia="en-AU"/>
        </w:rPr>
        <w:t>.</w:t>
      </w:r>
      <w:r w:rsidR="00861EC1">
        <w:rPr>
          <w:rFonts w:asciiTheme="minorHAnsi" w:eastAsiaTheme="minorEastAsia" w:hAnsiTheme="minorHAnsi" w:cstheme="minorHAnsi"/>
          <w:sz w:val="22"/>
          <w:szCs w:val="22"/>
          <w:lang w:eastAsia="en-AU"/>
        </w:rPr>
        <w:t xml:space="preserve"> </w:t>
      </w:r>
    </w:p>
    <w:p w14:paraId="48CCC29F" w14:textId="77777777" w:rsidR="00861EC1" w:rsidRDefault="00861EC1">
      <w:pPr>
        <w:pStyle w:val="ms-rteelement-p"/>
        <w:spacing w:before="0" w:beforeAutospacing="0" w:after="0" w:afterAutospacing="0"/>
        <w:rPr>
          <w:rFonts w:asciiTheme="minorHAnsi" w:eastAsiaTheme="minorEastAsia" w:hAnsiTheme="minorHAnsi" w:cstheme="minorHAnsi"/>
          <w:sz w:val="22"/>
          <w:szCs w:val="22"/>
          <w:lang w:eastAsia="en-AU"/>
        </w:rPr>
      </w:pPr>
    </w:p>
    <w:p w14:paraId="1BB8A118" w14:textId="42C07135" w:rsidR="008C6958" w:rsidRDefault="00861EC1">
      <w:pPr>
        <w:pStyle w:val="ms-rteelement-p"/>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T</w:t>
      </w:r>
      <w:r w:rsidR="008C6958">
        <w:rPr>
          <w:rFonts w:asciiTheme="minorHAnsi" w:eastAsiaTheme="minorEastAsia" w:hAnsiTheme="minorHAnsi" w:cstheme="minorHAnsi"/>
          <w:sz w:val="22"/>
          <w:szCs w:val="22"/>
          <w:lang w:eastAsia="en-AU"/>
        </w:rPr>
        <w:t>hree T</w:t>
      </w:r>
      <w:r>
        <w:rPr>
          <w:rFonts w:asciiTheme="minorHAnsi" w:eastAsiaTheme="minorEastAsia" w:hAnsiTheme="minorHAnsi" w:cstheme="minorHAnsi"/>
          <w:sz w:val="22"/>
          <w:szCs w:val="22"/>
          <w:lang w:eastAsia="en-AU"/>
        </w:rPr>
        <w:t xml:space="preserve">est Calculators are </w:t>
      </w:r>
      <w:r w:rsidR="00B53139">
        <w:rPr>
          <w:rFonts w:asciiTheme="minorHAnsi" w:eastAsiaTheme="minorEastAsia" w:hAnsiTheme="minorHAnsi" w:cstheme="minorHAnsi"/>
          <w:sz w:val="22"/>
          <w:szCs w:val="22"/>
          <w:lang w:eastAsia="en-AU"/>
        </w:rPr>
        <w:t xml:space="preserve">also </w:t>
      </w:r>
      <w:r>
        <w:rPr>
          <w:rFonts w:asciiTheme="minorHAnsi" w:eastAsiaTheme="minorEastAsia" w:hAnsiTheme="minorHAnsi" w:cstheme="minorHAnsi"/>
          <w:sz w:val="22"/>
          <w:szCs w:val="22"/>
          <w:lang w:eastAsia="en-AU"/>
        </w:rPr>
        <w:t xml:space="preserve">available on </w:t>
      </w:r>
      <w:r w:rsidR="00B53139">
        <w:rPr>
          <w:rFonts w:asciiTheme="minorHAnsi" w:eastAsiaTheme="minorEastAsia" w:hAnsiTheme="minorHAnsi" w:cstheme="minorHAnsi"/>
          <w:sz w:val="22"/>
          <w:szCs w:val="22"/>
          <w:lang w:eastAsia="en-AU"/>
        </w:rPr>
        <w:t xml:space="preserve">the </w:t>
      </w:r>
      <w:hyperlink r:id="rId86" w:history="1">
        <w:r w:rsidR="00B53139" w:rsidRPr="005D7CEC">
          <w:rPr>
            <w:rStyle w:val="Hyperlink"/>
            <w:rFonts w:asciiTheme="minorHAnsi" w:eastAsiaTheme="minorEastAsia" w:hAnsiTheme="minorHAnsi" w:cstheme="minorHAnsi"/>
            <w:sz w:val="22"/>
            <w:szCs w:val="22"/>
            <w:lang w:eastAsia="en-AU"/>
          </w:rPr>
          <w:t>Consultation Hub</w:t>
        </w:r>
      </w:hyperlink>
      <w:r w:rsidR="00B53139">
        <w:rPr>
          <w:rFonts w:asciiTheme="minorHAnsi" w:eastAsiaTheme="minorEastAsia" w:hAnsiTheme="minorHAnsi" w:cstheme="minorHAnsi"/>
          <w:sz w:val="22"/>
          <w:szCs w:val="22"/>
          <w:lang w:eastAsia="en-AU"/>
        </w:rPr>
        <w:t>:</w:t>
      </w:r>
    </w:p>
    <w:p w14:paraId="14F998C1" w14:textId="4665DDE2" w:rsidR="008C6958" w:rsidRDefault="008C6958">
      <w:pPr>
        <w:pStyle w:val="ms-rteelement-p"/>
        <w:spacing w:before="0" w:beforeAutospacing="0" w:after="0" w:afterAutospacing="0"/>
        <w:rPr>
          <w:rFonts w:asciiTheme="minorHAnsi" w:eastAsiaTheme="minorEastAsia" w:hAnsiTheme="minorHAnsi" w:cstheme="minorHAnsi"/>
          <w:sz w:val="22"/>
          <w:szCs w:val="22"/>
          <w:lang w:eastAsia="en-AU"/>
        </w:rPr>
      </w:pPr>
    </w:p>
    <w:p w14:paraId="4CFE02AA" w14:textId="476FDF50" w:rsidR="008C6958" w:rsidRDefault="008C6958" w:rsidP="00C3403E">
      <w:pPr>
        <w:pStyle w:val="ms-rteelement-p"/>
        <w:numPr>
          <w:ilvl w:val="0"/>
          <w:numId w:val="47"/>
        </w:numPr>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Test Calculator for System enhancements</w:t>
      </w:r>
    </w:p>
    <w:p w14:paraId="50CF150B" w14:textId="5A157DFD" w:rsidR="008C6958" w:rsidRDefault="008C6958" w:rsidP="00C3403E">
      <w:pPr>
        <w:pStyle w:val="ms-rteelement-p"/>
        <w:numPr>
          <w:ilvl w:val="0"/>
          <w:numId w:val="47"/>
        </w:numPr>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Test Calculator for System enhancements – additional option for sodium</w:t>
      </w:r>
    </w:p>
    <w:p w14:paraId="18B3A8C7" w14:textId="3E80A7FF" w:rsidR="008C6958" w:rsidRDefault="008C6958" w:rsidP="00C3403E">
      <w:pPr>
        <w:pStyle w:val="ms-rteelement-p"/>
        <w:numPr>
          <w:ilvl w:val="0"/>
          <w:numId w:val="47"/>
        </w:numPr>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Test Calculator for non-dairy beverages</w:t>
      </w:r>
    </w:p>
    <w:p w14:paraId="0E4087A6" w14:textId="77777777" w:rsidR="008C6958" w:rsidRDefault="008C6958">
      <w:pPr>
        <w:pStyle w:val="ms-rteelement-p"/>
        <w:spacing w:before="0" w:beforeAutospacing="0" w:after="0" w:afterAutospacing="0"/>
        <w:rPr>
          <w:rFonts w:asciiTheme="minorHAnsi" w:eastAsiaTheme="minorEastAsia" w:hAnsiTheme="minorHAnsi" w:cstheme="minorHAnsi"/>
          <w:sz w:val="22"/>
          <w:szCs w:val="22"/>
          <w:lang w:eastAsia="en-AU"/>
        </w:rPr>
      </w:pPr>
    </w:p>
    <w:p w14:paraId="6D25E9AE" w14:textId="22E5EF78" w:rsidR="005D7CEC" w:rsidRDefault="00625B49">
      <w:pPr>
        <w:pStyle w:val="ms-rteelement-p"/>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These will</w:t>
      </w:r>
      <w:r w:rsidR="00861EC1">
        <w:rPr>
          <w:rFonts w:asciiTheme="minorHAnsi" w:eastAsiaTheme="minorEastAsia" w:hAnsiTheme="minorHAnsi" w:cstheme="minorHAnsi"/>
          <w:sz w:val="22"/>
          <w:szCs w:val="22"/>
          <w:lang w:eastAsia="en-AU"/>
        </w:rPr>
        <w:t xml:space="preserve"> allow stakeholders to test the impacts of the recommended </w:t>
      </w:r>
      <w:r w:rsidR="00783B01">
        <w:rPr>
          <w:rFonts w:asciiTheme="minorHAnsi" w:eastAsiaTheme="minorEastAsia" w:hAnsiTheme="minorHAnsi" w:cstheme="minorHAnsi"/>
          <w:sz w:val="22"/>
          <w:szCs w:val="22"/>
          <w:lang w:eastAsia="en-AU"/>
        </w:rPr>
        <w:t>System enhancements (detailed in Chapter 5)</w:t>
      </w:r>
      <w:r w:rsidR="00861EC1">
        <w:rPr>
          <w:rFonts w:asciiTheme="minorHAnsi" w:eastAsiaTheme="minorEastAsia" w:hAnsiTheme="minorHAnsi" w:cstheme="minorHAnsi"/>
          <w:sz w:val="22"/>
          <w:szCs w:val="22"/>
          <w:lang w:eastAsia="en-AU"/>
        </w:rPr>
        <w:t xml:space="preserve"> </w:t>
      </w:r>
      <w:r w:rsidR="00783B01">
        <w:rPr>
          <w:rFonts w:asciiTheme="minorHAnsi" w:eastAsiaTheme="minorEastAsia" w:hAnsiTheme="minorHAnsi" w:cstheme="minorHAnsi"/>
          <w:sz w:val="22"/>
          <w:szCs w:val="22"/>
          <w:lang w:eastAsia="en-AU"/>
        </w:rPr>
        <w:t>on the HSRs of</w:t>
      </w:r>
      <w:r w:rsidR="00861EC1">
        <w:rPr>
          <w:rFonts w:asciiTheme="minorHAnsi" w:eastAsiaTheme="minorEastAsia" w:hAnsiTheme="minorHAnsi" w:cstheme="minorHAnsi"/>
          <w:sz w:val="22"/>
          <w:szCs w:val="22"/>
          <w:lang w:eastAsia="en-AU"/>
        </w:rPr>
        <w:t xml:space="preserve"> foods and beverages.</w:t>
      </w:r>
    </w:p>
    <w:p w14:paraId="6282AA06" w14:textId="77777777" w:rsidR="005D7CEC" w:rsidRDefault="005D7CEC">
      <w:pPr>
        <w:pStyle w:val="ms-rteelement-p"/>
        <w:spacing w:before="0" w:beforeAutospacing="0" w:after="0" w:afterAutospacing="0"/>
        <w:rPr>
          <w:rFonts w:asciiTheme="minorHAnsi" w:eastAsiaTheme="minorEastAsia" w:hAnsiTheme="minorHAnsi" w:cstheme="minorHAnsi"/>
          <w:sz w:val="22"/>
          <w:szCs w:val="22"/>
          <w:lang w:eastAsia="en-AU"/>
        </w:rPr>
      </w:pPr>
    </w:p>
    <w:p w14:paraId="49C1A516" w14:textId="77777777" w:rsidR="005D7CEC" w:rsidRDefault="005D7CEC">
      <w:pPr>
        <w:pStyle w:val="ms-rteelement-p"/>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 xml:space="preserve">The Review is particularly keen for: </w:t>
      </w:r>
    </w:p>
    <w:p w14:paraId="24E70EF7" w14:textId="77777777" w:rsidR="005D7CEC" w:rsidRDefault="005D7CEC">
      <w:pPr>
        <w:pStyle w:val="ms-rteelement-p"/>
        <w:spacing w:before="0" w:beforeAutospacing="0" w:after="0" w:afterAutospacing="0"/>
        <w:rPr>
          <w:rFonts w:asciiTheme="minorHAnsi" w:eastAsiaTheme="minorEastAsia" w:hAnsiTheme="minorHAnsi" w:cstheme="minorHAnsi"/>
          <w:sz w:val="22"/>
          <w:szCs w:val="22"/>
          <w:lang w:eastAsia="en-AU"/>
        </w:rPr>
      </w:pPr>
    </w:p>
    <w:p w14:paraId="4F35E8A1" w14:textId="13ADDBE8" w:rsidR="005D7CEC" w:rsidRDefault="005D7CEC" w:rsidP="00F720A0">
      <w:pPr>
        <w:pStyle w:val="mpcbullets1"/>
        <w:rPr>
          <w:lang w:eastAsia="en-AU"/>
        </w:rPr>
      </w:pPr>
      <w:r>
        <w:rPr>
          <w:lang w:eastAsia="en-AU"/>
        </w:rPr>
        <w:t xml:space="preserve">input on the impacts of the recommendations, </w:t>
      </w:r>
      <w:r w:rsidR="000779B8">
        <w:rPr>
          <w:lang w:eastAsia="en-AU"/>
        </w:rPr>
        <w:t>specifically</w:t>
      </w:r>
      <w:r>
        <w:rPr>
          <w:lang w:eastAsia="en-AU"/>
        </w:rPr>
        <w:t xml:space="preserve"> in relation to:</w:t>
      </w:r>
    </w:p>
    <w:p w14:paraId="622A4C97" w14:textId="6A3CF7BA" w:rsidR="005D7CEC" w:rsidRDefault="005D7CEC" w:rsidP="0017608D">
      <w:pPr>
        <w:pStyle w:val="mpcbullets2"/>
        <w:keepNext w:val="0"/>
        <w:rPr>
          <w:lang w:eastAsia="en-AU"/>
        </w:rPr>
      </w:pPr>
      <w:r w:rsidRPr="00875F28">
        <w:rPr>
          <w:b/>
          <w:lang w:eastAsia="en-AU"/>
        </w:rPr>
        <w:t>non-dairy beverages</w:t>
      </w:r>
      <w:r>
        <w:rPr>
          <w:lang w:eastAsia="en-AU"/>
        </w:rPr>
        <w:t xml:space="preserve"> – The </w:t>
      </w:r>
      <w:hyperlink r:id="rId87" w:history="1">
        <w:r w:rsidRPr="005D7CEC">
          <w:rPr>
            <w:rStyle w:val="Hyperlink"/>
            <w:lang w:eastAsia="en-AU"/>
          </w:rPr>
          <w:t>October 2018 Consultation Paper</w:t>
        </w:r>
      </w:hyperlink>
      <w:r>
        <w:rPr>
          <w:lang w:eastAsia="en-AU"/>
        </w:rPr>
        <w:t xml:space="preserve"> did not propose a preferred option for non-dairy beverages, noting the disadvantages of the options identified at th</w:t>
      </w:r>
      <w:r w:rsidR="000779B8">
        <w:rPr>
          <w:lang w:eastAsia="en-AU"/>
        </w:rPr>
        <w:t>at</w:t>
      </w:r>
      <w:r>
        <w:rPr>
          <w:lang w:eastAsia="en-AU"/>
        </w:rPr>
        <w:t xml:space="preserve"> time. Following consultation, mpconsulting continued to work with stakeholders to identify an option that best achieved the outcomes sought by a majority of stakeholders (</w:t>
      </w:r>
      <w:r w:rsidR="00875F28">
        <w:rPr>
          <w:lang w:eastAsia="en-AU"/>
        </w:rPr>
        <w:t>refer</w:t>
      </w:r>
      <w:r>
        <w:rPr>
          <w:lang w:eastAsia="en-AU"/>
        </w:rPr>
        <w:t xml:space="preserve"> Chapter 5). Stakeholder advice on this new option is sought</w:t>
      </w:r>
      <w:r w:rsidR="008C6958">
        <w:rPr>
          <w:lang w:eastAsia="en-AU"/>
        </w:rPr>
        <w:t>, particularly regarding the nutritional value of fruit juices</w:t>
      </w:r>
      <w:r w:rsidR="00A72405">
        <w:rPr>
          <w:lang w:eastAsia="en-AU"/>
        </w:rPr>
        <w:t>, and how the HSRs for 100% fruit juices and fruit juices diluted with only water should be positioned</w:t>
      </w:r>
      <w:r>
        <w:rPr>
          <w:lang w:eastAsia="en-AU"/>
        </w:rPr>
        <w:t>.</w:t>
      </w:r>
    </w:p>
    <w:p w14:paraId="0BC93079" w14:textId="5D189948" w:rsidR="005D7CEC" w:rsidRPr="00A93216" w:rsidRDefault="005D7CEC" w:rsidP="0017608D">
      <w:pPr>
        <w:pStyle w:val="mpcbullets2"/>
        <w:keepNext w:val="0"/>
        <w:rPr>
          <w:lang w:eastAsia="en-AU"/>
        </w:rPr>
      </w:pPr>
      <w:r w:rsidRPr="00875F28">
        <w:rPr>
          <w:b/>
          <w:lang w:eastAsia="en-AU"/>
        </w:rPr>
        <w:t>sodium</w:t>
      </w:r>
      <w:r>
        <w:rPr>
          <w:lang w:eastAsia="en-AU"/>
        </w:rPr>
        <w:t xml:space="preserve"> – This Report identifies a potential additional change to update the sodium tables in line with the revised NRVs </w:t>
      </w:r>
      <w:r w:rsidR="00875F28">
        <w:rPr>
          <w:lang w:eastAsia="en-AU"/>
        </w:rPr>
        <w:t xml:space="preserve">recently </w:t>
      </w:r>
      <w:r>
        <w:rPr>
          <w:lang w:eastAsia="en-AU"/>
        </w:rPr>
        <w:t>published by the NHMRC. This option was not tested in the Consultation Paper and the impacts are likely to be considerable across a range of products. Stakeholder views are sought regarding the merit and likely impacts of this change.</w:t>
      </w:r>
    </w:p>
    <w:p w14:paraId="40554FD9" w14:textId="4C76C914" w:rsidR="005D7CEC" w:rsidRDefault="005D7CEC" w:rsidP="00C3403E">
      <w:pPr>
        <w:pStyle w:val="ms-rteelement-p"/>
        <w:numPr>
          <w:ilvl w:val="0"/>
          <w:numId w:val="37"/>
        </w:numPr>
        <w:spacing w:before="0" w:beforeAutospacing="0" w:after="0" w:afterAutospacing="0"/>
        <w:rPr>
          <w:rFonts w:asciiTheme="minorHAnsi" w:eastAsiaTheme="minorEastAsia" w:hAnsiTheme="minorHAnsi" w:cstheme="minorHAnsi"/>
          <w:sz w:val="22"/>
          <w:szCs w:val="22"/>
          <w:lang w:eastAsia="en-AU"/>
        </w:rPr>
      </w:pPr>
      <w:r>
        <w:rPr>
          <w:rFonts w:asciiTheme="minorHAnsi" w:eastAsiaTheme="minorEastAsia" w:hAnsiTheme="minorHAnsi" w:cstheme="minorHAnsi"/>
          <w:sz w:val="22"/>
          <w:szCs w:val="22"/>
          <w:lang w:eastAsia="en-AU"/>
        </w:rPr>
        <w:t>advice on any additional relevant research or evidence that is not reflected in th</w:t>
      </w:r>
      <w:r w:rsidR="00875F28">
        <w:rPr>
          <w:rFonts w:asciiTheme="minorHAnsi" w:eastAsiaTheme="minorEastAsia" w:hAnsiTheme="minorHAnsi" w:cstheme="minorHAnsi"/>
          <w:sz w:val="22"/>
          <w:szCs w:val="22"/>
          <w:lang w:eastAsia="en-AU"/>
        </w:rPr>
        <w:t>is</w:t>
      </w:r>
      <w:r>
        <w:rPr>
          <w:rFonts w:asciiTheme="minorHAnsi" w:eastAsiaTheme="minorEastAsia" w:hAnsiTheme="minorHAnsi" w:cstheme="minorHAnsi"/>
          <w:sz w:val="22"/>
          <w:szCs w:val="22"/>
          <w:lang w:eastAsia="en-AU"/>
        </w:rPr>
        <w:t xml:space="preserve"> Report.</w:t>
      </w:r>
    </w:p>
    <w:p w14:paraId="23E51306" w14:textId="77777777" w:rsidR="005D7CEC" w:rsidRPr="00CC1ADD" w:rsidRDefault="005D7CEC">
      <w:pPr>
        <w:autoSpaceDE w:val="0"/>
        <w:autoSpaceDN w:val="0"/>
        <w:adjustRightInd w:val="0"/>
        <w:rPr>
          <w:rFonts w:cstheme="minorHAnsi"/>
          <w:sz w:val="22"/>
          <w:szCs w:val="22"/>
        </w:rPr>
      </w:pPr>
    </w:p>
    <w:p w14:paraId="261782D5" w14:textId="609DA5D4" w:rsidR="005D7CEC" w:rsidRPr="00CC1ADD" w:rsidRDefault="005D7CEC">
      <w:pPr>
        <w:autoSpaceDE w:val="0"/>
        <w:autoSpaceDN w:val="0"/>
        <w:adjustRightInd w:val="0"/>
        <w:rPr>
          <w:rFonts w:cstheme="minorHAnsi"/>
          <w:sz w:val="22"/>
          <w:szCs w:val="22"/>
        </w:rPr>
      </w:pPr>
      <w:r w:rsidRPr="0017608D">
        <w:rPr>
          <w:rFonts w:cstheme="minorHAnsi"/>
          <w:sz w:val="22"/>
          <w:szCs w:val="22"/>
        </w:rPr>
        <w:t xml:space="preserve">Following consideration of </w:t>
      </w:r>
      <w:r w:rsidR="00FD3F05" w:rsidRPr="0017608D">
        <w:rPr>
          <w:rFonts w:cstheme="minorHAnsi"/>
          <w:sz w:val="22"/>
          <w:szCs w:val="22"/>
        </w:rPr>
        <w:t>feedback received on this Draft Report, mpconsulting will provide the Final Review Report to</w:t>
      </w:r>
      <w:r w:rsidR="000779B8" w:rsidRPr="0017608D">
        <w:rPr>
          <w:rFonts w:cstheme="minorHAnsi"/>
          <w:sz w:val="22"/>
          <w:szCs w:val="22"/>
        </w:rPr>
        <w:t xml:space="preserve"> </w:t>
      </w:r>
      <w:r w:rsidR="005D75D3" w:rsidRPr="0017608D">
        <w:rPr>
          <w:rFonts w:cstheme="minorHAnsi"/>
          <w:sz w:val="22"/>
          <w:szCs w:val="22"/>
        </w:rPr>
        <w:t xml:space="preserve">the </w:t>
      </w:r>
      <w:r w:rsidR="00FD3F05" w:rsidRPr="0017608D">
        <w:rPr>
          <w:rFonts w:cstheme="minorHAnsi"/>
          <w:sz w:val="22"/>
          <w:szCs w:val="22"/>
        </w:rPr>
        <w:t xml:space="preserve">Forum </w:t>
      </w:r>
      <w:r w:rsidRPr="0017608D">
        <w:rPr>
          <w:rFonts w:cstheme="minorHAnsi"/>
          <w:sz w:val="22"/>
          <w:szCs w:val="22"/>
        </w:rPr>
        <w:t xml:space="preserve">in </w:t>
      </w:r>
      <w:r w:rsidR="00FD3F05" w:rsidRPr="0017608D">
        <w:rPr>
          <w:rFonts w:cstheme="minorHAnsi"/>
          <w:sz w:val="22"/>
          <w:szCs w:val="22"/>
        </w:rPr>
        <w:t>mid-</w:t>
      </w:r>
      <w:r w:rsidRPr="0017608D">
        <w:rPr>
          <w:rFonts w:cstheme="minorHAnsi"/>
          <w:sz w:val="22"/>
          <w:szCs w:val="22"/>
        </w:rPr>
        <w:t xml:space="preserve">2019. </w:t>
      </w:r>
      <w:r w:rsidR="00FD3F05" w:rsidRPr="0017608D">
        <w:rPr>
          <w:rFonts w:cstheme="minorHAnsi"/>
          <w:sz w:val="22"/>
          <w:szCs w:val="22"/>
        </w:rPr>
        <w:t xml:space="preserve">It is currently anticipated that the Forum will refer the Final Report to the FRSC for advice before formally responding to the Report in the </w:t>
      </w:r>
      <w:r w:rsidR="004560A4" w:rsidRPr="0017608D">
        <w:rPr>
          <w:rFonts w:cstheme="minorHAnsi"/>
          <w:sz w:val="22"/>
          <w:szCs w:val="22"/>
        </w:rPr>
        <w:t>latter</w:t>
      </w:r>
      <w:r w:rsidR="00FD3F05" w:rsidRPr="0017608D">
        <w:rPr>
          <w:rFonts w:cstheme="minorHAnsi"/>
          <w:sz w:val="22"/>
          <w:szCs w:val="22"/>
        </w:rPr>
        <w:t xml:space="preserve"> half of 2019.</w:t>
      </w:r>
    </w:p>
    <w:p w14:paraId="602A5CC1" w14:textId="69344187" w:rsidR="00F43B13" w:rsidRPr="00CC1ADD" w:rsidRDefault="00F101DD">
      <w:pPr>
        <w:pStyle w:val="mpcheading1"/>
        <w:spacing w:after="0"/>
      </w:pPr>
      <w:r>
        <w:br w:type="column"/>
      </w:r>
      <w:bookmarkStart w:id="152" w:name="AppendixA"/>
      <w:bookmarkStart w:id="153" w:name="_Toc1746520"/>
      <w:bookmarkEnd w:id="152"/>
      <w:r w:rsidR="00F43B13" w:rsidRPr="00CC1ADD">
        <w:t xml:space="preserve">Appendix A: </w:t>
      </w:r>
      <w:r w:rsidR="00C82D90">
        <w:t>About</w:t>
      </w:r>
      <w:r w:rsidR="00F43B13" w:rsidRPr="00CC1ADD">
        <w:t xml:space="preserve"> the </w:t>
      </w:r>
      <w:r w:rsidR="00B76A4B" w:rsidRPr="00CC1ADD">
        <w:t>Health Star Rating</w:t>
      </w:r>
      <w:r w:rsidR="00F43B13" w:rsidRPr="00CC1ADD">
        <w:t xml:space="preserve"> Calculator</w:t>
      </w:r>
      <w:bookmarkEnd w:id="153"/>
      <w:r w:rsidR="00F43B13" w:rsidRPr="00CC1ADD">
        <w:t xml:space="preserve"> </w:t>
      </w:r>
    </w:p>
    <w:p w14:paraId="54354941" w14:textId="77777777" w:rsidR="00F43B13" w:rsidRPr="00CC1ADD" w:rsidRDefault="00F43B13" w:rsidP="005D75D3">
      <w:pPr>
        <w:pStyle w:val="mpcNormal"/>
        <w:keepNext w:val="0"/>
      </w:pPr>
    </w:p>
    <w:p w14:paraId="1B482718" w14:textId="77777777" w:rsidR="00F43B13" w:rsidRPr="00CC1ADD" w:rsidRDefault="00F43B13" w:rsidP="005A3631">
      <w:pPr>
        <w:pStyle w:val="mpcheading2"/>
        <w:rPr>
          <w:szCs w:val="22"/>
        </w:rPr>
      </w:pPr>
      <w:bookmarkStart w:id="154" w:name="Overview"/>
      <w:bookmarkStart w:id="155" w:name="_Toc527112919"/>
      <w:bookmarkStart w:id="156" w:name="_Toc1746521"/>
      <w:bookmarkEnd w:id="154"/>
      <w:r w:rsidRPr="00CC1ADD">
        <w:rPr>
          <w:szCs w:val="22"/>
        </w:rPr>
        <w:t>Overview</w:t>
      </w:r>
      <w:bookmarkEnd w:id="155"/>
      <w:bookmarkEnd w:id="156"/>
    </w:p>
    <w:p w14:paraId="280F446E" w14:textId="0BFA383F" w:rsidR="00F43B13" w:rsidRPr="00CC1ADD" w:rsidRDefault="00F43B13" w:rsidP="005D75D3">
      <w:pPr>
        <w:pStyle w:val="mpcNormal"/>
        <w:keepNext w:val="0"/>
      </w:pPr>
      <w:r w:rsidRPr="00CC1ADD">
        <w:t>The Code requires most packaged foods to display a Nutrition Information Panel (NIP) providing mandatory information on the average quantity per 100g or 100mL of energy, protein, total fat, saturated fat, carbohydrate, sugars and sodium.</w:t>
      </w:r>
    </w:p>
    <w:p w14:paraId="6CC0E6A8" w14:textId="77777777" w:rsidR="00F43B13" w:rsidRPr="00CC1ADD" w:rsidRDefault="00F43B13" w:rsidP="005D75D3">
      <w:pPr>
        <w:pStyle w:val="mpcNormal"/>
        <w:keepNext w:val="0"/>
      </w:pPr>
    </w:p>
    <w:p w14:paraId="3F5DABCC" w14:textId="77777777" w:rsidR="00F43B13" w:rsidRPr="00CC1ADD" w:rsidRDefault="00F43B13" w:rsidP="005D75D3">
      <w:pPr>
        <w:pStyle w:val="mpcNormal"/>
        <w:keepNext w:val="0"/>
      </w:pPr>
      <w:r w:rsidRPr="00CC1ADD">
        <w:t xml:space="preserve">The HSR System complements the NIP by providing interpretive information on the front of packaged food products. The HSR Calculator awards a star rating based on the quantity of specific components within the product. These components are: </w:t>
      </w:r>
    </w:p>
    <w:p w14:paraId="07949930" w14:textId="77777777" w:rsidR="00F43B13" w:rsidRPr="00CC1ADD" w:rsidRDefault="00F43B13" w:rsidP="005D75D3">
      <w:pPr>
        <w:pStyle w:val="mpcNormal"/>
        <w:keepNext w:val="0"/>
      </w:pPr>
    </w:p>
    <w:p w14:paraId="6AC58560" w14:textId="77777777" w:rsidR="00F43B13" w:rsidRPr="00052B3F" w:rsidRDefault="00F43B13" w:rsidP="00F720A0">
      <w:pPr>
        <w:pStyle w:val="mpcbullets1"/>
      </w:pPr>
      <w:r w:rsidRPr="00052B3F">
        <w:rPr>
          <w:b/>
        </w:rPr>
        <w:t>risk components:</w:t>
      </w:r>
      <w:r w:rsidRPr="00052B3F">
        <w:t xml:space="preserve"> energy, saturated fat, total sugars and sodium</w:t>
      </w:r>
    </w:p>
    <w:p w14:paraId="369AA3E5" w14:textId="77777777" w:rsidR="00F43B13" w:rsidRPr="00CC1ADD" w:rsidRDefault="00F43B13" w:rsidP="00F720A0">
      <w:pPr>
        <w:pStyle w:val="mpcbullets1"/>
      </w:pPr>
      <w:r w:rsidRPr="00CC1ADD">
        <w:rPr>
          <w:b/>
        </w:rPr>
        <w:t>positive components:</w:t>
      </w:r>
      <w:r w:rsidRPr="00CC1ADD">
        <w:t xml:space="preserve"> protein, dietary fibre, and fruit, vegetable, nut and legume (FVNL) content.</w:t>
      </w:r>
    </w:p>
    <w:p w14:paraId="658E50F2" w14:textId="77777777" w:rsidR="00F43B13" w:rsidRPr="00CC1ADD" w:rsidRDefault="00F43B13" w:rsidP="005D75D3">
      <w:pPr>
        <w:pStyle w:val="mpcNormal"/>
        <w:keepNext w:val="0"/>
      </w:pPr>
    </w:p>
    <w:p w14:paraId="1FC43C11" w14:textId="77777777" w:rsidR="00F43B13" w:rsidRPr="00CC1ADD" w:rsidRDefault="00F43B13" w:rsidP="005D75D3">
      <w:pPr>
        <w:pStyle w:val="mpcNormal"/>
        <w:keepNext w:val="0"/>
      </w:pPr>
      <w:r w:rsidRPr="00CC1ADD">
        <w:t xml:space="preserve">The HSR System has been optimised for application to packaged food and beverage products presented for retail sale through supermarkets and similar retail outlets. </w:t>
      </w:r>
    </w:p>
    <w:p w14:paraId="46411E15" w14:textId="77777777" w:rsidR="00F43B13" w:rsidRPr="00CC1ADD" w:rsidRDefault="00F43B13" w:rsidP="005D75D3">
      <w:pPr>
        <w:pStyle w:val="mpcNormal"/>
        <w:keepNext w:val="0"/>
      </w:pPr>
    </w:p>
    <w:p w14:paraId="4B2BF786" w14:textId="3FD51034" w:rsidR="00F43B13" w:rsidRPr="00CC1ADD" w:rsidRDefault="00F43B13">
      <w:pPr>
        <w:pStyle w:val="mpcheading2"/>
        <w:rPr>
          <w:szCs w:val="22"/>
        </w:rPr>
      </w:pPr>
      <w:bookmarkStart w:id="157" w:name="How"/>
      <w:bookmarkStart w:id="158" w:name="_Toc527112920"/>
      <w:bookmarkStart w:id="159" w:name="_Toc1746522"/>
      <w:bookmarkEnd w:id="157"/>
      <w:r w:rsidRPr="00CC1ADD">
        <w:rPr>
          <w:szCs w:val="22"/>
        </w:rPr>
        <w:t>How the HSR Calculator works</w:t>
      </w:r>
      <w:bookmarkEnd w:id="158"/>
      <w:bookmarkEnd w:id="159"/>
    </w:p>
    <w:p w14:paraId="2086FFBF" w14:textId="4C744741" w:rsidR="00F43B13" w:rsidRPr="00CC1ADD" w:rsidRDefault="00F43B13" w:rsidP="005D75D3">
      <w:pPr>
        <w:pStyle w:val="mpcNormal"/>
        <w:keepNext w:val="0"/>
      </w:pPr>
      <w:r w:rsidRPr="00CC1ADD">
        <w:t xml:space="preserve">The HSR Calculator is used by industry to determine the HSR for products. The following is a simplified outline of how the HSR Calculator works. For a comprehensive description of the HSR Calculator, please refer to the </w:t>
      </w:r>
      <w:hyperlink r:id="rId88" w:history="1">
        <w:r w:rsidRPr="00CC1ADD">
          <w:rPr>
            <w:rStyle w:val="Hyperlink"/>
          </w:rPr>
          <w:t>G</w:t>
        </w:r>
        <w:r w:rsidR="006F3A46" w:rsidRPr="00CC1ADD">
          <w:rPr>
            <w:rStyle w:val="Hyperlink"/>
          </w:rPr>
          <w:t>uide for Industry</w:t>
        </w:r>
      </w:hyperlink>
      <w:r w:rsidRPr="00CC1ADD">
        <w:t xml:space="preserve"> on the HSR website.</w:t>
      </w:r>
    </w:p>
    <w:p w14:paraId="760DF7F5" w14:textId="77777777" w:rsidR="00F43B13" w:rsidRPr="00CC1ADD" w:rsidRDefault="00F43B13" w:rsidP="005D75D3">
      <w:pPr>
        <w:pStyle w:val="mpcNormal"/>
        <w:keepNext w:val="0"/>
      </w:pPr>
    </w:p>
    <w:p w14:paraId="10EE6D57" w14:textId="0FEA3D13" w:rsidR="00F43B13" w:rsidRPr="00CC1ADD" w:rsidRDefault="004F7D86" w:rsidP="005D75D3">
      <w:pPr>
        <w:pStyle w:val="mpcheading4"/>
        <w:keepNext w:val="0"/>
      </w:pPr>
      <w:r w:rsidRPr="00CC1ADD">
        <w:t xml:space="preserve">Step 1. </w:t>
      </w:r>
      <w:r w:rsidR="00F43B13" w:rsidRPr="00CC1ADD">
        <w:t>Determine the category of food</w:t>
      </w:r>
    </w:p>
    <w:p w14:paraId="25E5557C" w14:textId="77777777" w:rsidR="00F43B13" w:rsidRPr="00CC1ADD" w:rsidRDefault="00F43B13" w:rsidP="005D75D3">
      <w:pPr>
        <w:pStyle w:val="mpcNormal"/>
        <w:keepNext w:val="0"/>
      </w:pPr>
    </w:p>
    <w:p w14:paraId="6A0D3655" w14:textId="77777777" w:rsidR="00F43B13" w:rsidRPr="00CC1ADD" w:rsidRDefault="00F43B13" w:rsidP="005D75D3">
      <w:pPr>
        <w:pStyle w:val="mpcNormal"/>
        <w:keepNext w:val="0"/>
      </w:pPr>
      <w:r w:rsidRPr="00CC1ADD">
        <w:t xml:space="preserve">The six categories of foods in the HSR Calculator are: </w:t>
      </w:r>
    </w:p>
    <w:p w14:paraId="17EA553D" w14:textId="77777777" w:rsidR="00F43B13" w:rsidRPr="00CC1ADD" w:rsidRDefault="00F43B13" w:rsidP="005D75D3">
      <w:pPr>
        <w:pStyle w:val="mpcNormal"/>
        <w:keepNext w:val="0"/>
      </w:pPr>
    </w:p>
    <w:p w14:paraId="13D4D064" w14:textId="77777777" w:rsidR="00F43B13" w:rsidRPr="00CC1ADD" w:rsidRDefault="00F43B13" w:rsidP="00F720A0">
      <w:pPr>
        <w:pStyle w:val="mpcbullets1"/>
        <w:rPr>
          <w:b/>
        </w:rPr>
      </w:pPr>
      <w:r w:rsidRPr="00CC1ADD">
        <w:rPr>
          <w:b/>
        </w:rPr>
        <w:t xml:space="preserve">Category 1 </w:t>
      </w:r>
      <w:r w:rsidRPr="00CC1ADD">
        <w:t>– Non-dairy beverages</w:t>
      </w:r>
    </w:p>
    <w:p w14:paraId="664B4DE3" w14:textId="77777777" w:rsidR="00F43B13" w:rsidRPr="00CC1ADD" w:rsidRDefault="00F43B13" w:rsidP="005D75D3">
      <w:pPr>
        <w:pStyle w:val="mpcbullets2"/>
        <w:keepNext w:val="0"/>
        <w:numPr>
          <w:ilvl w:val="0"/>
          <w:numId w:val="12"/>
        </w:numPr>
      </w:pPr>
      <w:r w:rsidRPr="00CC1ADD">
        <w:t>E.g. fruit and vegetables juices, cordials, flavoured waters, soft drinks</w:t>
      </w:r>
    </w:p>
    <w:p w14:paraId="71F7FB31" w14:textId="77777777" w:rsidR="00F43B13" w:rsidRPr="00CC1ADD" w:rsidRDefault="00F43B13" w:rsidP="00F720A0">
      <w:pPr>
        <w:pStyle w:val="mpcbullets1"/>
      </w:pPr>
      <w:r w:rsidRPr="00CC1ADD">
        <w:rPr>
          <w:b/>
        </w:rPr>
        <w:t xml:space="preserve">Category 1D </w:t>
      </w:r>
      <w:r w:rsidRPr="00CC1ADD">
        <w:t xml:space="preserve">– Dairy beverages and alternatives with calcium content </w:t>
      </w:r>
      <w:r w:rsidRPr="00CC1ADD">
        <w:sym w:font="Symbol" w:char="F0B3"/>
      </w:r>
      <w:r w:rsidRPr="00CC1ADD">
        <w:t xml:space="preserve"> 80mg per 100g</w:t>
      </w:r>
    </w:p>
    <w:p w14:paraId="516C7F0F" w14:textId="74BFE200" w:rsidR="00F43B13" w:rsidRPr="00CC1ADD" w:rsidRDefault="00F43B13" w:rsidP="005D75D3">
      <w:pPr>
        <w:pStyle w:val="mpcbullets2"/>
        <w:keepNext w:val="0"/>
        <w:numPr>
          <w:ilvl w:val="0"/>
          <w:numId w:val="12"/>
        </w:numPr>
      </w:pPr>
      <w:r w:rsidRPr="00CC1ADD">
        <w:t xml:space="preserve">E.g. milk, flavoured milk, </w:t>
      </w:r>
      <w:r w:rsidR="00FD3F05">
        <w:t xml:space="preserve">fortified </w:t>
      </w:r>
      <w:r w:rsidRPr="00CC1ADD">
        <w:t xml:space="preserve">soy milk, </w:t>
      </w:r>
      <w:r w:rsidR="00FD3F05">
        <w:t xml:space="preserve">fortified </w:t>
      </w:r>
      <w:r w:rsidRPr="00CC1ADD">
        <w:t>nut milk</w:t>
      </w:r>
    </w:p>
    <w:p w14:paraId="4A5350D1" w14:textId="77777777" w:rsidR="00F43B13" w:rsidRPr="00CC1ADD" w:rsidRDefault="00F43B13" w:rsidP="00F720A0">
      <w:pPr>
        <w:pStyle w:val="mpcbullets1"/>
        <w:rPr>
          <w:b/>
        </w:rPr>
      </w:pPr>
      <w:r w:rsidRPr="00CC1ADD">
        <w:rPr>
          <w:b/>
        </w:rPr>
        <w:t xml:space="preserve">Category 2 </w:t>
      </w:r>
      <w:r w:rsidRPr="00CC1ADD">
        <w:t>– All foods not included in Category 1, 1D, 2D, 3 or 3D</w:t>
      </w:r>
    </w:p>
    <w:p w14:paraId="7950511E" w14:textId="77777777" w:rsidR="00F43B13" w:rsidRPr="00CC1ADD" w:rsidRDefault="00F43B13" w:rsidP="005D75D3">
      <w:pPr>
        <w:pStyle w:val="mpcbullets2"/>
        <w:keepNext w:val="0"/>
        <w:numPr>
          <w:ilvl w:val="0"/>
          <w:numId w:val="12"/>
        </w:numPr>
      </w:pPr>
      <w:r w:rsidRPr="00CC1ADD">
        <w:t xml:space="preserve">E.g. packaged fruits and vegetables, rice, quinoa, breakfast cereals, muesli bars, ready to eat meals, biscuits, chips, confectionery, salty snacks, dairy desserts, ice confections and jellies </w:t>
      </w:r>
    </w:p>
    <w:p w14:paraId="1944DB05" w14:textId="77777777" w:rsidR="00F43B13" w:rsidRPr="00CC1ADD" w:rsidRDefault="00F43B13" w:rsidP="00F720A0">
      <w:pPr>
        <w:pStyle w:val="mpcbullets1"/>
      </w:pPr>
      <w:r w:rsidRPr="00CC1ADD">
        <w:rPr>
          <w:b/>
        </w:rPr>
        <w:t xml:space="preserve">Category 2D </w:t>
      </w:r>
      <w:r w:rsidRPr="00CC1ADD">
        <w:t>– All dairy foods and alternatives not included in Category 1D or 3D</w:t>
      </w:r>
    </w:p>
    <w:p w14:paraId="019310AF" w14:textId="77777777" w:rsidR="00F43B13" w:rsidRPr="00CC1ADD" w:rsidRDefault="00F43B13" w:rsidP="005D75D3">
      <w:pPr>
        <w:pStyle w:val="mpcbullets2"/>
        <w:keepNext w:val="0"/>
        <w:numPr>
          <w:ilvl w:val="0"/>
          <w:numId w:val="12"/>
        </w:numPr>
      </w:pPr>
      <w:r w:rsidRPr="00CC1ADD">
        <w:t xml:space="preserve">E.g. yoghurts, cheese with calcium content </w:t>
      </w:r>
      <w:r w:rsidRPr="00CC1ADD">
        <w:sym w:font="Symbol" w:char="F0A3"/>
      </w:r>
      <w:r w:rsidRPr="00CC1ADD">
        <w:t xml:space="preserve"> 320mg per 100g</w:t>
      </w:r>
    </w:p>
    <w:p w14:paraId="01F3B017" w14:textId="77777777" w:rsidR="00F43B13" w:rsidRPr="00CC1ADD" w:rsidRDefault="00F43B13" w:rsidP="00F720A0">
      <w:pPr>
        <w:pStyle w:val="mpcbullets1"/>
        <w:rPr>
          <w:b/>
        </w:rPr>
      </w:pPr>
      <w:r w:rsidRPr="00CC1ADD">
        <w:rPr>
          <w:b/>
        </w:rPr>
        <w:t xml:space="preserve">Category 3 </w:t>
      </w:r>
      <w:r w:rsidRPr="00CC1ADD">
        <w:t>– Oils and spreads</w:t>
      </w:r>
    </w:p>
    <w:p w14:paraId="7CB723C4" w14:textId="3534E07A" w:rsidR="00F43B13" w:rsidRPr="00CC1ADD" w:rsidRDefault="00F43B13" w:rsidP="005D75D3">
      <w:pPr>
        <w:pStyle w:val="mpcbullets2"/>
        <w:keepNext w:val="0"/>
        <w:numPr>
          <w:ilvl w:val="0"/>
          <w:numId w:val="12"/>
        </w:numPr>
      </w:pPr>
      <w:r w:rsidRPr="00CC1ADD">
        <w:t>E.g. olive oil, coconut oil, butter, margarine</w:t>
      </w:r>
    </w:p>
    <w:p w14:paraId="18E4117F" w14:textId="77777777" w:rsidR="00F43B13" w:rsidRPr="00CC1ADD" w:rsidRDefault="00F43B13" w:rsidP="00F720A0">
      <w:pPr>
        <w:pStyle w:val="mpcbullets1"/>
      </w:pPr>
      <w:r w:rsidRPr="00CC1ADD">
        <w:rPr>
          <w:b/>
        </w:rPr>
        <w:t xml:space="preserve">Category 3D </w:t>
      </w:r>
      <w:r w:rsidRPr="00CC1ADD">
        <w:t xml:space="preserve">– Cheeses and alternatives </w:t>
      </w:r>
    </w:p>
    <w:p w14:paraId="0080070A" w14:textId="77777777" w:rsidR="00F43B13" w:rsidRPr="00CC1ADD" w:rsidRDefault="00F43B13" w:rsidP="005D75D3">
      <w:pPr>
        <w:pStyle w:val="mpcbullets2"/>
        <w:keepNext w:val="0"/>
        <w:numPr>
          <w:ilvl w:val="0"/>
          <w:numId w:val="12"/>
        </w:numPr>
      </w:pPr>
      <w:r w:rsidRPr="00CC1ADD">
        <w:t>E.g. cheese with calcium content more than 320mg per 100g</w:t>
      </w:r>
    </w:p>
    <w:p w14:paraId="4A9AAC33" w14:textId="77777777" w:rsidR="00F43B13" w:rsidRPr="00CC1ADD" w:rsidRDefault="00F43B13" w:rsidP="005D75D3">
      <w:pPr>
        <w:pStyle w:val="mpcNormal"/>
        <w:keepNext w:val="0"/>
      </w:pPr>
    </w:p>
    <w:p w14:paraId="2ACD08C1" w14:textId="27CA20BA" w:rsidR="00F43B13" w:rsidRPr="00CC1ADD" w:rsidRDefault="004F7D86" w:rsidP="005D75D3">
      <w:pPr>
        <w:pStyle w:val="mpcheading4"/>
        <w:keepNext w:val="0"/>
      </w:pPr>
      <w:r w:rsidRPr="00CC1ADD">
        <w:t xml:space="preserve">Step 2. </w:t>
      </w:r>
      <w:r w:rsidR="00F43B13" w:rsidRPr="00CC1ADD">
        <w:t>Determine the form of the food for the HSR</w:t>
      </w:r>
      <w:r w:rsidR="00F43B13" w:rsidRPr="00CC1ADD">
        <w:rPr>
          <w:rStyle w:val="FootnoteReference"/>
          <w:b w:val="0"/>
          <w:sz w:val="22"/>
          <w:u w:val="single"/>
        </w:rPr>
        <w:footnoteReference w:id="130"/>
      </w:r>
      <w:r w:rsidR="00F43B13" w:rsidRPr="00CC1ADD">
        <w:t xml:space="preserve"> </w:t>
      </w:r>
    </w:p>
    <w:p w14:paraId="16D5AC75" w14:textId="77777777" w:rsidR="00F43B13" w:rsidRPr="00CC1ADD" w:rsidRDefault="00F43B13" w:rsidP="005D75D3">
      <w:pPr>
        <w:pStyle w:val="mpcNormal"/>
        <w:keepNext w:val="0"/>
      </w:pPr>
    </w:p>
    <w:p w14:paraId="1E45BDE7" w14:textId="77777777" w:rsidR="00F43B13" w:rsidRPr="00CC1ADD" w:rsidRDefault="00F43B13" w:rsidP="005D75D3">
      <w:pPr>
        <w:pStyle w:val="mpcNormal"/>
        <w:keepNext w:val="0"/>
      </w:pPr>
      <w:r w:rsidRPr="00CC1ADD">
        <w:t xml:space="preserve">The HSR (and hence nutrient content values used to determine it) should apply to the form of the food as determined in accordance with the following: </w:t>
      </w:r>
    </w:p>
    <w:p w14:paraId="7492FFA3" w14:textId="77777777" w:rsidR="00F43B13" w:rsidRPr="00CC1ADD" w:rsidRDefault="00F43B13" w:rsidP="005D75D3">
      <w:pPr>
        <w:pStyle w:val="mpcNormal"/>
        <w:keepNext w:val="0"/>
      </w:pPr>
    </w:p>
    <w:p w14:paraId="4665FD4F" w14:textId="77777777" w:rsidR="00F43B13" w:rsidRPr="00CC1ADD" w:rsidRDefault="00F43B13" w:rsidP="00F720A0">
      <w:pPr>
        <w:pStyle w:val="mpcbullets1"/>
      </w:pPr>
      <w:r w:rsidRPr="00CC1ADD">
        <w:t xml:space="preserve">the food as sold if the food can be either prepared with other foods or consumed as sold </w:t>
      </w:r>
    </w:p>
    <w:p w14:paraId="51B3AB85" w14:textId="77777777" w:rsidR="00F43B13" w:rsidRPr="00CC1ADD" w:rsidRDefault="00F43B13" w:rsidP="00F720A0">
      <w:pPr>
        <w:pStyle w:val="mpcbullets1"/>
      </w:pPr>
      <w:r w:rsidRPr="00CC1ADD">
        <w:t xml:space="preserve">the food as prepared if the food is required to be prepared and consumed according to directions on the label </w:t>
      </w:r>
    </w:p>
    <w:p w14:paraId="74C7F5C3" w14:textId="77777777" w:rsidR="00F43B13" w:rsidRPr="00CC1ADD" w:rsidRDefault="00F43B13" w:rsidP="00F720A0">
      <w:pPr>
        <w:pStyle w:val="mpcbullets1"/>
      </w:pPr>
      <w:r w:rsidRPr="00CC1ADD">
        <w:t>the food after it is reconstituted with water and ready for consumption if the food requires reconstituting with water, or</w:t>
      </w:r>
    </w:p>
    <w:p w14:paraId="362C41FC" w14:textId="77777777" w:rsidR="00F43B13" w:rsidRPr="00CC1ADD" w:rsidRDefault="00F43B13" w:rsidP="00F720A0">
      <w:pPr>
        <w:pStyle w:val="mpcbullets1"/>
      </w:pPr>
      <w:r w:rsidRPr="00CC1ADD">
        <w:t xml:space="preserve">the food after it is drained and ready for consumption if the food requires draining before consuming. </w:t>
      </w:r>
    </w:p>
    <w:p w14:paraId="5AEC3C08" w14:textId="77777777" w:rsidR="00F43B13" w:rsidRPr="00CC1ADD" w:rsidRDefault="00F43B13" w:rsidP="005D75D3">
      <w:pPr>
        <w:pStyle w:val="mpcNormal"/>
        <w:keepNext w:val="0"/>
      </w:pPr>
    </w:p>
    <w:p w14:paraId="33C7F6CB" w14:textId="77777777" w:rsidR="00F43B13" w:rsidRPr="00CC1ADD" w:rsidRDefault="00F43B13" w:rsidP="005D75D3">
      <w:pPr>
        <w:pStyle w:val="mpcNormal"/>
        <w:keepNext w:val="0"/>
      </w:pPr>
      <w:r w:rsidRPr="00CC1ADD">
        <w:t xml:space="preserve">The HSR should be based on the form of food for which the NIP information has been displayed. </w:t>
      </w:r>
    </w:p>
    <w:p w14:paraId="19539534" w14:textId="77777777" w:rsidR="00F43B13" w:rsidRPr="00CC1ADD" w:rsidRDefault="00F43B13" w:rsidP="005D75D3">
      <w:pPr>
        <w:pStyle w:val="mpcNormal"/>
        <w:keepNext w:val="0"/>
      </w:pPr>
    </w:p>
    <w:p w14:paraId="368F9BFF" w14:textId="16070FB3" w:rsidR="00F43B13" w:rsidRPr="00CC1ADD" w:rsidRDefault="004F7D86" w:rsidP="005D75D3">
      <w:pPr>
        <w:pStyle w:val="mpcheading4"/>
        <w:keepNext w:val="0"/>
      </w:pPr>
      <w:r w:rsidRPr="00CC1ADD">
        <w:t xml:space="preserve">Step 3. </w:t>
      </w:r>
      <w:r w:rsidR="00F43B13" w:rsidRPr="00CC1ADD">
        <w:t xml:space="preserve">Calculate HSR baseline points </w:t>
      </w:r>
    </w:p>
    <w:p w14:paraId="3E6050A4" w14:textId="77777777" w:rsidR="00F43B13" w:rsidRPr="00CC1ADD" w:rsidRDefault="00F43B13" w:rsidP="005D75D3">
      <w:pPr>
        <w:pStyle w:val="mpcNormal"/>
        <w:keepNext w:val="0"/>
      </w:pPr>
    </w:p>
    <w:p w14:paraId="1002769A" w14:textId="77777777" w:rsidR="00F43B13" w:rsidRPr="00CC1ADD" w:rsidRDefault="00F43B13" w:rsidP="005D75D3">
      <w:pPr>
        <w:pStyle w:val="mpcNormal"/>
        <w:keepNext w:val="0"/>
      </w:pPr>
      <w:r w:rsidRPr="00CC1ADD">
        <w:t>HSR baseline points are calculated for the average quantity risk-associated components per 100 g or 100 mL of the product (based on the units used in the NIP):</w:t>
      </w:r>
    </w:p>
    <w:p w14:paraId="498CAF50" w14:textId="77777777" w:rsidR="00F43B13" w:rsidRPr="00CC1ADD" w:rsidRDefault="00F43B13" w:rsidP="005D75D3">
      <w:pPr>
        <w:pStyle w:val="mpcNormal"/>
        <w:keepNext w:val="0"/>
      </w:pPr>
    </w:p>
    <w:p w14:paraId="352E60D6" w14:textId="1956C8BD" w:rsidR="00F43B13" w:rsidRPr="00CC1ADD" w:rsidRDefault="00F43B13" w:rsidP="00F720A0">
      <w:pPr>
        <w:pStyle w:val="mpcbullets1"/>
      </w:pPr>
      <w:r w:rsidRPr="00CC1ADD">
        <w:rPr>
          <w:b/>
        </w:rPr>
        <w:t>energy</w:t>
      </w:r>
      <w:r w:rsidRPr="00CC1ADD">
        <w:t xml:space="preserve"> up to a maximum of 11 points for more than 3685 kJ per 100 g/mL of a product for all </w:t>
      </w:r>
      <w:r w:rsidR="00153CBD">
        <w:t>c</w:t>
      </w:r>
      <w:r w:rsidRPr="00CC1ADD">
        <w:t>ategories</w:t>
      </w:r>
    </w:p>
    <w:p w14:paraId="4F45C43D" w14:textId="315FB209" w:rsidR="00F43B13" w:rsidRPr="00CC1ADD" w:rsidRDefault="00F43B13" w:rsidP="00F720A0">
      <w:pPr>
        <w:pStyle w:val="mpcbullets1"/>
      </w:pPr>
      <w:r w:rsidRPr="00CC1ADD">
        <w:rPr>
          <w:b/>
        </w:rPr>
        <w:t>saturated fat</w:t>
      </w:r>
      <w:r w:rsidRPr="00CC1ADD">
        <w:t xml:space="preserve"> up to a maximum of 30 points for more than 90% saturated fat in a product for all </w:t>
      </w:r>
      <w:r w:rsidR="00153CBD">
        <w:t>c</w:t>
      </w:r>
      <w:r w:rsidRPr="00CC1ADD">
        <w:t xml:space="preserve">ategories </w:t>
      </w:r>
    </w:p>
    <w:p w14:paraId="4286317A" w14:textId="77777777" w:rsidR="00F43B13" w:rsidRPr="00CC1ADD" w:rsidRDefault="00F43B13" w:rsidP="00F720A0">
      <w:pPr>
        <w:pStyle w:val="mpcbullets1"/>
      </w:pPr>
      <w:r w:rsidRPr="00CC1ADD">
        <w:rPr>
          <w:b/>
        </w:rPr>
        <w:t>total sugars</w:t>
      </w:r>
      <w:r w:rsidRPr="00CC1ADD">
        <w:t xml:space="preserve"> up to a maximum of 22 points for more than 99% total sugars in a product for Category 1, 1D, 2 and 2D, and up to a maximum of 10 points for more than 45% total sugars in a product for Category 3 and 3D</w:t>
      </w:r>
    </w:p>
    <w:p w14:paraId="3124DC94" w14:textId="3EC5A932" w:rsidR="00F43B13" w:rsidRPr="00CC1ADD" w:rsidRDefault="00F43B13" w:rsidP="00F720A0">
      <w:pPr>
        <w:pStyle w:val="mpcbullets1"/>
      </w:pPr>
      <w:r w:rsidRPr="00CC1ADD">
        <w:rPr>
          <w:b/>
        </w:rPr>
        <w:t>sodium</w:t>
      </w:r>
      <w:r w:rsidRPr="00CC1ADD">
        <w:t xml:space="preserve"> up to a maximum of 30 points for more than 8.10% sodium in a product for Category 1, 1D, 2 and 2D, and up to a maximum of 30 points for more than 2.7% sodium in a product for Category 3 and 3D. </w:t>
      </w:r>
    </w:p>
    <w:p w14:paraId="6E2EE9A3" w14:textId="77777777" w:rsidR="00F43B13" w:rsidRPr="00CC1ADD" w:rsidRDefault="00F43B13" w:rsidP="005D75D3">
      <w:pPr>
        <w:pStyle w:val="mpcNormal"/>
        <w:keepNext w:val="0"/>
      </w:pPr>
    </w:p>
    <w:p w14:paraId="18C6042F" w14:textId="1610A457" w:rsidR="00F43B13" w:rsidRPr="00CC1ADD" w:rsidRDefault="00F43B13" w:rsidP="005D75D3">
      <w:pPr>
        <w:pStyle w:val="mpcNormal"/>
        <w:keepNext w:val="0"/>
      </w:pPr>
      <w:r w:rsidRPr="00CC1ADD">
        <w:t>Baseline points are calculated based on the points tables which can be found in the</w:t>
      </w:r>
      <w:r w:rsidR="000D5F6E">
        <w:t xml:space="preserve"> Guide for</w:t>
      </w:r>
      <w:r w:rsidRPr="00CC1ADD">
        <w:t xml:space="preserve"> Industry.</w:t>
      </w:r>
    </w:p>
    <w:p w14:paraId="7F9B3D30" w14:textId="77777777" w:rsidR="00F43B13" w:rsidRPr="00CC1ADD" w:rsidRDefault="00F43B13" w:rsidP="005D75D3">
      <w:pPr>
        <w:pStyle w:val="mpcNormal"/>
        <w:keepNext w:val="0"/>
      </w:pPr>
    </w:p>
    <w:p w14:paraId="01874A89" w14:textId="3A2A7C7A" w:rsidR="00F43B13" w:rsidRPr="00CC1ADD" w:rsidRDefault="004F7D86" w:rsidP="005D75D3">
      <w:pPr>
        <w:pStyle w:val="mpcheading4"/>
        <w:keepNext w:val="0"/>
      </w:pPr>
      <w:r w:rsidRPr="00CC1ADD">
        <w:t xml:space="preserve">Step 4. </w:t>
      </w:r>
      <w:r w:rsidR="00F43B13" w:rsidRPr="00CC1ADD">
        <w:t xml:space="preserve">Calculate HSR modifying points </w:t>
      </w:r>
    </w:p>
    <w:p w14:paraId="3E43130E" w14:textId="77777777" w:rsidR="00F43B13" w:rsidRPr="00CC1ADD" w:rsidRDefault="00F43B13" w:rsidP="005D75D3">
      <w:pPr>
        <w:pStyle w:val="mpcNormal"/>
        <w:keepNext w:val="0"/>
      </w:pPr>
    </w:p>
    <w:p w14:paraId="2E3EDD26" w14:textId="77777777" w:rsidR="00F43B13" w:rsidRPr="00CC1ADD" w:rsidRDefault="00F43B13" w:rsidP="005D75D3">
      <w:pPr>
        <w:pStyle w:val="mpcNormal"/>
        <w:keepNext w:val="0"/>
      </w:pPr>
      <w:r w:rsidRPr="00CC1ADD">
        <w:t>HSR modifying points may be scored for the positive components in a product:</w:t>
      </w:r>
    </w:p>
    <w:p w14:paraId="3CB6D0AC" w14:textId="77777777" w:rsidR="00F43B13" w:rsidRPr="00CC1ADD" w:rsidRDefault="00F43B13" w:rsidP="005D75D3">
      <w:pPr>
        <w:pStyle w:val="mpcNormal"/>
        <w:keepNext w:val="0"/>
      </w:pPr>
    </w:p>
    <w:p w14:paraId="4C703678" w14:textId="3F3DBFAA" w:rsidR="00F43B13" w:rsidRPr="00CC1ADD" w:rsidRDefault="00F43B13" w:rsidP="00F720A0">
      <w:pPr>
        <w:pStyle w:val="mpcbullets1"/>
      </w:pPr>
      <w:r w:rsidRPr="00CC1ADD">
        <w:rPr>
          <w:b/>
        </w:rPr>
        <w:t>V points</w:t>
      </w:r>
      <w:r w:rsidRPr="00CC1ADD">
        <w:t xml:space="preserve"> can be scored for the amount of fruits, nuts, vegetables and legumes (FVNL) or concentrated fruit and vegetable content in a food – from 1 point (for &gt; 40% FVNL or </w:t>
      </w:r>
      <w:r w:rsidR="003A148F">
        <w:sym w:font="Symbol" w:char="F0B3"/>
      </w:r>
      <w:r w:rsidRPr="00CC1ADD">
        <w:t xml:space="preserve"> 25% concentrated fruit and vegetable content) to a maximum of 8 points (for 100% FVNL/concentrated fruit and vegetable content)</w:t>
      </w:r>
    </w:p>
    <w:p w14:paraId="07E66739" w14:textId="77777777" w:rsidR="00F43B13" w:rsidRPr="00CC1ADD" w:rsidRDefault="00F43B13" w:rsidP="00F720A0">
      <w:pPr>
        <w:pStyle w:val="mpcbullets1"/>
      </w:pPr>
      <w:r w:rsidRPr="00CC1ADD">
        <w:rPr>
          <w:b/>
        </w:rPr>
        <w:t>P points</w:t>
      </w:r>
      <w:r w:rsidRPr="00CC1ADD">
        <w:t xml:space="preserve"> can be scored for the amount of protein in a product, only if the product scores 13 or less baseline points, or scores more than 13 baseline points but also scores 5 or more V points – from 1 up to a maximum of 15 points for more than 50% protein</w:t>
      </w:r>
    </w:p>
    <w:p w14:paraId="2D12B014" w14:textId="77777777" w:rsidR="00F43B13" w:rsidRPr="00CC1ADD" w:rsidRDefault="00F43B13" w:rsidP="00F720A0">
      <w:pPr>
        <w:pStyle w:val="mpcbullets1"/>
      </w:pPr>
      <w:r w:rsidRPr="00CC1ADD">
        <w:rPr>
          <w:b/>
        </w:rPr>
        <w:t>F points</w:t>
      </w:r>
      <w:r w:rsidRPr="00CC1ADD">
        <w:t xml:space="preserve"> can be scored for the amount of dietary fibre in a product for Category 2, 2D, 3 and 3D foods only (i.e. beverages cannot score F points) – from 1 up to a maximum of 15 points for more than 20% fibre.</w:t>
      </w:r>
    </w:p>
    <w:p w14:paraId="40F9B5D9" w14:textId="77777777" w:rsidR="00F43B13" w:rsidRPr="00CC1ADD" w:rsidRDefault="00F43B13" w:rsidP="005D75D3">
      <w:pPr>
        <w:pStyle w:val="mpcNormal"/>
        <w:keepNext w:val="0"/>
      </w:pPr>
    </w:p>
    <w:p w14:paraId="46C223B8" w14:textId="3F562C1E" w:rsidR="00F43B13" w:rsidRPr="00CC1ADD" w:rsidRDefault="004F7D86" w:rsidP="005D75D3">
      <w:pPr>
        <w:pStyle w:val="mpcheading4"/>
        <w:keepNext w:val="0"/>
      </w:pPr>
      <w:r w:rsidRPr="00CC1ADD">
        <w:t xml:space="preserve">Step 5. </w:t>
      </w:r>
      <w:r w:rsidR="00F43B13" w:rsidRPr="00CC1ADD">
        <w:t>Calculate the final HSR score</w:t>
      </w:r>
    </w:p>
    <w:p w14:paraId="20E1142D" w14:textId="77777777" w:rsidR="00F43B13" w:rsidRPr="00CC1ADD" w:rsidRDefault="00F43B13" w:rsidP="005D75D3">
      <w:pPr>
        <w:pStyle w:val="mpcNormal"/>
        <w:keepNext w:val="0"/>
      </w:pPr>
    </w:p>
    <w:p w14:paraId="75CFBD03" w14:textId="77777777" w:rsidR="00F43B13" w:rsidRPr="00CC1ADD" w:rsidRDefault="00F43B13" w:rsidP="005D75D3">
      <w:pPr>
        <w:pStyle w:val="mpcNormal"/>
        <w:keepNext w:val="0"/>
      </w:pPr>
      <w:r w:rsidRPr="00CC1ADD">
        <w:t>The Final HSR Score is calculated by subtracting the modifying points (V, P and/or F points) from the HSR baseline points, using the below formula:</w:t>
      </w:r>
    </w:p>
    <w:p w14:paraId="3D9324E9" w14:textId="77777777" w:rsidR="00F43B13" w:rsidRPr="00CC1ADD" w:rsidRDefault="00F43B13" w:rsidP="005D75D3">
      <w:pPr>
        <w:pStyle w:val="mpcNormal"/>
        <w:keepNext w:val="0"/>
      </w:pPr>
    </w:p>
    <w:p w14:paraId="50FBCC32" w14:textId="77777777" w:rsidR="00F43B13" w:rsidRPr="00CC1ADD" w:rsidRDefault="00F43B13" w:rsidP="00F720A0">
      <w:pPr>
        <w:pStyle w:val="mpcbullets1"/>
      </w:pPr>
      <w:r w:rsidRPr="00CC1ADD">
        <w:t>Final HSR Score = baseline points – (V points) – (P points) – (F points)</w:t>
      </w:r>
    </w:p>
    <w:p w14:paraId="66D573ED" w14:textId="77777777" w:rsidR="00F43B13" w:rsidRPr="00CC1ADD" w:rsidRDefault="00F43B13" w:rsidP="005D75D3">
      <w:pPr>
        <w:pStyle w:val="mpcNormal"/>
        <w:keepNext w:val="0"/>
      </w:pPr>
    </w:p>
    <w:p w14:paraId="25CD3C2B" w14:textId="0101161E" w:rsidR="00F43B13" w:rsidRPr="00CC1ADD" w:rsidRDefault="004F7D86" w:rsidP="005D75D3">
      <w:pPr>
        <w:pStyle w:val="mpcheading4"/>
        <w:keepNext w:val="0"/>
      </w:pPr>
      <w:r w:rsidRPr="00CC1ADD">
        <w:t xml:space="preserve">Step 6. </w:t>
      </w:r>
      <w:r w:rsidR="00F43B13" w:rsidRPr="00CC1ADD">
        <w:t>Assig</w:t>
      </w:r>
      <w:r w:rsidR="006F3A46" w:rsidRPr="00CC1ADD">
        <w:t xml:space="preserve">n </w:t>
      </w:r>
      <w:r w:rsidR="00F43B13" w:rsidRPr="00CC1ADD">
        <w:t xml:space="preserve">a rating to </w:t>
      </w:r>
      <w:r w:rsidR="006F3A46" w:rsidRPr="00CC1ADD">
        <w:t xml:space="preserve">the </w:t>
      </w:r>
      <w:r w:rsidR="00F43B13" w:rsidRPr="00CC1ADD">
        <w:t xml:space="preserve">food based on the final HSR score </w:t>
      </w:r>
    </w:p>
    <w:p w14:paraId="4D89F4C5" w14:textId="77777777" w:rsidR="00F43B13" w:rsidRPr="00CC1ADD" w:rsidRDefault="00F43B13" w:rsidP="005D75D3">
      <w:pPr>
        <w:pStyle w:val="mpcNormal"/>
        <w:keepNext w:val="0"/>
      </w:pPr>
    </w:p>
    <w:p w14:paraId="407FF76B" w14:textId="3EEE9FAB" w:rsidR="00F43B13" w:rsidRPr="00CC1ADD" w:rsidRDefault="00F43B13" w:rsidP="005D75D3">
      <w:pPr>
        <w:pStyle w:val="mpcNormal"/>
        <w:keepNext w:val="0"/>
      </w:pPr>
      <w:r w:rsidRPr="00CC1ADD">
        <w:t xml:space="preserve">The HSR score is determined based on the final HSR Score and the HSR </w:t>
      </w:r>
      <w:r w:rsidR="00153CBD">
        <w:t>c</w:t>
      </w:r>
      <w:r w:rsidRPr="00CC1ADD">
        <w:t xml:space="preserve">ategory the product is in based on the below table (found on page </w:t>
      </w:r>
      <w:r w:rsidR="000D5F6E">
        <w:t>14</w:t>
      </w:r>
      <w:r w:rsidRPr="00CC1ADD">
        <w:t xml:space="preserve"> of the Guide for Industry). Products can score from half a star (least healthy) to five stars (most healthy) in half-star increments (i.e. on a 10-point scale).</w:t>
      </w:r>
    </w:p>
    <w:p w14:paraId="08439326" w14:textId="77777777" w:rsidR="00F43B13" w:rsidRPr="00CC1ADD" w:rsidRDefault="00F43B13" w:rsidP="005D75D3">
      <w:pPr>
        <w:pStyle w:val="mpcNormal"/>
        <w:keepNext w:val="0"/>
      </w:pPr>
      <w:r w:rsidRPr="00CC1ADD">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262"/>
        <w:gridCol w:w="1524"/>
        <w:gridCol w:w="1337"/>
        <w:gridCol w:w="1301"/>
        <w:gridCol w:w="1375"/>
        <w:gridCol w:w="1276"/>
        <w:gridCol w:w="1661"/>
      </w:tblGrid>
      <w:tr w:rsidR="00F43B13" w:rsidRPr="00CC1ADD" w14:paraId="5BF524A5" w14:textId="77777777" w:rsidTr="00F43B13">
        <w:trPr>
          <w:jc w:val="center"/>
        </w:trPr>
        <w:tc>
          <w:tcPr>
            <w:tcW w:w="0" w:type="auto"/>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2370D307" w14:textId="77777777" w:rsidR="00F43B13" w:rsidRPr="00CC1ADD" w:rsidRDefault="00F43B13">
            <w:pPr>
              <w:jc w:val="center"/>
              <w:rPr>
                <w:rFonts w:cstheme="minorHAnsi"/>
                <w:b/>
                <w:bCs/>
                <w:color w:val="FFFFFF" w:themeColor="background1"/>
                <w:sz w:val="20"/>
                <w:szCs w:val="20"/>
              </w:rPr>
            </w:pPr>
            <w:bookmarkStart w:id="160" w:name="Categories"/>
            <w:bookmarkEnd w:id="160"/>
            <w:r w:rsidRPr="00CC1ADD">
              <w:rPr>
                <w:rFonts w:cstheme="minorHAnsi"/>
                <w:b/>
                <w:bCs/>
                <w:color w:val="FFFFFF" w:themeColor="background1"/>
                <w:sz w:val="20"/>
                <w:szCs w:val="20"/>
              </w:rPr>
              <w:t>Health Star Rating</w:t>
            </w:r>
          </w:p>
        </w:tc>
        <w:tc>
          <w:tcPr>
            <w:tcW w:w="0" w:type="auto"/>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3A5C6C30"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Food Category</w:t>
            </w:r>
          </w:p>
          <w:p w14:paraId="06AF5392"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1 Non-dairy beverage</w:t>
            </w:r>
          </w:p>
        </w:tc>
        <w:tc>
          <w:tcPr>
            <w:tcW w:w="0" w:type="auto"/>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0F25AB42"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Food Category</w:t>
            </w:r>
          </w:p>
          <w:p w14:paraId="3327C4B1"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1D Dairy beverage</w:t>
            </w:r>
          </w:p>
        </w:tc>
        <w:tc>
          <w:tcPr>
            <w:tcW w:w="0" w:type="auto"/>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17B1793E"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Food Category</w:t>
            </w:r>
          </w:p>
          <w:p w14:paraId="0E85092E"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2 Non-dairy foods</w:t>
            </w:r>
          </w:p>
        </w:tc>
        <w:tc>
          <w:tcPr>
            <w:tcW w:w="1375" w:type="dxa"/>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20BDF265" w14:textId="0F25F3A5"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fldChar w:fldCharType="begin"/>
            </w:r>
            <w:r w:rsidR="00276EB3">
              <w:rPr>
                <w:rFonts w:cstheme="minorHAnsi"/>
                <w:b/>
                <w:bCs/>
                <w:color w:val="FFFFFF" w:themeColor="background1"/>
                <w:sz w:val="20"/>
                <w:szCs w:val="20"/>
              </w:rPr>
              <w:instrText xml:space="preserve"> INCLUDEPICTURE "C:\\var\\folders\\rt\\6pfp937x77z6cxr3p71d8d180000gn\\T\\com.microsoft.Word\\WebArchiveCopyPasteTempFiles\\page20image646746976" \* MERGEFORMAT </w:instrText>
            </w:r>
            <w:r w:rsidRPr="00CC1ADD">
              <w:rPr>
                <w:rFonts w:cstheme="minorHAnsi"/>
                <w:b/>
                <w:bCs/>
                <w:color w:val="FFFFFF" w:themeColor="background1"/>
                <w:sz w:val="20"/>
                <w:szCs w:val="20"/>
              </w:rPr>
              <w:fldChar w:fldCharType="separate"/>
            </w:r>
            <w:r w:rsidRPr="00CC1ADD">
              <w:rPr>
                <w:rFonts w:cstheme="minorHAnsi"/>
                <w:b/>
                <w:bCs/>
                <w:noProof/>
                <w:color w:val="FFFFFF" w:themeColor="background1"/>
                <w:sz w:val="20"/>
                <w:szCs w:val="20"/>
                <w:lang w:eastAsia="en-AU"/>
              </w:rPr>
              <w:drawing>
                <wp:inline distT="0" distB="0" distL="0" distR="0" wp14:anchorId="5381B1A6" wp14:editId="3189215F">
                  <wp:extent cx="18415" cy="18415"/>
                  <wp:effectExtent l="0" t="0" r="0" b="0"/>
                  <wp:docPr id="34" name="Picture 34" descr="page20image646746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0image64674697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inline>
              </w:drawing>
            </w:r>
            <w:r w:rsidRPr="00CC1ADD">
              <w:rPr>
                <w:rFonts w:cstheme="minorHAnsi"/>
                <w:b/>
                <w:bCs/>
                <w:color w:val="FFFFFF" w:themeColor="background1"/>
                <w:sz w:val="20"/>
                <w:szCs w:val="20"/>
              </w:rPr>
              <w:fldChar w:fldCharType="end"/>
            </w:r>
            <w:r w:rsidRPr="00CC1ADD">
              <w:rPr>
                <w:rFonts w:cstheme="minorHAnsi"/>
                <w:b/>
                <w:bCs/>
                <w:color w:val="FFFFFF" w:themeColor="background1"/>
                <w:sz w:val="20"/>
                <w:szCs w:val="20"/>
              </w:rPr>
              <w:t>Food Category</w:t>
            </w:r>
          </w:p>
          <w:p w14:paraId="3208C783"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2D Dairy foods</w:t>
            </w:r>
          </w:p>
        </w:tc>
        <w:tc>
          <w:tcPr>
            <w:tcW w:w="1276" w:type="dxa"/>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15DAB69F" w14:textId="6E19FFC9"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fldChar w:fldCharType="begin"/>
            </w:r>
            <w:r w:rsidR="00276EB3">
              <w:rPr>
                <w:rFonts w:cstheme="minorHAnsi"/>
                <w:b/>
                <w:bCs/>
                <w:color w:val="FFFFFF" w:themeColor="background1"/>
                <w:sz w:val="20"/>
                <w:szCs w:val="20"/>
              </w:rPr>
              <w:instrText xml:space="preserve"> INCLUDEPICTURE "C:\\var\\folders\\rt\\6pfp937x77z6cxr3p71d8d180000gn\\T\\com.microsoft.Word\\WebArchiveCopyPasteTempFiles\\page20image646752160" \* MERGEFORMAT </w:instrText>
            </w:r>
            <w:r w:rsidRPr="00CC1ADD">
              <w:rPr>
                <w:rFonts w:cstheme="minorHAnsi"/>
                <w:b/>
                <w:bCs/>
                <w:color w:val="FFFFFF" w:themeColor="background1"/>
                <w:sz w:val="20"/>
                <w:szCs w:val="20"/>
              </w:rPr>
              <w:fldChar w:fldCharType="separate"/>
            </w:r>
            <w:r w:rsidRPr="00CC1ADD">
              <w:rPr>
                <w:rFonts w:cstheme="minorHAnsi"/>
                <w:b/>
                <w:bCs/>
                <w:noProof/>
                <w:color w:val="FFFFFF" w:themeColor="background1"/>
                <w:sz w:val="20"/>
                <w:szCs w:val="20"/>
                <w:lang w:eastAsia="en-AU"/>
              </w:rPr>
              <w:drawing>
                <wp:inline distT="0" distB="0" distL="0" distR="0" wp14:anchorId="74D1FAD9" wp14:editId="36913FA8">
                  <wp:extent cx="18415" cy="18415"/>
                  <wp:effectExtent l="0" t="0" r="0" b="0"/>
                  <wp:docPr id="33" name="Picture 33" descr="page20image64675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ge20image6467521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inline>
              </w:drawing>
            </w:r>
            <w:r w:rsidRPr="00CC1ADD">
              <w:rPr>
                <w:rFonts w:cstheme="minorHAnsi"/>
                <w:b/>
                <w:bCs/>
                <w:color w:val="FFFFFF" w:themeColor="background1"/>
                <w:sz w:val="20"/>
                <w:szCs w:val="20"/>
              </w:rPr>
              <w:fldChar w:fldCharType="end"/>
            </w:r>
            <w:r w:rsidRPr="00CC1ADD">
              <w:rPr>
                <w:rFonts w:cstheme="minorHAnsi"/>
                <w:b/>
                <w:bCs/>
                <w:color w:val="FFFFFF" w:themeColor="background1"/>
                <w:sz w:val="20"/>
                <w:szCs w:val="20"/>
              </w:rPr>
              <w:t>Food Category</w:t>
            </w:r>
          </w:p>
          <w:p w14:paraId="029CB6ED"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3 Oils and spreads</w:t>
            </w:r>
          </w:p>
        </w:tc>
        <w:tc>
          <w:tcPr>
            <w:tcW w:w="1661" w:type="dxa"/>
            <w:tcBorders>
              <w:top w:val="single" w:sz="4" w:space="0" w:color="000000"/>
              <w:left w:val="single" w:sz="4" w:space="0" w:color="000000"/>
              <w:bottom w:val="single" w:sz="4" w:space="0" w:color="auto"/>
              <w:right w:val="single" w:sz="4" w:space="0" w:color="000000"/>
            </w:tcBorders>
            <w:shd w:val="clear" w:color="auto" w:fill="516A8E"/>
            <w:vAlign w:val="center"/>
            <w:hideMark/>
          </w:tcPr>
          <w:p w14:paraId="5122484F"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Food Category</w:t>
            </w:r>
          </w:p>
          <w:p w14:paraId="2B3CF0F8" w14:textId="77777777" w:rsidR="00F43B13" w:rsidRPr="00CC1ADD" w:rsidRDefault="00F43B13">
            <w:pPr>
              <w:jc w:val="center"/>
              <w:rPr>
                <w:rFonts w:cstheme="minorHAnsi"/>
                <w:b/>
                <w:bCs/>
                <w:color w:val="FFFFFF" w:themeColor="background1"/>
                <w:sz w:val="20"/>
                <w:szCs w:val="20"/>
              </w:rPr>
            </w:pPr>
            <w:r w:rsidRPr="00CC1ADD">
              <w:rPr>
                <w:rFonts w:cstheme="minorHAnsi"/>
                <w:b/>
                <w:bCs/>
                <w:color w:val="FFFFFF" w:themeColor="background1"/>
                <w:sz w:val="20"/>
                <w:szCs w:val="20"/>
              </w:rPr>
              <w:t>3D Cheese &gt;320 mg Ca/100g</w:t>
            </w:r>
          </w:p>
        </w:tc>
      </w:tr>
      <w:tr w:rsidR="00F43B13" w:rsidRPr="00CC1ADD" w14:paraId="04A547E0" w14:textId="77777777" w:rsidTr="00F43B13">
        <w:trPr>
          <w:trHeight w:val="44"/>
          <w:jc w:val="center"/>
        </w:trPr>
        <w:tc>
          <w:tcPr>
            <w:tcW w:w="0" w:type="auto"/>
            <w:tcBorders>
              <w:top w:val="single" w:sz="4" w:space="0" w:color="auto"/>
              <w:left w:val="single" w:sz="4" w:space="0" w:color="000000"/>
              <w:bottom w:val="single" w:sz="4" w:space="0" w:color="000000"/>
              <w:right w:val="single" w:sz="4" w:space="0" w:color="000000"/>
            </w:tcBorders>
            <w:shd w:val="clear" w:color="auto" w:fill="F2F2F2" w:themeFill="background1" w:themeFillShade="F2"/>
            <w:vAlign w:val="center"/>
            <w:hideMark/>
          </w:tcPr>
          <w:p w14:paraId="668BC3E0" w14:textId="77777777" w:rsidR="00F43B13" w:rsidRPr="00CC1ADD" w:rsidRDefault="00F43B13" w:rsidP="005A3631">
            <w:pPr>
              <w:jc w:val="center"/>
              <w:rPr>
                <w:rFonts w:cstheme="minorHAnsi"/>
                <w:b/>
                <w:sz w:val="20"/>
                <w:szCs w:val="20"/>
              </w:rPr>
            </w:pPr>
            <w:r w:rsidRPr="00CC1ADD">
              <w:rPr>
                <w:rFonts w:cstheme="minorHAnsi"/>
                <w:b/>
                <w:sz w:val="20"/>
                <w:szCs w:val="20"/>
              </w:rPr>
              <w:t>5</w:t>
            </w:r>
          </w:p>
        </w:tc>
        <w:tc>
          <w:tcPr>
            <w:tcW w:w="0" w:type="auto"/>
            <w:tcBorders>
              <w:top w:val="single" w:sz="4" w:space="0" w:color="auto"/>
              <w:left w:val="single" w:sz="4" w:space="0" w:color="000000"/>
              <w:bottom w:val="single" w:sz="4" w:space="0" w:color="000000"/>
              <w:right w:val="single" w:sz="4" w:space="0" w:color="000000"/>
            </w:tcBorders>
            <w:vAlign w:val="center"/>
            <w:hideMark/>
          </w:tcPr>
          <w:p w14:paraId="1AE664D5" w14:textId="77777777" w:rsidR="00F43B13" w:rsidRPr="00CC1ADD" w:rsidRDefault="00F43B13">
            <w:pPr>
              <w:jc w:val="center"/>
              <w:rPr>
                <w:rFonts w:cstheme="minorHAnsi"/>
                <w:sz w:val="20"/>
                <w:szCs w:val="20"/>
              </w:rPr>
            </w:pPr>
            <w:r w:rsidRPr="00CC1ADD">
              <w:rPr>
                <w:rFonts w:cstheme="minorHAnsi"/>
                <w:sz w:val="20"/>
                <w:szCs w:val="20"/>
              </w:rPr>
              <w:t>≤ -6</w:t>
            </w:r>
          </w:p>
        </w:tc>
        <w:tc>
          <w:tcPr>
            <w:tcW w:w="0" w:type="auto"/>
            <w:tcBorders>
              <w:top w:val="single" w:sz="4" w:space="0" w:color="auto"/>
              <w:left w:val="single" w:sz="4" w:space="0" w:color="000000"/>
              <w:bottom w:val="single" w:sz="4" w:space="0" w:color="000000"/>
              <w:right w:val="single" w:sz="4" w:space="0" w:color="000000"/>
            </w:tcBorders>
            <w:vAlign w:val="center"/>
            <w:hideMark/>
          </w:tcPr>
          <w:p w14:paraId="13B70DE8" w14:textId="77777777" w:rsidR="00F43B13" w:rsidRPr="00CC1ADD" w:rsidRDefault="00F43B13">
            <w:pPr>
              <w:jc w:val="center"/>
              <w:rPr>
                <w:rFonts w:cstheme="minorHAnsi"/>
                <w:sz w:val="20"/>
                <w:szCs w:val="20"/>
              </w:rPr>
            </w:pPr>
            <w:r w:rsidRPr="00CC1ADD">
              <w:rPr>
                <w:rFonts w:cstheme="minorHAnsi"/>
                <w:sz w:val="20"/>
                <w:szCs w:val="20"/>
              </w:rPr>
              <w:t>≤ -2</w:t>
            </w:r>
          </w:p>
        </w:tc>
        <w:tc>
          <w:tcPr>
            <w:tcW w:w="0" w:type="auto"/>
            <w:tcBorders>
              <w:top w:val="single" w:sz="4" w:space="0" w:color="auto"/>
              <w:left w:val="single" w:sz="4" w:space="0" w:color="000000"/>
              <w:bottom w:val="single" w:sz="4" w:space="0" w:color="000000"/>
              <w:right w:val="single" w:sz="4" w:space="0" w:color="000000"/>
            </w:tcBorders>
            <w:vAlign w:val="center"/>
            <w:hideMark/>
          </w:tcPr>
          <w:p w14:paraId="709D3E8B" w14:textId="77777777" w:rsidR="00F43B13" w:rsidRPr="00CC1ADD" w:rsidRDefault="00F43B13">
            <w:pPr>
              <w:jc w:val="center"/>
              <w:rPr>
                <w:rFonts w:cstheme="minorHAnsi"/>
                <w:sz w:val="20"/>
                <w:szCs w:val="20"/>
              </w:rPr>
            </w:pPr>
            <w:r w:rsidRPr="00CC1ADD">
              <w:rPr>
                <w:rFonts w:cstheme="minorHAnsi"/>
                <w:sz w:val="20"/>
                <w:szCs w:val="20"/>
              </w:rPr>
              <w:t>≤ -11</w:t>
            </w:r>
          </w:p>
        </w:tc>
        <w:tc>
          <w:tcPr>
            <w:tcW w:w="1375" w:type="dxa"/>
            <w:tcBorders>
              <w:top w:val="single" w:sz="4" w:space="0" w:color="auto"/>
              <w:left w:val="single" w:sz="4" w:space="0" w:color="000000"/>
              <w:bottom w:val="single" w:sz="4" w:space="0" w:color="000000"/>
              <w:right w:val="single" w:sz="4" w:space="0" w:color="000000"/>
            </w:tcBorders>
            <w:vAlign w:val="center"/>
            <w:hideMark/>
          </w:tcPr>
          <w:p w14:paraId="5B753C5A" w14:textId="77777777" w:rsidR="00F43B13" w:rsidRPr="00CC1ADD" w:rsidRDefault="00F43B13">
            <w:pPr>
              <w:jc w:val="center"/>
              <w:rPr>
                <w:rFonts w:cstheme="minorHAnsi"/>
                <w:sz w:val="20"/>
                <w:szCs w:val="20"/>
              </w:rPr>
            </w:pPr>
            <w:r w:rsidRPr="00CC1ADD">
              <w:rPr>
                <w:rFonts w:cstheme="minorHAnsi"/>
                <w:sz w:val="20"/>
                <w:szCs w:val="20"/>
              </w:rPr>
              <w:t>≤ -2</w:t>
            </w:r>
          </w:p>
          <w:p w14:paraId="3B992B3A" w14:textId="77777777" w:rsidR="00F43B13" w:rsidRPr="00CC1ADD" w:rsidRDefault="00F43B13">
            <w:pPr>
              <w:jc w:val="center"/>
              <w:rPr>
                <w:rFonts w:cstheme="minorHAnsi"/>
                <w:sz w:val="20"/>
                <w:szCs w:val="20"/>
              </w:rPr>
            </w:pPr>
          </w:p>
        </w:tc>
        <w:tc>
          <w:tcPr>
            <w:tcW w:w="1276" w:type="dxa"/>
            <w:tcBorders>
              <w:top w:val="single" w:sz="4" w:space="0" w:color="auto"/>
              <w:left w:val="single" w:sz="4" w:space="0" w:color="000000"/>
              <w:bottom w:val="single" w:sz="4" w:space="0" w:color="000000"/>
              <w:right w:val="single" w:sz="4" w:space="0" w:color="000000"/>
            </w:tcBorders>
            <w:vAlign w:val="center"/>
            <w:hideMark/>
          </w:tcPr>
          <w:p w14:paraId="7E1C2470" w14:textId="77777777" w:rsidR="00F43B13" w:rsidRPr="00CC1ADD" w:rsidRDefault="00F43B13">
            <w:pPr>
              <w:jc w:val="center"/>
              <w:rPr>
                <w:rFonts w:cstheme="minorHAnsi"/>
                <w:sz w:val="20"/>
                <w:szCs w:val="20"/>
              </w:rPr>
            </w:pPr>
            <w:r w:rsidRPr="00CC1ADD">
              <w:rPr>
                <w:rFonts w:cstheme="minorHAnsi"/>
                <w:sz w:val="20"/>
                <w:szCs w:val="20"/>
              </w:rPr>
              <w:t>≤ 13</w:t>
            </w:r>
          </w:p>
        </w:tc>
        <w:tc>
          <w:tcPr>
            <w:tcW w:w="1661" w:type="dxa"/>
            <w:tcBorders>
              <w:top w:val="single" w:sz="4" w:space="0" w:color="auto"/>
              <w:left w:val="single" w:sz="4" w:space="0" w:color="000000"/>
              <w:bottom w:val="single" w:sz="4" w:space="0" w:color="000000"/>
              <w:right w:val="single" w:sz="4" w:space="0" w:color="000000"/>
            </w:tcBorders>
            <w:vAlign w:val="center"/>
            <w:hideMark/>
          </w:tcPr>
          <w:p w14:paraId="18AECAC3" w14:textId="77777777" w:rsidR="00F43B13" w:rsidRPr="00CC1ADD" w:rsidRDefault="00F43B13">
            <w:pPr>
              <w:jc w:val="center"/>
              <w:rPr>
                <w:rFonts w:cstheme="minorHAnsi"/>
                <w:sz w:val="20"/>
                <w:szCs w:val="20"/>
              </w:rPr>
            </w:pPr>
            <w:r w:rsidRPr="00CC1ADD">
              <w:rPr>
                <w:rFonts w:cstheme="minorHAnsi"/>
                <w:sz w:val="20"/>
                <w:szCs w:val="20"/>
              </w:rPr>
              <w:t>≤ 22</w:t>
            </w:r>
          </w:p>
        </w:tc>
      </w:tr>
      <w:tr w:rsidR="00F43B13" w:rsidRPr="00CC1ADD" w14:paraId="3B4AD97E"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3C31638" w14:textId="705F7AB0" w:rsidR="00F43B13" w:rsidRPr="00CC1ADD" w:rsidRDefault="00F43B13" w:rsidP="005A3631">
            <w:pPr>
              <w:jc w:val="center"/>
              <w:rPr>
                <w:rFonts w:cstheme="minorHAnsi"/>
                <w:b/>
                <w:sz w:val="20"/>
                <w:szCs w:val="20"/>
              </w:rPr>
            </w:pPr>
            <w:r w:rsidRPr="00CC1ADD">
              <w:rPr>
                <w:rFonts w:cstheme="minorHAnsi"/>
                <w:b/>
                <w:sz w:val="20"/>
                <w:szCs w:val="20"/>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3844DF" w14:textId="77777777" w:rsidR="00F43B13" w:rsidRPr="00CC1ADD" w:rsidRDefault="00F43B13">
            <w:pPr>
              <w:jc w:val="center"/>
              <w:rPr>
                <w:rFonts w:cstheme="minorHAnsi"/>
                <w:sz w:val="20"/>
                <w:szCs w:val="20"/>
              </w:rPr>
            </w:pPr>
            <w:r w:rsidRPr="00CC1ADD">
              <w:rPr>
                <w:rFonts w:cstheme="minorHAnsi"/>
                <w:sz w:val="20"/>
                <w:szCs w:val="20"/>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FB719BE" w14:textId="77777777" w:rsidR="00F43B13" w:rsidRPr="00CC1ADD" w:rsidRDefault="00F43B13">
            <w:pPr>
              <w:jc w:val="center"/>
              <w:rPr>
                <w:rFonts w:cstheme="minorHAnsi"/>
                <w:sz w:val="20"/>
                <w:szCs w:val="20"/>
              </w:rPr>
            </w:pPr>
            <w:r w:rsidRPr="00CC1ADD">
              <w:rPr>
                <w:rFonts w:cstheme="minorHAnsi"/>
                <w:sz w:val="20"/>
                <w:szCs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E637C3E" w14:textId="77777777" w:rsidR="00F43B13" w:rsidRPr="00CC1ADD" w:rsidRDefault="00F43B13">
            <w:pPr>
              <w:jc w:val="center"/>
              <w:rPr>
                <w:rFonts w:cstheme="minorHAnsi"/>
                <w:sz w:val="20"/>
                <w:szCs w:val="20"/>
              </w:rPr>
            </w:pPr>
            <w:r w:rsidRPr="00CC1ADD">
              <w:rPr>
                <w:rFonts w:cstheme="minorHAnsi"/>
                <w:sz w:val="20"/>
                <w:szCs w:val="20"/>
              </w:rPr>
              <w:t>-10 to -7</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09A237C9" w14:textId="77777777" w:rsidR="00F43B13" w:rsidRPr="00CC1ADD" w:rsidRDefault="00F43B13">
            <w:pPr>
              <w:jc w:val="center"/>
              <w:rPr>
                <w:rFonts w:cstheme="minorHAnsi"/>
                <w:sz w:val="20"/>
                <w:szCs w:val="20"/>
              </w:rPr>
            </w:pPr>
            <w:r w:rsidRPr="00CC1ADD">
              <w:rPr>
                <w:rFonts w:cstheme="minorHAnsi"/>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F42C4A8" w14:textId="77777777" w:rsidR="00F43B13" w:rsidRPr="00CC1ADD" w:rsidRDefault="00F43B13">
            <w:pPr>
              <w:jc w:val="center"/>
              <w:rPr>
                <w:rFonts w:cstheme="minorHAnsi"/>
                <w:sz w:val="20"/>
                <w:szCs w:val="20"/>
              </w:rPr>
            </w:pPr>
            <w:r w:rsidRPr="00CC1ADD">
              <w:rPr>
                <w:rFonts w:cstheme="minorHAnsi"/>
                <w:sz w:val="20"/>
                <w:szCs w:val="20"/>
              </w:rPr>
              <w:t>14 to 16</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2F7F2212" w14:textId="77777777" w:rsidR="00F43B13" w:rsidRPr="00CC1ADD" w:rsidRDefault="00F43B13">
            <w:pPr>
              <w:jc w:val="center"/>
              <w:rPr>
                <w:rFonts w:cstheme="minorHAnsi"/>
                <w:sz w:val="20"/>
                <w:szCs w:val="20"/>
              </w:rPr>
            </w:pPr>
            <w:r w:rsidRPr="00CC1ADD">
              <w:rPr>
                <w:rFonts w:cstheme="minorHAnsi"/>
                <w:sz w:val="20"/>
                <w:szCs w:val="20"/>
              </w:rPr>
              <w:t>23 to 24</w:t>
            </w:r>
          </w:p>
        </w:tc>
      </w:tr>
      <w:tr w:rsidR="00F43B13" w:rsidRPr="00CC1ADD" w14:paraId="62D61A33" w14:textId="77777777" w:rsidTr="00B36208">
        <w:trPr>
          <w:trHeight w:val="4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1867F28" w14:textId="77777777" w:rsidR="00F43B13" w:rsidRPr="00CC1ADD" w:rsidRDefault="00F43B13" w:rsidP="005A3631">
            <w:pPr>
              <w:jc w:val="center"/>
              <w:rPr>
                <w:rFonts w:cstheme="minorHAnsi"/>
                <w:b/>
                <w:sz w:val="20"/>
                <w:szCs w:val="20"/>
              </w:rPr>
            </w:pPr>
            <w:r w:rsidRPr="00CC1ADD">
              <w:rPr>
                <w:rFonts w:cstheme="minorHAnsi"/>
                <w:b/>
                <w:sz w:val="20"/>
                <w:szCs w:val="20"/>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C8E6D7" w14:textId="77777777" w:rsidR="00F43B13" w:rsidRPr="00CC1ADD" w:rsidRDefault="00F43B13">
            <w:pPr>
              <w:jc w:val="center"/>
              <w:rPr>
                <w:rFonts w:cstheme="minorHAnsi"/>
                <w:sz w:val="20"/>
                <w:szCs w:val="20"/>
              </w:rPr>
            </w:pPr>
            <w:r w:rsidRPr="00CC1ADD">
              <w:rPr>
                <w:rFonts w:cstheme="minorHAnsi"/>
                <w:sz w:val="20"/>
                <w:szCs w:val="20"/>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4CA09F" w14:textId="77777777" w:rsidR="00F43B13" w:rsidRPr="00CC1ADD" w:rsidRDefault="00F43B13">
            <w:pPr>
              <w:jc w:val="center"/>
              <w:rPr>
                <w:rFonts w:cstheme="minorHAnsi"/>
                <w:sz w:val="20"/>
                <w:szCs w:val="20"/>
              </w:rPr>
            </w:pPr>
            <w:r w:rsidRPr="00CC1ADD">
              <w:rPr>
                <w:rFonts w:cstheme="minorHAnsi"/>
                <w:sz w:val="20"/>
                <w:szCs w:val="20"/>
              </w:rPr>
              <w:t>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BAB76C" w14:textId="77777777" w:rsidR="00F43B13" w:rsidRPr="00CC1ADD" w:rsidRDefault="00F43B13">
            <w:pPr>
              <w:jc w:val="center"/>
              <w:rPr>
                <w:rFonts w:cstheme="minorHAnsi"/>
                <w:sz w:val="20"/>
                <w:szCs w:val="20"/>
              </w:rPr>
            </w:pPr>
            <w:r w:rsidRPr="00CC1ADD">
              <w:rPr>
                <w:rFonts w:cstheme="minorHAnsi"/>
                <w:sz w:val="20"/>
                <w:szCs w:val="20"/>
              </w:rPr>
              <w:t>-6 to -2</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551B84E6" w14:textId="77777777" w:rsidR="00F43B13" w:rsidRPr="00CC1ADD" w:rsidRDefault="00F43B13">
            <w:pPr>
              <w:jc w:val="center"/>
              <w:rPr>
                <w:rFonts w:cstheme="minorHAnsi"/>
                <w:sz w:val="20"/>
                <w:szCs w:val="20"/>
              </w:rPr>
            </w:pPr>
            <w:r w:rsidRPr="00CC1ADD">
              <w:rPr>
                <w:rFonts w:cstheme="minorHAnsi"/>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BC63D27" w14:textId="77777777" w:rsidR="00F43B13" w:rsidRPr="00CC1ADD" w:rsidRDefault="00F43B13">
            <w:pPr>
              <w:jc w:val="center"/>
              <w:rPr>
                <w:rFonts w:cstheme="minorHAnsi"/>
                <w:sz w:val="20"/>
                <w:szCs w:val="20"/>
              </w:rPr>
            </w:pPr>
            <w:r w:rsidRPr="00CC1ADD">
              <w:rPr>
                <w:rFonts w:cstheme="minorHAnsi"/>
                <w:sz w:val="20"/>
                <w:szCs w:val="20"/>
              </w:rPr>
              <w:t>17 to 20</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1F24D397" w14:textId="77777777" w:rsidR="00F43B13" w:rsidRPr="00CC1ADD" w:rsidRDefault="00F43B13">
            <w:pPr>
              <w:jc w:val="center"/>
              <w:rPr>
                <w:rFonts w:cstheme="minorHAnsi"/>
                <w:sz w:val="20"/>
                <w:szCs w:val="20"/>
              </w:rPr>
            </w:pPr>
            <w:r w:rsidRPr="00CC1ADD">
              <w:rPr>
                <w:rFonts w:cstheme="minorHAnsi"/>
                <w:sz w:val="20"/>
                <w:szCs w:val="20"/>
              </w:rPr>
              <w:t>25 to 26</w:t>
            </w:r>
          </w:p>
        </w:tc>
      </w:tr>
      <w:tr w:rsidR="00F43B13" w:rsidRPr="00CC1ADD" w14:paraId="03BF4176"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AB80845" w14:textId="3184ACC4" w:rsidR="00F43B13" w:rsidRPr="00CC1ADD" w:rsidRDefault="00F43B13" w:rsidP="005A3631">
            <w:pPr>
              <w:jc w:val="center"/>
              <w:rPr>
                <w:rFonts w:cstheme="minorHAnsi"/>
                <w:b/>
                <w:sz w:val="20"/>
                <w:szCs w:val="20"/>
              </w:rPr>
            </w:pPr>
            <w:r w:rsidRPr="00CC1ADD">
              <w:rPr>
                <w:rFonts w:cstheme="minorHAnsi"/>
                <w:b/>
                <w:sz w:val="20"/>
                <w:szCs w:val="20"/>
              </w:rPr>
              <w:t>3.5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220E92" w14:textId="77777777" w:rsidR="00F43B13" w:rsidRPr="00CC1ADD" w:rsidRDefault="00F43B13">
            <w:pPr>
              <w:jc w:val="center"/>
              <w:rPr>
                <w:rFonts w:cstheme="minorHAnsi"/>
                <w:sz w:val="20"/>
                <w:szCs w:val="20"/>
              </w:rPr>
            </w:pPr>
            <w:r w:rsidRPr="00CC1ADD">
              <w:rPr>
                <w:rFonts w:cstheme="minorHAnsi"/>
                <w:sz w:val="20"/>
                <w:szCs w:val="20"/>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959FCC" w14:textId="77777777" w:rsidR="00F43B13" w:rsidRPr="00CC1ADD" w:rsidRDefault="00F43B13">
            <w:pPr>
              <w:jc w:val="center"/>
              <w:rPr>
                <w:rFonts w:cstheme="minorHAnsi"/>
                <w:sz w:val="20"/>
                <w:szCs w:val="20"/>
              </w:rPr>
            </w:pPr>
            <w:r w:rsidRPr="00CC1ADD">
              <w:rPr>
                <w:rFonts w:cstheme="minorHAnsi"/>
                <w:sz w:val="20"/>
                <w:szCs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204E1F" w14:textId="77777777" w:rsidR="00F43B13" w:rsidRPr="00CC1ADD" w:rsidRDefault="00F43B13">
            <w:pPr>
              <w:jc w:val="center"/>
              <w:rPr>
                <w:rFonts w:cstheme="minorHAnsi"/>
                <w:sz w:val="20"/>
                <w:szCs w:val="20"/>
              </w:rPr>
            </w:pPr>
            <w:r w:rsidRPr="00CC1ADD">
              <w:rPr>
                <w:rFonts w:cstheme="minorHAnsi"/>
                <w:sz w:val="20"/>
                <w:szCs w:val="20"/>
              </w:rPr>
              <w:t>-1 to 2</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6F61BC26" w14:textId="77777777" w:rsidR="00F43B13" w:rsidRPr="00CC1ADD" w:rsidRDefault="00F43B13">
            <w:pPr>
              <w:jc w:val="center"/>
              <w:rPr>
                <w:rFonts w:cstheme="minorHAnsi"/>
                <w:sz w:val="20"/>
                <w:szCs w:val="20"/>
              </w:rPr>
            </w:pPr>
            <w:r w:rsidRPr="00CC1ADD">
              <w:rPr>
                <w:rFonts w:cstheme="minorHAnsi"/>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37BE330" w14:textId="77777777" w:rsidR="00F43B13" w:rsidRPr="00CC1ADD" w:rsidRDefault="00F43B13">
            <w:pPr>
              <w:jc w:val="center"/>
              <w:rPr>
                <w:rFonts w:cstheme="minorHAnsi"/>
                <w:sz w:val="20"/>
                <w:szCs w:val="20"/>
              </w:rPr>
            </w:pPr>
            <w:r w:rsidRPr="00CC1ADD">
              <w:rPr>
                <w:rFonts w:cstheme="minorHAnsi"/>
                <w:sz w:val="20"/>
                <w:szCs w:val="20"/>
              </w:rPr>
              <w:t>21 to 23</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12C752C6" w14:textId="77777777" w:rsidR="00F43B13" w:rsidRPr="00CC1ADD" w:rsidRDefault="00F43B13">
            <w:pPr>
              <w:jc w:val="center"/>
              <w:rPr>
                <w:rFonts w:cstheme="minorHAnsi"/>
                <w:sz w:val="20"/>
                <w:szCs w:val="20"/>
              </w:rPr>
            </w:pPr>
            <w:r w:rsidRPr="00CC1ADD">
              <w:rPr>
                <w:rFonts w:cstheme="minorHAnsi"/>
                <w:sz w:val="20"/>
                <w:szCs w:val="20"/>
              </w:rPr>
              <w:t>27 to 28</w:t>
            </w:r>
          </w:p>
        </w:tc>
      </w:tr>
      <w:tr w:rsidR="00F43B13" w:rsidRPr="00CC1ADD" w14:paraId="1DD7B3F0"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B3F02F0" w14:textId="77777777" w:rsidR="00F43B13" w:rsidRPr="00CC1ADD" w:rsidRDefault="00F43B13" w:rsidP="005A3631">
            <w:pPr>
              <w:jc w:val="center"/>
              <w:rPr>
                <w:rFonts w:cstheme="minorHAnsi"/>
                <w:b/>
                <w:sz w:val="20"/>
                <w:szCs w:val="20"/>
              </w:rPr>
            </w:pPr>
            <w:r w:rsidRPr="00CC1ADD">
              <w:rPr>
                <w:rFonts w:cstheme="minorHAnsi"/>
                <w:b/>
                <w:sz w:val="20"/>
                <w:szCs w:val="20"/>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B609E6F" w14:textId="77777777" w:rsidR="00F43B13" w:rsidRPr="00CC1ADD" w:rsidRDefault="00F43B13">
            <w:pPr>
              <w:jc w:val="center"/>
              <w:rPr>
                <w:rFonts w:cstheme="minorHAnsi"/>
                <w:sz w:val="20"/>
                <w:szCs w:val="20"/>
              </w:rPr>
            </w:pPr>
            <w:r w:rsidRPr="00CC1ADD">
              <w:rPr>
                <w:rFonts w:cstheme="minorHAnsi"/>
                <w:sz w:val="20"/>
                <w:szCs w:val="20"/>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AADBB8" w14:textId="77777777" w:rsidR="00F43B13" w:rsidRPr="00CC1ADD" w:rsidRDefault="00F43B13">
            <w:pPr>
              <w:jc w:val="center"/>
              <w:rPr>
                <w:rFonts w:cstheme="minorHAnsi"/>
                <w:sz w:val="20"/>
                <w:szCs w:val="20"/>
              </w:rPr>
            </w:pPr>
            <w:r w:rsidRPr="00CC1ADD">
              <w:rPr>
                <w:rFonts w:cstheme="minorHAnsi"/>
                <w:sz w:val="20"/>
                <w:szCs w:val="20"/>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9BC020E" w14:textId="77777777" w:rsidR="00F43B13" w:rsidRPr="00CC1ADD" w:rsidRDefault="00F43B13">
            <w:pPr>
              <w:jc w:val="center"/>
              <w:rPr>
                <w:rFonts w:cstheme="minorHAnsi"/>
                <w:sz w:val="20"/>
                <w:szCs w:val="20"/>
              </w:rPr>
            </w:pPr>
            <w:r w:rsidRPr="00CC1ADD">
              <w:rPr>
                <w:rFonts w:cstheme="minorHAnsi"/>
                <w:sz w:val="20"/>
                <w:szCs w:val="20"/>
              </w:rPr>
              <w:t>3 to 6</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0CA78F42" w14:textId="77777777" w:rsidR="00F43B13" w:rsidRPr="00CC1ADD" w:rsidRDefault="00F43B13">
            <w:pPr>
              <w:jc w:val="center"/>
              <w:rPr>
                <w:rFonts w:cstheme="minorHAnsi"/>
                <w:sz w:val="20"/>
                <w:szCs w:val="20"/>
              </w:rPr>
            </w:pPr>
            <w:r w:rsidRPr="00CC1ADD">
              <w:rPr>
                <w:rFonts w:cstheme="minorHAnsi"/>
                <w:sz w:val="2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32F84FC" w14:textId="77777777" w:rsidR="00F43B13" w:rsidRPr="00CC1ADD" w:rsidRDefault="00F43B13">
            <w:pPr>
              <w:jc w:val="center"/>
              <w:rPr>
                <w:rFonts w:cstheme="minorHAnsi"/>
                <w:sz w:val="20"/>
                <w:szCs w:val="20"/>
              </w:rPr>
            </w:pPr>
            <w:r w:rsidRPr="00CC1ADD">
              <w:rPr>
                <w:rFonts w:cstheme="minorHAnsi"/>
                <w:sz w:val="20"/>
                <w:szCs w:val="20"/>
              </w:rPr>
              <w:t>24 to 27</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210D7F41" w14:textId="77777777" w:rsidR="00F43B13" w:rsidRPr="00CC1ADD" w:rsidRDefault="00F43B13">
            <w:pPr>
              <w:jc w:val="center"/>
              <w:rPr>
                <w:rFonts w:cstheme="minorHAnsi"/>
                <w:sz w:val="20"/>
                <w:szCs w:val="20"/>
              </w:rPr>
            </w:pPr>
            <w:r w:rsidRPr="00CC1ADD">
              <w:rPr>
                <w:rFonts w:cstheme="minorHAnsi"/>
                <w:sz w:val="20"/>
                <w:szCs w:val="20"/>
              </w:rPr>
              <w:t>29 to 30</w:t>
            </w:r>
          </w:p>
        </w:tc>
      </w:tr>
      <w:tr w:rsidR="00F43B13" w:rsidRPr="00CC1ADD" w14:paraId="1DEFACBF"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771EB110" w14:textId="5EB287BF" w:rsidR="00F43B13" w:rsidRPr="00CC1ADD" w:rsidRDefault="00F43B13" w:rsidP="005A3631">
            <w:pPr>
              <w:jc w:val="center"/>
              <w:rPr>
                <w:rFonts w:cstheme="minorHAnsi"/>
                <w:b/>
                <w:sz w:val="20"/>
                <w:szCs w:val="20"/>
              </w:rPr>
            </w:pPr>
            <w:r w:rsidRPr="00CC1ADD">
              <w:rPr>
                <w:rFonts w:cstheme="minorHAnsi"/>
                <w:b/>
                <w:sz w:val="20"/>
                <w:szCs w:val="20"/>
              </w:rPr>
              <w:t>2.5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7B9976" w14:textId="77777777" w:rsidR="00F43B13" w:rsidRPr="00CC1ADD" w:rsidRDefault="00F43B13">
            <w:pPr>
              <w:jc w:val="center"/>
              <w:rPr>
                <w:rFonts w:cstheme="minorHAnsi"/>
                <w:sz w:val="20"/>
                <w:szCs w:val="20"/>
              </w:rPr>
            </w:pPr>
            <w:r w:rsidRPr="00CC1ADD">
              <w:rPr>
                <w:rFonts w:cstheme="minorHAnsi"/>
                <w:sz w:val="20"/>
                <w:szCs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3BB3E5F" w14:textId="77777777" w:rsidR="00F43B13" w:rsidRPr="00CC1ADD" w:rsidRDefault="00F43B13">
            <w:pPr>
              <w:jc w:val="center"/>
              <w:rPr>
                <w:rFonts w:cstheme="minorHAnsi"/>
                <w:sz w:val="20"/>
                <w:szCs w:val="20"/>
              </w:rPr>
            </w:pPr>
            <w:r w:rsidRPr="00CC1ADD">
              <w:rPr>
                <w:rFonts w:cstheme="minorHAnsi"/>
                <w:sz w:val="20"/>
                <w:szCs w:val="20"/>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154C21D" w14:textId="77777777" w:rsidR="00F43B13" w:rsidRPr="00CC1ADD" w:rsidRDefault="00F43B13">
            <w:pPr>
              <w:jc w:val="center"/>
              <w:rPr>
                <w:rFonts w:cstheme="minorHAnsi"/>
                <w:sz w:val="20"/>
                <w:szCs w:val="20"/>
              </w:rPr>
            </w:pPr>
            <w:r w:rsidRPr="00CC1ADD">
              <w:rPr>
                <w:rFonts w:cstheme="minorHAnsi"/>
                <w:sz w:val="20"/>
                <w:szCs w:val="20"/>
              </w:rPr>
              <w:t>7 to 11</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5BA7B943" w14:textId="77777777" w:rsidR="00F43B13" w:rsidRPr="00CC1ADD" w:rsidRDefault="00F43B13">
            <w:pPr>
              <w:jc w:val="center"/>
              <w:rPr>
                <w:rFonts w:cstheme="minorHAnsi"/>
                <w:sz w:val="20"/>
                <w:szCs w:val="20"/>
              </w:rPr>
            </w:pPr>
            <w:r w:rsidRPr="00CC1ADD">
              <w:rPr>
                <w:rFonts w:cstheme="minorHAnsi"/>
                <w:sz w:val="20"/>
                <w:szCs w:val="20"/>
              </w:rPr>
              <w:t>3</w:t>
            </w:r>
          </w:p>
          <w:p w14:paraId="4C7B1A61" w14:textId="77777777" w:rsidR="00F43B13" w:rsidRPr="00CC1ADD" w:rsidRDefault="00F43B13">
            <w:pPr>
              <w:jc w:val="center"/>
              <w:rPr>
                <w:rFonts w:cstheme="minorHAnsi"/>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9AFC951" w14:textId="77777777" w:rsidR="00F43B13" w:rsidRPr="00CC1ADD" w:rsidRDefault="00F43B13">
            <w:pPr>
              <w:jc w:val="center"/>
              <w:rPr>
                <w:rFonts w:cstheme="minorHAnsi"/>
                <w:sz w:val="20"/>
                <w:szCs w:val="20"/>
              </w:rPr>
            </w:pPr>
            <w:r w:rsidRPr="00CC1ADD">
              <w:rPr>
                <w:rFonts w:cstheme="minorHAnsi"/>
                <w:sz w:val="20"/>
                <w:szCs w:val="20"/>
              </w:rPr>
              <w:t>28 to 30</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57CAE63E" w14:textId="77777777" w:rsidR="00F43B13" w:rsidRPr="00CC1ADD" w:rsidRDefault="00F43B13">
            <w:pPr>
              <w:jc w:val="center"/>
              <w:rPr>
                <w:rFonts w:cstheme="minorHAnsi"/>
                <w:sz w:val="20"/>
                <w:szCs w:val="20"/>
              </w:rPr>
            </w:pPr>
            <w:r w:rsidRPr="00CC1ADD">
              <w:rPr>
                <w:rFonts w:cstheme="minorHAnsi"/>
                <w:sz w:val="20"/>
                <w:szCs w:val="20"/>
              </w:rPr>
              <w:t>31 to 32</w:t>
            </w:r>
          </w:p>
        </w:tc>
      </w:tr>
      <w:tr w:rsidR="00F43B13" w:rsidRPr="00CC1ADD" w14:paraId="22661614"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EC2D529" w14:textId="77777777" w:rsidR="00F43B13" w:rsidRPr="00CC1ADD" w:rsidRDefault="00F43B13" w:rsidP="005A3631">
            <w:pPr>
              <w:jc w:val="center"/>
              <w:rPr>
                <w:rFonts w:cstheme="minorHAnsi"/>
                <w:b/>
                <w:sz w:val="20"/>
                <w:szCs w:val="20"/>
              </w:rPr>
            </w:pPr>
            <w:r w:rsidRPr="00CC1ADD">
              <w:rPr>
                <w:rFonts w:cstheme="minorHAnsi"/>
                <w:b/>
                <w:sz w:val="20"/>
                <w:szCs w:val="20"/>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3783B17" w14:textId="77777777" w:rsidR="00F43B13" w:rsidRPr="00CC1ADD" w:rsidRDefault="00F43B13">
            <w:pPr>
              <w:jc w:val="center"/>
              <w:rPr>
                <w:rFonts w:cstheme="minorHAnsi"/>
                <w:sz w:val="20"/>
                <w:szCs w:val="20"/>
              </w:rPr>
            </w:pPr>
            <w:r w:rsidRPr="00CC1ADD">
              <w:rPr>
                <w:rFonts w:cstheme="minorHAnsi"/>
                <w:sz w:val="20"/>
                <w:szCs w:val="20"/>
              </w:rPr>
              <w:t>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67FE036" w14:textId="77777777" w:rsidR="00F43B13" w:rsidRPr="00CC1ADD" w:rsidRDefault="00F43B13">
            <w:pPr>
              <w:jc w:val="center"/>
              <w:rPr>
                <w:rFonts w:cstheme="minorHAnsi"/>
                <w:sz w:val="20"/>
                <w:szCs w:val="20"/>
              </w:rPr>
            </w:pPr>
            <w:r w:rsidRPr="00CC1ADD">
              <w:rPr>
                <w:rFonts w:cstheme="minorHAnsi"/>
                <w:sz w:val="20"/>
                <w:szCs w:val="20"/>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C93EF3" w14:textId="77777777" w:rsidR="00F43B13" w:rsidRPr="00CC1ADD" w:rsidRDefault="00F43B13">
            <w:pPr>
              <w:jc w:val="center"/>
              <w:rPr>
                <w:rFonts w:cstheme="minorHAnsi"/>
                <w:sz w:val="20"/>
                <w:szCs w:val="20"/>
              </w:rPr>
            </w:pPr>
            <w:r w:rsidRPr="00CC1ADD">
              <w:rPr>
                <w:rFonts w:cstheme="minorHAnsi"/>
                <w:sz w:val="20"/>
                <w:szCs w:val="20"/>
              </w:rPr>
              <w:t>12 to 15</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3D80C71F" w14:textId="77777777" w:rsidR="00F43B13" w:rsidRPr="00CC1ADD" w:rsidRDefault="00F43B13">
            <w:pPr>
              <w:jc w:val="center"/>
              <w:rPr>
                <w:rFonts w:cstheme="minorHAnsi"/>
                <w:sz w:val="20"/>
                <w:szCs w:val="20"/>
              </w:rPr>
            </w:pPr>
            <w:r w:rsidRPr="00CC1ADD">
              <w:rPr>
                <w:rFonts w:cstheme="minorHAnsi"/>
                <w:sz w:val="20"/>
                <w:szCs w:val="20"/>
              </w:rPr>
              <w:t>4</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063B7BF" w14:textId="77777777" w:rsidR="00F43B13" w:rsidRPr="00CC1ADD" w:rsidRDefault="00F43B13">
            <w:pPr>
              <w:jc w:val="center"/>
              <w:rPr>
                <w:rFonts w:cstheme="minorHAnsi"/>
                <w:sz w:val="20"/>
                <w:szCs w:val="20"/>
              </w:rPr>
            </w:pPr>
            <w:r w:rsidRPr="00CC1ADD">
              <w:rPr>
                <w:rFonts w:cstheme="minorHAnsi"/>
                <w:sz w:val="20"/>
                <w:szCs w:val="20"/>
              </w:rPr>
              <w:t>31 to 34</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5C8CD8CD" w14:textId="77777777" w:rsidR="00F43B13" w:rsidRPr="00CC1ADD" w:rsidRDefault="00F43B13">
            <w:pPr>
              <w:jc w:val="center"/>
              <w:rPr>
                <w:rFonts w:cstheme="minorHAnsi"/>
                <w:sz w:val="20"/>
                <w:szCs w:val="20"/>
              </w:rPr>
            </w:pPr>
            <w:r w:rsidRPr="00CC1ADD">
              <w:rPr>
                <w:rFonts w:cstheme="minorHAnsi"/>
                <w:sz w:val="20"/>
                <w:szCs w:val="20"/>
              </w:rPr>
              <w:t>33 to 34</w:t>
            </w:r>
          </w:p>
        </w:tc>
      </w:tr>
      <w:tr w:rsidR="00F43B13" w:rsidRPr="00CC1ADD" w14:paraId="5FB3AEFF" w14:textId="77777777" w:rsidTr="00B36208">
        <w:trPr>
          <w:trHeight w:val="17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169BC6E" w14:textId="7189A03A" w:rsidR="00F43B13" w:rsidRPr="00CC1ADD" w:rsidRDefault="00F43B13" w:rsidP="005A3631">
            <w:pPr>
              <w:jc w:val="center"/>
              <w:rPr>
                <w:rFonts w:cstheme="minorHAnsi"/>
                <w:b/>
                <w:sz w:val="20"/>
                <w:szCs w:val="20"/>
              </w:rPr>
            </w:pPr>
            <w:r w:rsidRPr="00CC1ADD">
              <w:rPr>
                <w:rFonts w:cstheme="minorHAnsi"/>
                <w:b/>
                <w:sz w:val="20"/>
                <w:szCs w:val="20"/>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06EA686" w14:textId="77777777" w:rsidR="00F43B13" w:rsidRPr="00CC1ADD" w:rsidRDefault="00F43B13">
            <w:pPr>
              <w:jc w:val="center"/>
              <w:rPr>
                <w:rFonts w:cstheme="minorHAnsi"/>
                <w:sz w:val="20"/>
                <w:szCs w:val="20"/>
              </w:rPr>
            </w:pPr>
            <w:r w:rsidRPr="00CC1ADD">
              <w:rPr>
                <w:rFonts w:cstheme="minorHAnsi"/>
                <w:sz w:val="20"/>
                <w:szCs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FF71EFE" w14:textId="77777777" w:rsidR="00F43B13" w:rsidRPr="00CC1ADD" w:rsidRDefault="00F43B13">
            <w:pPr>
              <w:jc w:val="center"/>
              <w:rPr>
                <w:rFonts w:cstheme="minorHAnsi"/>
                <w:sz w:val="20"/>
                <w:szCs w:val="20"/>
              </w:rPr>
            </w:pPr>
            <w:r w:rsidRPr="00CC1ADD">
              <w:rPr>
                <w:rFonts w:cstheme="minorHAnsi"/>
                <w:sz w:val="20"/>
                <w:szCs w:val="20"/>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6CFEF1" w14:textId="77777777" w:rsidR="00F43B13" w:rsidRPr="00CC1ADD" w:rsidRDefault="00F43B13">
            <w:pPr>
              <w:jc w:val="center"/>
              <w:rPr>
                <w:rFonts w:cstheme="minorHAnsi"/>
                <w:sz w:val="20"/>
                <w:szCs w:val="20"/>
              </w:rPr>
            </w:pPr>
            <w:r w:rsidRPr="00CC1ADD">
              <w:rPr>
                <w:rFonts w:cstheme="minorHAnsi"/>
                <w:sz w:val="20"/>
                <w:szCs w:val="20"/>
              </w:rPr>
              <w:t>16 to 20</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5E7D4960" w14:textId="77777777" w:rsidR="00F43B13" w:rsidRPr="00CC1ADD" w:rsidRDefault="00F43B13">
            <w:pPr>
              <w:jc w:val="center"/>
              <w:rPr>
                <w:rFonts w:cstheme="minorHAnsi"/>
                <w:sz w:val="20"/>
                <w:szCs w:val="20"/>
              </w:rPr>
            </w:pPr>
            <w:r w:rsidRPr="00CC1ADD">
              <w:rPr>
                <w:rFonts w:cstheme="minorHAnsi"/>
                <w:sz w:val="20"/>
                <w:szCs w:val="20"/>
              </w:rPr>
              <w:t>5</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0774E250" w14:textId="77777777" w:rsidR="00F43B13" w:rsidRPr="00CC1ADD" w:rsidRDefault="00F43B13">
            <w:pPr>
              <w:jc w:val="center"/>
              <w:rPr>
                <w:rFonts w:cstheme="minorHAnsi"/>
                <w:sz w:val="20"/>
                <w:szCs w:val="20"/>
              </w:rPr>
            </w:pPr>
            <w:r w:rsidRPr="00CC1ADD">
              <w:rPr>
                <w:rFonts w:cstheme="minorHAnsi"/>
                <w:sz w:val="20"/>
                <w:szCs w:val="20"/>
              </w:rPr>
              <w:t>35 to 37</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2A1AC2E6" w14:textId="77777777" w:rsidR="00F43B13" w:rsidRPr="00CC1ADD" w:rsidRDefault="00F43B13">
            <w:pPr>
              <w:jc w:val="center"/>
              <w:rPr>
                <w:rFonts w:cstheme="minorHAnsi"/>
                <w:sz w:val="20"/>
                <w:szCs w:val="20"/>
              </w:rPr>
            </w:pPr>
            <w:r w:rsidRPr="00CC1ADD">
              <w:rPr>
                <w:rFonts w:cstheme="minorHAnsi"/>
                <w:sz w:val="20"/>
                <w:szCs w:val="20"/>
              </w:rPr>
              <w:t>35 to 36</w:t>
            </w:r>
          </w:p>
        </w:tc>
      </w:tr>
      <w:tr w:rsidR="00F43B13" w:rsidRPr="00CC1ADD" w14:paraId="314FB191" w14:textId="77777777" w:rsidTr="005D75D3">
        <w:trPr>
          <w:trHeight w:val="3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B4D4462" w14:textId="77777777" w:rsidR="00F43B13" w:rsidRPr="00CC1ADD" w:rsidRDefault="00F43B13" w:rsidP="005A3631">
            <w:pPr>
              <w:jc w:val="center"/>
              <w:rPr>
                <w:rFonts w:cstheme="minorHAnsi"/>
                <w:b/>
                <w:sz w:val="20"/>
                <w:szCs w:val="20"/>
              </w:rPr>
            </w:pPr>
            <w:r w:rsidRPr="00CC1ADD">
              <w:rPr>
                <w:rFonts w:cstheme="minorHAnsi"/>
                <w:b/>
                <w:sz w:val="20"/>
                <w:szCs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450B9D" w14:textId="77777777" w:rsidR="00F43B13" w:rsidRPr="00CC1ADD" w:rsidRDefault="00F43B13">
            <w:pPr>
              <w:jc w:val="center"/>
              <w:rPr>
                <w:rFonts w:cstheme="minorHAnsi"/>
                <w:sz w:val="20"/>
                <w:szCs w:val="20"/>
              </w:rPr>
            </w:pPr>
            <w:r w:rsidRPr="00CC1ADD">
              <w:rPr>
                <w:rFonts w:cstheme="minorHAnsi"/>
                <w:sz w:val="20"/>
                <w:szCs w:val="20"/>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9DB5FBA" w14:textId="77777777" w:rsidR="00F43B13" w:rsidRPr="00CC1ADD" w:rsidRDefault="00F43B13">
            <w:pPr>
              <w:jc w:val="center"/>
              <w:rPr>
                <w:rFonts w:cstheme="minorHAnsi"/>
                <w:sz w:val="20"/>
                <w:szCs w:val="20"/>
              </w:rPr>
            </w:pPr>
            <w:r w:rsidRPr="00CC1ADD">
              <w:rPr>
                <w:rFonts w:cstheme="minorHAnsi"/>
                <w:sz w:val="20"/>
                <w:szCs w:val="20"/>
              </w:rPr>
              <w:t>6</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FF4264E" w14:textId="77777777" w:rsidR="00F43B13" w:rsidRPr="00CC1ADD" w:rsidRDefault="00F43B13">
            <w:pPr>
              <w:jc w:val="center"/>
              <w:rPr>
                <w:rFonts w:cstheme="minorHAnsi"/>
                <w:sz w:val="20"/>
                <w:szCs w:val="20"/>
              </w:rPr>
            </w:pPr>
            <w:r w:rsidRPr="00CC1ADD">
              <w:rPr>
                <w:rFonts w:cstheme="minorHAnsi"/>
                <w:sz w:val="20"/>
                <w:szCs w:val="20"/>
              </w:rPr>
              <w:t>21 to 24</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346E5FF8" w14:textId="77777777" w:rsidR="00F43B13" w:rsidRPr="00CC1ADD" w:rsidRDefault="00F43B13">
            <w:pPr>
              <w:jc w:val="center"/>
              <w:rPr>
                <w:rFonts w:cstheme="minorHAnsi"/>
                <w:sz w:val="20"/>
                <w:szCs w:val="20"/>
              </w:rPr>
            </w:pPr>
            <w:r w:rsidRPr="00CC1ADD">
              <w:rPr>
                <w:rFonts w:cstheme="minorHAnsi"/>
                <w:sz w:val="20"/>
                <w:szCs w:val="20"/>
              </w:rPr>
              <w:t>6</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09647A93" w14:textId="77777777" w:rsidR="00F43B13" w:rsidRPr="00CC1ADD" w:rsidRDefault="00F43B13">
            <w:pPr>
              <w:jc w:val="center"/>
              <w:rPr>
                <w:rFonts w:cstheme="minorHAnsi"/>
                <w:sz w:val="20"/>
                <w:szCs w:val="20"/>
              </w:rPr>
            </w:pPr>
            <w:r w:rsidRPr="00CC1ADD">
              <w:rPr>
                <w:rFonts w:cstheme="minorHAnsi"/>
                <w:sz w:val="20"/>
                <w:szCs w:val="20"/>
              </w:rPr>
              <w:t>38 to 41</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6EBF05D5" w14:textId="77777777" w:rsidR="00F43B13" w:rsidRPr="00CC1ADD" w:rsidRDefault="00F43B13">
            <w:pPr>
              <w:jc w:val="center"/>
              <w:rPr>
                <w:rFonts w:cstheme="minorHAnsi"/>
                <w:sz w:val="20"/>
                <w:szCs w:val="20"/>
              </w:rPr>
            </w:pPr>
            <w:r w:rsidRPr="00CC1ADD">
              <w:rPr>
                <w:rFonts w:cstheme="minorHAnsi"/>
                <w:sz w:val="20"/>
                <w:szCs w:val="20"/>
              </w:rPr>
              <w:t>37 to 38</w:t>
            </w:r>
          </w:p>
        </w:tc>
      </w:tr>
      <w:tr w:rsidR="00F43B13" w:rsidRPr="00CC1ADD" w14:paraId="4409A2BF" w14:textId="77777777" w:rsidTr="00B36208">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95BE4CF" w14:textId="07EDD916" w:rsidR="00F43B13" w:rsidRPr="00CC1ADD" w:rsidRDefault="00F43B13" w:rsidP="005A3631">
            <w:pPr>
              <w:jc w:val="center"/>
              <w:rPr>
                <w:rFonts w:cstheme="minorHAnsi"/>
                <w:b/>
                <w:sz w:val="20"/>
                <w:szCs w:val="20"/>
              </w:rPr>
            </w:pPr>
            <w:r w:rsidRPr="00CC1ADD">
              <w:rPr>
                <w:rFonts w:cstheme="minorHAnsi"/>
                <w:b/>
                <w:sz w:val="20"/>
                <w:szCs w:val="20"/>
              </w:rPr>
              <w:t>0.5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65D0F0" w14:textId="77777777" w:rsidR="00F43B13" w:rsidRPr="00CC1ADD" w:rsidRDefault="00F43B13">
            <w:pPr>
              <w:jc w:val="center"/>
              <w:rPr>
                <w:rFonts w:cstheme="minorHAnsi"/>
                <w:sz w:val="20"/>
                <w:szCs w:val="20"/>
              </w:rPr>
            </w:pPr>
            <w:r w:rsidRPr="00CC1ADD">
              <w:rPr>
                <w:rFonts w:cstheme="minorHAnsi"/>
                <w:sz w:val="20"/>
                <w:szCs w:val="20"/>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E0D44B5" w14:textId="77777777" w:rsidR="00F43B13" w:rsidRPr="00CC1ADD" w:rsidRDefault="00F43B13">
            <w:pPr>
              <w:jc w:val="center"/>
              <w:rPr>
                <w:rFonts w:cstheme="minorHAnsi"/>
                <w:sz w:val="20"/>
                <w:szCs w:val="20"/>
              </w:rPr>
            </w:pPr>
            <w:r w:rsidRPr="00CC1ADD">
              <w:rPr>
                <w:rFonts w:cstheme="minorHAnsi"/>
                <w:sz w:val="20"/>
                <w:szCs w:val="20"/>
              </w:rPr>
              <w:t>≥7</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118C19" w14:textId="77777777" w:rsidR="00F43B13" w:rsidRPr="00CC1ADD" w:rsidRDefault="00F43B13">
            <w:pPr>
              <w:jc w:val="center"/>
              <w:rPr>
                <w:rFonts w:cstheme="minorHAnsi"/>
                <w:sz w:val="20"/>
                <w:szCs w:val="20"/>
              </w:rPr>
            </w:pPr>
            <w:r w:rsidRPr="00CC1ADD">
              <w:rPr>
                <w:rFonts w:cstheme="minorHAnsi"/>
                <w:sz w:val="20"/>
                <w:szCs w:val="20"/>
              </w:rPr>
              <w:t>≥25</w:t>
            </w:r>
          </w:p>
        </w:tc>
        <w:tc>
          <w:tcPr>
            <w:tcW w:w="1375" w:type="dxa"/>
            <w:tcBorders>
              <w:top w:val="single" w:sz="4" w:space="0" w:color="000000"/>
              <w:left w:val="single" w:sz="4" w:space="0" w:color="000000"/>
              <w:bottom w:val="single" w:sz="4" w:space="0" w:color="000000"/>
              <w:right w:val="single" w:sz="4" w:space="0" w:color="000000"/>
            </w:tcBorders>
            <w:vAlign w:val="center"/>
            <w:hideMark/>
          </w:tcPr>
          <w:p w14:paraId="02388BB4" w14:textId="77777777" w:rsidR="00F43B13" w:rsidRPr="00CC1ADD" w:rsidRDefault="00F43B13">
            <w:pPr>
              <w:jc w:val="center"/>
              <w:rPr>
                <w:rFonts w:cstheme="minorHAnsi"/>
                <w:sz w:val="20"/>
                <w:szCs w:val="20"/>
              </w:rPr>
            </w:pPr>
            <w:r w:rsidRPr="00CC1ADD">
              <w:rPr>
                <w:rFonts w:cstheme="minorHAnsi"/>
                <w:sz w:val="20"/>
                <w:szCs w:val="20"/>
              </w:rPr>
              <w:t>≥7</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E542C2A" w14:textId="77777777" w:rsidR="00F43B13" w:rsidRPr="00CC1ADD" w:rsidRDefault="00F43B13">
            <w:pPr>
              <w:jc w:val="center"/>
              <w:rPr>
                <w:rFonts w:cstheme="minorHAnsi"/>
                <w:sz w:val="20"/>
                <w:szCs w:val="20"/>
              </w:rPr>
            </w:pPr>
            <w:r w:rsidRPr="00CC1ADD">
              <w:rPr>
                <w:rFonts w:cstheme="minorHAnsi"/>
                <w:sz w:val="20"/>
                <w:szCs w:val="20"/>
              </w:rPr>
              <w:t>≥42</w:t>
            </w:r>
          </w:p>
        </w:tc>
        <w:tc>
          <w:tcPr>
            <w:tcW w:w="1661" w:type="dxa"/>
            <w:tcBorders>
              <w:top w:val="single" w:sz="4" w:space="0" w:color="000000"/>
              <w:left w:val="single" w:sz="4" w:space="0" w:color="000000"/>
              <w:bottom w:val="single" w:sz="4" w:space="0" w:color="000000"/>
              <w:right w:val="single" w:sz="4" w:space="0" w:color="000000"/>
            </w:tcBorders>
            <w:vAlign w:val="center"/>
            <w:hideMark/>
          </w:tcPr>
          <w:p w14:paraId="0E2F34CF" w14:textId="77777777" w:rsidR="00F43B13" w:rsidRPr="00CC1ADD" w:rsidRDefault="00F43B13">
            <w:pPr>
              <w:jc w:val="center"/>
              <w:rPr>
                <w:rFonts w:cstheme="minorHAnsi"/>
                <w:sz w:val="20"/>
                <w:szCs w:val="20"/>
              </w:rPr>
            </w:pPr>
            <w:r w:rsidRPr="00CC1ADD">
              <w:rPr>
                <w:rFonts w:cstheme="minorHAnsi"/>
                <w:sz w:val="20"/>
                <w:szCs w:val="20"/>
              </w:rPr>
              <w:t>≥39</w:t>
            </w:r>
          </w:p>
        </w:tc>
      </w:tr>
    </w:tbl>
    <w:p w14:paraId="40B5400B" w14:textId="77777777" w:rsidR="00F43B13" w:rsidRPr="00CC1ADD" w:rsidRDefault="00F43B13" w:rsidP="005D75D3">
      <w:pPr>
        <w:pStyle w:val="mpcNormal"/>
        <w:keepNext w:val="0"/>
      </w:pPr>
    </w:p>
    <w:p w14:paraId="0466CADB" w14:textId="77777777" w:rsidR="00F43B13" w:rsidRPr="00CC1ADD" w:rsidRDefault="00F43B13" w:rsidP="005D75D3">
      <w:pPr>
        <w:pStyle w:val="mpcNormal"/>
        <w:keepNext w:val="0"/>
      </w:pPr>
    </w:p>
    <w:p w14:paraId="7680D366" w14:textId="77777777" w:rsidR="00F43B13" w:rsidRPr="00CC1ADD" w:rsidRDefault="00F43B13" w:rsidP="005A3631">
      <w:pPr>
        <w:rPr>
          <w:sz w:val="22"/>
          <w:szCs w:val="22"/>
        </w:rPr>
      </w:pPr>
    </w:p>
    <w:p w14:paraId="473AF7D3" w14:textId="77777777" w:rsidR="00F43B13" w:rsidRPr="00CC1ADD" w:rsidRDefault="00F43B13">
      <w:pPr>
        <w:rPr>
          <w:sz w:val="22"/>
          <w:szCs w:val="22"/>
        </w:rPr>
      </w:pPr>
    </w:p>
    <w:p w14:paraId="3C423896" w14:textId="77777777" w:rsidR="00F43B13" w:rsidRPr="00CC1ADD" w:rsidRDefault="00F43B13">
      <w:pPr>
        <w:rPr>
          <w:sz w:val="22"/>
          <w:szCs w:val="22"/>
        </w:rPr>
      </w:pPr>
    </w:p>
    <w:p w14:paraId="5EF03A6A" w14:textId="299163E0" w:rsidR="009A5449" w:rsidRPr="00CC1ADD" w:rsidRDefault="003918E8">
      <w:pPr>
        <w:pStyle w:val="mpcheading1"/>
        <w:spacing w:after="0"/>
      </w:pPr>
      <w:r w:rsidRPr="00CC1ADD">
        <w:br w:type="column"/>
      </w:r>
      <w:bookmarkStart w:id="161" w:name="AppendixB"/>
      <w:bookmarkStart w:id="162" w:name="_Toc1746523"/>
      <w:bookmarkEnd w:id="161"/>
      <w:r w:rsidR="009A5449" w:rsidRPr="00CC1ADD">
        <w:t xml:space="preserve">Appendix B: Impact of the </w:t>
      </w:r>
      <w:r w:rsidR="00C82D90">
        <w:t>Health Star Rating</w:t>
      </w:r>
      <w:r w:rsidR="009A5449" w:rsidRPr="00CC1ADD">
        <w:t xml:space="preserve"> System</w:t>
      </w:r>
      <w:bookmarkEnd w:id="162"/>
    </w:p>
    <w:p w14:paraId="40FDD8FD" w14:textId="77777777" w:rsidR="009A5449" w:rsidRPr="00CC1ADD" w:rsidRDefault="009A5449" w:rsidP="005D75D3">
      <w:pPr>
        <w:pStyle w:val="mpcNormal"/>
        <w:keepNext w:val="0"/>
      </w:pPr>
    </w:p>
    <w:p w14:paraId="657A2BA3" w14:textId="20FCC1F9" w:rsidR="009A5449" w:rsidRDefault="009A5449" w:rsidP="005A3631">
      <w:pPr>
        <w:pStyle w:val="mpcheading2"/>
      </w:pPr>
      <w:bookmarkStart w:id="163" w:name="Statistics"/>
      <w:bookmarkStart w:id="164" w:name="_Toc1746524"/>
      <w:r w:rsidRPr="00CC1ADD">
        <w:t>K</w:t>
      </w:r>
      <w:bookmarkEnd w:id="163"/>
      <w:r w:rsidRPr="00CC1ADD">
        <w:t>ey statistics</w:t>
      </w:r>
      <w:bookmarkEnd w:id="164"/>
    </w:p>
    <w:tbl>
      <w:tblPr>
        <w:tblStyle w:val="TableGrid"/>
        <w:tblW w:w="10206" w:type="dxa"/>
        <w:tblInd w:w="-289" w:type="dxa"/>
        <w:tblLook w:val="04A0" w:firstRow="1" w:lastRow="0" w:firstColumn="1" w:lastColumn="0" w:noHBand="0" w:noVBand="1"/>
      </w:tblPr>
      <w:tblGrid>
        <w:gridCol w:w="1515"/>
        <w:gridCol w:w="4173"/>
        <w:gridCol w:w="4518"/>
      </w:tblGrid>
      <w:tr w:rsidR="006A1351" w:rsidRPr="00CC1ADD" w14:paraId="7FEF5EA3" w14:textId="77777777" w:rsidTr="005D75D3">
        <w:trPr>
          <w:trHeight w:val="559"/>
        </w:trPr>
        <w:tc>
          <w:tcPr>
            <w:tcW w:w="1515" w:type="dxa"/>
            <w:shd w:val="clear" w:color="auto" w:fill="516A8E"/>
            <w:vAlign w:val="center"/>
          </w:tcPr>
          <w:p w14:paraId="47D90261" w14:textId="77777777" w:rsidR="006A1351" w:rsidRPr="00CC1ADD" w:rsidRDefault="006A1351" w:rsidP="005D75D3">
            <w:pPr>
              <w:pStyle w:val="mpcNormal"/>
              <w:keepNext w:val="0"/>
              <w:widowControl w:val="0"/>
              <w:rPr>
                <w:color w:val="FFFFFF" w:themeColor="background1"/>
                <w:sz w:val="20"/>
                <w:szCs w:val="20"/>
              </w:rPr>
            </w:pPr>
            <w:bookmarkStart w:id="165" w:name="Stats"/>
            <w:bookmarkEnd w:id="165"/>
          </w:p>
        </w:tc>
        <w:tc>
          <w:tcPr>
            <w:tcW w:w="4173" w:type="dxa"/>
            <w:shd w:val="clear" w:color="auto" w:fill="516A8E"/>
            <w:vAlign w:val="center"/>
          </w:tcPr>
          <w:p w14:paraId="6B3D25FE" w14:textId="77777777" w:rsidR="006A1351" w:rsidRPr="00CC1ADD" w:rsidRDefault="006A1351" w:rsidP="005D75D3">
            <w:pPr>
              <w:pStyle w:val="mpcNormal"/>
              <w:keepNext w:val="0"/>
              <w:widowControl w:val="0"/>
              <w:rPr>
                <w:b/>
                <w:color w:val="FFFFFF" w:themeColor="background1"/>
                <w:sz w:val="20"/>
                <w:szCs w:val="20"/>
              </w:rPr>
            </w:pPr>
            <w:r w:rsidRPr="00CC1ADD">
              <w:rPr>
                <w:b/>
                <w:color w:val="FFFFFF" w:themeColor="background1"/>
                <w:sz w:val="20"/>
                <w:szCs w:val="20"/>
              </w:rPr>
              <w:t>Australia</w:t>
            </w:r>
          </w:p>
        </w:tc>
        <w:tc>
          <w:tcPr>
            <w:tcW w:w="4518" w:type="dxa"/>
            <w:shd w:val="clear" w:color="auto" w:fill="516A8E"/>
            <w:vAlign w:val="center"/>
          </w:tcPr>
          <w:p w14:paraId="23E76A8D" w14:textId="77777777" w:rsidR="006A1351" w:rsidRPr="00CC1ADD" w:rsidRDefault="006A1351" w:rsidP="005D75D3">
            <w:pPr>
              <w:pStyle w:val="mpcNormal"/>
              <w:keepNext w:val="0"/>
              <w:widowControl w:val="0"/>
              <w:rPr>
                <w:b/>
                <w:color w:val="FFFFFF" w:themeColor="background1"/>
                <w:sz w:val="20"/>
                <w:szCs w:val="20"/>
              </w:rPr>
            </w:pPr>
            <w:r w:rsidRPr="00CC1ADD">
              <w:rPr>
                <w:b/>
                <w:color w:val="FFFFFF" w:themeColor="background1"/>
                <w:sz w:val="20"/>
                <w:szCs w:val="20"/>
              </w:rPr>
              <w:t>New Zealand</w:t>
            </w:r>
          </w:p>
        </w:tc>
      </w:tr>
      <w:tr w:rsidR="006A1351" w:rsidRPr="00CC1ADD" w14:paraId="151548F3" w14:textId="77777777" w:rsidTr="006A1351">
        <w:tc>
          <w:tcPr>
            <w:tcW w:w="1515" w:type="dxa"/>
          </w:tcPr>
          <w:p w14:paraId="1D0E94FE" w14:textId="77777777" w:rsidR="006A1351" w:rsidRPr="00CC1ADD" w:rsidRDefault="006A1351" w:rsidP="005D75D3">
            <w:pPr>
              <w:pStyle w:val="mpcNormal"/>
              <w:keepNext w:val="0"/>
              <w:widowControl w:val="0"/>
              <w:rPr>
                <w:b/>
                <w:sz w:val="20"/>
                <w:szCs w:val="20"/>
              </w:rPr>
            </w:pPr>
            <w:r w:rsidRPr="00CC1ADD">
              <w:rPr>
                <w:b/>
                <w:sz w:val="20"/>
                <w:szCs w:val="20"/>
              </w:rPr>
              <w:t>Uptake</w:t>
            </w:r>
          </w:p>
        </w:tc>
        <w:tc>
          <w:tcPr>
            <w:tcW w:w="4173" w:type="dxa"/>
          </w:tcPr>
          <w:p w14:paraId="53769ED4" w14:textId="77777777" w:rsidR="006A1351" w:rsidRPr="00CC1ADD" w:rsidRDefault="006A1351" w:rsidP="005D75D3">
            <w:pPr>
              <w:pStyle w:val="mpcNormal"/>
              <w:keepNext w:val="0"/>
              <w:widowControl w:val="0"/>
              <w:rPr>
                <w:sz w:val="20"/>
                <w:szCs w:val="20"/>
              </w:rPr>
            </w:pPr>
            <w:r w:rsidRPr="00CC1ADD">
              <w:rPr>
                <w:sz w:val="20"/>
                <w:szCs w:val="20"/>
              </w:rPr>
              <w:t>As at June 2018 date, 5,448 products display the HSR, representing 3</w:t>
            </w:r>
            <w:r>
              <w:rPr>
                <w:sz w:val="20"/>
                <w:szCs w:val="20"/>
              </w:rPr>
              <w:t>1</w:t>
            </w:r>
            <w:r w:rsidRPr="00CC1ADD">
              <w:rPr>
                <w:sz w:val="20"/>
                <w:szCs w:val="20"/>
              </w:rPr>
              <w:t>% of all eligible products.</w:t>
            </w:r>
          </w:p>
        </w:tc>
        <w:tc>
          <w:tcPr>
            <w:tcW w:w="4518" w:type="dxa"/>
          </w:tcPr>
          <w:p w14:paraId="08B7FA98" w14:textId="77777777" w:rsidR="006A1351" w:rsidRPr="00CC1ADD" w:rsidRDefault="006A1351" w:rsidP="005D75D3">
            <w:pPr>
              <w:pStyle w:val="mpcNormal"/>
              <w:keepNext w:val="0"/>
              <w:widowControl w:val="0"/>
              <w:rPr>
                <w:sz w:val="20"/>
                <w:szCs w:val="20"/>
              </w:rPr>
            </w:pPr>
            <w:r w:rsidRPr="00CC1ADD">
              <w:rPr>
                <w:sz w:val="20"/>
                <w:szCs w:val="20"/>
              </w:rPr>
              <w:t>As at June 2018 date, 2,997 products display the HSR, representing 21% of all eligible products.</w:t>
            </w:r>
          </w:p>
        </w:tc>
      </w:tr>
      <w:tr w:rsidR="006A1351" w:rsidRPr="00CC1ADD" w14:paraId="290F8E19" w14:textId="77777777" w:rsidTr="006A1351">
        <w:trPr>
          <w:trHeight w:val="959"/>
        </w:trPr>
        <w:tc>
          <w:tcPr>
            <w:tcW w:w="1515" w:type="dxa"/>
          </w:tcPr>
          <w:p w14:paraId="6C9C60CD" w14:textId="77777777" w:rsidR="006A1351" w:rsidRPr="00CC1ADD" w:rsidRDefault="006A1351" w:rsidP="005D75D3">
            <w:pPr>
              <w:pStyle w:val="mpcNormal"/>
              <w:keepNext w:val="0"/>
              <w:widowControl w:val="0"/>
              <w:rPr>
                <w:b/>
                <w:sz w:val="20"/>
                <w:szCs w:val="20"/>
              </w:rPr>
            </w:pPr>
            <w:r w:rsidRPr="00CC1ADD">
              <w:rPr>
                <w:b/>
                <w:sz w:val="20"/>
                <w:szCs w:val="20"/>
              </w:rPr>
              <w:t>Product categories with highest uptake of HSR</w:t>
            </w:r>
          </w:p>
        </w:tc>
        <w:tc>
          <w:tcPr>
            <w:tcW w:w="4173" w:type="dxa"/>
          </w:tcPr>
          <w:p w14:paraId="463A8019" w14:textId="77777777" w:rsidR="006A1351" w:rsidRPr="00CC1ADD" w:rsidRDefault="006A1351" w:rsidP="005D75D3">
            <w:pPr>
              <w:widowControl w:val="0"/>
              <w:rPr>
                <w:rFonts w:cstheme="minorHAnsi"/>
                <w:sz w:val="20"/>
                <w:szCs w:val="20"/>
              </w:rPr>
            </w:pPr>
            <w:r w:rsidRPr="00CC1ADD">
              <w:rPr>
                <w:rFonts w:cstheme="minorHAnsi"/>
                <w:sz w:val="20"/>
                <w:szCs w:val="20"/>
              </w:rPr>
              <w:t>Of the foods displaying the HSR in Australia, the following categories contributed most significantly to the uptake:</w:t>
            </w:r>
          </w:p>
          <w:p w14:paraId="4D512103"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non-dairy beverages:</w:t>
            </w:r>
            <w:r w:rsidRPr="00CC1ADD">
              <w:rPr>
                <w:rFonts w:cstheme="minorHAnsi"/>
                <w:sz w:val="20"/>
                <w:szCs w:val="20"/>
              </w:rPr>
              <w:t xml:space="preserve"> </w:t>
            </w:r>
            <w:r>
              <w:rPr>
                <w:rFonts w:cstheme="minorHAnsi"/>
                <w:sz w:val="20"/>
                <w:szCs w:val="20"/>
              </w:rPr>
              <w:t>11</w:t>
            </w:r>
            <w:r w:rsidRPr="00CC1ADD">
              <w:rPr>
                <w:rFonts w:cstheme="minorHAnsi"/>
                <w:sz w:val="20"/>
                <w:szCs w:val="20"/>
              </w:rPr>
              <w:t>% of total products displaying the HSR</w:t>
            </w:r>
            <w:r>
              <w:rPr>
                <w:rFonts w:cstheme="minorHAnsi"/>
                <w:sz w:val="20"/>
                <w:szCs w:val="20"/>
              </w:rPr>
              <w:t>, 45</w:t>
            </w:r>
            <w:r w:rsidRPr="00CC1ADD">
              <w:rPr>
                <w:rFonts w:cstheme="minorHAnsi"/>
                <w:sz w:val="20"/>
                <w:szCs w:val="20"/>
              </w:rPr>
              <w:t xml:space="preserve">% of eligible products in this category, </w:t>
            </w:r>
            <w:r>
              <w:rPr>
                <w:rFonts w:cstheme="minorHAnsi"/>
                <w:sz w:val="20"/>
                <w:szCs w:val="20"/>
              </w:rPr>
              <w:t>608</w:t>
            </w:r>
            <w:r w:rsidRPr="00CC1ADD">
              <w:rPr>
                <w:rFonts w:cstheme="minorHAnsi"/>
                <w:sz w:val="20"/>
                <w:szCs w:val="20"/>
              </w:rPr>
              <w:t xml:space="preserve"> total products</w:t>
            </w:r>
          </w:p>
          <w:p w14:paraId="3C6C5971" w14:textId="77777777" w:rsidR="006A1351" w:rsidRPr="00CC1ADD" w:rsidRDefault="006A1351" w:rsidP="00C3403E">
            <w:pPr>
              <w:pStyle w:val="ListParagraph"/>
              <w:widowControl w:val="0"/>
              <w:numPr>
                <w:ilvl w:val="0"/>
                <w:numId w:val="32"/>
              </w:numPr>
              <w:rPr>
                <w:rFonts w:cstheme="minorHAnsi"/>
                <w:sz w:val="20"/>
                <w:szCs w:val="20"/>
              </w:rPr>
            </w:pPr>
            <w:r>
              <w:rPr>
                <w:rFonts w:cstheme="minorHAnsi"/>
                <w:b/>
                <w:sz w:val="20"/>
                <w:szCs w:val="20"/>
              </w:rPr>
              <w:t>processed meat and seafood</w:t>
            </w:r>
            <w:r w:rsidRPr="00CC1ADD">
              <w:rPr>
                <w:rFonts w:cstheme="minorHAnsi"/>
                <w:b/>
                <w:sz w:val="20"/>
                <w:szCs w:val="20"/>
              </w:rPr>
              <w:t>:</w:t>
            </w:r>
            <w:r w:rsidRPr="00CC1ADD">
              <w:rPr>
                <w:rFonts w:cstheme="minorHAnsi"/>
                <w:sz w:val="20"/>
                <w:szCs w:val="20"/>
              </w:rPr>
              <w:t xml:space="preserve"> </w:t>
            </w:r>
            <w:r>
              <w:rPr>
                <w:rFonts w:cstheme="minorHAnsi"/>
                <w:sz w:val="20"/>
                <w:szCs w:val="20"/>
              </w:rPr>
              <w:t>8</w:t>
            </w:r>
            <w:r w:rsidRPr="00CC1ADD">
              <w:rPr>
                <w:rFonts w:cstheme="minorHAnsi"/>
                <w:sz w:val="20"/>
                <w:szCs w:val="20"/>
              </w:rPr>
              <w:t xml:space="preserve">% of total products displaying the HSR, </w:t>
            </w:r>
            <w:r>
              <w:rPr>
                <w:rFonts w:cstheme="minorHAnsi"/>
                <w:sz w:val="20"/>
                <w:szCs w:val="20"/>
              </w:rPr>
              <w:t>34</w:t>
            </w:r>
            <w:r w:rsidRPr="00CC1ADD">
              <w:rPr>
                <w:rFonts w:cstheme="minorHAnsi"/>
                <w:sz w:val="20"/>
                <w:szCs w:val="20"/>
              </w:rPr>
              <w:t xml:space="preserve">% of eligible products in this category, </w:t>
            </w:r>
            <w:r>
              <w:rPr>
                <w:rFonts w:cstheme="minorHAnsi"/>
                <w:sz w:val="20"/>
                <w:szCs w:val="20"/>
              </w:rPr>
              <w:t>459</w:t>
            </w:r>
            <w:r w:rsidRPr="00CC1ADD">
              <w:rPr>
                <w:rFonts w:cstheme="minorHAnsi"/>
                <w:sz w:val="20"/>
                <w:szCs w:val="20"/>
              </w:rPr>
              <w:t xml:space="preserve"> total products</w:t>
            </w:r>
          </w:p>
          <w:p w14:paraId="23B0065D" w14:textId="77777777" w:rsidR="006A1351" w:rsidRPr="00CC1ADD" w:rsidRDefault="006A1351" w:rsidP="00C3403E">
            <w:pPr>
              <w:pStyle w:val="ListParagraph"/>
              <w:widowControl w:val="0"/>
              <w:numPr>
                <w:ilvl w:val="0"/>
                <w:numId w:val="32"/>
              </w:numPr>
              <w:rPr>
                <w:rFonts w:cstheme="minorHAnsi"/>
                <w:sz w:val="20"/>
                <w:szCs w:val="20"/>
              </w:rPr>
            </w:pPr>
            <w:r w:rsidRPr="00EC5CEA">
              <w:rPr>
                <w:rFonts w:cstheme="minorHAnsi"/>
                <w:b/>
                <w:sz w:val="20"/>
                <w:szCs w:val="20"/>
              </w:rPr>
              <w:t>processed fruit and vegetables</w:t>
            </w:r>
            <w:r>
              <w:rPr>
                <w:rFonts w:cstheme="minorHAnsi"/>
                <w:sz w:val="20"/>
                <w:szCs w:val="20"/>
              </w:rPr>
              <w:t>: 7</w:t>
            </w:r>
            <w:r w:rsidRPr="00CC1ADD">
              <w:rPr>
                <w:rFonts w:cstheme="minorHAnsi"/>
                <w:sz w:val="20"/>
                <w:szCs w:val="20"/>
              </w:rPr>
              <w:t xml:space="preserve">% of total products displaying the HSR, </w:t>
            </w:r>
            <w:r>
              <w:rPr>
                <w:rFonts w:cstheme="minorHAnsi"/>
                <w:sz w:val="20"/>
                <w:szCs w:val="20"/>
              </w:rPr>
              <w:t>45</w:t>
            </w:r>
            <w:r w:rsidRPr="00CC1ADD">
              <w:rPr>
                <w:rFonts w:cstheme="minorHAnsi"/>
                <w:sz w:val="20"/>
                <w:szCs w:val="20"/>
              </w:rPr>
              <w:t xml:space="preserve">% of eligible products in this category, </w:t>
            </w:r>
            <w:r>
              <w:rPr>
                <w:rFonts w:cstheme="minorHAnsi"/>
                <w:sz w:val="20"/>
                <w:szCs w:val="20"/>
              </w:rPr>
              <w:t>386</w:t>
            </w:r>
            <w:r w:rsidRPr="00CC1ADD">
              <w:rPr>
                <w:rFonts w:cstheme="minorHAnsi"/>
                <w:sz w:val="20"/>
                <w:szCs w:val="20"/>
              </w:rPr>
              <w:t xml:space="preserve"> total products</w:t>
            </w:r>
          </w:p>
          <w:p w14:paraId="32F0EE1C" w14:textId="77777777" w:rsidR="006A1351" w:rsidRPr="00CC1ADD" w:rsidRDefault="006A1351" w:rsidP="00C3403E">
            <w:pPr>
              <w:pStyle w:val="ListParagraph"/>
              <w:widowControl w:val="0"/>
              <w:numPr>
                <w:ilvl w:val="0"/>
                <w:numId w:val="32"/>
              </w:numPr>
              <w:rPr>
                <w:rFonts w:cstheme="minorHAnsi"/>
                <w:sz w:val="20"/>
                <w:szCs w:val="20"/>
              </w:rPr>
            </w:pPr>
            <w:r>
              <w:rPr>
                <w:rFonts w:cstheme="minorHAnsi"/>
                <w:b/>
                <w:sz w:val="20"/>
                <w:szCs w:val="20"/>
              </w:rPr>
              <w:t>savoury snacks</w:t>
            </w:r>
            <w:r w:rsidRPr="00CC1ADD">
              <w:rPr>
                <w:rFonts w:cstheme="minorHAnsi"/>
                <w:b/>
                <w:sz w:val="20"/>
                <w:szCs w:val="20"/>
              </w:rPr>
              <w:t>:</w:t>
            </w:r>
            <w:r w:rsidRPr="00CC1ADD">
              <w:rPr>
                <w:rFonts w:cstheme="minorHAnsi"/>
                <w:sz w:val="20"/>
                <w:szCs w:val="20"/>
              </w:rPr>
              <w:t xml:space="preserve"> </w:t>
            </w:r>
            <w:r>
              <w:rPr>
                <w:rFonts w:cstheme="minorHAnsi"/>
                <w:sz w:val="20"/>
                <w:szCs w:val="20"/>
              </w:rPr>
              <w:t>7</w:t>
            </w:r>
            <w:r w:rsidRPr="00CC1ADD">
              <w:rPr>
                <w:rFonts w:cstheme="minorHAnsi"/>
                <w:sz w:val="20"/>
                <w:szCs w:val="20"/>
              </w:rPr>
              <w:t xml:space="preserve">% of total products displaying the HSR, </w:t>
            </w:r>
            <w:r>
              <w:rPr>
                <w:rFonts w:cstheme="minorHAnsi"/>
                <w:sz w:val="20"/>
                <w:szCs w:val="20"/>
              </w:rPr>
              <w:t>28</w:t>
            </w:r>
            <w:r w:rsidRPr="00CC1ADD">
              <w:rPr>
                <w:rFonts w:cstheme="minorHAnsi"/>
                <w:sz w:val="20"/>
                <w:szCs w:val="20"/>
              </w:rPr>
              <w:t xml:space="preserve">% of eligible products in this category, </w:t>
            </w:r>
            <w:r>
              <w:rPr>
                <w:rFonts w:cstheme="minorHAnsi"/>
                <w:sz w:val="20"/>
                <w:szCs w:val="20"/>
              </w:rPr>
              <w:t>381</w:t>
            </w:r>
            <w:r w:rsidRPr="00CC1ADD">
              <w:rPr>
                <w:rFonts w:cstheme="minorHAnsi"/>
                <w:sz w:val="20"/>
                <w:szCs w:val="20"/>
              </w:rPr>
              <w:t xml:space="preserve"> total products</w:t>
            </w:r>
          </w:p>
          <w:p w14:paraId="5FEB7738" w14:textId="77777777" w:rsidR="006A1351" w:rsidRPr="00EC5CEA" w:rsidRDefault="006A1351" w:rsidP="00C3403E">
            <w:pPr>
              <w:pStyle w:val="ListParagraph"/>
              <w:widowControl w:val="0"/>
              <w:numPr>
                <w:ilvl w:val="0"/>
                <w:numId w:val="32"/>
              </w:numPr>
              <w:rPr>
                <w:rFonts w:cstheme="minorHAnsi"/>
                <w:sz w:val="20"/>
                <w:szCs w:val="20"/>
              </w:rPr>
            </w:pPr>
            <w:r>
              <w:rPr>
                <w:rFonts w:cstheme="minorHAnsi"/>
                <w:b/>
                <w:sz w:val="20"/>
                <w:szCs w:val="20"/>
              </w:rPr>
              <w:t>dairy and alternatives</w:t>
            </w:r>
            <w:r w:rsidRPr="00CC1ADD">
              <w:rPr>
                <w:rFonts w:cstheme="minorHAnsi"/>
                <w:b/>
                <w:sz w:val="20"/>
                <w:szCs w:val="20"/>
              </w:rPr>
              <w:t>:</w:t>
            </w:r>
            <w:r w:rsidRPr="00CC1ADD">
              <w:rPr>
                <w:rFonts w:cstheme="minorHAnsi"/>
                <w:sz w:val="20"/>
                <w:szCs w:val="20"/>
              </w:rPr>
              <w:t xml:space="preserve"> </w:t>
            </w:r>
            <w:r>
              <w:rPr>
                <w:rFonts w:cstheme="minorHAnsi"/>
                <w:sz w:val="20"/>
                <w:szCs w:val="20"/>
              </w:rPr>
              <w:t>7</w:t>
            </w:r>
            <w:r w:rsidRPr="00CC1ADD">
              <w:rPr>
                <w:rFonts w:cstheme="minorHAnsi"/>
                <w:sz w:val="20"/>
                <w:szCs w:val="20"/>
              </w:rPr>
              <w:t xml:space="preserve">% of total products displaying the HSR, </w:t>
            </w:r>
            <w:r>
              <w:rPr>
                <w:rFonts w:cstheme="minorHAnsi"/>
                <w:sz w:val="20"/>
                <w:szCs w:val="20"/>
              </w:rPr>
              <w:t>24</w:t>
            </w:r>
            <w:r w:rsidRPr="00CC1ADD">
              <w:rPr>
                <w:rFonts w:cstheme="minorHAnsi"/>
                <w:sz w:val="20"/>
                <w:szCs w:val="20"/>
              </w:rPr>
              <w:t xml:space="preserve">% of eligible products in this category, </w:t>
            </w:r>
            <w:r>
              <w:rPr>
                <w:rFonts w:cstheme="minorHAnsi"/>
                <w:sz w:val="20"/>
                <w:szCs w:val="20"/>
              </w:rPr>
              <w:t>367</w:t>
            </w:r>
            <w:r w:rsidRPr="00CC1ADD">
              <w:rPr>
                <w:rFonts w:cstheme="minorHAnsi"/>
                <w:sz w:val="20"/>
                <w:szCs w:val="20"/>
              </w:rPr>
              <w:t xml:space="preserve"> total products</w:t>
            </w:r>
            <w:r>
              <w:rPr>
                <w:rFonts w:cstheme="minorHAnsi"/>
                <w:sz w:val="20"/>
                <w:szCs w:val="20"/>
              </w:rPr>
              <w:t>.</w:t>
            </w:r>
          </w:p>
        </w:tc>
        <w:tc>
          <w:tcPr>
            <w:tcW w:w="4518" w:type="dxa"/>
          </w:tcPr>
          <w:p w14:paraId="67499162" w14:textId="77777777" w:rsidR="006A1351" w:rsidRPr="00CC1ADD" w:rsidRDefault="006A1351" w:rsidP="005D75D3">
            <w:pPr>
              <w:widowControl w:val="0"/>
              <w:rPr>
                <w:rFonts w:cstheme="minorHAnsi"/>
                <w:sz w:val="20"/>
                <w:szCs w:val="20"/>
              </w:rPr>
            </w:pPr>
            <w:r w:rsidRPr="00CC1ADD">
              <w:rPr>
                <w:rFonts w:cstheme="minorHAnsi"/>
                <w:sz w:val="20"/>
                <w:szCs w:val="20"/>
              </w:rPr>
              <w:t>Of the foods displaying the HSR in New Zealand, the following categories contributed most significantly to the uptake:</w:t>
            </w:r>
          </w:p>
          <w:p w14:paraId="0C5B47FA"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fruit and vegetables:</w:t>
            </w:r>
            <w:r w:rsidRPr="00CC1ADD">
              <w:rPr>
                <w:rFonts w:cstheme="minorHAnsi"/>
                <w:sz w:val="20"/>
                <w:szCs w:val="20"/>
              </w:rPr>
              <w:t xml:space="preserve"> 15.0% of total products displaying the HSR, 2</w:t>
            </w:r>
            <w:r>
              <w:rPr>
                <w:rFonts w:cstheme="minorHAnsi"/>
                <w:sz w:val="20"/>
                <w:szCs w:val="20"/>
              </w:rPr>
              <w:t>5</w:t>
            </w:r>
            <w:r w:rsidRPr="00CC1ADD">
              <w:rPr>
                <w:rFonts w:cstheme="minorHAnsi"/>
                <w:sz w:val="20"/>
                <w:szCs w:val="20"/>
              </w:rPr>
              <w:t>% of eligible products in this category, 450 total products</w:t>
            </w:r>
          </w:p>
          <w:p w14:paraId="24E50076"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cereals and cereal products:</w:t>
            </w:r>
            <w:r w:rsidRPr="00CC1ADD">
              <w:rPr>
                <w:rFonts w:cstheme="minorHAnsi"/>
                <w:sz w:val="20"/>
                <w:szCs w:val="20"/>
              </w:rPr>
              <w:t xml:space="preserve"> 13% of total products displaying the HSR, 26% of eligible products in this category, 400 total products</w:t>
            </w:r>
          </w:p>
          <w:p w14:paraId="004F8304"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non-alcoholic beverages:</w:t>
            </w:r>
            <w:r w:rsidRPr="00CC1ADD">
              <w:rPr>
                <w:rFonts w:cstheme="minorHAnsi"/>
                <w:sz w:val="20"/>
                <w:szCs w:val="20"/>
              </w:rPr>
              <w:t xml:space="preserve"> 1</w:t>
            </w:r>
            <w:r>
              <w:rPr>
                <w:rFonts w:cstheme="minorHAnsi"/>
                <w:sz w:val="20"/>
                <w:szCs w:val="20"/>
              </w:rPr>
              <w:t>3</w:t>
            </w:r>
            <w:r w:rsidRPr="00CC1ADD">
              <w:rPr>
                <w:rFonts w:cstheme="minorHAnsi"/>
                <w:sz w:val="20"/>
                <w:szCs w:val="20"/>
              </w:rPr>
              <w:t>% of total products displaying the HSR, 30% of eligible products in this category, 384 total products</w:t>
            </w:r>
          </w:p>
          <w:p w14:paraId="0561E342"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sauces and spreads:</w:t>
            </w:r>
            <w:r w:rsidRPr="00CC1ADD">
              <w:rPr>
                <w:rFonts w:cstheme="minorHAnsi"/>
                <w:sz w:val="20"/>
                <w:szCs w:val="20"/>
              </w:rPr>
              <w:t xml:space="preserve"> 11% of total products displaying the HSR, 1</w:t>
            </w:r>
            <w:r>
              <w:rPr>
                <w:rFonts w:cstheme="minorHAnsi"/>
                <w:sz w:val="20"/>
                <w:szCs w:val="20"/>
              </w:rPr>
              <w:t>9</w:t>
            </w:r>
            <w:r w:rsidRPr="00CC1ADD">
              <w:rPr>
                <w:rFonts w:cstheme="minorHAnsi"/>
                <w:sz w:val="20"/>
                <w:szCs w:val="20"/>
              </w:rPr>
              <w:t>% of eligible products in this category, 330 total products</w:t>
            </w:r>
          </w:p>
          <w:p w14:paraId="1758144D"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b/>
                <w:sz w:val="20"/>
                <w:szCs w:val="20"/>
              </w:rPr>
              <w:t>dairy and alternatives:</w:t>
            </w:r>
            <w:r>
              <w:rPr>
                <w:rFonts w:cstheme="minorHAnsi"/>
                <w:b/>
                <w:sz w:val="20"/>
                <w:szCs w:val="20"/>
              </w:rPr>
              <w:t xml:space="preserve"> </w:t>
            </w:r>
            <w:r w:rsidRPr="007A5045">
              <w:rPr>
                <w:rFonts w:cstheme="minorHAnsi"/>
                <w:sz w:val="20"/>
                <w:szCs w:val="20"/>
              </w:rPr>
              <w:t>9</w:t>
            </w:r>
            <w:r w:rsidRPr="00CC1ADD">
              <w:rPr>
                <w:rFonts w:cstheme="minorHAnsi"/>
                <w:sz w:val="20"/>
                <w:szCs w:val="20"/>
              </w:rPr>
              <w:t>% of total products displaying the HSR, 13% of eligible products in this category, 256 total products.</w:t>
            </w:r>
          </w:p>
        </w:tc>
      </w:tr>
      <w:tr w:rsidR="006A1351" w:rsidRPr="00CC1ADD" w14:paraId="154EE83C" w14:textId="77777777" w:rsidTr="006A1351">
        <w:trPr>
          <w:trHeight w:val="675"/>
        </w:trPr>
        <w:tc>
          <w:tcPr>
            <w:tcW w:w="1515" w:type="dxa"/>
          </w:tcPr>
          <w:p w14:paraId="54CB2A9D" w14:textId="77777777" w:rsidR="006A1351" w:rsidRPr="00CC1ADD" w:rsidRDefault="006A1351" w:rsidP="005D75D3">
            <w:pPr>
              <w:pStyle w:val="mpcNormal"/>
              <w:keepNext w:val="0"/>
              <w:widowControl w:val="0"/>
              <w:rPr>
                <w:b/>
                <w:sz w:val="20"/>
                <w:szCs w:val="20"/>
              </w:rPr>
            </w:pPr>
            <w:r w:rsidRPr="00CC1ADD">
              <w:rPr>
                <w:b/>
                <w:sz w:val="20"/>
                <w:szCs w:val="20"/>
              </w:rPr>
              <w:t>HSR graphics</w:t>
            </w:r>
          </w:p>
        </w:tc>
        <w:tc>
          <w:tcPr>
            <w:tcW w:w="4173" w:type="dxa"/>
          </w:tcPr>
          <w:p w14:paraId="112E9CD8" w14:textId="77777777" w:rsidR="006A1351" w:rsidRPr="00CC1ADD" w:rsidRDefault="006A1351" w:rsidP="005D75D3">
            <w:pPr>
              <w:pStyle w:val="mpcNormal"/>
              <w:keepNext w:val="0"/>
              <w:widowControl w:val="0"/>
              <w:rPr>
                <w:sz w:val="20"/>
                <w:szCs w:val="20"/>
              </w:rPr>
            </w:pPr>
            <w:r w:rsidRPr="00CC1ADD">
              <w:rPr>
                <w:sz w:val="20"/>
                <w:szCs w:val="20"/>
              </w:rPr>
              <w:t>Of those products displaying the HSR:</w:t>
            </w:r>
          </w:p>
          <w:p w14:paraId="4443D77F"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5% display Option 1</w:t>
            </w:r>
          </w:p>
          <w:p w14:paraId="79AEF27C"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23% display Option 2</w:t>
            </w:r>
          </w:p>
          <w:p w14:paraId="47996699"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17% display Option 3</w:t>
            </w:r>
          </w:p>
          <w:p w14:paraId="6301D69E" w14:textId="77777777" w:rsidR="006A1351" w:rsidRPr="00CC1ADD" w:rsidRDefault="006A1351" w:rsidP="00C3403E">
            <w:pPr>
              <w:pStyle w:val="mpcNormal"/>
              <w:keepNext w:val="0"/>
              <w:widowControl w:val="0"/>
              <w:numPr>
                <w:ilvl w:val="0"/>
                <w:numId w:val="33"/>
              </w:numPr>
              <w:ind w:left="357" w:hanging="357"/>
              <w:rPr>
                <w:sz w:val="20"/>
                <w:szCs w:val="20"/>
              </w:rPr>
            </w:pPr>
            <w:r w:rsidRPr="00CC1ADD">
              <w:rPr>
                <w:sz w:val="20"/>
                <w:szCs w:val="20"/>
              </w:rPr>
              <w:t>39% display Option 4</w:t>
            </w:r>
          </w:p>
          <w:p w14:paraId="58935FD6"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1</w:t>
            </w:r>
            <w:r>
              <w:rPr>
                <w:sz w:val="20"/>
                <w:szCs w:val="20"/>
              </w:rPr>
              <w:t>5</w:t>
            </w:r>
            <w:r w:rsidRPr="00CC1ADD">
              <w:rPr>
                <w:sz w:val="20"/>
                <w:szCs w:val="20"/>
              </w:rPr>
              <w:t>% display Option 5, the energy icon, predominantly:</w:t>
            </w:r>
          </w:p>
          <w:p w14:paraId="28D078EC" w14:textId="77777777" w:rsidR="006A1351" w:rsidRPr="00CC1ADD" w:rsidRDefault="006A1351" w:rsidP="00C3403E">
            <w:pPr>
              <w:pStyle w:val="mpcNormal"/>
              <w:keepNext w:val="0"/>
              <w:widowControl w:val="0"/>
              <w:numPr>
                <w:ilvl w:val="1"/>
                <w:numId w:val="33"/>
              </w:numPr>
              <w:ind w:left="747" w:hanging="386"/>
              <w:rPr>
                <w:sz w:val="20"/>
                <w:szCs w:val="20"/>
              </w:rPr>
            </w:pPr>
            <w:r>
              <w:rPr>
                <w:sz w:val="20"/>
                <w:szCs w:val="20"/>
              </w:rPr>
              <w:t>confectionery</w:t>
            </w:r>
            <w:r w:rsidRPr="00CC1ADD">
              <w:rPr>
                <w:sz w:val="20"/>
                <w:szCs w:val="20"/>
              </w:rPr>
              <w:t xml:space="preserve"> (</w:t>
            </w:r>
            <w:r>
              <w:rPr>
                <w:sz w:val="20"/>
                <w:szCs w:val="20"/>
              </w:rPr>
              <w:t>263</w:t>
            </w:r>
            <w:r w:rsidRPr="00CC1ADD">
              <w:rPr>
                <w:sz w:val="20"/>
                <w:szCs w:val="20"/>
              </w:rPr>
              <w:t xml:space="preserve"> products) with </w:t>
            </w:r>
            <w:r>
              <w:rPr>
                <w:sz w:val="20"/>
                <w:szCs w:val="20"/>
              </w:rPr>
              <w:t>32</w:t>
            </w:r>
            <w:r w:rsidRPr="00CC1ADD">
              <w:rPr>
                <w:sz w:val="20"/>
                <w:szCs w:val="20"/>
              </w:rPr>
              <w:t>% of these products displaying the HSR showing the energy icon only</w:t>
            </w:r>
          </w:p>
          <w:p w14:paraId="60BBC9F4" w14:textId="77777777" w:rsidR="006A1351" w:rsidRPr="00EC5CEA" w:rsidRDefault="006A1351" w:rsidP="00C3403E">
            <w:pPr>
              <w:pStyle w:val="mpcNormal"/>
              <w:keepNext w:val="0"/>
              <w:widowControl w:val="0"/>
              <w:numPr>
                <w:ilvl w:val="1"/>
                <w:numId w:val="33"/>
              </w:numPr>
              <w:ind w:left="747" w:hanging="386"/>
              <w:rPr>
                <w:sz w:val="20"/>
                <w:szCs w:val="20"/>
              </w:rPr>
            </w:pPr>
            <w:r>
              <w:rPr>
                <w:sz w:val="20"/>
                <w:szCs w:val="20"/>
              </w:rPr>
              <w:t>sugar-sweetened beverages</w:t>
            </w:r>
            <w:r w:rsidRPr="00CC1ADD">
              <w:rPr>
                <w:sz w:val="20"/>
                <w:szCs w:val="20"/>
              </w:rPr>
              <w:t xml:space="preserve"> (</w:t>
            </w:r>
            <w:r>
              <w:rPr>
                <w:sz w:val="20"/>
                <w:szCs w:val="20"/>
              </w:rPr>
              <w:t>252</w:t>
            </w:r>
            <w:r w:rsidRPr="00CC1ADD">
              <w:rPr>
                <w:sz w:val="20"/>
                <w:szCs w:val="20"/>
              </w:rPr>
              <w:t xml:space="preserve"> products) with </w:t>
            </w:r>
            <w:r>
              <w:rPr>
                <w:sz w:val="20"/>
                <w:szCs w:val="20"/>
              </w:rPr>
              <w:t>31</w:t>
            </w:r>
            <w:r w:rsidRPr="00CC1ADD">
              <w:rPr>
                <w:sz w:val="20"/>
                <w:szCs w:val="20"/>
              </w:rPr>
              <w:t>% of these products displaying the HSR showing the energy icon only</w:t>
            </w:r>
            <w:r>
              <w:rPr>
                <w:sz w:val="20"/>
                <w:szCs w:val="20"/>
              </w:rPr>
              <w:t>.</w:t>
            </w:r>
          </w:p>
        </w:tc>
        <w:tc>
          <w:tcPr>
            <w:tcW w:w="4518" w:type="dxa"/>
          </w:tcPr>
          <w:p w14:paraId="1F3F75C7" w14:textId="77777777" w:rsidR="006A1351" w:rsidRPr="00CC1ADD" w:rsidRDefault="006A1351" w:rsidP="005D75D3">
            <w:pPr>
              <w:pStyle w:val="mpcNormal"/>
              <w:keepNext w:val="0"/>
              <w:widowControl w:val="0"/>
              <w:rPr>
                <w:sz w:val="20"/>
                <w:szCs w:val="20"/>
              </w:rPr>
            </w:pPr>
            <w:r w:rsidRPr="00CC1ADD">
              <w:rPr>
                <w:sz w:val="20"/>
                <w:szCs w:val="20"/>
              </w:rPr>
              <w:t>Of those products displaying the HSR (based on a sample of 512 products):</w:t>
            </w:r>
          </w:p>
          <w:p w14:paraId="6096087E"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8% display Option 1</w:t>
            </w:r>
          </w:p>
          <w:p w14:paraId="76D0A243"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17% display Option 2</w:t>
            </w:r>
          </w:p>
          <w:p w14:paraId="3CEDD209"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1</w:t>
            </w:r>
            <w:r>
              <w:rPr>
                <w:sz w:val="20"/>
                <w:szCs w:val="20"/>
              </w:rPr>
              <w:t>7</w:t>
            </w:r>
            <w:r w:rsidRPr="00CC1ADD">
              <w:rPr>
                <w:sz w:val="20"/>
                <w:szCs w:val="20"/>
              </w:rPr>
              <w:t>% display Option 3</w:t>
            </w:r>
          </w:p>
          <w:p w14:paraId="0A9F7A1D"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4</w:t>
            </w:r>
            <w:r>
              <w:rPr>
                <w:sz w:val="20"/>
                <w:szCs w:val="20"/>
              </w:rPr>
              <w:t>2</w:t>
            </w:r>
            <w:r w:rsidRPr="00CC1ADD">
              <w:rPr>
                <w:sz w:val="20"/>
                <w:szCs w:val="20"/>
              </w:rPr>
              <w:t>% display Option 4</w:t>
            </w:r>
          </w:p>
          <w:p w14:paraId="231C7205" w14:textId="77777777" w:rsidR="006A1351" w:rsidRPr="00CC1ADD" w:rsidRDefault="006A1351" w:rsidP="00C3403E">
            <w:pPr>
              <w:pStyle w:val="mpcNormal"/>
              <w:keepNext w:val="0"/>
              <w:widowControl w:val="0"/>
              <w:numPr>
                <w:ilvl w:val="0"/>
                <w:numId w:val="33"/>
              </w:numPr>
              <w:rPr>
                <w:sz w:val="20"/>
                <w:szCs w:val="20"/>
              </w:rPr>
            </w:pPr>
            <w:r w:rsidRPr="00CC1ADD">
              <w:rPr>
                <w:sz w:val="20"/>
                <w:szCs w:val="20"/>
              </w:rPr>
              <w:t>1</w:t>
            </w:r>
            <w:r>
              <w:rPr>
                <w:sz w:val="20"/>
                <w:szCs w:val="20"/>
              </w:rPr>
              <w:t>6</w:t>
            </w:r>
            <w:r w:rsidRPr="00CC1ADD">
              <w:rPr>
                <w:sz w:val="20"/>
                <w:szCs w:val="20"/>
              </w:rPr>
              <w:t>% (452) display Option 5, the energy icon. products that commonly used Option 5 included confectionary, non-alcoholic beverages and edible oils.</w:t>
            </w:r>
          </w:p>
        </w:tc>
      </w:tr>
      <w:tr w:rsidR="006A1351" w:rsidRPr="00CC1ADD" w14:paraId="42202B1F" w14:textId="77777777" w:rsidTr="006A1351">
        <w:tc>
          <w:tcPr>
            <w:tcW w:w="1515" w:type="dxa"/>
          </w:tcPr>
          <w:p w14:paraId="0F30050A" w14:textId="77777777" w:rsidR="006A1351" w:rsidRPr="00CC1ADD" w:rsidRDefault="006A1351" w:rsidP="005D75D3">
            <w:pPr>
              <w:pStyle w:val="mpcNormal"/>
              <w:keepNext w:val="0"/>
              <w:widowControl w:val="0"/>
              <w:rPr>
                <w:b/>
                <w:sz w:val="20"/>
                <w:szCs w:val="20"/>
              </w:rPr>
            </w:pPr>
            <w:r w:rsidRPr="00CC1ADD">
              <w:rPr>
                <w:b/>
                <w:sz w:val="20"/>
                <w:szCs w:val="20"/>
              </w:rPr>
              <w:t>Compliance against the Style Guide</w:t>
            </w:r>
          </w:p>
        </w:tc>
        <w:tc>
          <w:tcPr>
            <w:tcW w:w="4173" w:type="dxa"/>
          </w:tcPr>
          <w:p w14:paraId="403E0FCC"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 xml:space="preserve">Of the products displaying the HSR in 2018, </w:t>
            </w:r>
            <w:r>
              <w:rPr>
                <w:rFonts w:cstheme="minorHAnsi"/>
                <w:sz w:val="20"/>
                <w:szCs w:val="20"/>
              </w:rPr>
              <w:t>8</w:t>
            </w:r>
            <w:r w:rsidRPr="00CC1ADD">
              <w:rPr>
                <w:rFonts w:cstheme="minorHAnsi"/>
                <w:sz w:val="20"/>
                <w:szCs w:val="20"/>
              </w:rPr>
              <w:t>% have a design variation and 4% have a technical variation.</w:t>
            </w:r>
          </w:p>
        </w:tc>
        <w:tc>
          <w:tcPr>
            <w:tcW w:w="4518" w:type="dxa"/>
          </w:tcPr>
          <w:p w14:paraId="27F0E3AC"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 xml:space="preserve">In New Zealand, approximately 5% of products displaying the HSR were on foods for which the HSR System was not intended. </w:t>
            </w:r>
          </w:p>
          <w:p w14:paraId="5F5AF9CD" w14:textId="5641EFC9"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 xml:space="preserve">Very few inconsistencies were identified between the HSR displayed and the HSR </w:t>
            </w:r>
            <w:r w:rsidR="00BF11EE">
              <w:rPr>
                <w:rFonts w:cstheme="minorHAnsi"/>
                <w:sz w:val="20"/>
                <w:szCs w:val="20"/>
              </w:rPr>
              <w:t>S</w:t>
            </w:r>
            <w:r w:rsidRPr="00CC1ADD">
              <w:rPr>
                <w:rFonts w:cstheme="minorHAnsi"/>
                <w:sz w:val="20"/>
                <w:szCs w:val="20"/>
              </w:rPr>
              <w:t xml:space="preserve">ystem Style Guide. </w:t>
            </w:r>
          </w:p>
          <w:p w14:paraId="402E0FC7"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Of the products displaying the HSR in 2018, 4% have a design variation and 16% have a technical variation.</w:t>
            </w:r>
          </w:p>
        </w:tc>
      </w:tr>
      <w:tr w:rsidR="006A1351" w:rsidRPr="00CC1ADD" w14:paraId="52DB027E" w14:textId="77777777" w:rsidTr="006A1351">
        <w:tc>
          <w:tcPr>
            <w:tcW w:w="1515" w:type="dxa"/>
          </w:tcPr>
          <w:p w14:paraId="67231854" w14:textId="77777777" w:rsidR="006A1351" w:rsidRPr="00CC1ADD" w:rsidRDefault="006A1351" w:rsidP="005D75D3">
            <w:pPr>
              <w:pStyle w:val="mpcNormal"/>
              <w:keepNext w:val="0"/>
              <w:widowControl w:val="0"/>
              <w:rPr>
                <w:b/>
                <w:sz w:val="20"/>
                <w:szCs w:val="20"/>
              </w:rPr>
            </w:pPr>
            <w:r w:rsidRPr="00CC1ADD">
              <w:rPr>
                <w:b/>
                <w:sz w:val="20"/>
                <w:szCs w:val="20"/>
              </w:rPr>
              <w:t>Compliance against the HSR Calculator</w:t>
            </w:r>
          </w:p>
        </w:tc>
        <w:tc>
          <w:tcPr>
            <w:tcW w:w="4173" w:type="dxa"/>
          </w:tcPr>
          <w:p w14:paraId="48694713" w14:textId="3A98CDF5"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Of the products displaying HSR in 2018, 90% display the correct HSR (based on sampling) with approximately 5% of manufacturers overstating it and 5% understating it, generally only by 0.5 stars.</w:t>
            </w:r>
          </w:p>
        </w:tc>
        <w:tc>
          <w:tcPr>
            <w:tcW w:w="4518" w:type="dxa"/>
          </w:tcPr>
          <w:p w14:paraId="09D887B6" w14:textId="77777777" w:rsidR="006A1351" w:rsidRPr="00CC1ADD" w:rsidRDefault="006A1351" w:rsidP="005D75D3">
            <w:pPr>
              <w:widowControl w:val="0"/>
              <w:rPr>
                <w:rFonts w:cstheme="minorHAnsi"/>
                <w:sz w:val="20"/>
                <w:szCs w:val="20"/>
              </w:rPr>
            </w:pPr>
            <w:r w:rsidRPr="00CC1ADD">
              <w:rPr>
                <w:rFonts w:cstheme="minorHAnsi"/>
                <w:sz w:val="20"/>
                <w:szCs w:val="20"/>
              </w:rPr>
              <w:t>This was not assessed in New Zealand.</w:t>
            </w:r>
          </w:p>
        </w:tc>
      </w:tr>
      <w:tr w:rsidR="006A1351" w:rsidRPr="00CC1ADD" w14:paraId="2C57C5AE" w14:textId="77777777" w:rsidTr="006A1351">
        <w:tc>
          <w:tcPr>
            <w:tcW w:w="1515" w:type="dxa"/>
          </w:tcPr>
          <w:p w14:paraId="36FB9083" w14:textId="77777777" w:rsidR="006A1351" w:rsidRPr="00CC1ADD" w:rsidRDefault="006A1351" w:rsidP="005D75D3">
            <w:pPr>
              <w:pStyle w:val="mpcNormal"/>
              <w:keepNext w:val="0"/>
              <w:widowControl w:val="0"/>
              <w:rPr>
                <w:b/>
                <w:sz w:val="20"/>
                <w:szCs w:val="20"/>
              </w:rPr>
            </w:pPr>
            <w:r w:rsidRPr="00CC1ADD">
              <w:rPr>
                <w:b/>
                <w:sz w:val="20"/>
                <w:szCs w:val="20"/>
              </w:rPr>
              <w:t>Consumer awareness and understanding</w:t>
            </w:r>
          </w:p>
        </w:tc>
        <w:tc>
          <w:tcPr>
            <w:tcW w:w="4173" w:type="dxa"/>
          </w:tcPr>
          <w:p w14:paraId="6BE3CB47"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83% of consumers are aware of the HSR System when prompted</w:t>
            </w:r>
          </w:p>
          <w:p w14:paraId="1CFA4CE5"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20% of consumers are aware of the HSR System unprompted</w:t>
            </w:r>
          </w:p>
          <w:p w14:paraId="4964A876"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5</w:t>
            </w:r>
            <w:r>
              <w:rPr>
                <w:rFonts w:cstheme="minorHAnsi"/>
                <w:sz w:val="20"/>
                <w:szCs w:val="20"/>
              </w:rPr>
              <w:t>6</w:t>
            </w:r>
            <w:r w:rsidRPr="00CC1ADD">
              <w:rPr>
                <w:rFonts w:cstheme="minorHAnsi"/>
                <w:sz w:val="20"/>
                <w:szCs w:val="20"/>
              </w:rPr>
              <w:t>% of consumers understand that the HSR provides a rating of the product’s healthiness</w:t>
            </w:r>
          </w:p>
        </w:tc>
        <w:tc>
          <w:tcPr>
            <w:tcW w:w="4518" w:type="dxa"/>
          </w:tcPr>
          <w:p w14:paraId="359F8458"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76% of consumers are aware of the HSR System when prompted</w:t>
            </w:r>
          </w:p>
          <w:p w14:paraId="43A4F6C4"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16% of consumers are aware of the HSR System unprompted</w:t>
            </w:r>
          </w:p>
          <w:p w14:paraId="2A9B8C08"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68% of consumers correctly identified that within a food category, the product with more stars is healthier</w:t>
            </w:r>
          </w:p>
        </w:tc>
      </w:tr>
      <w:tr w:rsidR="006A1351" w:rsidRPr="00CC1ADD" w14:paraId="5BD506F1" w14:textId="77777777" w:rsidTr="006A1351">
        <w:tc>
          <w:tcPr>
            <w:tcW w:w="1515" w:type="dxa"/>
          </w:tcPr>
          <w:p w14:paraId="3E477595" w14:textId="77777777" w:rsidR="006A1351" w:rsidRPr="00CC1ADD" w:rsidRDefault="006A1351" w:rsidP="005D75D3">
            <w:pPr>
              <w:pStyle w:val="mpcNormal"/>
              <w:keepNext w:val="0"/>
              <w:widowControl w:val="0"/>
              <w:rPr>
                <w:b/>
                <w:sz w:val="20"/>
                <w:szCs w:val="20"/>
              </w:rPr>
            </w:pPr>
            <w:r w:rsidRPr="00CC1ADD">
              <w:rPr>
                <w:b/>
                <w:sz w:val="20"/>
                <w:szCs w:val="20"/>
              </w:rPr>
              <w:t>Trust, credibility and confidence</w:t>
            </w:r>
          </w:p>
          <w:p w14:paraId="5676B902" w14:textId="77777777" w:rsidR="006A1351" w:rsidRPr="00CC1ADD" w:rsidRDefault="006A1351" w:rsidP="005D75D3">
            <w:pPr>
              <w:pStyle w:val="mpcNormal"/>
              <w:keepNext w:val="0"/>
              <w:widowControl w:val="0"/>
              <w:rPr>
                <w:b/>
                <w:sz w:val="20"/>
                <w:szCs w:val="20"/>
              </w:rPr>
            </w:pPr>
          </w:p>
        </w:tc>
        <w:tc>
          <w:tcPr>
            <w:tcW w:w="4173" w:type="dxa"/>
          </w:tcPr>
          <w:p w14:paraId="23A46070"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58% of consumers report they trust the HSR System</w:t>
            </w:r>
          </w:p>
          <w:p w14:paraId="741472F0"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6</w:t>
            </w:r>
            <w:r>
              <w:rPr>
                <w:rFonts w:cstheme="minorHAnsi"/>
                <w:sz w:val="20"/>
                <w:szCs w:val="20"/>
              </w:rPr>
              <w:t>2</w:t>
            </w:r>
            <w:r w:rsidRPr="00CC1ADD">
              <w:rPr>
                <w:rFonts w:cstheme="minorHAnsi"/>
                <w:sz w:val="20"/>
                <w:szCs w:val="20"/>
              </w:rPr>
              <w:t>% of consumers believe the HSR System is credible</w:t>
            </w:r>
          </w:p>
          <w:p w14:paraId="4F8A619D"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67% of consumers report they have confidence in the HSR System</w:t>
            </w:r>
          </w:p>
        </w:tc>
        <w:tc>
          <w:tcPr>
            <w:tcW w:w="4518" w:type="dxa"/>
          </w:tcPr>
          <w:p w14:paraId="0ACFAAC4"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 xml:space="preserve">47% of consumers report they feel confidence using the HSR System </w:t>
            </w:r>
          </w:p>
          <w:p w14:paraId="5BD6D5CD"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40% of consumers report that they trust the HSR System</w:t>
            </w:r>
          </w:p>
        </w:tc>
      </w:tr>
      <w:tr w:rsidR="006A1351" w:rsidRPr="00CC1ADD" w14:paraId="6FFD1E41" w14:textId="77777777" w:rsidTr="006A1351">
        <w:tc>
          <w:tcPr>
            <w:tcW w:w="1515" w:type="dxa"/>
          </w:tcPr>
          <w:p w14:paraId="167833DB" w14:textId="77777777" w:rsidR="006A1351" w:rsidRPr="00CC1ADD" w:rsidRDefault="006A1351" w:rsidP="005D75D3">
            <w:pPr>
              <w:pStyle w:val="mpcNormal"/>
              <w:keepNext w:val="0"/>
              <w:widowControl w:val="0"/>
              <w:rPr>
                <w:b/>
                <w:sz w:val="20"/>
                <w:szCs w:val="20"/>
              </w:rPr>
            </w:pPr>
            <w:r w:rsidRPr="00CC1ADD">
              <w:rPr>
                <w:b/>
                <w:sz w:val="20"/>
                <w:szCs w:val="20"/>
              </w:rPr>
              <w:t>Influence on behaviour</w:t>
            </w:r>
          </w:p>
        </w:tc>
        <w:tc>
          <w:tcPr>
            <w:tcW w:w="4173" w:type="dxa"/>
          </w:tcPr>
          <w:p w14:paraId="1C6A060B" w14:textId="77777777" w:rsidR="006A1351" w:rsidRPr="00EA77C9" w:rsidRDefault="006A1351" w:rsidP="00C3403E">
            <w:pPr>
              <w:pStyle w:val="ListParagraph"/>
              <w:widowControl w:val="0"/>
              <w:numPr>
                <w:ilvl w:val="0"/>
                <w:numId w:val="32"/>
              </w:numPr>
              <w:rPr>
                <w:rFonts w:cstheme="minorHAnsi"/>
                <w:sz w:val="20"/>
                <w:szCs w:val="20"/>
              </w:rPr>
            </w:pPr>
            <w:r w:rsidRPr="00EA77C9">
              <w:rPr>
                <w:rFonts w:cstheme="minorHAnsi"/>
                <w:sz w:val="20"/>
                <w:szCs w:val="20"/>
              </w:rPr>
              <w:t>77% of consumers agree the HSR System makes identifying healthier options within a category easier</w:t>
            </w:r>
          </w:p>
          <w:p w14:paraId="2A76914A" w14:textId="77777777" w:rsidR="006A1351" w:rsidRPr="00EA77C9" w:rsidRDefault="006A1351" w:rsidP="00C3403E">
            <w:pPr>
              <w:pStyle w:val="ListParagraph"/>
              <w:widowControl w:val="0"/>
              <w:numPr>
                <w:ilvl w:val="0"/>
                <w:numId w:val="32"/>
              </w:numPr>
              <w:rPr>
                <w:rFonts w:cstheme="minorHAnsi"/>
                <w:sz w:val="20"/>
                <w:szCs w:val="20"/>
              </w:rPr>
            </w:pPr>
            <w:r w:rsidRPr="00EA77C9">
              <w:rPr>
                <w:rFonts w:cstheme="minorHAnsi"/>
                <w:sz w:val="20"/>
                <w:szCs w:val="20"/>
              </w:rPr>
              <w:t>65% of consumers report that the HSR helps them to make decisions about which foods to buy</w:t>
            </w:r>
          </w:p>
          <w:p w14:paraId="50AE4D73" w14:textId="132204FA" w:rsidR="006C6A0E" w:rsidRPr="00EA77C9" w:rsidRDefault="006A1351" w:rsidP="00C3403E">
            <w:pPr>
              <w:pStyle w:val="ListParagraph"/>
              <w:widowControl w:val="0"/>
              <w:numPr>
                <w:ilvl w:val="0"/>
                <w:numId w:val="32"/>
              </w:numPr>
              <w:rPr>
                <w:rFonts w:cstheme="minorHAnsi"/>
                <w:sz w:val="20"/>
                <w:szCs w:val="20"/>
              </w:rPr>
            </w:pPr>
            <w:r w:rsidRPr="00EA77C9">
              <w:rPr>
                <w:rFonts w:cstheme="minorHAnsi"/>
                <w:sz w:val="20"/>
                <w:szCs w:val="20"/>
              </w:rPr>
              <w:t>64% of consumers report being influenced by the HSR</w:t>
            </w:r>
          </w:p>
          <w:p w14:paraId="0D386F8F" w14:textId="0D19DC94" w:rsidR="006A1351" w:rsidRPr="005D75D3" w:rsidRDefault="006C6A0E" w:rsidP="00C3403E">
            <w:pPr>
              <w:pStyle w:val="ListParagraph"/>
              <w:widowControl w:val="0"/>
              <w:numPr>
                <w:ilvl w:val="0"/>
                <w:numId w:val="32"/>
              </w:numPr>
              <w:rPr>
                <w:sz w:val="20"/>
                <w:szCs w:val="20"/>
              </w:rPr>
            </w:pPr>
            <w:r w:rsidRPr="00EA77C9">
              <w:rPr>
                <w:sz w:val="20"/>
                <w:szCs w:val="20"/>
              </w:rPr>
              <w:t>34% of consumers purchasing products that display the HSR used it to select a healthier product</w:t>
            </w:r>
          </w:p>
        </w:tc>
        <w:tc>
          <w:tcPr>
            <w:tcW w:w="4518" w:type="dxa"/>
          </w:tcPr>
          <w:p w14:paraId="491C7387" w14:textId="77777777" w:rsidR="006A1351" w:rsidRPr="00CC1ADD" w:rsidRDefault="006A1351" w:rsidP="00C3403E">
            <w:pPr>
              <w:pStyle w:val="ListParagraph"/>
              <w:widowControl w:val="0"/>
              <w:numPr>
                <w:ilvl w:val="0"/>
                <w:numId w:val="33"/>
              </w:numPr>
              <w:rPr>
                <w:rFonts w:cstheme="minorHAnsi"/>
                <w:sz w:val="20"/>
                <w:szCs w:val="20"/>
              </w:rPr>
            </w:pPr>
            <w:r w:rsidRPr="00CC1ADD">
              <w:rPr>
                <w:rFonts w:cstheme="minorHAnsi"/>
                <w:sz w:val="20"/>
                <w:szCs w:val="20"/>
              </w:rPr>
              <w:t xml:space="preserve">61% of consumers agree the HSR System makes it easier to decide which packaged foods are healthier </w:t>
            </w:r>
          </w:p>
          <w:p w14:paraId="6388CCD2" w14:textId="77777777" w:rsidR="006A1351" w:rsidRPr="00CC1ADD" w:rsidRDefault="006A1351" w:rsidP="00C3403E">
            <w:pPr>
              <w:pStyle w:val="ListParagraph"/>
              <w:widowControl w:val="0"/>
              <w:numPr>
                <w:ilvl w:val="0"/>
                <w:numId w:val="33"/>
              </w:numPr>
              <w:rPr>
                <w:rFonts w:cstheme="minorHAnsi"/>
                <w:sz w:val="20"/>
                <w:szCs w:val="20"/>
              </w:rPr>
            </w:pPr>
            <w:r w:rsidRPr="00CC1ADD">
              <w:rPr>
                <w:rFonts w:cstheme="minorHAnsi"/>
                <w:sz w:val="20"/>
                <w:szCs w:val="20"/>
              </w:rPr>
              <w:t>28% of consumers report using the HSR to help choose packaged food (up from 10% in 2015)</w:t>
            </w:r>
          </w:p>
          <w:p w14:paraId="122678C5" w14:textId="77777777" w:rsidR="006A1351" w:rsidRPr="00CC1ADD" w:rsidRDefault="006A1351" w:rsidP="00C3403E">
            <w:pPr>
              <w:pStyle w:val="mpcNormal"/>
              <w:keepNext w:val="0"/>
              <w:widowControl w:val="0"/>
              <w:numPr>
                <w:ilvl w:val="1"/>
                <w:numId w:val="33"/>
              </w:numPr>
              <w:ind w:left="747" w:hanging="386"/>
              <w:rPr>
                <w:sz w:val="20"/>
                <w:szCs w:val="20"/>
              </w:rPr>
            </w:pPr>
            <w:r w:rsidRPr="00CC1ADD">
              <w:rPr>
                <w:sz w:val="20"/>
                <w:szCs w:val="20"/>
              </w:rPr>
              <w:t>88% of these consumers reported choosing the product with more stars.</w:t>
            </w:r>
          </w:p>
          <w:p w14:paraId="68F3E74B" w14:textId="77777777" w:rsidR="006A1351" w:rsidRPr="00CC1ADD" w:rsidRDefault="006A1351" w:rsidP="005D75D3">
            <w:pPr>
              <w:pStyle w:val="mpcNormal"/>
              <w:keepNext w:val="0"/>
              <w:widowControl w:val="0"/>
              <w:rPr>
                <w:sz w:val="20"/>
                <w:szCs w:val="20"/>
              </w:rPr>
            </w:pPr>
          </w:p>
        </w:tc>
      </w:tr>
      <w:tr w:rsidR="006A1351" w:rsidRPr="00CC1ADD" w14:paraId="2468BA11" w14:textId="77777777" w:rsidTr="006A1351">
        <w:tc>
          <w:tcPr>
            <w:tcW w:w="1515" w:type="dxa"/>
          </w:tcPr>
          <w:p w14:paraId="5C7EA709" w14:textId="77777777" w:rsidR="006A1351" w:rsidRPr="00CC1ADD" w:rsidRDefault="006A1351" w:rsidP="005D75D3">
            <w:pPr>
              <w:pStyle w:val="mpcNormal"/>
              <w:keepNext w:val="0"/>
              <w:widowControl w:val="0"/>
              <w:rPr>
                <w:b/>
                <w:sz w:val="20"/>
                <w:szCs w:val="20"/>
              </w:rPr>
            </w:pPr>
            <w:r w:rsidRPr="00CC1ADD">
              <w:rPr>
                <w:b/>
                <w:sz w:val="20"/>
                <w:szCs w:val="20"/>
              </w:rPr>
              <w:t>Nutrient status of products displaying the HSR</w:t>
            </w:r>
          </w:p>
        </w:tc>
        <w:tc>
          <w:tcPr>
            <w:tcW w:w="4173" w:type="dxa"/>
          </w:tcPr>
          <w:p w14:paraId="01DAF531" w14:textId="77777777" w:rsidR="006A1351" w:rsidRPr="00CC1ADD" w:rsidRDefault="006A1351" w:rsidP="005D75D3">
            <w:pPr>
              <w:widowControl w:val="0"/>
              <w:rPr>
                <w:rFonts w:cstheme="minorHAnsi"/>
                <w:sz w:val="20"/>
                <w:szCs w:val="20"/>
              </w:rPr>
            </w:pPr>
            <w:r w:rsidRPr="00CC1ADD">
              <w:rPr>
                <w:rFonts w:cstheme="minorHAnsi"/>
                <w:sz w:val="20"/>
                <w:szCs w:val="20"/>
              </w:rPr>
              <w:t>Of products displaying the HSR:</w:t>
            </w:r>
          </w:p>
          <w:p w14:paraId="47FD0203" w14:textId="77777777" w:rsidR="006A1351" w:rsidRPr="00CC1ADD" w:rsidRDefault="006A1351" w:rsidP="00C3403E">
            <w:pPr>
              <w:pStyle w:val="ListParagraph"/>
              <w:widowControl w:val="0"/>
              <w:numPr>
                <w:ilvl w:val="0"/>
                <w:numId w:val="32"/>
              </w:numPr>
              <w:rPr>
                <w:rFonts w:cstheme="minorHAnsi"/>
                <w:sz w:val="20"/>
                <w:szCs w:val="20"/>
              </w:rPr>
            </w:pPr>
            <w:r>
              <w:rPr>
                <w:rFonts w:cstheme="minorHAnsi"/>
                <w:sz w:val="20"/>
                <w:szCs w:val="20"/>
              </w:rPr>
              <w:t>63</w:t>
            </w:r>
            <w:r w:rsidRPr="00CC1ADD">
              <w:rPr>
                <w:rFonts w:cstheme="minorHAnsi"/>
                <w:sz w:val="20"/>
                <w:szCs w:val="20"/>
              </w:rPr>
              <w:t>% have ratings of 3.0 to 5.0 stars</w:t>
            </w:r>
          </w:p>
          <w:p w14:paraId="5043032F"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the most common HSR displayed is 4</w:t>
            </w:r>
          </w:p>
        </w:tc>
        <w:tc>
          <w:tcPr>
            <w:tcW w:w="4518" w:type="dxa"/>
          </w:tcPr>
          <w:p w14:paraId="35DE079A"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Products displaying HSR labels have significantly lower average energy density and saturated fat, sodium, total sugar and protein contents than non-HSR products.</w:t>
            </w:r>
          </w:p>
          <w:p w14:paraId="21D67D82" w14:textId="77777777" w:rsidR="006A1351" w:rsidRPr="00CC1ADD" w:rsidRDefault="006A1351" w:rsidP="00C3403E">
            <w:pPr>
              <w:pStyle w:val="ListParagraph"/>
              <w:widowControl w:val="0"/>
              <w:numPr>
                <w:ilvl w:val="0"/>
                <w:numId w:val="32"/>
              </w:numPr>
              <w:rPr>
                <w:rFonts w:cstheme="minorHAnsi"/>
                <w:sz w:val="20"/>
                <w:szCs w:val="20"/>
              </w:rPr>
            </w:pPr>
            <w:r w:rsidRPr="00CC1ADD">
              <w:rPr>
                <w:rFonts w:cstheme="minorHAnsi"/>
                <w:sz w:val="20"/>
                <w:szCs w:val="20"/>
              </w:rPr>
              <w:t>Of products displaying the HSR:</w:t>
            </w:r>
          </w:p>
          <w:p w14:paraId="3C99A08B" w14:textId="77777777" w:rsidR="006A1351" w:rsidRPr="00CC1ADD" w:rsidRDefault="006A1351" w:rsidP="00C3403E">
            <w:pPr>
              <w:pStyle w:val="mpcNormal"/>
              <w:keepNext w:val="0"/>
              <w:widowControl w:val="0"/>
              <w:numPr>
                <w:ilvl w:val="1"/>
                <w:numId w:val="33"/>
              </w:numPr>
              <w:ind w:left="747" w:hanging="386"/>
              <w:rPr>
                <w:sz w:val="20"/>
                <w:szCs w:val="20"/>
              </w:rPr>
            </w:pPr>
            <w:r w:rsidRPr="00CC1ADD">
              <w:rPr>
                <w:sz w:val="20"/>
                <w:szCs w:val="20"/>
              </w:rPr>
              <w:t>77% have ratings of 3.0 to 5.0 stars</w:t>
            </w:r>
          </w:p>
          <w:p w14:paraId="6CB0D6CD" w14:textId="77777777" w:rsidR="006A1351" w:rsidRPr="00CC1ADD" w:rsidRDefault="006A1351" w:rsidP="00C3403E">
            <w:pPr>
              <w:pStyle w:val="mpcNormal"/>
              <w:keepNext w:val="0"/>
              <w:widowControl w:val="0"/>
              <w:numPr>
                <w:ilvl w:val="1"/>
                <w:numId w:val="33"/>
              </w:numPr>
              <w:ind w:left="747" w:hanging="386"/>
              <w:rPr>
                <w:sz w:val="20"/>
                <w:szCs w:val="20"/>
              </w:rPr>
            </w:pPr>
            <w:r w:rsidRPr="00CC1ADD">
              <w:rPr>
                <w:sz w:val="20"/>
                <w:szCs w:val="20"/>
              </w:rPr>
              <w:t>the median HSR is 3.5</w:t>
            </w:r>
          </w:p>
          <w:p w14:paraId="572D5C4D" w14:textId="77777777" w:rsidR="006A1351" w:rsidRPr="00CC1ADD" w:rsidRDefault="006A1351" w:rsidP="00C3403E">
            <w:pPr>
              <w:pStyle w:val="mpcNormal"/>
              <w:keepNext w:val="0"/>
              <w:widowControl w:val="0"/>
              <w:numPr>
                <w:ilvl w:val="1"/>
                <w:numId w:val="33"/>
              </w:numPr>
              <w:ind w:left="747" w:hanging="386"/>
              <w:rPr>
                <w:sz w:val="20"/>
                <w:szCs w:val="20"/>
              </w:rPr>
            </w:pPr>
            <w:r w:rsidRPr="00CC1ADD">
              <w:rPr>
                <w:sz w:val="20"/>
                <w:szCs w:val="20"/>
              </w:rPr>
              <w:t>the most common HSR displayed is 4 stars</w:t>
            </w:r>
          </w:p>
          <w:p w14:paraId="023ACA1F" w14:textId="77777777" w:rsidR="006A1351" w:rsidRPr="00CC1ADD" w:rsidRDefault="006A1351" w:rsidP="00C3403E">
            <w:pPr>
              <w:pStyle w:val="mpcNormal"/>
              <w:keepNext w:val="0"/>
              <w:widowControl w:val="0"/>
              <w:numPr>
                <w:ilvl w:val="1"/>
                <w:numId w:val="33"/>
              </w:numPr>
              <w:ind w:left="747" w:hanging="386"/>
              <w:rPr>
                <w:sz w:val="20"/>
                <w:szCs w:val="20"/>
              </w:rPr>
            </w:pPr>
            <w:r w:rsidRPr="00CC1ADD">
              <w:rPr>
                <w:sz w:val="20"/>
                <w:szCs w:val="20"/>
              </w:rPr>
              <w:t xml:space="preserve">compared to 2015, there have been small increases in proportions of products with 0.5 to 3.0 stars and a relative reduction in proportions with 4.0 to 5.0 stars. </w:t>
            </w:r>
          </w:p>
        </w:tc>
      </w:tr>
      <w:tr w:rsidR="006A1351" w:rsidRPr="00CC1ADD" w14:paraId="111F5999" w14:textId="77777777" w:rsidTr="006A1351">
        <w:tc>
          <w:tcPr>
            <w:tcW w:w="1515" w:type="dxa"/>
          </w:tcPr>
          <w:p w14:paraId="60B6D77F" w14:textId="77777777" w:rsidR="006A1351" w:rsidRPr="00CC1ADD" w:rsidRDefault="006A1351" w:rsidP="005D75D3">
            <w:pPr>
              <w:pStyle w:val="mpcNormal"/>
              <w:keepNext w:val="0"/>
              <w:widowControl w:val="0"/>
              <w:rPr>
                <w:b/>
                <w:sz w:val="20"/>
                <w:szCs w:val="20"/>
              </w:rPr>
            </w:pPr>
            <w:r w:rsidRPr="00CC1ADD">
              <w:rPr>
                <w:b/>
                <w:sz w:val="20"/>
                <w:szCs w:val="20"/>
              </w:rPr>
              <w:t xml:space="preserve">Reformulation </w:t>
            </w:r>
          </w:p>
          <w:p w14:paraId="61761241" w14:textId="77777777" w:rsidR="006A1351" w:rsidRPr="00CC1ADD" w:rsidRDefault="006A1351" w:rsidP="005D75D3">
            <w:pPr>
              <w:pStyle w:val="mpcNormal"/>
              <w:keepNext w:val="0"/>
              <w:widowControl w:val="0"/>
              <w:rPr>
                <w:b/>
                <w:sz w:val="20"/>
                <w:szCs w:val="20"/>
              </w:rPr>
            </w:pPr>
          </w:p>
        </w:tc>
        <w:tc>
          <w:tcPr>
            <w:tcW w:w="4173" w:type="dxa"/>
          </w:tcPr>
          <w:p w14:paraId="6DE0381C" w14:textId="59AFBC94" w:rsidR="006C6A0E" w:rsidRPr="00CB0A32" w:rsidRDefault="00DE336D" w:rsidP="00CB0A32">
            <w:pPr>
              <w:pStyle w:val="mpcNormal"/>
              <w:rPr>
                <w:sz w:val="20"/>
                <w:szCs w:val="20"/>
              </w:rPr>
            </w:pPr>
            <w:r w:rsidRPr="00CB0A32">
              <w:rPr>
                <w:sz w:val="20"/>
                <w:szCs w:val="20"/>
              </w:rPr>
              <w:t>Products</w:t>
            </w:r>
            <w:r w:rsidR="006C6A0E" w:rsidRPr="00CB0A32">
              <w:rPr>
                <w:sz w:val="20"/>
                <w:szCs w:val="20"/>
              </w:rPr>
              <w:t xml:space="preserve"> displaying the HSR had statistically significant reductions in energy and saturated fat content over the four years since the System was introduced compared to those not displaying the HSR</w:t>
            </w:r>
            <w:r w:rsidRPr="00CB0A32">
              <w:rPr>
                <w:sz w:val="20"/>
                <w:szCs w:val="20"/>
              </w:rPr>
              <w:t xml:space="preserve"> (which had no significant reduction in these components)</w:t>
            </w:r>
            <w:r w:rsidR="006C6A0E" w:rsidRPr="00CB0A32">
              <w:rPr>
                <w:sz w:val="20"/>
                <w:szCs w:val="20"/>
              </w:rPr>
              <w:t>.</w:t>
            </w:r>
          </w:p>
        </w:tc>
        <w:tc>
          <w:tcPr>
            <w:tcW w:w="4518" w:type="dxa"/>
          </w:tcPr>
          <w:p w14:paraId="4DD57611" w14:textId="77777777" w:rsidR="006A1351" w:rsidRPr="00CC1ADD" w:rsidRDefault="006A1351" w:rsidP="005D75D3">
            <w:pPr>
              <w:pStyle w:val="mpcNormal"/>
              <w:keepNext w:val="0"/>
              <w:widowControl w:val="0"/>
              <w:rPr>
                <w:sz w:val="20"/>
                <w:szCs w:val="20"/>
              </w:rPr>
            </w:pPr>
            <w:r w:rsidRPr="00CC1ADD">
              <w:rPr>
                <w:sz w:val="20"/>
                <w:szCs w:val="20"/>
              </w:rPr>
              <w:t>Of those products displaying an HSR in 2018 that were available prior to implementation of the HSR in New Zealand, 79% have been reformulated to some extent (i.e. have undergone a minimum of 5% change in the content of a key component).</w:t>
            </w:r>
          </w:p>
        </w:tc>
      </w:tr>
    </w:tbl>
    <w:p w14:paraId="47F556DC" w14:textId="77777777" w:rsidR="009A5449" w:rsidRPr="00CC1ADD" w:rsidRDefault="009A5449" w:rsidP="0017608D">
      <w:pPr>
        <w:widowControl w:val="0"/>
      </w:pPr>
    </w:p>
    <w:p w14:paraId="3296FA39" w14:textId="77777777" w:rsidR="00DB42F9" w:rsidRPr="00CC1ADD" w:rsidRDefault="00DB42F9" w:rsidP="0017608D">
      <w:pPr>
        <w:pStyle w:val="mpcNormal"/>
        <w:keepNext w:val="0"/>
      </w:pPr>
    </w:p>
    <w:p w14:paraId="6EAF3FFF" w14:textId="77777777" w:rsidR="00752513" w:rsidRPr="00CC1ADD" w:rsidRDefault="003918E8">
      <w:pPr>
        <w:pStyle w:val="mpcheading1"/>
      </w:pPr>
      <w:r w:rsidRPr="00CC1ADD">
        <w:br w:type="column"/>
      </w:r>
      <w:bookmarkStart w:id="166" w:name="AppendixC"/>
      <w:bookmarkStart w:id="167" w:name="_Toc1746525"/>
      <w:bookmarkEnd w:id="166"/>
      <w:r w:rsidR="00752513" w:rsidRPr="00CC1ADD">
        <w:t>Appendix C: Health Star Rating System use, promotion and complementary healthy eating initiatives</w:t>
      </w:r>
      <w:bookmarkEnd w:id="167"/>
    </w:p>
    <w:p w14:paraId="543711E5" w14:textId="1DD3B6ED" w:rsidR="00752513" w:rsidRPr="00CC1ADD" w:rsidRDefault="00752513" w:rsidP="005D75D3">
      <w:pPr>
        <w:pStyle w:val="mpcNormal"/>
        <w:keepNext w:val="0"/>
      </w:pPr>
      <w:bookmarkStart w:id="168" w:name="_Toc493777380"/>
      <w:bookmarkStart w:id="169" w:name="_Toc491950031"/>
      <w:bookmarkStart w:id="170" w:name="_Toc493777378"/>
      <w:r w:rsidRPr="00CC1ADD">
        <w:t>The following tables provide information about some of the ways retailers, food manufacturers, government and public health agencies in Australia and New Zealand have engaged with promotion of the HSR System. Information about complementary healthy eating initiatives is also included.</w:t>
      </w:r>
    </w:p>
    <w:p w14:paraId="5FB66C8F" w14:textId="77777777" w:rsidR="00752513" w:rsidRPr="00CC1ADD" w:rsidRDefault="00752513" w:rsidP="005D75D3">
      <w:pPr>
        <w:pStyle w:val="mpcNormal"/>
        <w:keepNext w:val="0"/>
      </w:pPr>
    </w:p>
    <w:p w14:paraId="746F9924" w14:textId="77777777" w:rsidR="00752513" w:rsidRPr="00CC1ADD" w:rsidRDefault="00752513" w:rsidP="005D75D3">
      <w:pPr>
        <w:pStyle w:val="mpcNormal"/>
        <w:keepNext w:val="0"/>
      </w:pPr>
      <w:r w:rsidRPr="00CC1ADD">
        <w:t xml:space="preserve">The information in these tables is indicative only, rather than exhaustive. Tables have been compiled based on information provided in submissions and during stakeholder consultation, and from online research. </w:t>
      </w:r>
    </w:p>
    <w:p w14:paraId="7852E932" w14:textId="77777777" w:rsidR="00752513" w:rsidRPr="00CC1ADD" w:rsidRDefault="00752513" w:rsidP="005D75D3">
      <w:pPr>
        <w:pStyle w:val="mpcheading4"/>
        <w:keepNext w:val="0"/>
      </w:pPr>
    </w:p>
    <w:p w14:paraId="1FC90B64" w14:textId="77777777" w:rsidR="00752513" w:rsidRPr="00CC1ADD" w:rsidRDefault="00752513" w:rsidP="005A3631">
      <w:pPr>
        <w:pStyle w:val="mpcheading2"/>
        <w:spacing w:after="0"/>
      </w:pPr>
      <w:bookmarkStart w:id="171" w:name="OtherGovt"/>
      <w:bookmarkStart w:id="172" w:name="_Toc1746526"/>
      <w:bookmarkEnd w:id="171"/>
      <w:r w:rsidRPr="00CC1ADD">
        <w:t>HSR System use in other government initiatives</w:t>
      </w:r>
      <w:bookmarkEnd w:id="172"/>
    </w:p>
    <w:bookmarkEnd w:id="168"/>
    <w:p w14:paraId="7EC6C847" w14:textId="77777777" w:rsidR="00752513" w:rsidRPr="00CC1ADD" w:rsidRDefault="00752513" w:rsidP="005D75D3">
      <w:pPr>
        <w:pStyle w:val="mpcNormal"/>
        <w:keepNext w:val="0"/>
      </w:pPr>
    </w:p>
    <w:tbl>
      <w:tblPr>
        <w:tblStyle w:val="TableGrid"/>
        <w:tblW w:w="0" w:type="auto"/>
        <w:tblLook w:val="04A0" w:firstRow="1" w:lastRow="0" w:firstColumn="1" w:lastColumn="0" w:noHBand="0" w:noVBand="1"/>
      </w:tblPr>
      <w:tblGrid>
        <w:gridCol w:w="1555"/>
        <w:gridCol w:w="1275"/>
        <w:gridCol w:w="5529"/>
        <w:gridCol w:w="1275"/>
      </w:tblGrid>
      <w:tr w:rsidR="00752513" w:rsidRPr="00CC1ADD" w14:paraId="701E4E0D" w14:textId="77777777" w:rsidTr="00752513">
        <w:trPr>
          <w:tblHeader/>
        </w:trPr>
        <w:tc>
          <w:tcPr>
            <w:tcW w:w="1555" w:type="dxa"/>
            <w:shd w:val="clear" w:color="auto" w:fill="516A8E"/>
          </w:tcPr>
          <w:p w14:paraId="2AFE3A8A" w14:textId="77777777" w:rsidR="00752513" w:rsidRPr="00CC1ADD" w:rsidRDefault="00752513" w:rsidP="005A3631">
            <w:pPr>
              <w:pStyle w:val="Tabletext"/>
              <w:spacing w:before="40" w:after="40" w:line="240" w:lineRule="auto"/>
              <w:rPr>
                <w:rFonts w:cstheme="minorHAnsi"/>
                <w:b/>
                <w:color w:val="FFFFFF" w:themeColor="background1"/>
                <w:szCs w:val="20"/>
              </w:rPr>
            </w:pPr>
            <w:bookmarkStart w:id="173" w:name="Type"/>
            <w:bookmarkEnd w:id="173"/>
            <w:r w:rsidRPr="00CC1ADD">
              <w:rPr>
                <w:rFonts w:cstheme="minorHAnsi"/>
                <w:b/>
                <w:color w:val="FFFFFF" w:themeColor="background1"/>
                <w:szCs w:val="20"/>
              </w:rPr>
              <w:t>Type of Policy/Program</w:t>
            </w:r>
          </w:p>
        </w:tc>
        <w:tc>
          <w:tcPr>
            <w:tcW w:w="1275" w:type="dxa"/>
            <w:shd w:val="clear" w:color="auto" w:fill="516A8E"/>
          </w:tcPr>
          <w:p w14:paraId="76188597"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529" w:type="dxa"/>
            <w:shd w:val="clear" w:color="auto" w:fill="516A8E"/>
          </w:tcPr>
          <w:p w14:paraId="25C9DA4F"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275" w:type="dxa"/>
            <w:shd w:val="clear" w:color="auto" w:fill="516A8E"/>
          </w:tcPr>
          <w:p w14:paraId="4BC8C444"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3AC05986" w14:textId="77777777" w:rsidTr="00752513">
        <w:tc>
          <w:tcPr>
            <w:tcW w:w="1555" w:type="dxa"/>
            <w:shd w:val="clear" w:color="auto" w:fill="FFFFFF" w:themeFill="background1"/>
          </w:tcPr>
          <w:p w14:paraId="55A53166" w14:textId="77777777" w:rsidR="00752513" w:rsidRPr="00CC1ADD" w:rsidRDefault="00752513" w:rsidP="005A3631">
            <w:pPr>
              <w:spacing w:before="40" w:after="40"/>
              <w:rPr>
                <w:rFonts w:cstheme="minorHAnsi"/>
                <w:sz w:val="20"/>
                <w:szCs w:val="20"/>
              </w:rPr>
            </w:pPr>
            <w:r w:rsidRPr="00CC1ADD">
              <w:rPr>
                <w:rFonts w:cstheme="minorHAnsi"/>
                <w:sz w:val="20"/>
                <w:szCs w:val="20"/>
              </w:rPr>
              <w:t>NSW Ministry of Health</w:t>
            </w:r>
          </w:p>
        </w:tc>
        <w:tc>
          <w:tcPr>
            <w:tcW w:w="1275" w:type="dxa"/>
            <w:shd w:val="clear" w:color="auto" w:fill="FFFFFF" w:themeFill="background1"/>
          </w:tcPr>
          <w:p w14:paraId="3D64E674" w14:textId="77777777" w:rsidR="00752513" w:rsidRPr="00CC1ADD" w:rsidRDefault="00752513">
            <w:pPr>
              <w:spacing w:before="40" w:after="40"/>
              <w:rPr>
                <w:rFonts w:cstheme="minorHAnsi"/>
                <w:sz w:val="20"/>
                <w:szCs w:val="20"/>
              </w:rPr>
            </w:pPr>
            <w:r w:rsidRPr="00CC1ADD">
              <w:rPr>
                <w:rFonts w:cstheme="minorHAnsi"/>
                <w:sz w:val="20"/>
                <w:szCs w:val="20"/>
              </w:rPr>
              <w:t>New South Wales</w:t>
            </w:r>
          </w:p>
        </w:tc>
        <w:tc>
          <w:tcPr>
            <w:tcW w:w="5529" w:type="dxa"/>
            <w:shd w:val="clear" w:color="auto" w:fill="FFFFFF" w:themeFill="background1"/>
          </w:tcPr>
          <w:p w14:paraId="62E9C628" w14:textId="7D71E1F2" w:rsidR="00752513" w:rsidRPr="00CC1ADD" w:rsidRDefault="00CF3274">
            <w:pPr>
              <w:spacing w:before="40" w:after="40"/>
              <w:rPr>
                <w:rFonts w:cstheme="minorHAnsi"/>
                <w:color w:val="222222"/>
                <w:sz w:val="20"/>
                <w:szCs w:val="20"/>
              </w:rPr>
            </w:pPr>
            <w:r>
              <w:rPr>
                <w:rFonts w:cstheme="minorHAnsi"/>
                <w:color w:val="222222"/>
                <w:sz w:val="20"/>
                <w:szCs w:val="20"/>
              </w:rPr>
              <w:t xml:space="preserve">The HSR System has been incorporated into the </w:t>
            </w:r>
            <w:hyperlink r:id="rId89" w:history="1">
              <w:r w:rsidRPr="00CF3274">
                <w:rPr>
                  <w:rStyle w:val="Hyperlink"/>
                  <w:rFonts w:cstheme="minorHAnsi"/>
                  <w:sz w:val="20"/>
                  <w:szCs w:val="20"/>
                </w:rPr>
                <w:t>NSW Healthy School Canteen Strategy</w:t>
              </w:r>
            </w:hyperlink>
            <w:r>
              <w:rPr>
                <w:rFonts w:cstheme="minorHAnsi"/>
                <w:color w:val="222222"/>
                <w:sz w:val="20"/>
                <w:szCs w:val="20"/>
              </w:rPr>
              <w:t xml:space="preserve"> and the </w:t>
            </w:r>
            <w:hyperlink r:id="rId90" w:history="1">
              <w:r w:rsidRPr="00CF3274">
                <w:rPr>
                  <w:rStyle w:val="Hyperlink"/>
                  <w:rFonts w:cstheme="minorHAnsi"/>
                  <w:sz w:val="20"/>
                  <w:szCs w:val="20"/>
                </w:rPr>
                <w:t>NSW Healthy Food and Drink in Health facilities for Staff and Visitors Framework</w:t>
              </w:r>
            </w:hyperlink>
            <w:r>
              <w:rPr>
                <w:rFonts w:cstheme="minorHAnsi"/>
                <w:color w:val="222222"/>
                <w:sz w:val="20"/>
                <w:szCs w:val="20"/>
              </w:rPr>
              <w:t xml:space="preserve">. The HSR System is used, along with portion size limits to identify healthier food and drink options. </w:t>
            </w:r>
          </w:p>
        </w:tc>
        <w:tc>
          <w:tcPr>
            <w:tcW w:w="1275" w:type="dxa"/>
            <w:tcBorders>
              <w:bottom w:val="single" w:sz="4" w:space="0" w:color="auto"/>
            </w:tcBorders>
            <w:shd w:val="clear" w:color="auto" w:fill="FFFFFF" w:themeFill="background1"/>
          </w:tcPr>
          <w:p w14:paraId="3D63DA74" w14:textId="77777777" w:rsidR="00752513" w:rsidRPr="00CC1ADD" w:rsidRDefault="00752513">
            <w:pPr>
              <w:spacing w:before="40" w:after="40"/>
              <w:rPr>
                <w:rFonts w:cstheme="minorHAnsi"/>
                <w:sz w:val="20"/>
                <w:szCs w:val="20"/>
              </w:rPr>
            </w:pPr>
            <w:r w:rsidRPr="00CC1ADD">
              <w:rPr>
                <w:rFonts w:cstheme="minorHAnsi"/>
                <w:sz w:val="20"/>
                <w:szCs w:val="20"/>
              </w:rPr>
              <w:t>Consumers and retailers</w:t>
            </w:r>
          </w:p>
        </w:tc>
      </w:tr>
      <w:tr w:rsidR="00752513" w:rsidRPr="00CC1ADD" w14:paraId="5AFAA816" w14:textId="77777777" w:rsidTr="00752513">
        <w:tc>
          <w:tcPr>
            <w:tcW w:w="1555" w:type="dxa"/>
            <w:shd w:val="clear" w:color="auto" w:fill="FFFFFF" w:themeFill="background1"/>
          </w:tcPr>
          <w:p w14:paraId="00374B2A" w14:textId="77777777" w:rsidR="00752513" w:rsidRPr="00CC1ADD" w:rsidRDefault="00752513" w:rsidP="005A3631">
            <w:pPr>
              <w:spacing w:before="40" w:after="40"/>
              <w:rPr>
                <w:rFonts w:cstheme="minorHAnsi"/>
                <w:sz w:val="20"/>
                <w:szCs w:val="20"/>
              </w:rPr>
            </w:pPr>
            <w:r w:rsidRPr="00CC1ADD">
              <w:rPr>
                <w:rFonts w:cstheme="minorHAnsi"/>
                <w:sz w:val="20"/>
                <w:szCs w:val="20"/>
              </w:rPr>
              <w:t>SA Health</w:t>
            </w:r>
          </w:p>
        </w:tc>
        <w:tc>
          <w:tcPr>
            <w:tcW w:w="1275" w:type="dxa"/>
            <w:shd w:val="clear" w:color="auto" w:fill="FFFFFF" w:themeFill="background1"/>
          </w:tcPr>
          <w:p w14:paraId="644B49CC" w14:textId="77777777" w:rsidR="00752513" w:rsidRPr="00CC1ADD" w:rsidRDefault="00752513">
            <w:pPr>
              <w:spacing w:before="40" w:after="40"/>
              <w:rPr>
                <w:rFonts w:cstheme="minorHAnsi"/>
                <w:sz w:val="20"/>
                <w:szCs w:val="20"/>
              </w:rPr>
            </w:pPr>
            <w:r w:rsidRPr="00CC1ADD">
              <w:rPr>
                <w:rFonts w:cstheme="minorHAnsi"/>
                <w:sz w:val="20"/>
                <w:szCs w:val="20"/>
              </w:rPr>
              <w:t>South Australia</w:t>
            </w:r>
          </w:p>
        </w:tc>
        <w:tc>
          <w:tcPr>
            <w:tcW w:w="5529" w:type="dxa"/>
            <w:shd w:val="clear" w:color="auto" w:fill="FFFFFF" w:themeFill="background1"/>
          </w:tcPr>
          <w:p w14:paraId="375AF226"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SA Health has produced a series of fact sheets (including four related to the HSR) that can be ordered through the </w:t>
            </w:r>
            <w:hyperlink r:id="rId91" w:history="1">
              <w:r w:rsidRPr="00CC1ADD">
                <w:rPr>
                  <w:rStyle w:val="Hyperlink"/>
                  <w:rFonts w:cstheme="minorHAnsi"/>
                  <w:sz w:val="20"/>
                  <w:szCs w:val="20"/>
                </w:rPr>
                <w:t>Health Promotion Community Education Resource Order Form for Consumer (Dec 2018)</w:t>
              </w:r>
            </w:hyperlink>
            <w:r>
              <w:rPr>
                <w:rStyle w:val="Hyperlink"/>
                <w:rFonts w:cstheme="minorHAnsi"/>
                <w:sz w:val="20"/>
                <w:szCs w:val="20"/>
              </w:rPr>
              <w:t>.</w:t>
            </w:r>
          </w:p>
        </w:tc>
        <w:tc>
          <w:tcPr>
            <w:tcW w:w="1275" w:type="dxa"/>
            <w:tcBorders>
              <w:bottom w:val="single" w:sz="4" w:space="0" w:color="auto"/>
            </w:tcBorders>
            <w:shd w:val="clear" w:color="auto" w:fill="FFFFFF" w:themeFill="background1"/>
          </w:tcPr>
          <w:p w14:paraId="37087844"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bl>
    <w:p w14:paraId="5D0F3699" w14:textId="77777777" w:rsidR="00752513" w:rsidRPr="00CC1ADD" w:rsidRDefault="00752513" w:rsidP="005D75D3">
      <w:pPr>
        <w:pStyle w:val="mpcNormal"/>
        <w:keepNext w:val="0"/>
      </w:pPr>
    </w:p>
    <w:p w14:paraId="2BAE66EC" w14:textId="77777777" w:rsidR="00752513" w:rsidRPr="00CC1ADD" w:rsidRDefault="00752513" w:rsidP="005A3631">
      <w:pPr>
        <w:pStyle w:val="mpcheading2"/>
        <w:spacing w:after="0"/>
      </w:pPr>
      <w:bookmarkStart w:id="174" w:name="Industry"/>
      <w:bookmarkStart w:id="175" w:name="_Toc1746527"/>
      <w:bookmarkEnd w:id="174"/>
      <w:r w:rsidRPr="00CC1ADD">
        <w:t>Industry promotion of the HSR System</w:t>
      </w:r>
      <w:bookmarkEnd w:id="175"/>
    </w:p>
    <w:p w14:paraId="5CAF2F51" w14:textId="77777777" w:rsidR="00752513" w:rsidRPr="00CC1ADD" w:rsidRDefault="00752513" w:rsidP="0017608D">
      <w:pPr>
        <w:pStyle w:val="mpcNormal"/>
        <w:keepNext w:val="0"/>
      </w:pPr>
    </w:p>
    <w:tbl>
      <w:tblPr>
        <w:tblStyle w:val="TableGrid"/>
        <w:tblW w:w="0" w:type="auto"/>
        <w:tblLayout w:type="fixed"/>
        <w:tblLook w:val="04A0" w:firstRow="1" w:lastRow="0" w:firstColumn="1" w:lastColumn="0" w:noHBand="0" w:noVBand="1"/>
      </w:tblPr>
      <w:tblGrid>
        <w:gridCol w:w="1555"/>
        <w:gridCol w:w="1275"/>
        <w:gridCol w:w="5529"/>
        <w:gridCol w:w="1377"/>
      </w:tblGrid>
      <w:tr w:rsidR="00752513" w:rsidRPr="00CC1ADD" w14:paraId="00FDB309" w14:textId="77777777" w:rsidTr="00752513">
        <w:trPr>
          <w:tblHeader/>
        </w:trPr>
        <w:tc>
          <w:tcPr>
            <w:tcW w:w="1555" w:type="dxa"/>
            <w:shd w:val="clear" w:color="auto" w:fill="516A8E"/>
          </w:tcPr>
          <w:p w14:paraId="47B7307C" w14:textId="77777777" w:rsidR="00752513" w:rsidRPr="00CC1ADD" w:rsidRDefault="00752513" w:rsidP="005A3631">
            <w:pPr>
              <w:pStyle w:val="Tabletext"/>
              <w:spacing w:before="40" w:after="40" w:line="240" w:lineRule="auto"/>
              <w:rPr>
                <w:rFonts w:cstheme="minorHAnsi"/>
                <w:b/>
                <w:color w:val="FFFFFF" w:themeColor="background1"/>
                <w:szCs w:val="20"/>
              </w:rPr>
            </w:pPr>
            <w:bookmarkStart w:id="176" w:name="Company"/>
            <w:bookmarkEnd w:id="176"/>
            <w:r w:rsidRPr="00CC1ADD">
              <w:rPr>
                <w:rFonts w:cstheme="minorHAnsi"/>
                <w:b/>
                <w:color w:val="FFFFFF" w:themeColor="background1"/>
                <w:szCs w:val="20"/>
              </w:rPr>
              <w:t>Company</w:t>
            </w:r>
          </w:p>
        </w:tc>
        <w:tc>
          <w:tcPr>
            <w:tcW w:w="1275" w:type="dxa"/>
            <w:shd w:val="clear" w:color="auto" w:fill="516A8E"/>
          </w:tcPr>
          <w:p w14:paraId="59CBDAC3"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529" w:type="dxa"/>
            <w:shd w:val="clear" w:color="auto" w:fill="516A8E"/>
          </w:tcPr>
          <w:p w14:paraId="7C94633F"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377" w:type="dxa"/>
            <w:shd w:val="clear" w:color="auto" w:fill="516A8E"/>
          </w:tcPr>
          <w:p w14:paraId="63B0641E"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594C1E5F" w14:textId="77777777" w:rsidTr="00752513">
        <w:tc>
          <w:tcPr>
            <w:tcW w:w="1555" w:type="dxa"/>
            <w:shd w:val="clear" w:color="auto" w:fill="FFFFFF" w:themeFill="background1"/>
          </w:tcPr>
          <w:p w14:paraId="1FCA1579" w14:textId="77777777" w:rsidR="00752513" w:rsidRPr="00CC1ADD" w:rsidRDefault="00752513" w:rsidP="005A3631">
            <w:pPr>
              <w:spacing w:before="40" w:after="40"/>
              <w:rPr>
                <w:rFonts w:cstheme="minorHAnsi"/>
                <w:sz w:val="20"/>
                <w:szCs w:val="20"/>
              </w:rPr>
            </w:pPr>
            <w:r w:rsidRPr="00CC1ADD">
              <w:rPr>
                <w:rFonts w:cstheme="minorHAnsi"/>
                <w:sz w:val="20"/>
                <w:szCs w:val="20"/>
              </w:rPr>
              <w:t>Anchor Dairy</w:t>
            </w:r>
          </w:p>
        </w:tc>
        <w:tc>
          <w:tcPr>
            <w:tcW w:w="1275" w:type="dxa"/>
            <w:shd w:val="clear" w:color="auto" w:fill="FFFFFF" w:themeFill="background1"/>
          </w:tcPr>
          <w:p w14:paraId="26A67516"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529" w:type="dxa"/>
            <w:shd w:val="clear" w:color="auto" w:fill="FFFFFF" w:themeFill="background1"/>
          </w:tcPr>
          <w:p w14:paraId="5AE69FD3"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information about the HSR System on </w:t>
            </w:r>
            <w:hyperlink r:id="rId92" w:history="1">
              <w:r w:rsidRPr="00CC1ADD">
                <w:rPr>
                  <w:rStyle w:val="Hyperlink"/>
                  <w:rFonts w:cstheme="minorHAnsi"/>
                  <w:sz w:val="20"/>
                  <w:szCs w:val="20"/>
                </w:rPr>
                <w:t>Anchor Dairy website</w:t>
              </w:r>
            </w:hyperlink>
            <w:r>
              <w:rPr>
                <w:rStyle w:val="Hyperlink"/>
                <w:rFonts w:cstheme="minorHAnsi"/>
                <w:sz w:val="20"/>
                <w:szCs w:val="20"/>
              </w:rPr>
              <w:t>.</w:t>
            </w:r>
          </w:p>
        </w:tc>
        <w:tc>
          <w:tcPr>
            <w:tcW w:w="1377" w:type="dxa"/>
            <w:shd w:val="clear" w:color="auto" w:fill="FFFFFF" w:themeFill="background1"/>
          </w:tcPr>
          <w:p w14:paraId="5C8E4724"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7DD11105" w14:textId="77777777" w:rsidTr="00752513">
        <w:tc>
          <w:tcPr>
            <w:tcW w:w="1555" w:type="dxa"/>
            <w:shd w:val="clear" w:color="auto" w:fill="FFFFFF" w:themeFill="background1"/>
          </w:tcPr>
          <w:p w14:paraId="58360ABC" w14:textId="77777777" w:rsidR="00752513" w:rsidRPr="00CC1ADD" w:rsidRDefault="00752513" w:rsidP="005A3631">
            <w:pPr>
              <w:spacing w:before="40" w:after="40"/>
              <w:rPr>
                <w:rFonts w:cstheme="minorHAnsi"/>
                <w:sz w:val="20"/>
                <w:szCs w:val="20"/>
              </w:rPr>
            </w:pPr>
            <w:r w:rsidRPr="00CC1ADD">
              <w:rPr>
                <w:rFonts w:cstheme="minorHAnsi"/>
                <w:sz w:val="20"/>
                <w:szCs w:val="20"/>
              </w:rPr>
              <w:t>Arnott’s</w:t>
            </w:r>
          </w:p>
        </w:tc>
        <w:tc>
          <w:tcPr>
            <w:tcW w:w="1275" w:type="dxa"/>
            <w:shd w:val="clear" w:color="auto" w:fill="FFFFFF" w:themeFill="background1"/>
          </w:tcPr>
          <w:p w14:paraId="2C46C18A"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317B8C8C"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of a Guide to HSR on the </w:t>
            </w:r>
            <w:hyperlink r:id="rId93" w:history="1">
              <w:r w:rsidRPr="00CC1ADD">
                <w:rPr>
                  <w:rStyle w:val="Hyperlink"/>
                  <w:rFonts w:cstheme="minorHAnsi"/>
                  <w:sz w:val="20"/>
                  <w:szCs w:val="20"/>
                </w:rPr>
                <w:t>Arnott’s website</w:t>
              </w:r>
            </w:hyperlink>
            <w:r>
              <w:rPr>
                <w:rFonts w:cstheme="minorHAnsi"/>
                <w:color w:val="222222"/>
                <w:sz w:val="20"/>
                <w:szCs w:val="20"/>
              </w:rPr>
              <w:t>.</w:t>
            </w:r>
          </w:p>
        </w:tc>
        <w:tc>
          <w:tcPr>
            <w:tcW w:w="1377" w:type="dxa"/>
            <w:shd w:val="clear" w:color="auto" w:fill="FFFFFF" w:themeFill="background1"/>
          </w:tcPr>
          <w:p w14:paraId="6BCBA049"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62747F78" w14:textId="77777777" w:rsidTr="00752513">
        <w:tc>
          <w:tcPr>
            <w:tcW w:w="1555" w:type="dxa"/>
            <w:shd w:val="clear" w:color="auto" w:fill="FFFFFF" w:themeFill="background1"/>
          </w:tcPr>
          <w:p w14:paraId="5886DA6F" w14:textId="77777777" w:rsidR="00752513" w:rsidRPr="00CC1ADD" w:rsidRDefault="00752513" w:rsidP="005A3631">
            <w:pPr>
              <w:spacing w:before="40" w:after="40"/>
              <w:rPr>
                <w:rFonts w:cstheme="minorHAnsi"/>
                <w:sz w:val="20"/>
                <w:szCs w:val="20"/>
              </w:rPr>
            </w:pPr>
            <w:r w:rsidRPr="00CC1ADD">
              <w:rPr>
                <w:rFonts w:cstheme="minorHAnsi"/>
                <w:sz w:val="20"/>
                <w:szCs w:val="20"/>
              </w:rPr>
              <w:t>Coles</w:t>
            </w:r>
          </w:p>
        </w:tc>
        <w:tc>
          <w:tcPr>
            <w:tcW w:w="1275" w:type="dxa"/>
            <w:shd w:val="clear" w:color="auto" w:fill="FFFFFF" w:themeFill="background1"/>
          </w:tcPr>
          <w:p w14:paraId="4876CAA3"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1048A1CA"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statement on the HSR on </w:t>
            </w:r>
            <w:hyperlink r:id="rId94" w:history="1">
              <w:r w:rsidRPr="00CC1ADD">
                <w:rPr>
                  <w:rStyle w:val="Hyperlink"/>
                  <w:rFonts w:cstheme="minorHAnsi"/>
                  <w:sz w:val="20"/>
                  <w:szCs w:val="20"/>
                </w:rPr>
                <w:t>Coles website</w:t>
              </w:r>
            </w:hyperlink>
            <w:r w:rsidRPr="00CC1ADD">
              <w:rPr>
                <w:rFonts w:cstheme="minorHAnsi"/>
                <w:color w:val="222222"/>
                <w:sz w:val="20"/>
                <w:szCs w:val="20"/>
              </w:rPr>
              <w:t>, including reference to the number of Coles Brand products displaying HSR.</w:t>
            </w:r>
          </w:p>
        </w:tc>
        <w:tc>
          <w:tcPr>
            <w:tcW w:w="1377" w:type="dxa"/>
            <w:shd w:val="clear" w:color="auto" w:fill="FFFFFF" w:themeFill="background1"/>
          </w:tcPr>
          <w:p w14:paraId="4D737C4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370BD3D7" w14:textId="77777777" w:rsidTr="00752513">
        <w:tc>
          <w:tcPr>
            <w:tcW w:w="1555" w:type="dxa"/>
            <w:shd w:val="clear" w:color="auto" w:fill="FFFFFF" w:themeFill="background1"/>
          </w:tcPr>
          <w:p w14:paraId="2A4B1535" w14:textId="77777777" w:rsidR="00752513" w:rsidRPr="00CC1ADD" w:rsidRDefault="00752513" w:rsidP="005A3631">
            <w:pPr>
              <w:spacing w:before="40" w:after="40"/>
              <w:rPr>
                <w:rFonts w:cstheme="minorHAnsi"/>
                <w:sz w:val="20"/>
                <w:szCs w:val="20"/>
              </w:rPr>
            </w:pPr>
            <w:r w:rsidRPr="00CC1ADD">
              <w:rPr>
                <w:rFonts w:cstheme="minorHAnsi"/>
                <w:sz w:val="20"/>
                <w:szCs w:val="20"/>
              </w:rPr>
              <w:t>Countdown</w:t>
            </w:r>
          </w:p>
        </w:tc>
        <w:tc>
          <w:tcPr>
            <w:tcW w:w="1275" w:type="dxa"/>
            <w:shd w:val="clear" w:color="auto" w:fill="FFFFFF" w:themeFill="background1"/>
          </w:tcPr>
          <w:p w14:paraId="1D795A56"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529" w:type="dxa"/>
            <w:shd w:val="clear" w:color="auto" w:fill="FFFFFF" w:themeFill="background1"/>
          </w:tcPr>
          <w:p w14:paraId="538B650A"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including information about the HSR on </w:t>
            </w:r>
            <w:hyperlink r:id="rId95" w:history="1">
              <w:r w:rsidRPr="00CC1ADD">
                <w:rPr>
                  <w:rStyle w:val="Hyperlink"/>
                  <w:rFonts w:cstheme="minorHAnsi"/>
                  <w:sz w:val="20"/>
                  <w:szCs w:val="20"/>
                </w:rPr>
                <w:t>Countdown website</w:t>
              </w:r>
            </w:hyperlink>
            <w:r>
              <w:rPr>
                <w:rStyle w:val="Hyperlink"/>
                <w:rFonts w:cstheme="minorHAnsi"/>
                <w:sz w:val="20"/>
                <w:szCs w:val="20"/>
              </w:rPr>
              <w:t>.</w:t>
            </w:r>
          </w:p>
          <w:p w14:paraId="25B01BA2"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Publication of </w:t>
            </w:r>
            <w:hyperlink r:id="rId96" w:history="1">
              <w:r w:rsidRPr="00CC1ADD">
                <w:rPr>
                  <w:rStyle w:val="Hyperlink"/>
                  <w:rFonts w:cstheme="minorHAnsi"/>
                  <w:sz w:val="20"/>
                  <w:szCs w:val="20"/>
                </w:rPr>
                <w:t>Retail Industry Pledge</w:t>
              </w:r>
            </w:hyperlink>
            <w:r w:rsidRPr="00CC1ADD">
              <w:rPr>
                <w:rFonts w:cstheme="minorHAnsi"/>
                <w:color w:val="222222"/>
                <w:sz w:val="20"/>
                <w:szCs w:val="20"/>
              </w:rPr>
              <w:t xml:space="preserve"> to use the HSR on private label products and encourage suppliers to use HSR, includes measurable targets and documentation of progress.</w:t>
            </w:r>
          </w:p>
        </w:tc>
        <w:tc>
          <w:tcPr>
            <w:tcW w:w="1377" w:type="dxa"/>
            <w:shd w:val="clear" w:color="auto" w:fill="FFFFFF" w:themeFill="background1"/>
          </w:tcPr>
          <w:p w14:paraId="7020D803"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1463BE77" w14:textId="77777777" w:rsidTr="00752513">
        <w:tc>
          <w:tcPr>
            <w:tcW w:w="1555" w:type="dxa"/>
            <w:shd w:val="clear" w:color="auto" w:fill="FFFFFF" w:themeFill="background1"/>
          </w:tcPr>
          <w:p w14:paraId="5BCAB68C" w14:textId="77777777" w:rsidR="00752513" w:rsidRPr="00CC1ADD" w:rsidRDefault="00752513" w:rsidP="005A3631">
            <w:pPr>
              <w:spacing w:before="40" w:after="40"/>
              <w:rPr>
                <w:rFonts w:cstheme="minorHAnsi"/>
                <w:sz w:val="20"/>
                <w:szCs w:val="20"/>
              </w:rPr>
            </w:pPr>
            <w:r w:rsidRPr="00CC1ADD">
              <w:rPr>
                <w:rFonts w:cstheme="minorHAnsi"/>
                <w:sz w:val="20"/>
                <w:szCs w:val="20"/>
              </w:rPr>
              <w:t>Daily Juice</w:t>
            </w:r>
          </w:p>
        </w:tc>
        <w:tc>
          <w:tcPr>
            <w:tcW w:w="1275" w:type="dxa"/>
            <w:shd w:val="clear" w:color="auto" w:fill="FFFFFF" w:themeFill="background1"/>
          </w:tcPr>
          <w:p w14:paraId="0AC9F1BA"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004B3062"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of the HSR and how Daily Juice product labels are making it easier for customers to make healthier choices on the </w:t>
            </w:r>
            <w:hyperlink r:id="rId97" w:history="1">
              <w:r w:rsidRPr="00CC1ADD">
                <w:rPr>
                  <w:rStyle w:val="Hyperlink"/>
                  <w:rFonts w:cstheme="minorHAnsi"/>
                  <w:sz w:val="20"/>
                  <w:szCs w:val="20"/>
                </w:rPr>
                <w:t>Daily Juice website</w:t>
              </w:r>
            </w:hyperlink>
            <w:r>
              <w:rPr>
                <w:rStyle w:val="Hyperlink"/>
                <w:rFonts w:cstheme="minorHAnsi"/>
                <w:sz w:val="20"/>
                <w:szCs w:val="20"/>
              </w:rPr>
              <w:t>.</w:t>
            </w:r>
          </w:p>
        </w:tc>
        <w:tc>
          <w:tcPr>
            <w:tcW w:w="1377" w:type="dxa"/>
            <w:shd w:val="clear" w:color="auto" w:fill="FFFFFF" w:themeFill="background1"/>
          </w:tcPr>
          <w:p w14:paraId="5F8BE1D6"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F93322" w:rsidRPr="00CC1ADD" w14:paraId="234A1ED6" w14:textId="77777777" w:rsidTr="00752513">
        <w:tc>
          <w:tcPr>
            <w:tcW w:w="1555" w:type="dxa"/>
            <w:shd w:val="clear" w:color="auto" w:fill="FFFFFF" w:themeFill="background1"/>
          </w:tcPr>
          <w:p w14:paraId="7636C4E8" w14:textId="10CE41A3" w:rsidR="00F93322" w:rsidRPr="00CC1ADD" w:rsidRDefault="00F93322" w:rsidP="005A3631">
            <w:pPr>
              <w:spacing w:before="40" w:after="40"/>
              <w:rPr>
                <w:rFonts w:cstheme="minorHAnsi"/>
                <w:sz w:val="20"/>
                <w:szCs w:val="20"/>
              </w:rPr>
            </w:pPr>
            <w:r>
              <w:rPr>
                <w:rFonts w:cstheme="minorHAnsi"/>
                <w:sz w:val="20"/>
                <w:szCs w:val="20"/>
              </w:rPr>
              <w:t>Foodstuffs</w:t>
            </w:r>
          </w:p>
        </w:tc>
        <w:tc>
          <w:tcPr>
            <w:tcW w:w="1275" w:type="dxa"/>
            <w:shd w:val="clear" w:color="auto" w:fill="FFFFFF" w:themeFill="background1"/>
          </w:tcPr>
          <w:p w14:paraId="2E2CEE85" w14:textId="59FA7E99" w:rsidR="00F93322" w:rsidRPr="00CC1ADD" w:rsidRDefault="00F93322" w:rsidP="005A25A2">
            <w:pPr>
              <w:spacing w:before="40" w:after="40"/>
              <w:rPr>
                <w:rFonts w:cstheme="minorHAnsi"/>
                <w:sz w:val="20"/>
                <w:szCs w:val="20"/>
              </w:rPr>
            </w:pPr>
            <w:r>
              <w:rPr>
                <w:rFonts w:cstheme="minorHAnsi"/>
                <w:sz w:val="20"/>
                <w:szCs w:val="20"/>
              </w:rPr>
              <w:t>New Zealand</w:t>
            </w:r>
          </w:p>
        </w:tc>
        <w:tc>
          <w:tcPr>
            <w:tcW w:w="5529" w:type="dxa"/>
            <w:shd w:val="clear" w:color="auto" w:fill="FFFFFF" w:themeFill="background1"/>
          </w:tcPr>
          <w:p w14:paraId="0CC73013" w14:textId="682202B2" w:rsidR="00F93322" w:rsidRPr="00CC1ADD" w:rsidRDefault="00F93322" w:rsidP="005A25A2">
            <w:pPr>
              <w:spacing w:before="40" w:after="40"/>
              <w:rPr>
                <w:rFonts w:cstheme="minorHAnsi"/>
                <w:color w:val="222222"/>
                <w:sz w:val="20"/>
                <w:szCs w:val="20"/>
              </w:rPr>
            </w:pPr>
            <w:r>
              <w:rPr>
                <w:rFonts w:cstheme="minorHAnsi"/>
                <w:color w:val="222222"/>
                <w:sz w:val="20"/>
                <w:szCs w:val="20"/>
              </w:rPr>
              <w:t xml:space="preserve">Inclusion of statement on the HSR on the </w:t>
            </w:r>
            <w:hyperlink r:id="rId98" w:history="1">
              <w:r w:rsidRPr="00F93322">
                <w:rPr>
                  <w:rStyle w:val="Hyperlink"/>
                  <w:rFonts w:cstheme="minorHAnsi"/>
                  <w:sz w:val="20"/>
                  <w:szCs w:val="20"/>
                </w:rPr>
                <w:t>Foodstuffs website</w:t>
              </w:r>
            </w:hyperlink>
            <w:r>
              <w:rPr>
                <w:rFonts w:cstheme="minorHAnsi"/>
                <w:color w:val="222222"/>
                <w:sz w:val="20"/>
                <w:szCs w:val="20"/>
              </w:rPr>
              <w:t xml:space="preserve"> and featuring HSR branded products in promotions.</w:t>
            </w:r>
          </w:p>
        </w:tc>
        <w:tc>
          <w:tcPr>
            <w:tcW w:w="1377" w:type="dxa"/>
            <w:shd w:val="clear" w:color="auto" w:fill="FFFFFF" w:themeFill="background1"/>
          </w:tcPr>
          <w:p w14:paraId="508BEE84" w14:textId="5CBF330F" w:rsidR="00F93322" w:rsidRPr="00CC1ADD" w:rsidRDefault="00F93322" w:rsidP="005A25A2">
            <w:pPr>
              <w:spacing w:before="40" w:after="40"/>
              <w:rPr>
                <w:rFonts w:cstheme="minorHAnsi"/>
                <w:sz w:val="20"/>
                <w:szCs w:val="20"/>
              </w:rPr>
            </w:pPr>
            <w:r>
              <w:rPr>
                <w:rFonts w:cstheme="minorHAnsi"/>
                <w:sz w:val="20"/>
                <w:szCs w:val="20"/>
              </w:rPr>
              <w:t>Consumers</w:t>
            </w:r>
          </w:p>
        </w:tc>
      </w:tr>
      <w:tr w:rsidR="00F93322" w:rsidRPr="00CC1ADD" w14:paraId="14546AD4" w14:textId="77777777" w:rsidTr="00752513">
        <w:tc>
          <w:tcPr>
            <w:tcW w:w="1555" w:type="dxa"/>
            <w:shd w:val="clear" w:color="auto" w:fill="FFFFFF" w:themeFill="background1"/>
          </w:tcPr>
          <w:p w14:paraId="4CACE431" w14:textId="2C28C138" w:rsidR="00F93322" w:rsidRDefault="00F93322" w:rsidP="005A3631">
            <w:pPr>
              <w:spacing w:before="40" w:after="40"/>
              <w:rPr>
                <w:rFonts w:cstheme="minorHAnsi"/>
                <w:sz w:val="20"/>
                <w:szCs w:val="20"/>
              </w:rPr>
            </w:pPr>
            <w:r>
              <w:rPr>
                <w:rFonts w:cstheme="minorHAnsi"/>
                <w:sz w:val="20"/>
                <w:szCs w:val="20"/>
              </w:rPr>
              <w:t>Frucor</w:t>
            </w:r>
          </w:p>
        </w:tc>
        <w:tc>
          <w:tcPr>
            <w:tcW w:w="1275" w:type="dxa"/>
            <w:shd w:val="clear" w:color="auto" w:fill="FFFFFF" w:themeFill="background1"/>
          </w:tcPr>
          <w:p w14:paraId="1FBB00D9" w14:textId="51624402" w:rsidR="00F93322" w:rsidRDefault="00F93322" w:rsidP="005A25A2">
            <w:pPr>
              <w:spacing w:before="40" w:after="40"/>
              <w:rPr>
                <w:rFonts w:cstheme="minorHAnsi"/>
                <w:sz w:val="20"/>
                <w:szCs w:val="20"/>
              </w:rPr>
            </w:pPr>
            <w:r>
              <w:rPr>
                <w:rFonts w:cstheme="minorHAnsi"/>
                <w:sz w:val="20"/>
                <w:szCs w:val="20"/>
              </w:rPr>
              <w:t>New Zealand</w:t>
            </w:r>
          </w:p>
        </w:tc>
        <w:tc>
          <w:tcPr>
            <w:tcW w:w="5529" w:type="dxa"/>
            <w:shd w:val="clear" w:color="auto" w:fill="FFFFFF" w:themeFill="background1"/>
          </w:tcPr>
          <w:p w14:paraId="641C3E86" w14:textId="307AD32A" w:rsidR="00F93322" w:rsidRDefault="00F93322" w:rsidP="005A25A2">
            <w:pPr>
              <w:spacing w:before="40" w:after="40"/>
              <w:rPr>
                <w:rFonts w:cstheme="minorHAnsi"/>
                <w:color w:val="222222"/>
                <w:sz w:val="20"/>
                <w:szCs w:val="20"/>
              </w:rPr>
            </w:pPr>
            <w:r>
              <w:rPr>
                <w:rFonts w:cstheme="minorHAnsi"/>
                <w:color w:val="222222"/>
                <w:sz w:val="20"/>
                <w:szCs w:val="20"/>
              </w:rPr>
              <w:t xml:space="preserve">Inclusion of information on the HSR System on the </w:t>
            </w:r>
            <w:hyperlink r:id="rId99" w:history="1">
              <w:r w:rsidRPr="00F93322">
                <w:rPr>
                  <w:rStyle w:val="Hyperlink"/>
                  <w:rFonts w:cstheme="minorHAnsi"/>
                  <w:sz w:val="20"/>
                  <w:szCs w:val="20"/>
                </w:rPr>
                <w:t>Frucor website</w:t>
              </w:r>
            </w:hyperlink>
            <w:r>
              <w:rPr>
                <w:rFonts w:cstheme="minorHAnsi"/>
                <w:color w:val="222222"/>
                <w:sz w:val="20"/>
                <w:szCs w:val="20"/>
              </w:rPr>
              <w:t xml:space="preserve">. </w:t>
            </w:r>
          </w:p>
        </w:tc>
        <w:tc>
          <w:tcPr>
            <w:tcW w:w="1377" w:type="dxa"/>
            <w:shd w:val="clear" w:color="auto" w:fill="FFFFFF" w:themeFill="background1"/>
          </w:tcPr>
          <w:p w14:paraId="2A9795A3" w14:textId="3587C6BF" w:rsidR="00F93322" w:rsidRPr="00CC1ADD" w:rsidRDefault="00F93322" w:rsidP="005A25A2">
            <w:pPr>
              <w:spacing w:before="40" w:after="40"/>
              <w:rPr>
                <w:rFonts w:cstheme="minorHAnsi"/>
                <w:sz w:val="20"/>
                <w:szCs w:val="20"/>
              </w:rPr>
            </w:pPr>
            <w:r>
              <w:rPr>
                <w:rFonts w:cstheme="minorHAnsi"/>
                <w:sz w:val="20"/>
                <w:szCs w:val="20"/>
              </w:rPr>
              <w:t>Consumers</w:t>
            </w:r>
          </w:p>
        </w:tc>
      </w:tr>
      <w:tr w:rsidR="00752513" w:rsidRPr="00CC1ADD" w14:paraId="64F84A8C" w14:textId="77777777" w:rsidTr="00752513">
        <w:tc>
          <w:tcPr>
            <w:tcW w:w="1555" w:type="dxa"/>
            <w:shd w:val="clear" w:color="auto" w:fill="FFFFFF" w:themeFill="background1"/>
          </w:tcPr>
          <w:p w14:paraId="518E966C" w14:textId="77777777" w:rsidR="00752513" w:rsidRPr="00CC1ADD" w:rsidRDefault="00752513" w:rsidP="005A3631">
            <w:pPr>
              <w:spacing w:before="40" w:after="40"/>
              <w:rPr>
                <w:rFonts w:cstheme="minorHAnsi"/>
                <w:sz w:val="20"/>
                <w:szCs w:val="20"/>
              </w:rPr>
            </w:pPr>
            <w:r w:rsidRPr="00CC1ADD">
              <w:rPr>
                <w:rFonts w:cstheme="minorHAnsi"/>
                <w:sz w:val="20"/>
                <w:szCs w:val="20"/>
              </w:rPr>
              <w:t>Go Natural</w:t>
            </w:r>
          </w:p>
        </w:tc>
        <w:tc>
          <w:tcPr>
            <w:tcW w:w="1275" w:type="dxa"/>
            <w:shd w:val="clear" w:color="auto" w:fill="FFFFFF" w:themeFill="background1"/>
          </w:tcPr>
          <w:p w14:paraId="662D9A1A"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7E7DD4B9" w14:textId="77777777" w:rsidR="00752513" w:rsidRPr="00CC1ADD" w:rsidRDefault="00752513">
            <w:pPr>
              <w:spacing w:before="40" w:after="40"/>
              <w:rPr>
                <w:rFonts w:cstheme="minorHAnsi"/>
                <w:color w:val="0000FF"/>
                <w:sz w:val="20"/>
                <w:szCs w:val="20"/>
                <w:u w:val="single"/>
              </w:rPr>
            </w:pPr>
            <w:r w:rsidRPr="00CC1ADD">
              <w:rPr>
                <w:rFonts w:cstheme="minorHAnsi"/>
                <w:color w:val="222222"/>
                <w:sz w:val="20"/>
                <w:szCs w:val="20"/>
              </w:rPr>
              <w:t xml:space="preserve">Online promotion of HSR (on images of nut bars) and information on HSR and how it is calculated on </w:t>
            </w:r>
            <w:hyperlink r:id="rId100" w:history="1">
              <w:r w:rsidRPr="00CC1ADD">
                <w:rPr>
                  <w:rStyle w:val="Hyperlink"/>
                  <w:rFonts w:cstheme="minorHAnsi"/>
                  <w:sz w:val="20"/>
                  <w:szCs w:val="20"/>
                </w:rPr>
                <w:t>Go Natural website</w:t>
              </w:r>
            </w:hyperlink>
            <w:r>
              <w:rPr>
                <w:rStyle w:val="Hyperlink"/>
                <w:rFonts w:cstheme="minorHAnsi"/>
                <w:sz w:val="20"/>
                <w:szCs w:val="20"/>
              </w:rPr>
              <w:t>.</w:t>
            </w:r>
          </w:p>
        </w:tc>
        <w:tc>
          <w:tcPr>
            <w:tcW w:w="1377" w:type="dxa"/>
            <w:shd w:val="clear" w:color="auto" w:fill="FFFFFF" w:themeFill="background1"/>
          </w:tcPr>
          <w:p w14:paraId="3C56B205"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51D202ED" w14:textId="77777777" w:rsidTr="00752513">
        <w:tc>
          <w:tcPr>
            <w:tcW w:w="1555" w:type="dxa"/>
            <w:shd w:val="clear" w:color="auto" w:fill="FFFFFF" w:themeFill="background1"/>
          </w:tcPr>
          <w:p w14:paraId="2450C9CF" w14:textId="77777777" w:rsidR="00752513" w:rsidRPr="00CC1ADD" w:rsidRDefault="00752513" w:rsidP="005A3631">
            <w:pPr>
              <w:spacing w:before="40" w:after="40"/>
              <w:rPr>
                <w:rFonts w:cstheme="minorHAnsi"/>
                <w:sz w:val="20"/>
                <w:szCs w:val="20"/>
              </w:rPr>
            </w:pPr>
            <w:r w:rsidRPr="00CC1ADD">
              <w:rPr>
                <w:rFonts w:cstheme="minorHAnsi"/>
                <w:sz w:val="20"/>
                <w:szCs w:val="20"/>
              </w:rPr>
              <w:t>GR8START</w:t>
            </w:r>
          </w:p>
        </w:tc>
        <w:tc>
          <w:tcPr>
            <w:tcW w:w="1275" w:type="dxa"/>
            <w:shd w:val="clear" w:color="auto" w:fill="FFFFFF" w:themeFill="background1"/>
          </w:tcPr>
          <w:p w14:paraId="4A5AC1B9"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16C6A08A"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of GR8START breakfast mix displaying health star rating on </w:t>
            </w:r>
            <w:hyperlink r:id="rId101" w:history="1">
              <w:r w:rsidRPr="00CC1ADD">
                <w:rPr>
                  <w:rStyle w:val="Hyperlink"/>
                  <w:rFonts w:cstheme="minorHAnsi"/>
                  <w:sz w:val="20"/>
                  <w:szCs w:val="20"/>
                </w:rPr>
                <w:t>GR8START website</w:t>
              </w:r>
            </w:hyperlink>
            <w:r>
              <w:rPr>
                <w:rStyle w:val="Hyperlink"/>
                <w:rFonts w:cstheme="minorHAnsi"/>
                <w:sz w:val="20"/>
                <w:szCs w:val="20"/>
              </w:rPr>
              <w:t>.</w:t>
            </w:r>
          </w:p>
        </w:tc>
        <w:tc>
          <w:tcPr>
            <w:tcW w:w="1377" w:type="dxa"/>
            <w:shd w:val="clear" w:color="auto" w:fill="FFFFFF" w:themeFill="background1"/>
          </w:tcPr>
          <w:p w14:paraId="5D0988C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4AA10B43" w14:textId="77777777" w:rsidTr="00752513">
        <w:tc>
          <w:tcPr>
            <w:tcW w:w="1555" w:type="dxa"/>
            <w:shd w:val="clear" w:color="auto" w:fill="FFFFFF" w:themeFill="background1"/>
          </w:tcPr>
          <w:p w14:paraId="00C731DE" w14:textId="77777777" w:rsidR="00752513" w:rsidRPr="00CC1ADD" w:rsidRDefault="00752513" w:rsidP="005A3631">
            <w:pPr>
              <w:spacing w:before="40" w:after="40"/>
              <w:rPr>
                <w:rFonts w:cstheme="minorHAnsi"/>
                <w:sz w:val="20"/>
                <w:szCs w:val="20"/>
              </w:rPr>
            </w:pPr>
            <w:r w:rsidRPr="00CC1ADD">
              <w:rPr>
                <w:rFonts w:cstheme="minorHAnsi"/>
                <w:sz w:val="20"/>
                <w:szCs w:val="20"/>
              </w:rPr>
              <w:t>IGA</w:t>
            </w:r>
          </w:p>
        </w:tc>
        <w:tc>
          <w:tcPr>
            <w:tcW w:w="1275" w:type="dxa"/>
            <w:shd w:val="clear" w:color="auto" w:fill="FFFFFF" w:themeFill="background1"/>
          </w:tcPr>
          <w:p w14:paraId="74D0B71C"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060DA67C" w14:textId="77777777" w:rsidR="00752513" w:rsidRPr="00CC1ADD" w:rsidRDefault="00276EB3">
            <w:pPr>
              <w:spacing w:before="40" w:after="40"/>
              <w:rPr>
                <w:rFonts w:cstheme="minorHAnsi"/>
                <w:color w:val="222222"/>
                <w:sz w:val="20"/>
                <w:szCs w:val="20"/>
              </w:rPr>
            </w:pPr>
            <w:hyperlink r:id="rId102" w:history="1">
              <w:r w:rsidR="00752513" w:rsidRPr="00CC1ADD">
                <w:rPr>
                  <w:rStyle w:val="Hyperlink"/>
                  <w:rFonts w:cstheme="minorHAnsi"/>
                  <w:sz w:val="20"/>
                  <w:szCs w:val="20"/>
                </w:rPr>
                <w:t>Eat Well</w:t>
              </w:r>
            </w:hyperlink>
            <w:r w:rsidR="00752513" w:rsidRPr="00CC1ADD">
              <w:rPr>
                <w:rFonts w:cstheme="minorHAnsi"/>
                <w:color w:val="222222"/>
                <w:sz w:val="20"/>
                <w:szCs w:val="20"/>
              </w:rPr>
              <w:t xml:space="preserve"> at IGA campaign, including advice to help customers make healthier choices by using the HSR.  </w:t>
            </w:r>
          </w:p>
        </w:tc>
        <w:tc>
          <w:tcPr>
            <w:tcW w:w="1377" w:type="dxa"/>
            <w:shd w:val="clear" w:color="auto" w:fill="FFFFFF" w:themeFill="background1"/>
          </w:tcPr>
          <w:p w14:paraId="54B8A50F"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2D7E394C" w14:textId="77777777" w:rsidTr="00752513">
        <w:tc>
          <w:tcPr>
            <w:tcW w:w="1555" w:type="dxa"/>
            <w:shd w:val="clear" w:color="auto" w:fill="FFFFFF" w:themeFill="background1"/>
          </w:tcPr>
          <w:p w14:paraId="1F39E8E0" w14:textId="77777777" w:rsidR="00752513" w:rsidRPr="00CC1ADD" w:rsidRDefault="00752513" w:rsidP="005A3631">
            <w:pPr>
              <w:spacing w:before="40" w:after="40"/>
              <w:rPr>
                <w:rFonts w:cstheme="minorHAnsi"/>
                <w:sz w:val="20"/>
                <w:szCs w:val="20"/>
              </w:rPr>
            </w:pPr>
            <w:r w:rsidRPr="00CC1ADD">
              <w:rPr>
                <w:rFonts w:cstheme="minorHAnsi"/>
                <w:sz w:val="20"/>
                <w:szCs w:val="20"/>
              </w:rPr>
              <w:t>Kellogg’s</w:t>
            </w:r>
          </w:p>
        </w:tc>
        <w:tc>
          <w:tcPr>
            <w:tcW w:w="1275" w:type="dxa"/>
            <w:shd w:val="clear" w:color="auto" w:fill="FFFFFF" w:themeFill="background1"/>
          </w:tcPr>
          <w:p w14:paraId="0BA7A38F" w14:textId="77777777" w:rsidR="00752513" w:rsidRPr="00CC1ADD" w:rsidRDefault="00752513">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393A51AF"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information on the HSR System and how it should be used, only accessible to health professionals through the Kellogg’s Australia New Zealand Health Professional Hub on the </w:t>
            </w:r>
            <w:hyperlink r:id="rId103" w:history="1">
              <w:r w:rsidRPr="00CC1ADD">
                <w:rPr>
                  <w:rStyle w:val="Hyperlink"/>
                  <w:rFonts w:cstheme="minorHAnsi"/>
                  <w:sz w:val="20"/>
                  <w:szCs w:val="20"/>
                </w:rPr>
                <w:t>Kellogg's website</w:t>
              </w:r>
            </w:hyperlink>
            <w:r>
              <w:rPr>
                <w:rStyle w:val="Hyperlink"/>
                <w:rFonts w:cstheme="minorHAnsi"/>
                <w:sz w:val="20"/>
                <w:szCs w:val="20"/>
              </w:rPr>
              <w:t>.</w:t>
            </w:r>
          </w:p>
        </w:tc>
        <w:tc>
          <w:tcPr>
            <w:tcW w:w="1377" w:type="dxa"/>
            <w:shd w:val="clear" w:color="auto" w:fill="FFFFFF" w:themeFill="background1"/>
          </w:tcPr>
          <w:p w14:paraId="0D5C6AEA" w14:textId="77777777" w:rsidR="00752513" w:rsidRPr="00CC1ADD" w:rsidRDefault="00752513">
            <w:pPr>
              <w:spacing w:before="40" w:after="40"/>
              <w:rPr>
                <w:rFonts w:cstheme="minorHAnsi"/>
                <w:sz w:val="20"/>
                <w:szCs w:val="20"/>
              </w:rPr>
            </w:pPr>
            <w:r w:rsidRPr="00CC1ADD">
              <w:rPr>
                <w:rFonts w:cstheme="minorHAnsi"/>
                <w:sz w:val="20"/>
                <w:szCs w:val="20"/>
              </w:rPr>
              <w:t>Health professionals</w:t>
            </w:r>
          </w:p>
        </w:tc>
      </w:tr>
      <w:tr w:rsidR="00752513" w:rsidRPr="00CC1ADD" w14:paraId="55004644" w14:textId="77777777" w:rsidTr="00752513">
        <w:tc>
          <w:tcPr>
            <w:tcW w:w="1555" w:type="dxa"/>
            <w:shd w:val="clear" w:color="auto" w:fill="FFFFFF" w:themeFill="background1"/>
          </w:tcPr>
          <w:p w14:paraId="5E68EB7B" w14:textId="77777777" w:rsidR="00752513" w:rsidRPr="00CC1ADD" w:rsidRDefault="00752513" w:rsidP="005A3631">
            <w:pPr>
              <w:spacing w:before="40" w:after="40"/>
              <w:rPr>
                <w:rFonts w:cstheme="minorHAnsi"/>
                <w:sz w:val="20"/>
                <w:szCs w:val="20"/>
              </w:rPr>
            </w:pPr>
            <w:r w:rsidRPr="00CC1ADD">
              <w:rPr>
                <w:rFonts w:cstheme="minorHAnsi"/>
                <w:sz w:val="20"/>
                <w:szCs w:val="20"/>
              </w:rPr>
              <w:t>Lion</w:t>
            </w:r>
          </w:p>
        </w:tc>
        <w:tc>
          <w:tcPr>
            <w:tcW w:w="1275" w:type="dxa"/>
            <w:shd w:val="clear" w:color="auto" w:fill="FFFFFF" w:themeFill="background1"/>
          </w:tcPr>
          <w:p w14:paraId="7A1EA379" w14:textId="77777777" w:rsidR="00752513" w:rsidRPr="00CC1ADD" w:rsidRDefault="00752513">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04725857"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of the company’s commitment to front-of-pack labelling including a section on </w:t>
            </w:r>
            <w:hyperlink r:id="rId104" w:history="1">
              <w:r w:rsidRPr="00CC1ADD">
                <w:rPr>
                  <w:rStyle w:val="Hyperlink"/>
                  <w:rFonts w:cstheme="minorHAnsi"/>
                  <w:sz w:val="20"/>
                  <w:szCs w:val="20"/>
                </w:rPr>
                <w:t>Lion website</w:t>
              </w:r>
            </w:hyperlink>
            <w:r w:rsidRPr="00CC1ADD">
              <w:rPr>
                <w:rFonts w:cstheme="minorHAnsi"/>
                <w:color w:val="222222"/>
                <w:sz w:val="20"/>
                <w:szCs w:val="20"/>
              </w:rPr>
              <w:t xml:space="preserve"> titled </w:t>
            </w:r>
            <w:r w:rsidRPr="00CC1ADD">
              <w:rPr>
                <w:rFonts w:cstheme="minorHAnsi"/>
                <w:i/>
                <w:iCs/>
                <w:color w:val="222222"/>
                <w:sz w:val="20"/>
                <w:szCs w:val="20"/>
              </w:rPr>
              <w:t>Reading Food Labels</w:t>
            </w:r>
            <w:r w:rsidRPr="00CC1ADD">
              <w:rPr>
                <w:rFonts w:cstheme="minorHAnsi"/>
                <w:color w:val="222222"/>
                <w:sz w:val="20"/>
                <w:szCs w:val="20"/>
              </w:rPr>
              <w:t>, with information about the HSR System.</w:t>
            </w:r>
          </w:p>
        </w:tc>
        <w:tc>
          <w:tcPr>
            <w:tcW w:w="1377" w:type="dxa"/>
            <w:shd w:val="clear" w:color="auto" w:fill="FFFFFF" w:themeFill="background1"/>
          </w:tcPr>
          <w:p w14:paraId="31B3ACF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6CA8B69D" w14:textId="77777777" w:rsidTr="00752513">
        <w:tc>
          <w:tcPr>
            <w:tcW w:w="1555" w:type="dxa"/>
            <w:shd w:val="clear" w:color="auto" w:fill="FFFFFF" w:themeFill="background1"/>
          </w:tcPr>
          <w:p w14:paraId="06948F2D" w14:textId="77777777" w:rsidR="00752513" w:rsidRPr="00CC1ADD" w:rsidRDefault="00752513" w:rsidP="005A3631">
            <w:pPr>
              <w:spacing w:before="40" w:after="40"/>
              <w:rPr>
                <w:rFonts w:cstheme="minorHAnsi"/>
                <w:sz w:val="20"/>
                <w:szCs w:val="20"/>
              </w:rPr>
            </w:pPr>
            <w:r w:rsidRPr="00CC1ADD">
              <w:rPr>
                <w:rFonts w:cstheme="minorHAnsi"/>
                <w:sz w:val="20"/>
                <w:szCs w:val="20"/>
              </w:rPr>
              <w:t>Monster Health Food</w:t>
            </w:r>
          </w:p>
        </w:tc>
        <w:tc>
          <w:tcPr>
            <w:tcW w:w="1275" w:type="dxa"/>
            <w:shd w:val="clear" w:color="auto" w:fill="FFFFFF" w:themeFill="background1"/>
          </w:tcPr>
          <w:p w14:paraId="0C45571D"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5B2BBBFD"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Online promotion of the HSR for muesli products on home page of </w:t>
            </w:r>
            <w:hyperlink r:id="rId105" w:history="1">
              <w:r w:rsidRPr="00CC1ADD">
                <w:rPr>
                  <w:rStyle w:val="Hyperlink"/>
                  <w:rFonts w:cstheme="minorHAnsi"/>
                  <w:sz w:val="20"/>
                  <w:szCs w:val="20"/>
                </w:rPr>
                <w:t>Monster Health Foods website</w:t>
              </w:r>
            </w:hyperlink>
            <w:r w:rsidRPr="00CC1ADD">
              <w:rPr>
                <w:rFonts w:cstheme="minorHAnsi"/>
                <w:color w:val="222222"/>
                <w:sz w:val="20"/>
                <w:szCs w:val="20"/>
              </w:rPr>
              <w:t xml:space="preserve"> and promotion of the value of the HSR System in </w:t>
            </w:r>
            <w:hyperlink r:id="rId106" w:history="1">
              <w:r w:rsidRPr="00CC1ADD">
                <w:rPr>
                  <w:rStyle w:val="Hyperlink"/>
                  <w:rFonts w:cstheme="minorHAnsi"/>
                  <w:sz w:val="20"/>
                  <w:szCs w:val="20"/>
                </w:rPr>
                <w:t>media coverage</w:t>
              </w:r>
            </w:hyperlink>
            <w:r>
              <w:rPr>
                <w:rFonts w:cstheme="minorHAnsi"/>
                <w:color w:val="222222"/>
                <w:sz w:val="20"/>
                <w:szCs w:val="20"/>
              </w:rPr>
              <w:t>.</w:t>
            </w:r>
          </w:p>
        </w:tc>
        <w:tc>
          <w:tcPr>
            <w:tcW w:w="1377" w:type="dxa"/>
            <w:shd w:val="clear" w:color="auto" w:fill="FFFFFF" w:themeFill="background1"/>
          </w:tcPr>
          <w:p w14:paraId="37D7CB8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62B3F01E" w14:textId="77777777" w:rsidTr="00752513">
        <w:tc>
          <w:tcPr>
            <w:tcW w:w="1555" w:type="dxa"/>
            <w:shd w:val="clear" w:color="auto" w:fill="FFFFFF" w:themeFill="background1"/>
          </w:tcPr>
          <w:p w14:paraId="1F728F70" w14:textId="77777777" w:rsidR="00752513" w:rsidRPr="00CC1ADD" w:rsidRDefault="00752513" w:rsidP="005A3631">
            <w:pPr>
              <w:spacing w:before="40" w:after="40"/>
              <w:rPr>
                <w:rFonts w:cstheme="minorHAnsi"/>
                <w:sz w:val="20"/>
                <w:szCs w:val="20"/>
              </w:rPr>
            </w:pPr>
            <w:r w:rsidRPr="00CC1ADD">
              <w:rPr>
                <w:rFonts w:cstheme="minorHAnsi"/>
                <w:sz w:val="20"/>
                <w:szCs w:val="20"/>
              </w:rPr>
              <w:t>Nestle</w:t>
            </w:r>
          </w:p>
        </w:tc>
        <w:tc>
          <w:tcPr>
            <w:tcW w:w="1275" w:type="dxa"/>
            <w:shd w:val="clear" w:color="auto" w:fill="FFFFFF" w:themeFill="background1"/>
          </w:tcPr>
          <w:p w14:paraId="08F56C78" w14:textId="77777777" w:rsidR="00752513" w:rsidRPr="00CC1ADD" w:rsidRDefault="00752513">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15245DC6" w14:textId="77777777" w:rsidR="00752513" w:rsidRDefault="00752513" w:rsidP="005A25A2">
            <w:pPr>
              <w:spacing w:before="40" w:after="40"/>
              <w:rPr>
                <w:rFonts w:cstheme="minorHAnsi"/>
                <w:color w:val="222222"/>
                <w:sz w:val="20"/>
                <w:szCs w:val="20"/>
              </w:rPr>
            </w:pPr>
            <w:r w:rsidRPr="00CC1ADD">
              <w:rPr>
                <w:rFonts w:cstheme="minorHAnsi"/>
                <w:color w:val="222222"/>
                <w:sz w:val="20"/>
                <w:szCs w:val="20"/>
              </w:rPr>
              <w:t xml:space="preserve">Online promotion of ways to understand and use the HSR when shopping on the </w:t>
            </w:r>
            <w:hyperlink r:id="rId107" w:history="1">
              <w:r w:rsidRPr="00CC1ADD">
                <w:rPr>
                  <w:rStyle w:val="Hyperlink"/>
                  <w:rFonts w:cstheme="minorHAnsi"/>
                  <w:sz w:val="20"/>
                  <w:szCs w:val="20"/>
                </w:rPr>
                <w:t>Nestle website</w:t>
              </w:r>
            </w:hyperlink>
            <w:r>
              <w:rPr>
                <w:rFonts w:cstheme="minorHAnsi"/>
                <w:color w:val="222222"/>
                <w:sz w:val="20"/>
                <w:szCs w:val="20"/>
              </w:rPr>
              <w:t>.</w:t>
            </w:r>
          </w:p>
          <w:p w14:paraId="4A4EF496" w14:textId="364465E1" w:rsidR="00612D78" w:rsidRPr="00CC1ADD" w:rsidRDefault="00612D78" w:rsidP="00612D78">
            <w:pPr>
              <w:spacing w:before="40" w:after="40"/>
              <w:rPr>
                <w:rFonts w:cstheme="minorHAnsi"/>
                <w:color w:val="222222"/>
                <w:sz w:val="20"/>
                <w:szCs w:val="20"/>
              </w:rPr>
            </w:pPr>
            <w:r>
              <w:rPr>
                <w:rFonts w:cstheme="minorHAnsi"/>
                <w:color w:val="222222"/>
                <w:sz w:val="20"/>
                <w:szCs w:val="20"/>
              </w:rPr>
              <w:t>Provision of consumer support materials for dietitians, including HSR pocket cards, postures and brochures.</w:t>
            </w:r>
          </w:p>
        </w:tc>
        <w:tc>
          <w:tcPr>
            <w:tcW w:w="1377" w:type="dxa"/>
            <w:shd w:val="clear" w:color="auto" w:fill="FFFFFF" w:themeFill="background1"/>
          </w:tcPr>
          <w:p w14:paraId="5209F2C9" w14:textId="1CFBC0E4" w:rsidR="00752513" w:rsidRPr="00CC1ADD" w:rsidRDefault="00752513">
            <w:pPr>
              <w:spacing w:before="40" w:after="40"/>
              <w:rPr>
                <w:rFonts w:cstheme="minorHAnsi"/>
                <w:sz w:val="20"/>
                <w:szCs w:val="20"/>
              </w:rPr>
            </w:pPr>
            <w:r w:rsidRPr="00CC1ADD">
              <w:rPr>
                <w:rFonts w:cstheme="minorHAnsi"/>
                <w:sz w:val="20"/>
                <w:szCs w:val="20"/>
              </w:rPr>
              <w:t>Consumers</w:t>
            </w:r>
            <w:r w:rsidR="00612D78">
              <w:rPr>
                <w:rFonts w:cstheme="minorHAnsi"/>
                <w:sz w:val="20"/>
                <w:szCs w:val="20"/>
              </w:rPr>
              <w:t xml:space="preserve"> and health professionals</w:t>
            </w:r>
          </w:p>
        </w:tc>
      </w:tr>
      <w:tr w:rsidR="00F93322" w:rsidRPr="00CC1ADD" w14:paraId="5457665D" w14:textId="77777777" w:rsidTr="00752513">
        <w:tc>
          <w:tcPr>
            <w:tcW w:w="1555" w:type="dxa"/>
            <w:shd w:val="clear" w:color="auto" w:fill="FFFFFF" w:themeFill="background1"/>
          </w:tcPr>
          <w:p w14:paraId="76CC4AF6" w14:textId="0F212757" w:rsidR="00F93322" w:rsidRDefault="00F93322" w:rsidP="00F93322">
            <w:pPr>
              <w:spacing w:before="40" w:after="40"/>
              <w:rPr>
                <w:rFonts w:cstheme="minorHAnsi"/>
                <w:sz w:val="20"/>
                <w:szCs w:val="20"/>
              </w:rPr>
            </w:pPr>
            <w:r>
              <w:rPr>
                <w:rFonts w:cstheme="minorHAnsi"/>
                <w:sz w:val="20"/>
                <w:szCs w:val="20"/>
              </w:rPr>
              <w:t>New Zealand Food and Grocery Council</w:t>
            </w:r>
          </w:p>
        </w:tc>
        <w:tc>
          <w:tcPr>
            <w:tcW w:w="1275" w:type="dxa"/>
            <w:shd w:val="clear" w:color="auto" w:fill="FFFFFF" w:themeFill="background1"/>
          </w:tcPr>
          <w:p w14:paraId="1664BAC7" w14:textId="35685CDF" w:rsidR="00F93322" w:rsidRDefault="00F93322" w:rsidP="00F93322">
            <w:pPr>
              <w:spacing w:before="40" w:after="40"/>
              <w:rPr>
                <w:rFonts w:cstheme="minorHAnsi"/>
                <w:sz w:val="20"/>
                <w:szCs w:val="20"/>
              </w:rPr>
            </w:pPr>
            <w:r>
              <w:rPr>
                <w:rFonts w:cstheme="minorHAnsi"/>
                <w:sz w:val="20"/>
                <w:szCs w:val="20"/>
              </w:rPr>
              <w:t>New Zealand</w:t>
            </w:r>
          </w:p>
        </w:tc>
        <w:tc>
          <w:tcPr>
            <w:tcW w:w="5529" w:type="dxa"/>
            <w:shd w:val="clear" w:color="auto" w:fill="FFFFFF" w:themeFill="background1"/>
          </w:tcPr>
          <w:p w14:paraId="315E1E10" w14:textId="34BFC8FA" w:rsidR="00F93322" w:rsidRDefault="00F93322" w:rsidP="00F93322">
            <w:pPr>
              <w:spacing w:before="40" w:after="40"/>
              <w:rPr>
                <w:rFonts w:cstheme="minorHAnsi"/>
                <w:color w:val="222222"/>
                <w:sz w:val="20"/>
                <w:szCs w:val="20"/>
              </w:rPr>
            </w:pPr>
            <w:r>
              <w:rPr>
                <w:rFonts w:cstheme="minorHAnsi"/>
                <w:color w:val="222222"/>
                <w:sz w:val="20"/>
                <w:szCs w:val="20"/>
              </w:rPr>
              <w:t xml:space="preserve">Provision of information about the HSR System on the </w:t>
            </w:r>
            <w:hyperlink r:id="rId108" w:history="1">
              <w:r w:rsidRPr="00F93322">
                <w:rPr>
                  <w:rStyle w:val="Hyperlink"/>
                  <w:rFonts w:cstheme="minorHAnsi"/>
                  <w:sz w:val="20"/>
                  <w:szCs w:val="20"/>
                </w:rPr>
                <w:t>New Zealand Food and Grocery Council website</w:t>
              </w:r>
            </w:hyperlink>
            <w:r>
              <w:rPr>
                <w:rFonts w:cstheme="minorHAnsi"/>
                <w:color w:val="222222"/>
                <w:sz w:val="20"/>
                <w:szCs w:val="20"/>
              </w:rPr>
              <w:t>.</w:t>
            </w:r>
          </w:p>
        </w:tc>
        <w:tc>
          <w:tcPr>
            <w:tcW w:w="1377" w:type="dxa"/>
            <w:shd w:val="clear" w:color="auto" w:fill="FFFFFF" w:themeFill="background1"/>
          </w:tcPr>
          <w:p w14:paraId="02B42761" w14:textId="46C63BCF" w:rsidR="00F93322" w:rsidRDefault="00F93322" w:rsidP="00F93322">
            <w:pPr>
              <w:spacing w:before="40" w:after="40"/>
              <w:rPr>
                <w:rFonts w:cstheme="minorHAnsi"/>
                <w:sz w:val="20"/>
                <w:szCs w:val="20"/>
              </w:rPr>
            </w:pPr>
            <w:r>
              <w:rPr>
                <w:rFonts w:cstheme="minorHAnsi"/>
                <w:sz w:val="20"/>
                <w:szCs w:val="20"/>
              </w:rPr>
              <w:t>Consumers and industry</w:t>
            </w:r>
          </w:p>
        </w:tc>
      </w:tr>
      <w:tr w:rsidR="00F93322" w:rsidRPr="00CC1ADD" w14:paraId="7014EA62" w14:textId="77777777" w:rsidTr="00752513">
        <w:tc>
          <w:tcPr>
            <w:tcW w:w="1555" w:type="dxa"/>
            <w:shd w:val="clear" w:color="auto" w:fill="FFFFFF" w:themeFill="background1"/>
          </w:tcPr>
          <w:p w14:paraId="5CA8E3CE" w14:textId="0CB1BD45" w:rsidR="00F93322" w:rsidRPr="00CC1ADD" w:rsidRDefault="00F93322" w:rsidP="00F93322">
            <w:pPr>
              <w:spacing w:before="40" w:after="40"/>
              <w:rPr>
                <w:rFonts w:cstheme="minorHAnsi"/>
                <w:sz w:val="20"/>
                <w:szCs w:val="20"/>
              </w:rPr>
            </w:pPr>
            <w:r>
              <w:rPr>
                <w:rFonts w:cstheme="minorHAnsi"/>
                <w:sz w:val="20"/>
                <w:szCs w:val="20"/>
              </w:rPr>
              <w:t>New Zealand Beverage Council</w:t>
            </w:r>
          </w:p>
        </w:tc>
        <w:tc>
          <w:tcPr>
            <w:tcW w:w="1275" w:type="dxa"/>
            <w:shd w:val="clear" w:color="auto" w:fill="FFFFFF" w:themeFill="background1"/>
          </w:tcPr>
          <w:p w14:paraId="56385058" w14:textId="142F399C" w:rsidR="00F93322" w:rsidRPr="00CC1ADD" w:rsidRDefault="00F93322" w:rsidP="00F93322">
            <w:pPr>
              <w:spacing w:before="40" w:after="40"/>
              <w:rPr>
                <w:rFonts w:cstheme="minorHAnsi"/>
                <w:sz w:val="20"/>
                <w:szCs w:val="20"/>
              </w:rPr>
            </w:pPr>
            <w:r>
              <w:rPr>
                <w:rFonts w:cstheme="minorHAnsi"/>
                <w:sz w:val="20"/>
                <w:szCs w:val="20"/>
              </w:rPr>
              <w:t>New Zealand</w:t>
            </w:r>
          </w:p>
        </w:tc>
        <w:tc>
          <w:tcPr>
            <w:tcW w:w="5529" w:type="dxa"/>
            <w:shd w:val="clear" w:color="auto" w:fill="FFFFFF" w:themeFill="background1"/>
          </w:tcPr>
          <w:p w14:paraId="496F1922" w14:textId="40A4C7E2" w:rsidR="00F93322" w:rsidRPr="00CC1ADD" w:rsidRDefault="00F93322" w:rsidP="00F93322">
            <w:pPr>
              <w:spacing w:before="40" w:after="40"/>
              <w:rPr>
                <w:rFonts w:cstheme="minorHAnsi"/>
                <w:color w:val="222222"/>
                <w:sz w:val="20"/>
                <w:szCs w:val="20"/>
              </w:rPr>
            </w:pPr>
            <w:r>
              <w:rPr>
                <w:rFonts w:cstheme="minorHAnsi"/>
                <w:color w:val="222222"/>
                <w:sz w:val="20"/>
                <w:szCs w:val="20"/>
              </w:rPr>
              <w:t xml:space="preserve">Provision of information on the </w:t>
            </w:r>
            <w:hyperlink r:id="rId109" w:history="1">
              <w:r w:rsidRPr="00F93322">
                <w:rPr>
                  <w:rStyle w:val="Hyperlink"/>
                  <w:rFonts w:cstheme="minorHAnsi"/>
                  <w:sz w:val="20"/>
                  <w:szCs w:val="20"/>
                </w:rPr>
                <w:t>New Zealand Beverage Council website</w:t>
              </w:r>
            </w:hyperlink>
            <w:r>
              <w:rPr>
                <w:rFonts w:cstheme="minorHAnsi"/>
                <w:color w:val="222222"/>
                <w:sz w:val="20"/>
                <w:szCs w:val="20"/>
              </w:rPr>
              <w:t>.</w:t>
            </w:r>
          </w:p>
        </w:tc>
        <w:tc>
          <w:tcPr>
            <w:tcW w:w="1377" w:type="dxa"/>
            <w:shd w:val="clear" w:color="auto" w:fill="FFFFFF" w:themeFill="background1"/>
          </w:tcPr>
          <w:p w14:paraId="46240D09" w14:textId="2DF6F1D1" w:rsidR="00F93322" w:rsidRPr="00CC1ADD" w:rsidRDefault="00F93322" w:rsidP="00F93322">
            <w:pPr>
              <w:spacing w:before="40" w:after="40"/>
              <w:rPr>
                <w:rFonts w:cstheme="minorHAnsi"/>
                <w:sz w:val="20"/>
                <w:szCs w:val="20"/>
              </w:rPr>
            </w:pPr>
            <w:r>
              <w:rPr>
                <w:rFonts w:cstheme="minorHAnsi"/>
                <w:sz w:val="20"/>
                <w:szCs w:val="20"/>
              </w:rPr>
              <w:t>Consumers</w:t>
            </w:r>
          </w:p>
        </w:tc>
      </w:tr>
      <w:tr w:rsidR="00F93322" w:rsidRPr="00CC1ADD" w14:paraId="3A2E9455" w14:textId="77777777" w:rsidTr="00752513">
        <w:tc>
          <w:tcPr>
            <w:tcW w:w="1555" w:type="dxa"/>
            <w:shd w:val="clear" w:color="auto" w:fill="FFFFFF" w:themeFill="background1"/>
          </w:tcPr>
          <w:p w14:paraId="32EE2C26" w14:textId="0EC13192" w:rsidR="00F93322" w:rsidRPr="00CC1ADD" w:rsidRDefault="00F93322" w:rsidP="00F93322">
            <w:pPr>
              <w:spacing w:before="40" w:after="40"/>
              <w:rPr>
                <w:rFonts w:cstheme="minorHAnsi"/>
                <w:sz w:val="20"/>
                <w:szCs w:val="20"/>
              </w:rPr>
            </w:pPr>
            <w:r>
              <w:rPr>
                <w:rFonts w:cstheme="minorHAnsi"/>
                <w:sz w:val="20"/>
                <w:szCs w:val="20"/>
              </w:rPr>
              <w:t>NZ Sugar</w:t>
            </w:r>
          </w:p>
        </w:tc>
        <w:tc>
          <w:tcPr>
            <w:tcW w:w="1275" w:type="dxa"/>
            <w:shd w:val="clear" w:color="auto" w:fill="FFFFFF" w:themeFill="background1"/>
          </w:tcPr>
          <w:p w14:paraId="76207FB3" w14:textId="55FD9B0D" w:rsidR="00F93322" w:rsidRPr="00CC1ADD" w:rsidRDefault="00F93322" w:rsidP="00F93322">
            <w:pPr>
              <w:spacing w:before="40" w:after="40"/>
              <w:rPr>
                <w:rFonts w:cstheme="minorHAnsi"/>
                <w:sz w:val="20"/>
                <w:szCs w:val="20"/>
              </w:rPr>
            </w:pPr>
            <w:r>
              <w:rPr>
                <w:rFonts w:cstheme="minorHAnsi"/>
                <w:sz w:val="20"/>
                <w:szCs w:val="20"/>
              </w:rPr>
              <w:t>New Zealand</w:t>
            </w:r>
          </w:p>
        </w:tc>
        <w:tc>
          <w:tcPr>
            <w:tcW w:w="5529" w:type="dxa"/>
            <w:shd w:val="clear" w:color="auto" w:fill="FFFFFF" w:themeFill="background1"/>
          </w:tcPr>
          <w:p w14:paraId="57CFE452" w14:textId="14492460" w:rsidR="00F93322" w:rsidRPr="005D75D3" w:rsidRDefault="00F93322" w:rsidP="005D75D3">
            <w:pPr>
              <w:pStyle w:val="mpcNormal"/>
              <w:rPr>
                <w:sz w:val="24"/>
                <w:szCs w:val="24"/>
              </w:rPr>
            </w:pPr>
            <w:r w:rsidRPr="005D75D3">
              <w:rPr>
                <w:sz w:val="20"/>
              </w:rPr>
              <w:t>Provision of news and articles relating to the HSR System through the Sugar Research Advisory Service.</w:t>
            </w:r>
          </w:p>
        </w:tc>
        <w:tc>
          <w:tcPr>
            <w:tcW w:w="1377" w:type="dxa"/>
            <w:shd w:val="clear" w:color="auto" w:fill="FFFFFF" w:themeFill="background1"/>
          </w:tcPr>
          <w:p w14:paraId="5D770603" w14:textId="3BDDE4B5" w:rsidR="00F93322" w:rsidRPr="00CC1ADD" w:rsidRDefault="00F93322" w:rsidP="00F93322">
            <w:pPr>
              <w:spacing w:before="40" w:after="40"/>
              <w:rPr>
                <w:rFonts w:cstheme="minorHAnsi"/>
                <w:sz w:val="20"/>
                <w:szCs w:val="20"/>
              </w:rPr>
            </w:pPr>
            <w:r w:rsidRPr="00CC1ADD">
              <w:rPr>
                <w:rFonts w:cstheme="minorHAnsi"/>
                <w:sz w:val="20"/>
                <w:szCs w:val="20"/>
              </w:rPr>
              <w:t>Consumers</w:t>
            </w:r>
            <w:r>
              <w:rPr>
                <w:rFonts w:cstheme="minorHAnsi"/>
                <w:sz w:val="20"/>
                <w:szCs w:val="20"/>
              </w:rPr>
              <w:t xml:space="preserve"> and health professionals</w:t>
            </w:r>
          </w:p>
        </w:tc>
      </w:tr>
      <w:tr w:rsidR="00F93322" w:rsidRPr="00CC1ADD" w14:paraId="74BDACFC" w14:textId="77777777" w:rsidTr="00752513">
        <w:tc>
          <w:tcPr>
            <w:tcW w:w="1555" w:type="dxa"/>
            <w:shd w:val="clear" w:color="auto" w:fill="FFFFFF" w:themeFill="background1"/>
          </w:tcPr>
          <w:p w14:paraId="2C0FACB4" w14:textId="77777777" w:rsidR="00F93322" w:rsidRPr="00CC1ADD" w:rsidRDefault="00F93322" w:rsidP="00F93322">
            <w:pPr>
              <w:spacing w:before="40" w:after="40"/>
              <w:rPr>
                <w:rFonts w:cstheme="minorHAnsi"/>
                <w:sz w:val="20"/>
                <w:szCs w:val="20"/>
              </w:rPr>
            </w:pPr>
            <w:r w:rsidRPr="00CC1ADD">
              <w:rPr>
                <w:rFonts w:cstheme="minorHAnsi"/>
                <w:sz w:val="20"/>
                <w:szCs w:val="20"/>
              </w:rPr>
              <w:t>Pepsico</w:t>
            </w:r>
          </w:p>
        </w:tc>
        <w:tc>
          <w:tcPr>
            <w:tcW w:w="1275" w:type="dxa"/>
            <w:shd w:val="clear" w:color="auto" w:fill="FFFFFF" w:themeFill="background1"/>
          </w:tcPr>
          <w:p w14:paraId="70614E41" w14:textId="77777777" w:rsidR="00F93322" w:rsidRPr="00CC1ADD" w:rsidRDefault="00F93322">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6003FDC9"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Inclusion of a statement supporting the HSR System on </w:t>
            </w:r>
            <w:hyperlink r:id="rId110" w:history="1">
              <w:r w:rsidRPr="00CC1ADD">
                <w:rPr>
                  <w:rStyle w:val="Hyperlink"/>
                  <w:rFonts w:cstheme="minorHAnsi"/>
                  <w:sz w:val="20"/>
                  <w:szCs w:val="20"/>
                </w:rPr>
                <w:t>Pepsico website</w:t>
              </w:r>
            </w:hyperlink>
            <w:r w:rsidRPr="00CC1ADD">
              <w:rPr>
                <w:rFonts w:cstheme="minorHAnsi"/>
                <w:color w:val="222222"/>
                <w:sz w:val="20"/>
                <w:szCs w:val="20"/>
              </w:rPr>
              <w:t xml:space="preserve"> including links to downloadable lists of the HSRs for</w:t>
            </w:r>
            <w:r>
              <w:rPr>
                <w:rFonts w:cstheme="minorHAnsi"/>
                <w:color w:val="222222"/>
                <w:sz w:val="20"/>
                <w:szCs w:val="20"/>
              </w:rPr>
              <w:t xml:space="preserve"> </w:t>
            </w:r>
            <w:r w:rsidRPr="00CC1ADD">
              <w:rPr>
                <w:rFonts w:cstheme="minorHAnsi"/>
                <w:color w:val="222222"/>
                <w:sz w:val="20"/>
                <w:szCs w:val="20"/>
              </w:rPr>
              <w:t xml:space="preserve">Australian and New Zealand </w:t>
            </w:r>
            <w:r>
              <w:rPr>
                <w:rFonts w:cstheme="minorHAnsi"/>
                <w:color w:val="222222"/>
                <w:sz w:val="20"/>
                <w:szCs w:val="20"/>
              </w:rPr>
              <w:t>s</w:t>
            </w:r>
            <w:r w:rsidRPr="00CC1ADD">
              <w:rPr>
                <w:rFonts w:cstheme="minorHAnsi"/>
                <w:color w:val="222222"/>
                <w:sz w:val="20"/>
                <w:szCs w:val="20"/>
              </w:rPr>
              <w:t>nacks.</w:t>
            </w:r>
          </w:p>
        </w:tc>
        <w:tc>
          <w:tcPr>
            <w:tcW w:w="1377" w:type="dxa"/>
            <w:shd w:val="clear" w:color="auto" w:fill="FFFFFF" w:themeFill="background1"/>
          </w:tcPr>
          <w:p w14:paraId="142BF0B3"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2843C584" w14:textId="77777777" w:rsidTr="00752513">
        <w:tc>
          <w:tcPr>
            <w:tcW w:w="1555" w:type="dxa"/>
            <w:shd w:val="clear" w:color="auto" w:fill="FFFFFF" w:themeFill="background1"/>
          </w:tcPr>
          <w:p w14:paraId="2BA234F6" w14:textId="77777777" w:rsidR="00F93322" w:rsidRPr="00CC1ADD" w:rsidRDefault="00F93322" w:rsidP="00F93322">
            <w:pPr>
              <w:spacing w:before="40" w:after="40"/>
              <w:rPr>
                <w:rFonts w:cstheme="minorHAnsi"/>
                <w:sz w:val="20"/>
                <w:szCs w:val="20"/>
              </w:rPr>
            </w:pPr>
            <w:r w:rsidRPr="00CC1ADD">
              <w:rPr>
                <w:rFonts w:cstheme="minorHAnsi"/>
                <w:sz w:val="20"/>
                <w:szCs w:val="20"/>
              </w:rPr>
              <w:t>Pic’s Peanut butter</w:t>
            </w:r>
          </w:p>
        </w:tc>
        <w:tc>
          <w:tcPr>
            <w:tcW w:w="1275" w:type="dxa"/>
            <w:shd w:val="clear" w:color="auto" w:fill="FFFFFF" w:themeFill="background1"/>
          </w:tcPr>
          <w:p w14:paraId="08D68D20" w14:textId="77777777" w:rsidR="00F93322" w:rsidRPr="00CC1ADD" w:rsidRDefault="00F93322">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29F0AA3E"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Online promotion of visual images of HSR on products on </w:t>
            </w:r>
            <w:hyperlink r:id="rId111" w:history="1">
              <w:r w:rsidRPr="00CC1ADD">
                <w:rPr>
                  <w:rStyle w:val="Hyperlink"/>
                  <w:rFonts w:cstheme="minorHAnsi"/>
                  <w:sz w:val="20"/>
                  <w:szCs w:val="20"/>
                </w:rPr>
                <w:t>Pic’s Peanut butter website</w:t>
              </w:r>
            </w:hyperlink>
            <w:r>
              <w:rPr>
                <w:rStyle w:val="Hyperlink"/>
                <w:rFonts w:cstheme="minorHAnsi"/>
                <w:sz w:val="20"/>
                <w:szCs w:val="20"/>
              </w:rPr>
              <w:t>.</w:t>
            </w:r>
          </w:p>
        </w:tc>
        <w:tc>
          <w:tcPr>
            <w:tcW w:w="1377" w:type="dxa"/>
            <w:shd w:val="clear" w:color="auto" w:fill="FFFFFF" w:themeFill="background1"/>
          </w:tcPr>
          <w:p w14:paraId="10BFC70C"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0C2E36A4" w14:textId="77777777" w:rsidTr="00752513">
        <w:tc>
          <w:tcPr>
            <w:tcW w:w="1555" w:type="dxa"/>
            <w:shd w:val="clear" w:color="auto" w:fill="FFFFFF" w:themeFill="background1"/>
          </w:tcPr>
          <w:p w14:paraId="4AFD2E99" w14:textId="77777777" w:rsidR="00F93322" w:rsidRPr="00CC1ADD" w:rsidRDefault="00F93322" w:rsidP="00F93322">
            <w:pPr>
              <w:spacing w:before="40" w:after="40"/>
              <w:rPr>
                <w:rFonts w:cstheme="minorHAnsi"/>
                <w:sz w:val="20"/>
                <w:szCs w:val="20"/>
              </w:rPr>
            </w:pPr>
            <w:r w:rsidRPr="00CC1ADD">
              <w:rPr>
                <w:rFonts w:cstheme="minorHAnsi"/>
                <w:sz w:val="20"/>
                <w:szCs w:val="20"/>
              </w:rPr>
              <w:t xml:space="preserve">Sanitarium </w:t>
            </w:r>
          </w:p>
        </w:tc>
        <w:tc>
          <w:tcPr>
            <w:tcW w:w="1275" w:type="dxa"/>
            <w:shd w:val="clear" w:color="auto" w:fill="FFFFFF" w:themeFill="background1"/>
          </w:tcPr>
          <w:p w14:paraId="6DF16EA8" w14:textId="77777777" w:rsidR="00F93322" w:rsidRPr="00CC1ADD" w:rsidRDefault="00F93322">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622F2362" w14:textId="767764F9" w:rsidR="00F93322" w:rsidRPr="00CC1ADD" w:rsidRDefault="00F93322">
            <w:pPr>
              <w:spacing w:before="40" w:after="40"/>
              <w:rPr>
                <w:rFonts w:cstheme="minorHAnsi"/>
                <w:color w:val="222222"/>
                <w:sz w:val="20"/>
                <w:szCs w:val="20"/>
              </w:rPr>
            </w:pPr>
            <w:r w:rsidRPr="00CC1ADD">
              <w:rPr>
                <w:rFonts w:cstheme="minorHAnsi"/>
                <w:color w:val="222222"/>
                <w:sz w:val="20"/>
                <w:szCs w:val="20"/>
              </w:rPr>
              <w:t>Online promotion including information about the HSR</w:t>
            </w:r>
            <w:r>
              <w:rPr>
                <w:rFonts w:cstheme="minorHAnsi"/>
                <w:color w:val="222222"/>
                <w:sz w:val="20"/>
                <w:szCs w:val="20"/>
              </w:rPr>
              <w:t>, articles</w:t>
            </w:r>
            <w:r w:rsidRPr="00CC1ADD">
              <w:rPr>
                <w:rFonts w:cstheme="minorHAnsi"/>
                <w:color w:val="222222"/>
                <w:sz w:val="20"/>
                <w:szCs w:val="20"/>
              </w:rPr>
              <w:t xml:space="preserve"> and a video explaining how the HSR relates to the company’s products on </w:t>
            </w:r>
            <w:hyperlink r:id="rId112" w:history="1">
              <w:r w:rsidRPr="00CC1ADD">
                <w:rPr>
                  <w:rStyle w:val="Hyperlink"/>
                  <w:rFonts w:cstheme="minorHAnsi"/>
                  <w:sz w:val="20"/>
                  <w:szCs w:val="20"/>
                </w:rPr>
                <w:t>Sanitarium website</w:t>
              </w:r>
            </w:hyperlink>
            <w:r>
              <w:rPr>
                <w:rFonts w:cstheme="minorHAnsi"/>
                <w:color w:val="222222"/>
                <w:sz w:val="20"/>
                <w:szCs w:val="20"/>
              </w:rPr>
              <w:t>.</w:t>
            </w:r>
          </w:p>
        </w:tc>
        <w:tc>
          <w:tcPr>
            <w:tcW w:w="1377" w:type="dxa"/>
            <w:shd w:val="clear" w:color="auto" w:fill="FFFFFF" w:themeFill="background1"/>
          </w:tcPr>
          <w:p w14:paraId="456D4649"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3EE48F33" w14:textId="77777777" w:rsidTr="00752513">
        <w:tc>
          <w:tcPr>
            <w:tcW w:w="1555" w:type="dxa"/>
            <w:shd w:val="clear" w:color="auto" w:fill="FFFFFF" w:themeFill="background1"/>
          </w:tcPr>
          <w:p w14:paraId="63F2D611" w14:textId="77777777" w:rsidR="00F93322" w:rsidRPr="00CC1ADD" w:rsidRDefault="00F93322" w:rsidP="00F93322">
            <w:pPr>
              <w:spacing w:before="40" w:after="40"/>
              <w:rPr>
                <w:rFonts w:cstheme="minorHAnsi"/>
                <w:sz w:val="20"/>
                <w:szCs w:val="20"/>
              </w:rPr>
            </w:pPr>
            <w:r w:rsidRPr="00CC1ADD">
              <w:rPr>
                <w:rFonts w:cstheme="minorHAnsi"/>
                <w:sz w:val="20"/>
                <w:szCs w:val="20"/>
              </w:rPr>
              <w:t>Simplot</w:t>
            </w:r>
          </w:p>
        </w:tc>
        <w:tc>
          <w:tcPr>
            <w:tcW w:w="1275" w:type="dxa"/>
            <w:shd w:val="clear" w:color="auto" w:fill="FFFFFF" w:themeFill="background1"/>
          </w:tcPr>
          <w:p w14:paraId="760B359F" w14:textId="77777777" w:rsidR="00F93322" w:rsidRPr="00CC1ADD" w:rsidRDefault="00F93322">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271500BC"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Inclusion of information about the HSR, including statement that HSR icon to appear on all products available in retail outlets on </w:t>
            </w:r>
            <w:hyperlink r:id="rId113" w:history="1">
              <w:r w:rsidRPr="00CC1ADD">
                <w:rPr>
                  <w:rStyle w:val="Hyperlink"/>
                  <w:rFonts w:cstheme="minorHAnsi"/>
                  <w:sz w:val="20"/>
                  <w:szCs w:val="20"/>
                </w:rPr>
                <w:t>Simplot website</w:t>
              </w:r>
            </w:hyperlink>
            <w:r>
              <w:rPr>
                <w:rStyle w:val="Hyperlink"/>
                <w:rFonts w:cstheme="minorHAnsi"/>
                <w:sz w:val="20"/>
                <w:szCs w:val="20"/>
              </w:rPr>
              <w:t>.</w:t>
            </w:r>
          </w:p>
        </w:tc>
        <w:tc>
          <w:tcPr>
            <w:tcW w:w="1377" w:type="dxa"/>
            <w:shd w:val="clear" w:color="auto" w:fill="FFFFFF" w:themeFill="background1"/>
          </w:tcPr>
          <w:p w14:paraId="6BC9FC65"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6B2F7D95" w14:textId="77777777" w:rsidTr="00752513">
        <w:tc>
          <w:tcPr>
            <w:tcW w:w="1555" w:type="dxa"/>
            <w:shd w:val="clear" w:color="auto" w:fill="FFFFFF" w:themeFill="background1"/>
          </w:tcPr>
          <w:p w14:paraId="61566F91" w14:textId="77777777" w:rsidR="00F93322" w:rsidRPr="00CC1ADD" w:rsidRDefault="00F93322" w:rsidP="00F93322">
            <w:pPr>
              <w:spacing w:before="40" w:after="40"/>
              <w:rPr>
                <w:rFonts w:cstheme="minorHAnsi"/>
                <w:sz w:val="20"/>
                <w:szCs w:val="20"/>
              </w:rPr>
            </w:pPr>
            <w:r w:rsidRPr="00CC1ADD">
              <w:rPr>
                <w:rFonts w:cstheme="minorHAnsi"/>
                <w:sz w:val="20"/>
                <w:szCs w:val="20"/>
              </w:rPr>
              <w:t>Tegel</w:t>
            </w:r>
          </w:p>
        </w:tc>
        <w:tc>
          <w:tcPr>
            <w:tcW w:w="1275" w:type="dxa"/>
            <w:shd w:val="clear" w:color="auto" w:fill="FFFFFF" w:themeFill="background1"/>
          </w:tcPr>
          <w:p w14:paraId="4C02F7EC" w14:textId="77777777" w:rsidR="00F93322" w:rsidRPr="00CC1ADD" w:rsidRDefault="00F93322">
            <w:pPr>
              <w:spacing w:before="40" w:after="40"/>
              <w:rPr>
                <w:rFonts w:cstheme="minorHAnsi"/>
                <w:sz w:val="20"/>
                <w:szCs w:val="20"/>
              </w:rPr>
            </w:pPr>
            <w:r w:rsidRPr="00CC1ADD">
              <w:rPr>
                <w:rFonts w:cstheme="minorHAnsi"/>
                <w:sz w:val="20"/>
                <w:szCs w:val="20"/>
              </w:rPr>
              <w:t>New Zealand</w:t>
            </w:r>
          </w:p>
        </w:tc>
        <w:tc>
          <w:tcPr>
            <w:tcW w:w="5529" w:type="dxa"/>
            <w:shd w:val="clear" w:color="auto" w:fill="FFFFFF" w:themeFill="background1"/>
          </w:tcPr>
          <w:p w14:paraId="28EE084E"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Online promotion of inclusion of HSR on all packaged chicken and turkey products on </w:t>
            </w:r>
            <w:hyperlink r:id="rId114" w:history="1">
              <w:r w:rsidRPr="00CC1ADD">
                <w:rPr>
                  <w:rStyle w:val="Hyperlink"/>
                  <w:rFonts w:cstheme="minorHAnsi"/>
                  <w:sz w:val="20"/>
                  <w:szCs w:val="20"/>
                </w:rPr>
                <w:t>Tegel website</w:t>
              </w:r>
            </w:hyperlink>
            <w:r>
              <w:rPr>
                <w:rStyle w:val="Hyperlink"/>
                <w:rFonts w:cstheme="minorHAnsi"/>
                <w:sz w:val="20"/>
                <w:szCs w:val="20"/>
              </w:rPr>
              <w:t>.</w:t>
            </w:r>
          </w:p>
        </w:tc>
        <w:tc>
          <w:tcPr>
            <w:tcW w:w="1377" w:type="dxa"/>
            <w:shd w:val="clear" w:color="auto" w:fill="FFFFFF" w:themeFill="background1"/>
          </w:tcPr>
          <w:p w14:paraId="4EC15D92"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062AF493" w14:textId="77777777" w:rsidTr="00752513">
        <w:tc>
          <w:tcPr>
            <w:tcW w:w="1555" w:type="dxa"/>
            <w:shd w:val="clear" w:color="auto" w:fill="FFFFFF" w:themeFill="background1"/>
          </w:tcPr>
          <w:p w14:paraId="17F1AB47" w14:textId="77777777" w:rsidR="00F93322" w:rsidRPr="00CC1ADD" w:rsidRDefault="00F93322" w:rsidP="00F93322">
            <w:pPr>
              <w:spacing w:before="40" w:after="40"/>
              <w:rPr>
                <w:rFonts w:cstheme="minorHAnsi"/>
                <w:sz w:val="20"/>
                <w:szCs w:val="20"/>
              </w:rPr>
            </w:pPr>
            <w:r w:rsidRPr="00CC1ADD">
              <w:rPr>
                <w:rFonts w:cstheme="minorHAnsi"/>
                <w:sz w:val="20"/>
                <w:szCs w:val="20"/>
              </w:rPr>
              <w:t>The Happy Snack Company</w:t>
            </w:r>
          </w:p>
        </w:tc>
        <w:tc>
          <w:tcPr>
            <w:tcW w:w="1275" w:type="dxa"/>
            <w:shd w:val="clear" w:color="auto" w:fill="FFFFFF" w:themeFill="background1"/>
          </w:tcPr>
          <w:p w14:paraId="2D4476DF" w14:textId="77777777" w:rsidR="00F93322" w:rsidRPr="00CC1ADD" w:rsidRDefault="00F93322">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369105B4"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Inclusion of information about what the HSR is and why their products receive 5 stars on </w:t>
            </w:r>
            <w:hyperlink r:id="rId115" w:history="1">
              <w:r w:rsidRPr="00CC1ADD">
                <w:rPr>
                  <w:rStyle w:val="Hyperlink"/>
                  <w:rFonts w:cstheme="minorHAnsi"/>
                  <w:sz w:val="20"/>
                  <w:szCs w:val="20"/>
                </w:rPr>
                <w:t>The Happy Snack Company website</w:t>
              </w:r>
            </w:hyperlink>
            <w:r>
              <w:rPr>
                <w:rStyle w:val="Hyperlink"/>
                <w:rFonts w:cstheme="minorHAnsi"/>
                <w:sz w:val="20"/>
                <w:szCs w:val="20"/>
              </w:rPr>
              <w:t>.</w:t>
            </w:r>
          </w:p>
        </w:tc>
        <w:tc>
          <w:tcPr>
            <w:tcW w:w="1377" w:type="dxa"/>
            <w:shd w:val="clear" w:color="auto" w:fill="FFFFFF" w:themeFill="background1"/>
          </w:tcPr>
          <w:p w14:paraId="7494A92C"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65C78C33" w14:textId="77777777" w:rsidTr="00752513">
        <w:tc>
          <w:tcPr>
            <w:tcW w:w="1555" w:type="dxa"/>
            <w:shd w:val="clear" w:color="auto" w:fill="FFFFFF" w:themeFill="background1"/>
          </w:tcPr>
          <w:p w14:paraId="38F55AFC" w14:textId="77777777" w:rsidR="00F93322" w:rsidRPr="00CC1ADD" w:rsidRDefault="00F93322" w:rsidP="00F93322">
            <w:pPr>
              <w:spacing w:before="40" w:after="40"/>
              <w:rPr>
                <w:rFonts w:cstheme="minorHAnsi"/>
                <w:sz w:val="20"/>
                <w:szCs w:val="20"/>
              </w:rPr>
            </w:pPr>
            <w:r w:rsidRPr="00CC1ADD">
              <w:rPr>
                <w:rFonts w:cstheme="minorHAnsi"/>
                <w:sz w:val="20"/>
                <w:szCs w:val="20"/>
              </w:rPr>
              <w:t>Uncle Tobys</w:t>
            </w:r>
          </w:p>
        </w:tc>
        <w:tc>
          <w:tcPr>
            <w:tcW w:w="1275" w:type="dxa"/>
            <w:shd w:val="clear" w:color="auto" w:fill="FFFFFF" w:themeFill="background1"/>
          </w:tcPr>
          <w:p w14:paraId="37B03623" w14:textId="77777777" w:rsidR="00F93322" w:rsidRPr="00CC1ADD" w:rsidRDefault="00F93322">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7E19A637"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 xml:space="preserve">Inclusion of information and a video about how to read and apply the HSR on </w:t>
            </w:r>
            <w:hyperlink r:id="rId116" w:history="1">
              <w:r w:rsidRPr="00CC1ADD">
                <w:rPr>
                  <w:rStyle w:val="Hyperlink"/>
                  <w:rFonts w:cstheme="minorHAnsi"/>
                  <w:sz w:val="20"/>
                  <w:szCs w:val="20"/>
                </w:rPr>
                <w:t>Uncle Tobys website</w:t>
              </w:r>
            </w:hyperlink>
            <w:r>
              <w:rPr>
                <w:rFonts w:cstheme="minorHAnsi"/>
                <w:color w:val="222222"/>
                <w:sz w:val="20"/>
                <w:szCs w:val="20"/>
              </w:rPr>
              <w:t>.</w:t>
            </w:r>
          </w:p>
        </w:tc>
        <w:tc>
          <w:tcPr>
            <w:tcW w:w="1377" w:type="dxa"/>
            <w:shd w:val="clear" w:color="auto" w:fill="FFFFFF" w:themeFill="background1"/>
          </w:tcPr>
          <w:p w14:paraId="390A9374"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3B08B7E5" w14:textId="77777777" w:rsidTr="00752513">
        <w:tc>
          <w:tcPr>
            <w:tcW w:w="1555" w:type="dxa"/>
            <w:shd w:val="clear" w:color="auto" w:fill="FFFFFF" w:themeFill="background1"/>
          </w:tcPr>
          <w:p w14:paraId="335A702C" w14:textId="77777777" w:rsidR="00F93322" w:rsidRPr="00CC1ADD" w:rsidRDefault="00F93322" w:rsidP="00F93322">
            <w:pPr>
              <w:spacing w:before="40" w:after="40"/>
              <w:rPr>
                <w:rFonts w:cstheme="minorHAnsi"/>
                <w:sz w:val="20"/>
                <w:szCs w:val="20"/>
              </w:rPr>
            </w:pPr>
            <w:r w:rsidRPr="00CC1ADD">
              <w:rPr>
                <w:rFonts w:cstheme="minorHAnsi"/>
                <w:sz w:val="20"/>
                <w:szCs w:val="20"/>
              </w:rPr>
              <w:t>Unilever</w:t>
            </w:r>
          </w:p>
        </w:tc>
        <w:tc>
          <w:tcPr>
            <w:tcW w:w="1275" w:type="dxa"/>
            <w:shd w:val="clear" w:color="auto" w:fill="FFFFFF" w:themeFill="background1"/>
          </w:tcPr>
          <w:p w14:paraId="2F8E1430" w14:textId="77777777" w:rsidR="00F93322" w:rsidRPr="00CC1ADD" w:rsidRDefault="00F93322">
            <w:pPr>
              <w:spacing w:before="40" w:after="40"/>
              <w:rPr>
                <w:rFonts w:cstheme="minorHAnsi"/>
                <w:sz w:val="20"/>
                <w:szCs w:val="20"/>
              </w:rPr>
            </w:pPr>
            <w:r w:rsidRPr="00CC1ADD">
              <w:rPr>
                <w:rFonts w:cstheme="minorHAnsi"/>
                <w:sz w:val="20"/>
                <w:szCs w:val="20"/>
              </w:rPr>
              <w:t>Australia, New Zealand</w:t>
            </w:r>
          </w:p>
        </w:tc>
        <w:tc>
          <w:tcPr>
            <w:tcW w:w="5529" w:type="dxa"/>
            <w:shd w:val="clear" w:color="auto" w:fill="FFFFFF" w:themeFill="background1"/>
          </w:tcPr>
          <w:p w14:paraId="78A944DC"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Information on</w:t>
            </w:r>
            <w:r>
              <w:rPr>
                <w:rFonts w:cstheme="minorHAnsi"/>
                <w:color w:val="222222"/>
                <w:sz w:val="20"/>
                <w:szCs w:val="20"/>
              </w:rPr>
              <w:t xml:space="preserve"> the</w:t>
            </w:r>
            <w:r w:rsidRPr="00CC1ADD">
              <w:rPr>
                <w:rFonts w:cstheme="minorHAnsi"/>
                <w:color w:val="222222"/>
                <w:sz w:val="20"/>
                <w:szCs w:val="20"/>
              </w:rPr>
              <w:t xml:space="preserve"> </w:t>
            </w:r>
            <w:hyperlink r:id="rId117" w:history="1">
              <w:r w:rsidRPr="00CC1ADD">
                <w:rPr>
                  <w:rStyle w:val="Hyperlink"/>
                  <w:rFonts w:cstheme="minorHAnsi"/>
                  <w:sz w:val="20"/>
                  <w:szCs w:val="20"/>
                </w:rPr>
                <w:t>Unilever website</w:t>
              </w:r>
            </w:hyperlink>
            <w:r>
              <w:rPr>
                <w:rStyle w:val="Hyperlink"/>
                <w:rFonts w:cstheme="minorHAnsi"/>
                <w:sz w:val="20"/>
                <w:szCs w:val="20"/>
              </w:rPr>
              <w:t xml:space="preserve"> </w:t>
            </w:r>
            <w:r w:rsidRPr="00CC1ADD">
              <w:rPr>
                <w:rFonts w:cstheme="minorHAnsi"/>
                <w:color w:val="222222"/>
                <w:sz w:val="20"/>
                <w:szCs w:val="20"/>
              </w:rPr>
              <w:t xml:space="preserve">about the HSR System, images of products  and confirmation that they will be introducing </w:t>
            </w:r>
            <w:r>
              <w:rPr>
                <w:rFonts w:cstheme="minorHAnsi"/>
                <w:color w:val="222222"/>
                <w:sz w:val="20"/>
                <w:szCs w:val="20"/>
              </w:rPr>
              <w:t xml:space="preserve">the </w:t>
            </w:r>
            <w:r w:rsidRPr="00CC1ADD">
              <w:rPr>
                <w:rFonts w:cstheme="minorHAnsi"/>
                <w:color w:val="222222"/>
                <w:sz w:val="20"/>
                <w:szCs w:val="20"/>
              </w:rPr>
              <w:t xml:space="preserve">HSR across </w:t>
            </w:r>
            <w:r>
              <w:rPr>
                <w:rFonts w:cstheme="minorHAnsi"/>
                <w:color w:val="222222"/>
                <w:sz w:val="20"/>
                <w:szCs w:val="20"/>
              </w:rPr>
              <w:t xml:space="preserve">their </w:t>
            </w:r>
            <w:r w:rsidRPr="00CC1ADD">
              <w:rPr>
                <w:rFonts w:cstheme="minorHAnsi"/>
                <w:color w:val="222222"/>
                <w:sz w:val="20"/>
                <w:szCs w:val="20"/>
              </w:rPr>
              <w:t>food and beverage portfolio</w:t>
            </w:r>
            <w:r>
              <w:rPr>
                <w:rFonts w:cstheme="minorHAnsi"/>
                <w:color w:val="222222"/>
                <w:sz w:val="20"/>
                <w:szCs w:val="20"/>
              </w:rPr>
              <w:t>.</w:t>
            </w:r>
          </w:p>
        </w:tc>
        <w:tc>
          <w:tcPr>
            <w:tcW w:w="1377" w:type="dxa"/>
            <w:shd w:val="clear" w:color="auto" w:fill="FFFFFF" w:themeFill="background1"/>
          </w:tcPr>
          <w:p w14:paraId="10C39A72"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r w:rsidR="00F93322" w:rsidRPr="00CC1ADD" w14:paraId="0F8599B0" w14:textId="77777777" w:rsidTr="00752513">
        <w:tc>
          <w:tcPr>
            <w:tcW w:w="1555" w:type="dxa"/>
            <w:shd w:val="clear" w:color="auto" w:fill="FFFFFF" w:themeFill="background1"/>
          </w:tcPr>
          <w:p w14:paraId="588393AC" w14:textId="77777777" w:rsidR="00F93322" w:rsidRPr="00CC1ADD" w:rsidRDefault="00F93322" w:rsidP="00F93322">
            <w:pPr>
              <w:spacing w:before="40" w:after="40"/>
              <w:rPr>
                <w:rFonts w:cstheme="minorHAnsi"/>
                <w:sz w:val="20"/>
                <w:szCs w:val="20"/>
              </w:rPr>
            </w:pPr>
            <w:r w:rsidRPr="00CC1ADD">
              <w:rPr>
                <w:rFonts w:cstheme="minorHAnsi"/>
                <w:sz w:val="20"/>
                <w:szCs w:val="20"/>
              </w:rPr>
              <w:t xml:space="preserve">Woolworths </w:t>
            </w:r>
          </w:p>
        </w:tc>
        <w:tc>
          <w:tcPr>
            <w:tcW w:w="1275" w:type="dxa"/>
            <w:shd w:val="clear" w:color="auto" w:fill="FFFFFF" w:themeFill="background1"/>
          </w:tcPr>
          <w:p w14:paraId="4AC51243" w14:textId="77777777" w:rsidR="00F93322" w:rsidRPr="00CC1ADD" w:rsidRDefault="00F93322">
            <w:pPr>
              <w:spacing w:before="40" w:after="40"/>
              <w:rPr>
                <w:rFonts w:cstheme="minorHAnsi"/>
                <w:sz w:val="20"/>
                <w:szCs w:val="20"/>
              </w:rPr>
            </w:pPr>
            <w:r w:rsidRPr="00CC1ADD">
              <w:rPr>
                <w:rFonts w:cstheme="minorHAnsi"/>
                <w:sz w:val="20"/>
                <w:szCs w:val="20"/>
              </w:rPr>
              <w:t>Australia</w:t>
            </w:r>
          </w:p>
        </w:tc>
        <w:tc>
          <w:tcPr>
            <w:tcW w:w="5529" w:type="dxa"/>
            <w:shd w:val="clear" w:color="auto" w:fill="FFFFFF" w:themeFill="background1"/>
          </w:tcPr>
          <w:p w14:paraId="055A79F2" w14:textId="77777777" w:rsidR="00F93322" w:rsidRPr="00CC1ADD" w:rsidRDefault="00F93322">
            <w:pPr>
              <w:spacing w:before="40" w:after="40"/>
              <w:rPr>
                <w:rFonts w:cstheme="minorHAnsi"/>
                <w:color w:val="222222"/>
                <w:sz w:val="20"/>
                <w:szCs w:val="20"/>
              </w:rPr>
            </w:pPr>
            <w:r w:rsidRPr="00CC1ADD">
              <w:rPr>
                <w:rFonts w:cstheme="minorHAnsi"/>
                <w:color w:val="222222"/>
                <w:sz w:val="20"/>
                <w:szCs w:val="20"/>
              </w:rPr>
              <w:t>An affordable health campaign, including a series of print catalogues titled ‘Making healthier choices more affordable’, promoting price drops on products including packaged foods displaying HSRs of 4 and 5.</w:t>
            </w:r>
          </w:p>
          <w:p w14:paraId="7B04F813" w14:textId="77777777" w:rsidR="00F93322" w:rsidRDefault="00F93322">
            <w:pPr>
              <w:rPr>
                <w:rFonts w:cstheme="minorHAnsi"/>
                <w:color w:val="222222"/>
                <w:sz w:val="20"/>
                <w:szCs w:val="20"/>
              </w:rPr>
            </w:pPr>
            <w:r w:rsidRPr="00CC1ADD">
              <w:rPr>
                <w:rFonts w:cstheme="minorHAnsi"/>
                <w:color w:val="222222"/>
                <w:sz w:val="20"/>
                <w:szCs w:val="20"/>
              </w:rPr>
              <w:t xml:space="preserve">In-store announcements, meal solution cards, </w:t>
            </w:r>
            <w:r>
              <w:rPr>
                <w:rFonts w:cstheme="minorHAnsi"/>
                <w:color w:val="222222"/>
                <w:sz w:val="20"/>
                <w:szCs w:val="20"/>
              </w:rPr>
              <w:t xml:space="preserve">shopping baskets, </w:t>
            </w:r>
            <w:r w:rsidRPr="00CC1ADD">
              <w:rPr>
                <w:rFonts w:cstheme="minorHAnsi"/>
                <w:color w:val="222222"/>
                <w:sz w:val="20"/>
                <w:szCs w:val="20"/>
              </w:rPr>
              <w:t>aerials, EAS Gates and bus stops promoting HSR, with focus on products with HSRs of 4 and 5.</w:t>
            </w:r>
            <w:r w:rsidRPr="00AF3738">
              <w:rPr>
                <w:rFonts w:cstheme="minorHAnsi"/>
                <w:color w:val="222222"/>
                <w:sz w:val="20"/>
                <w:szCs w:val="20"/>
              </w:rPr>
              <w:t xml:space="preserve"> </w:t>
            </w:r>
          </w:p>
          <w:p w14:paraId="08ADF5D4" w14:textId="77777777" w:rsidR="00F93322" w:rsidRDefault="00F93322">
            <w:pPr>
              <w:rPr>
                <w:rFonts w:cstheme="minorHAnsi"/>
                <w:color w:val="222222"/>
                <w:sz w:val="20"/>
                <w:szCs w:val="20"/>
              </w:rPr>
            </w:pPr>
            <w:r w:rsidRPr="00AF3738">
              <w:rPr>
                <w:rFonts w:cstheme="minorHAnsi"/>
                <w:color w:val="222222"/>
                <w:sz w:val="20"/>
                <w:szCs w:val="20"/>
              </w:rPr>
              <w:t>A 'Making healthier easier' campaign, including in store, radio and tv advertisements promoting 'Woolworths is making healthier easier with more Health Star Ratings across our Woolworths food range'. </w:t>
            </w:r>
          </w:p>
          <w:p w14:paraId="14BC827C" w14:textId="77777777" w:rsidR="00F93322" w:rsidRPr="00CC1ADD" w:rsidRDefault="00F93322">
            <w:pPr>
              <w:rPr>
                <w:rFonts w:cstheme="minorHAnsi"/>
                <w:color w:val="222222"/>
                <w:sz w:val="20"/>
                <w:szCs w:val="20"/>
              </w:rPr>
            </w:pPr>
            <w:r w:rsidRPr="00CC1ADD">
              <w:rPr>
                <w:rFonts w:cstheme="minorHAnsi"/>
                <w:color w:val="222222"/>
                <w:sz w:val="20"/>
                <w:szCs w:val="20"/>
              </w:rPr>
              <w:t xml:space="preserve">Online promotion including information about the HSR on the </w:t>
            </w:r>
            <w:hyperlink r:id="rId118" w:history="1">
              <w:r w:rsidRPr="00CC1ADD">
                <w:rPr>
                  <w:rStyle w:val="Hyperlink"/>
                  <w:rFonts w:cstheme="minorHAnsi"/>
                  <w:sz w:val="20"/>
                  <w:szCs w:val="20"/>
                </w:rPr>
                <w:t>Woolworths website</w:t>
              </w:r>
            </w:hyperlink>
            <w:r w:rsidRPr="00CC1ADD">
              <w:rPr>
                <w:rStyle w:val="Hyperlink"/>
                <w:rFonts w:cstheme="minorHAnsi"/>
                <w:sz w:val="20"/>
                <w:szCs w:val="20"/>
              </w:rPr>
              <w:t>.</w:t>
            </w:r>
            <w:r w:rsidRPr="00CC1ADD">
              <w:rPr>
                <w:rFonts w:cstheme="minorHAnsi"/>
                <w:color w:val="222222"/>
                <w:sz w:val="20"/>
                <w:szCs w:val="20"/>
              </w:rPr>
              <w:t xml:space="preserve"> </w:t>
            </w:r>
          </w:p>
        </w:tc>
        <w:tc>
          <w:tcPr>
            <w:tcW w:w="1377" w:type="dxa"/>
            <w:shd w:val="clear" w:color="auto" w:fill="FFFFFF" w:themeFill="background1"/>
          </w:tcPr>
          <w:p w14:paraId="1EE698EE" w14:textId="77777777" w:rsidR="00F93322" w:rsidRPr="00CC1ADD" w:rsidRDefault="00F93322">
            <w:pPr>
              <w:spacing w:before="40" w:after="40"/>
              <w:rPr>
                <w:rFonts w:cstheme="minorHAnsi"/>
                <w:sz w:val="20"/>
                <w:szCs w:val="20"/>
              </w:rPr>
            </w:pPr>
            <w:r w:rsidRPr="00CC1ADD">
              <w:rPr>
                <w:rFonts w:cstheme="minorHAnsi"/>
                <w:sz w:val="20"/>
                <w:szCs w:val="20"/>
              </w:rPr>
              <w:t>Consumers</w:t>
            </w:r>
          </w:p>
        </w:tc>
      </w:tr>
    </w:tbl>
    <w:p w14:paraId="1365A365" w14:textId="77777777" w:rsidR="00752513" w:rsidRPr="00CC1ADD" w:rsidRDefault="00752513" w:rsidP="005D75D3">
      <w:pPr>
        <w:pStyle w:val="mpcNormal"/>
        <w:keepNext w:val="0"/>
      </w:pPr>
    </w:p>
    <w:p w14:paraId="3D3A24D8" w14:textId="77777777" w:rsidR="00752513" w:rsidRPr="00CC1ADD" w:rsidRDefault="00752513" w:rsidP="005A3631">
      <w:pPr>
        <w:pStyle w:val="mpcheading2"/>
        <w:spacing w:after="0"/>
      </w:pPr>
      <w:bookmarkStart w:id="177" w:name="Public"/>
      <w:bookmarkStart w:id="178" w:name="_Toc1746528"/>
      <w:bookmarkEnd w:id="177"/>
      <w:r w:rsidRPr="00CC1ADD">
        <w:t>Public health and others’ promotion of the HSR System</w:t>
      </w:r>
      <w:bookmarkEnd w:id="178"/>
    </w:p>
    <w:p w14:paraId="7AA4536C" w14:textId="77777777" w:rsidR="00752513" w:rsidRPr="00CC1ADD" w:rsidRDefault="00752513" w:rsidP="005D75D3">
      <w:pPr>
        <w:pStyle w:val="mpcNormal"/>
        <w:keepNext w:val="0"/>
      </w:pPr>
    </w:p>
    <w:tbl>
      <w:tblPr>
        <w:tblStyle w:val="TableGrid"/>
        <w:tblW w:w="0" w:type="auto"/>
        <w:tblLook w:val="04A0" w:firstRow="1" w:lastRow="0" w:firstColumn="1" w:lastColumn="0" w:noHBand="0" w:noVBand="1"/>
      </w:tblPr>
      <w:tblGrid>
        <w:gridCol w:w="1555"/>
        <w:gridCol w:w="1275"/>
        <w:gridCol w:w="5445"/>
        <w:gridCol w:w="1461"/>
      </w:tblGrid>
      <w:tr w:rsidR="00752513" w:rsidRPr="00CC1ADD" w14:paraId="5D71C274" w14:textId="77777777" w:rsidTr="00752513">
        <w:trPr>
          <w:tblHeader/>
        </w:trPr>
        <w:tc>
          <w:tcPr>
            <w:tcW w:w="1555" w:type="dxa"/>
            <w:shd w:val="clear" w:color="auto" w:fill="516A8E"/>
          </w:tcPr>
          <w:p w14:paraId="0D215817" w14:textId="77777777" w:rsidR="00752513" w:rsidRPr="00CC1ADD" w:rsidRDefault="00752513" w:rsidP="005A3631">
            <w:pPr>
              <w:pStyle w:val="Tabletext"/>
              <w:spacing w:before="40" w:after="40" w:line="240" w:lineRule="auto"/>
              <w:rPr>
                <w:rFonts w:cstheme="minorHAnsi"/>
                <w:b/>
                <w:color w:val="FFFFFF" w:themeColor="background1"/>
                <w:szCs w:val="20"/>
              </w:rPr>
            </w:pPr>
            <w:bookmarkStart w:id="179" w:name="Company2"/>
            <w:bookmarkEnd w:id="179"/>
            <w:r w:rsidRPr="00CC1ADD">
              <w:rPr>
                <w:rFonts w:cstheme="minorHAnsi"/>
                <w:b/>
                <w:color w:val="FFFFFF" w:themeColor="background1"/>
                <w:szCs w:val="20"/>
              </w:rPr>
              <w:t>Company</w:t>
            </w:r>
          </w:p>
        </w:tc>
        <w:tc>
          <w:tcPr>
            <w:tcW w:w="1275" w:type="dxa"/>
            <w:shd w:val="clear" w:color="auto" w:fill="516A8E"/>
          </w:tcPr>
          <w:p w14:paraId="533D1597"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445" w:type="dxa"/>
            <w:shd w:val="clear" w:color="auto" w:fill="516A8E"/>
          </w:tcPr>
          <w:p w14:paraId="69721446"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461" w:type="dxa"/>
            <w:shd w:val="clear" w:color="auto" w:fill="516A8E"/>
          </w:tcPr>
          <w:p w14:paraId="5880BA23"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0AC881A0" w14:textId="77777777" w:rsidTr="00752513">
        <w:tc>
          <w:tcPr>
            <w:tcW w:w="1555" w:type="dxa"/>
            <w:shd w:val="clear" w:color="auto" w:fill="FFFFFF" w:themeFill="background1"/>
          </w:tcPr>
          <w:p w14:paraId="703DD200" w14:textId="77777777" w:rsidR="00752513" w:rsidRPr="00CC1ADD" w:rsidRDefault="00752513" w:rsidP="005A3631">
            <w:pPr>
              <w:spacing w:before="40" w:after="40"/>
              <w:rPr>
                <w:rFonts w:cstheme="minorHAnsi"/>
                <w:sz w:val="20"/>
                <w:szCs w:val="20"/>
              </w:rPr>
            </w:pPr>
            <w:r w:rsidRPr="00CC1ADD">
              <w:rPr>
                <w:rFonts w:cstheme="minorHAnsi"/>
                <w:sz w:val="20"/>
                <w:szCs w:val="20"/>
              </w:rPr>
              <w:t>Cancer Council NSW</w:t>
            </w:r>
          </w:p>
        </w:tc>
        <w:tc>
          <w:tcPr>
            <w:tcW w:w="1275" w:type="dxa"/>
            <w:shd w:val="clear" w:color="auto" w:fill="FFFFFF" w:themeFill="background1"/>
          </w:tcPr>
          <w:p w14:paraId="0EAE3F7E" w14:textId="77777777" w:rsidR="00752513" w:rsidRPr="00CC1ADD" w:rsidRDefault="00752513">
            <w:pPr>
              <w:spacing w:before="40" w:after="40"/>
              <w:rPr>
                <w:rFonts w:cstheme="minorHAnsi"/>
                <w:sz w:val="20"/>
                <w:szCs w:val="20"/>
              </w:rPr>
            </w:pPr>
            <w:r w:rsidRPr="00CC1ADD">
              <w:rPr>
                <w:rFonts w:cstheme="minorHAnsi"/>
                <w:sz w:val="20"/>
                <w:szCs w:val="20"/>
              </w:rPr>
              <w:t>NSW</w:t>
            </w:r>
          </w:p>
        </w:tc>
        <w:tc>
          <w:tcPr>
            <w:tcW w:w="5445" w:type="dxa"/>
            <w:shd w:val="clear" w:color="auto" w:fill="FFFFFF" w:themeFill="background1"/>
          </w:tcPr>
          <w:p w14:paraId="4DC6710E"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Blog articles relating to the HSR System and how it can be used and a section on the </w:t>
            </w:r>
            <w:hyperlink r:id="rId119" w:history="1">
              <w:r w:rsidRPr="00CC1ADD">
                <w:rPr>
                  <w:rStyle w:val="Hyperlink"/>
                  <w:rFonts w:cstheme="minorHAnsi"/>
                  <w:sz w:val="20"/>
                  <w:szCs w:val="20"/>
                </w:rPr>
                <w:t>Cancer Council website</w:t>
              </w:r>
            </w:hyperlink>
            <w:r w:rsidRPr="00CC1ADD">
              <w:rPr>
                <w:rFonts w:cstheme="minorHAnsi"/>
                <w:color w:val="222222"/>
                <w:sz w:val="20"/>
                <w:szCs w:val="20"/>
              </w:rPr>
              <w:t xml:space="preserve"> on Reading food labels, with detailed information about the HSR System.</w:t>
            </w:r>
          </w:p>
        </w:tc>
        <w:tc>
          <w:tcPr>
            <w:tcW w:w="1461" w:type="dxa"/>
            <w:shd w:val="clear" w:color="auto" w:fill="FFFFFF" w:themeFill="background1"/>
          </w:tcPr>
          <w:p w14:paraId="50EC0D56"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38BF17F4" w14:textId="77777777" w:rsidTr="00752513">
        <w:tc>
          <w:tcPr>
            <w:tcW w:w="1555" w:type="dxa"/>
            <w:shd w:val="clear" w:color="auto" w:fill="FFFFFF" w:themeFill="background1"/>
          </w:tcPr>
          <w:p w14:paraId="49218162"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Choice </w:t>
            </w:r>
          </w:p>
        </w:tc>
        <w:tc>
          <w:tcPr>
            <w:tcW w:w="1275" w:type="dxa"/>
            <w:shd w:val="clear" w:color="auto" w:fill="FFFFFF" w:themeFill="background1"/>
          </w:tcPr>
          <w:p w14:paraId="256D7787"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738F313C" w14:textId="77777777" w:rsidR="00752513" w:rsidRPr="00CC1ADD" w:rsidRDefault="00752513">
            <w:pPr>
              <w:spacing w:before="40" w:after="40"/>
              <w:rPr>
                <w:rStyle w:val="Hyperlink"/>
                <w:rFonts w:cstheme="minorHAnsi"/>
                <w:color w:val="auto"/>
                <w:sz w:val="20"/>
                <w:szCs w:val="20"/>
                <w:u w:val="none"/>
              </w:rPr>
            </w:pPr>
            <w:r w:rsidRPr="00CC1ADD">
              <w:rPr>
                <w:rFonts w:cstheme="minorHAnsi"/>
                <w:color w:val="222222"/>
                <w:sz w:val="20"/>
                <w:szCs w:val="20"/>
              </w:rPr>
              <w:t xml:space="preserve">Online promotion of </w:t>
            </w:r>
            <w:hyperlink r:id="rId120" w:history="1">
              <w:r w:rsidRPr="00CC1ADD">
                <w:rPr>
                  <w:rStyle w:val="Hyperlink"/>
                  <w:rFonts w:cstheme="minorHAnsi"/>
                  <w:sz w:val="20"/>
                  <w:szCs w:val="20"/>
                </w:rPr>
                <w:t>Choice’s 5 Asks to make the health stars work for you, not food companies</w:t>
              </w:r>
            </w:hyperlink>
            <w:r w:rsidRPr="00CC1ADD">
              <w:rPr>
                <w:rStyle w:val="Hyperlink"/>
                <w:rFonts w:cstheme="minorHAnsi"/>
                <w:sz w:val="20"/>
                <w:szCs w:val="20"/>
              </w:rPr>
              <w:t>.</w:t>
            </w:r>
          </w:p>
          <w:p w14:paraId="5760B7AB" w14:textId="77777777" w:rsidR="00752513" w:rsidRPr="00CC1ADD" w:rsidRDefault="00276EB3">
            <w:pPr>
              <w:spacing w:before="40" w:after="40"/>
              <w:rPr>
                <w:rFonts w:cstheme="minorHAnsi"/>
                <w:sz w:val="20"/>
                <w:szCs w:val="20"/>
              </w:rPr>
            </w:pPr>
            <w:hyperlink r:id="rId121" w:history="1">
              <w:r w:rsidR="00752513" w:rsidRPr="00CC1ADD">
                <w:rPr>
                  <w:rStyle w:val="Hyperlink"/>
                  <w:rFonts w:cstheme="minorHAnsi"/>
                  <w:sz w:val="20"/>
                  <w:szCs w:val="20"/>
                </w:rPr>
                <w:t>FAQ page</w:t>
              </w:r>
            </w:hyperlink>
            <w:r w:rsidR="00752513" w:rsidRPr="00CC1ADD">
              <w:rPr>
                <w:rFonts w:cstheme="minorHAnsi"/>
                <w:color w:val="222222"/>
                <w:sz w:val="20"/>
                <w:szCs w:val="20"/>
              </w:rPr>
              <w:t xml:space="preserve"> with detailed information relating to the HSR System, how it is calculated, and how it should be used.</w:t>
            </w:r>
          </w:p>
        </w:tc>
        <w:tc>
          <w:tcPr>
            <w:tcW w:w="1461" w:type="dxa"/>
            <w:shd w:val="clear" w:color="auto" w:fill="FFFFFF" w:themeFill="background1"/>
          </w:tcPr>
          <w:p w14:paraId="3472F21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38CE4E67" w14:textId="77777777" w:rsidTr="00752513">
        <w:tc>
          <w:tcPr>
            <w:tcW w:w="1555" w:type="dxa"/>
            <w:shd w:val="clear" w:color="auto" w:fill="FFFFFF" w:themeFill="background1"/>
          </w:tcPr>
          <w:p w14:paraId="1606C82E" w14:textId="77777777" w:rsidR="00752513" w:rsidRPr="00CC1ADD" w:rsidRDefault="00752513" w:rsidP="005A3631">
            <w:pPr>
              <w:spacing w:before="40" w:after="40"/>
              <w:rPr>
                <w:rFonts w:cstheme="minorHAnsi"/>
                <w:sz w:val="20"/>
                <w:szCs w:val="20"/>
              </w:rPr>
            </w:pPr>
            <w:r w:rsidRPr="00CC1ADD">
              <w:rPr>
                <w:rFonts w:cstheme="minorHAnsi"/>
                <w:sz w:val="20"/>
                <w:szCs w:val="20"/>
              </w:rPr>
              <w:t>Diabetes NSW &amp; ACT</w:t>
            </w:r>
          </w:p>
        </w:tc>
        <w:tc>
          <w:tcPr>
            <w:tcW w:w="1275" w:type="dxa"/>
            <w:shd w:val="clear" w:color="auto" w:fill="FFFFFF" w:themeFill="background1"/>
          </w:tcPr>
          <w:p w14:paraId="1D3A4CB4" w14:textId="77777777" w:rsidR="00752513" w:rsidRPr="00CC1ADD" w:rsidRDefault="00752513">
            <w:pPr>
              <w:spacing w:before="40" w:after="40"/>
              <w:rPr>
                <w:rFonts w:cstheme="minorHAnsi"/>
                <w:sz w:val="20"/>
                <w:szCs w:val="20"/>
              </w:rPr>
            </w:pPr>
            <w:r w:rsidRPr="00CC1ADD">
              <w:rPr>
                <w:rFonts w:cstheme="minorHAnsi"/>
                <w:sz w:val="20"/>
                <w:szCs w:val="20"/>
              </w:rPr>
              <w:t>NSW and ACT</w:t>
            </w:r>
          </w:p>
        </w:tc>
        <w:tc>
          <w:tcPr>
            <w:tcW w:w="5445" w:type="dxa"/>
            <w:shd w:val="clear" w:color="auto" w:fill="FFFFFF" w:themeFill="background1"/>
          </w:tcPr>
          <w:p w14:paraId="609D4D83"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Publication of detailed articles explaining the basis upon which HSR is calculated on the </w:t>
            </w:r>
            <w:hyperlink r:id="rId122" w:history="1">
              <w:r w:rsidRPr="00CC1ADD">
                <w:rPr>
                  <w:rStyle w:val="Hyperlink"/>
                  <w:rFonts w:cstheme="minorHAnsi"/>
                  <w:sz w:val="20"/>
                  <w:szCs w:val="20"/>
                </w:rPr>
                <w:t>Diabetes NSW &amp; ACT website</w:t>
              </w:r>
            </w:hyperlink>
          </w:p>
        </w:tc>
        <w:tc>
          <w:tcPr>
            <w:tcW w:w="1461" w:type="dxa"/>
            <w:shd w:val="clear" w:color="auto" w:fill="FFFFFF" w:themeFill="background1"/>
          </w:tcPr>
          <w:p w14:paraId="0DB3764E" w14:textId="77777777" w:rsidR="00752513" w:rsidRPr="00CC1ADD" w:rsidRDefault="00752513">
            <w:pPr>
              <w:spacing w:before="40" w:after="40"/>
              <w:rPr>
                <w:rFonts w:cstheme="minorHAnsi"/>
                <w:sz w:val="20"/>
                <w:szCs w:val="20"/>
              </w:rPr>
            </w:pPr>
            <w:r w:rsidRPr="00CC1ADD">
              <w:rPr>
                <w:rFonts w:cstheme="minorHAnsi"/>
                <w:sz w:val="20"/>
                <w:szCs w:val="20"/>
              </w:rPr>
              <w:t>Consumers, health professionals</w:t>
            </w:r>
          </w:p>
        </w:tc>
      </w:tr>
      <w:tr w:rsidR="00752513" w:rsidRPr="00CC1ADD" w14:paraId="7B1F8AD9" w14:textId="77777777" w:rsidTr="00752513">
        <w:tc>
          <w:tcPr>
            <w:tcW w:w="1555" w:type="dxa"/>
            <w:shd w:val="clear" w:color="auto" w:fill="FFFFFF" w:themeFill="background1"/>
          </w:tcPr>
          <w:p w14:paraId="5DA28482" w14:textId="77777777" w:rsidR="00752513" w:rsidRPr="00CC1ADD" w:rsidRDefault="00752513" w:rsidP="005A3631">
            <w:pPr>
              <w:spacing w:before="40" w:after="40"/>
              <w:rPr>
                <w:rFonts w:cstheme="minorHAnsi"/>
                <w:sz w:val="20"/>
                <w:szCs w:val="20"/>
              </w:rPr>
            </w:pPr>
            <w:r w:rsidRPr="00CC1ADD">
              <w:rPr>
                <w:rFonts w:cstheme="minorHAnsi"/>
                <w:sz w:val="20"/>
                <w:szCs w:val="20"/>
              </w:rPr>
              <w:t>Foodwatch</w:t>
            </w:r>
          </w:p>
        </w:tc>
        <w:tc>
          <w:tcPr>
            <w:tcW w:w="1275" w:type="dxa"/>
            <w:shd w:val="clear" w:color="auto" w:fill="FFFFFF" w:themeFill="background1"/>
          </w:tcPr>
          <w:p w14:paraId="3EC246D1"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3E23A6BA"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Nutritionist Catherine Saxelby’s </w:t>
            </w:r>
            <w:hyperlink r:id="rId123" w:history="1">
              <w:r w:rsidRPr="00CC1ADD">
                <w:rPr>
                  <w:rStyle w:val="Hyperlink"/>
                  <w:rFonts w:cstheme="minorHAnsi"/>
                  <w:sz w:val="20"/>
                  <w:szCs w:val="20"/>
                </w:rPr>
                <w:t>Foodwatch website</w:t>
              </w:r>
            </w:hyperlink>
            <w:r w:rsidRPr="00CC1ADD">
              <w:rPr>
                <w:rFonts w:cstheme="minorHAnsi"/>
                <w:color w:val="222222"/>
                <w:sz w:val="20"/>
                <w:szCs w:val="20"/>
              </w:rPr>
              <w:t xml:space="preserve"> contains detailed information about how HSR is calculated, how it can most effectively be used and star ratings for a range of sample products.</w:t>
            </w:r>
          </w:p>
        </w:tc>
        <w:tc>
          <w:tcPr>
            <w:tcW w:w="1461" w:type="dxa"/>
            <w:shd w:val="clear" w:color="auto" w:fill="FFFFFF" w:themeFill="background1"/>
          </w:tcPr>
          <w:p w14:paraId="78C00F80"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7F75211E" w14:textId="77777777" w:rsidTr="00752513">
        <w:tc>
          <w:tcPr>
            <w:tcW w:w="1555" w:type="dxa"/>
            <w:shd w:val="clear" w:color="auto" w:fill="FFFFFF" w:themeFill="background1"/>
          </w:tcPr>
          <w:p w14:paraId="041E8FA9" w14:textId="77777777" w:rsidR="00752513" w:rsidRPr="00CC1ADD" w:rsidRDefault="00752513" w:rsidP="005A3631">
            <w:pPr>
              <w:spacing w:before="40" w:after="40"/>
              <w:rPr>
                <w:rFonts w:cstheme="minorHAnsi"/>
                <w:sz w:val="20"/>
                <w:szCs w:val="20"/>
              </w:rPr>
            </w:pPr>
            <w:r w:rsidRPr="00CC1ADD">
              <w:rPr>
                <w:rFonts w:cstheme="minorHAnsi"/>
                <w:sz w:val="20"/>
                <w:szCs w:val="20"/>
              </w:rPr>
              <w:t>Healthy Kids Association</w:t>
            </w:r>
          </w:p>
        </w:tc>
        <w:tc>
          <w:tcPr>
            <w:tcW w:w="1275" w:type="dxa"/>
            <w:shd w:val="clear" w:color="auto" w:fill="FFFFFF" w:themeFill="background1"/>
          </w:tcPr>
          <w:p w14:paraId="2379FE5E"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1A2029ED"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detailed information about the HSR and how parents can use it to make healthier choices for children on the </w:t>
            </w:r>
            <w:hyperlink r:id="rId124" w:history="1">
              <w:r w:rsidRPr="00CC1ADD">
                <w:rPr>
                  <w:rStyle w:val="Hyperlink"/>
                  <w:rFonts w:cstheme="minorHAnsi"/>
                  <w:sz w:val="20"/>
                  <w:szCs w:val="20"/>
                </w:rPr>
                <w:t>Healthy Kids Association website</w:t>
              </w:r>
            </w:hyperlink>
            <w:r w:rsidRPr="00CC1ADD">
              <w:rPr>
                <w:rStyle w:val="Hyperlink"/>
                <w:rFonts w:cstheme="minorHAnsi"/>
                <w:sz w:val="20"/>
                <w:szCs w:val="20"/>
              </w:rPr>
              <w:t>.</w:t>
            </w:r>
          </w:p>
        </w:tc>
        <w:tc>
          <w:tcPr>
            <w:tcW w:w="1461" w:type="dxa"/>
            <w:shd w:val="clear" w:color="auto" w:fill="FFFFFF" w:themeFill="background1"/>
          </w:tcPr>
          <w:p w14:paraId="5EF53167" w14:textId="77777777" w:rsidR="00752513" w:rsidRPr="00CC1ADD" w:rsidRDefault="00752513">
            <w:pPr>
              <w:spacing w:before="40" w:after="40"/>
              <w:rPr>
                <w:rFonts w:cstheme="minorHAnsi"/>
                <w:sz w:val="20"/>
                <w:szCs w:val="20"/>
              </w:rPr>
            </w:pPr>
            <w:r w:rsidRPr="00CC1ADD">
              <w:rPr>
                <w:rFonts w:cstheme="minorHAnsi"/>
                <w:sz w:val="20"/>
                <w:szCs w:val="20"/>
              </w:rPr>
              <w:t>Parents</w:t>
            </w:r>
          </w:p>
        </w:tc>
      </w:tr>
      <w:tr w:rsidR="00752513" w:rsidRPr="00CC1ADD" w14:paraId="412E3DBE" w14:textId="77777777" w:rsidTr="00752513">
        <w:tc>
          <w:tcPr>
            <w:tcW w:w="1555" w:type="dxa"/>
            <w:shd w:val="clear" w:color="auto" w:fill="FFFFFF" w:themeFill="background1"/>
          </w:tcPr>
          <w:p w14:paraId="4B8480E5" w14:textId="77777777" w:rsidR="00752513" w:rsidRPr="00CC1ADD" w:rsidRDefault="00752513" w:rsidP="005A3631">
            <w:pPr>
              <w:spacing w:before="40" w:after="40"/>
              <w:rPr>
                <w:rFonts w:cstheme="minorHAnsi"/>
                <w:sz w:val="20"/>
                <w:szCs w:val="20"/>
              </w:rPr>
            </w:pPr>
            <w:r w:rsidRPr="00CC1ADD">
              <w:rPr>
                <w:rFonts w:cstheme="minorHAnsi"/>
                <w:sz w:val="20"/>
                <w:szCs w:val="20"/>
              </w:rPr>
              <w:t>Obesity Policy Coalition</w:t>
            </w:r>
          </w:p>
        </w:tc>
        <w:tc>
          <w:tcPr>
            <w:tcW w:w="1275" w:type="dxa"/>
            <w:shd w:val="clear" w:color="auto" w:fill="FFFFFF" w:themeFill="background1"/>
          </w:tcPr>
          <w:p w14:paraId="3551BAEB"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1B7C882A"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Regular media commentary on HSR. Information on HSR on </w:t>
            </w:r>
            <w:hyperlink r:id="rId125" w:history="1">
              <w:r w:rsidRPr="00CC1ADD">
                <w:rPr>
                  <w:rStyle w:val="Hyperlink"/>
                  <w:rFonts w:cstheme="minorHAnsi"/>
                  <w:sz w:val="20"/>
                  <w:szCs w:val="20"/>
                </w:rPr>
                <w:t>Obesity Policy Coalition website</w:t>
              </w:r>
            </w:hyperlink>
            <w:r w:rsidRPr="00CC1ADD">
              <w:rPr>
                <w:rFonts w:cstheme="minorHAnsi"/>
                <w:color w:val="222222"/>
                <w:sz w:val="20"/>
                <w:szCs w:val="20"/>
              </w:rPr>
              <w:t>, including policy briefs on improving the effectiveness of the HSR.</w:t>
            </w:r>
          </w:p>
        </w:tc>
        <w:tc>
          <w:tcPr>
            <w:tcW w:w="1461" w:type="dxa"/>
            <w:shd w:val="clear" w:color="auto" w:fill="FFFFFF" w:themeFill="background1"/>
          </w:tcPr>
          <w:p w14:paraId="13806EFB" w14:textId="77777777" w:rsidR="00752513" w:rsidRPr="00CC1ADD" w:rsidRDefault="00752513">
            <w:pPr>
              <w:spacing w:before="40" w:after="40"/>
              <w:rPr>
                <w:rFonts w:cstheme="minorHAnsi"/>
                <w:sz w:val="20"/>
                <w:szCs w:val="20"/>
              </w:rPr>
            </w:pPr>
            <w:r w:rsidRPr="00CC1ADD">
              <w:rPr>
                <w:rFonts w:cstheme="minorHAnsi"/>
                <w:sz w:val="20"/>
                <w:szCs w:val="20"/>
              </w:rPr>
              <w:t>Consumers, industry, government</w:t>
            </w:r>
          </w:p>
        </w:tc>
      </w:tr>
      <w:tr w:rsidR="00752513" w:rsidRPr="00CC1ADD" w14:paraId="7F0D0EB2" w14:textId="77777777" w:rsidTr="00752513">
        <w:tc>
          <w:tcPr>
            <w:tcW w:w="1555" w:type="dxa"/>
            <w:shd w:val="clear" w:color="auto" w:fill="FFFFFF" w:themeFill="background1"/>
          </w:tcPr>
          <w:p w14:paraId="26038275" w14:textId="77777777" w:rsidR="00752513" w:rsidRPr="00CC1ADD" w:rsidRDefault="00752513" w:rsidP="005A3631">
            <w:pPr>
              <w:spacing w:before="40" w:after="40"/>
              <w:rPr>
                <w:rFonts w:cstheme="minorHAnsi"/>
                <w:sz w:val="20"/>
                <w:szCs w:val="20"/>
              </w:rPr>
            </w:pPr>
            <w:r w:rsidRPr="00CC1ADD">
              <w:rPr>
                <w:rFonts w:cstheme="minorHAnsi"/>
                <w:sz w:val="20"/>
                <w:szCs w:val="20"/>
              </w:rPr>
              <w:t>The George Institute for Global Health</w:t>
            </w:r>
          </w:p>
        </w:tc>
        <w:tc>
          <w:tcPr>
            <w:tcW w:w="1275" w:type="dxa"/>
            <w:shd w:val="clear" w:color="auto" w:fill="FFFFFF" w:themeFill="background1"/>
          </w:tcPr>
          <w:p w14:paraId="6FB09393"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641A5CC5"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Publication of articles, academic reports and commentary relating to the HSR on </w:t>
            </w:r>
            <w:hyperlink r:id="rId126" w:history="1">
              <w:r w:rsidRPr="00CC1ADD">
                <w:rPr>
                  <w:rStyle w:val="Hyperlink"/>
                  <w:rFonts w:cstheme="minorHAnsi"/>
                  <w:sz w:val="20"/>
                  <w:szCs w:val="20"/>
                </w:rPr>
                <w:t>The George Institute website</w:t>
              </w:r>
            </w:hyperlink>
            <w:r w:rsidRPr="00CC1ADD">
              <w:rPr>
                <w:rStyle w:val="Hyperlink"/>
                <w:rFonts w:cstheme="minorHAnsi"/>
                <w:sz w:val="20"/>
                <w:szCs w:val="20"/>
              </w:rPr>
              <w:t>.</w:t>
            </w:r>
          </w:p>
          <w:p w14:paraId="6265E0D5" w14:textId="77777777" w:rsidR="00752513" w:rsidRPr="00CC1ADD" w:rsidRDefault="00752513">
            <w:pPr>
              <w:spacing w:before="40" w:after="40"/>
              <w:rPr>
                <w:rFonts w:cstheme="minorHAnsi"/>
                <w:color w:val="222222"/>
                <w:sz w:val="20"/>
                <w:szCs w:val="20"/>
              </w:rPr>
            </w:pPr>
            <w:r w:rsidRPr="00CC1ADD">
              <w:rPr>
                <w:color w:val="222222"/>
                <w:sz w:val="20"/>
              </w:rPr>
              <w:t xml:space="preserve">Development and implementation of </w:t>
            </w:r>
            <w:hyperlink r:id="rId127" w:anchor="/home" w:history="1">
              <w:r w:rsidRPr="00CC1ADD">
                <w:rPr>
                  <w:color w:val="222222"/>
                  <w:sz w:val="20"/>
                </w:rPr>
                <w:t>FoodSwitch</w:t>
              </w:r>
            </w:hyperlink>
            <w:r w:rsidRPr="00CC1ADD">
              <w:rPr>
                <w:rFonts w:cstheme="minorHAnsi"/>
                <w:color w:val="222222"/>
                <w:sz w:val="20"/>
                <w:szCs w:val="20"/>
              </w:rPr>
              <w:t>, a smartphone app that allows barcodes of packaged foods to be scanned using the camera on the phone and provides the consumer with information about the product’s HSR.</w:t>
            </w:r>
          </w:p>
        </w:tc>
        <w:tc>
          <w:tcPr>
            <w:tcW w:w="1461" w:type="dxa"/>
            <w:shd w:val="clear" w:color="auto" w:fill="FFFFFF" w:themeFill="background1"/>
          </w:tcPr>
          <w:p w14:paraId="796F4176" w14:textId="77777777" w:rsidR="00752513" w:rsidRPr="00CC1ADD" w:rsidRDefault="00752513">
            <w:pPr>
              <w:spacing w:before="40" w:after="40"/>
              <w:rPr>
                <w:rFonts w:cstheme="minorHAnsi"/>
                <w:sz w:val="20"/>
                <w:szCs w:val="20"/>
              </w:rPr>
            </w:pPr>
            <w:r w:rsidRPr="00CC1ADD">
              <w:rPr>
                <w:rFonts w:cstheme="minorHAnsi"/>
                <w:sz w:val="20"/>
                <w:szCs w:val="20"/>
              </w:rPr>
              <w:t>Consumers, academics, health professionals, food industry</w:t>
            </w:r>
          </w:p>
          <w:p w14:paraId="3C2F5643" w14:textId="77777777" w:rsidR="00752513" w:rsidRPr="00CC1ADD" w:rsidRDefault="00752513">
            <w:pPr>
              <w:spacing w:before="40" w:after="40"/>
              <w:rPr>
                <w:rFonts w:cstheme="minorHAnsi"/>
                <w:sz w:val="20"/>
                <w:szCs w:val="20"/>
              </w:rPr>
            </w:pPr>
          </w:p>
        </w:tc>
      </w:tr>
      <w:tr w:rsidR="00752513" w:rsidRPr="00CC1ADD" w14:paraId="099F0E53" w14:textId="77777777" w:rsidTr="00752513">
        <w:tc>
          <w:tcPr>
            <w:tcW w:w="1555" w:type="dxa"/>
            <w:shd w:val="clear" w:color="auto" w:fill="FFFFFF" w:themeFill="background1"/>
          </w:tcPr>
          <w:p w14:paraId="32F9B202" w14:textId="77777777" w:rsidR="00752513" w:rsidRPr="00CC1ADD" w:rsidRDefault="00752513" w:rsidP="005A3631">
            <w:pPr>
              <w:spacing w:before="40" w:after="40"/>
              <w:rPr>
                <w:rFonts w:cstheme="minorHAnsi"/>
                <w:sz w:val="20"/>
                <w:szCs w:val="20"/>
              </w:rPr>
            </w:pPr>
            <w:r w:rsidRPr="00CC1ADD">
              <w:rPr>
                <w:rFonts w:cstheme="minorHAnsi"/>
                <w:sz w:val="20"/>
                <w:szCs w:val="20"/>
              </w:rPr>
              <w:t>Grains &amp; Legumes Nutrition Council</w:t>
            </w:r>
          </w:p>
        </w:tc>
        <w:tc>
          <w:tcPr>
            <w:tcW w:w="1275" w:type="dxa"/>
            <w:shd w:val="clear" w:color="auto" w:fill="FFFFFF" w:themeFill="background1"/>
          </w:tcPr>
          <w:p w14:paraId="302ECD92"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0E912186"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information about the HSR in fact sheets describing how to choose breakfast cereals and snack bars on the </w:t>
            </w:r>
            <w:hyperlink r:id="rId128" w:history="1">
              <w:r w:rsidRPr="00CC1ADD">
                <w:rPr>
                  <w:rStyle w:val="Hyperlink"/>
                  <w:rFonts w:cstheme="minorHAnsi"/>
                  <w:sz w:val="20"/>
                  <w:szCs w:val="20"/>
                </w:rPr>
                <w:t>GLNC website</w:t>
              </w:r>
            </w:hyperlink>
            <w:r w:rsidRPr="00CC1ADD">
              <w:rPr>
                <w:rStyle w:val="Hyperlink"/>
                <w:rFonts w:cstheme="minorHAnsi"/>
                <w:sz w:val="20"/>
                <w:szCs w:val="20"/>
              </w:rPr>
              <w:t>.</w:t>
            </w:r>
          </w:p>
        </w:tc>
        <w:tc>
          <w:tcPr>
            <w:tcW w:w="1461" w:type="dxa"/>
            <w:shd w:val="clear" w:color="auto" w:fill="FFFFFF" w:themeFill="background1"/>
          </w:tcPr>
          <w:p w14:paraId="70BFD018"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7E5B5FB3" w14:textId="77777777" w:rsidTr="00752513">
        <w:tc>
          <w:tcPr>
            <w:tcW w:w="1555" w:type="dxa"/>
            <w:shd w:val="clear" w:color="auto" w:fill="FFFFFF" w:themeFill="background1"/>
          </w:tcPr>
          <w:p w14:paraId="35F54551" w14:textId="77777777" w:rsidR="00752513" w:rsidRPr="00CC1ADD" w:rsidRDefault="00752513" w:rsidP="005A3631">
            <w:pPr>
              <w:spacing w:before="40" w:after="40"/>
              <w:rPr>
                <w:rFonts w:cstheme="minorHAnsi"/>
                <w:sz w:val="20"/>
                <w:szCs w:val="20"/>
              </w:rPr>
            </w:pPr>
            <w:r w:rsidRPr="00CC1ADD">
              <w:rPr>
                <w:rFonts w:cstheme="minorHAnsi"/>
                <w:sz w:val="20"/>
                <w:szCs w:val="20"/>
              </w:rPr>
              <w:t>Nuts for Life</w:t>
            </w:r>
          </w:p>
        </w:tc>
        <w:tc>
          <w:tcPr>
            <w:tcW w:w="1275" w:type="dxa"/>
            <w:shd w:val="clear" w:color="auto" w:fill="FFFFFF" w:themeFill="background1"/>
          </w:tcPr>
          <w:p w14:paraId="1D7112FD"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15F2303B"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information about the HSR in a range of articles, including a list of the star ratings  for different types of nuts on the </w:t>
            </w:r>
            <w:hyperlink r:id="rId129" w:history="1">
              <w:r w:rsidRPr="00CC1ADD">
                <w:rPr>
                  <w:rStyle w:val="Hyperlink"/>
                  <w:rFonts w:cstheme="minorHAnsi"/>
                  <w:sz w:val="20"/>
                  <w:szCs w:val="20"/>
                </w:rPr>
                <w:t>Nuts for Life website</w:t>
              </w:r>
            </w:hyperlink>
            <w:r w:rsidRPr="00CC1ADD">
              <w:rPr>
                <w:rStyle w:val="Hyperlink"/>
                <w:rFonts w:cstheme="minorHAnsi"/>
                <w:sz w:val="20"/>
                <w:szCs w:val="20"/>
              </w:rPr>
              <w:t>.</w:t>
            </w:r>
          </w:p>
        </w:tc>
        <w:tc>
          <w:tcPr>
            <w:tcW w:w="1461" w:type="dxa"/>
            <w:shd w:val="clear" w:color="auto" w:fill="FFFFFF" w:themeFill="background1"/>
          </w:tcPr>
          <w:p w14:paraId="07310361"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0D4D0A9A" w14:textId="77777777" w:rsidTr="00752513">
        <w:tc>
          <w:tcPr>
            <w:tcW w:w="1555" w:type="dxa"/>
            <w:shd w:val="clear" w:color="auto" w:fill="FFFFFF" w:themeFill="background1"/>
          </w:tcPr>
          <w:p w14:paraId="12735077" w14:textId="77777777" w:rsidR="00752513" w:rsidRPr="00CC1ADD" w:rsidRDefault="00752513" w:rsidP="005A3631">
            <w:pPr>
              <w:spacing w:before="40" w:after="40"/>
              <w:rPr>
                <w:rFonts w:cstheme="minorHAnsi"/>
                <w:sz w:val="20"/>
                <w:szCs w:val="20"/>
              </w:rPr>
            </w:pPr>
            <w:r w:rsidRPr="00CC1ADD">
              <w:rPr>
                <w:rFonts w:cstheme="minorHAnsi"/>
                <w:sz w:val="20"/>
                <w:szCs w:val="20"/>
              </w:rPr>
              <w:t>Sarah Moore Wellness</w:t>
            </w:r>
          </w:p>
        </w:tc>
        <w:tc>
          <w:tcPr>
            <w:tcW w:w="1275" w:type="dxa"/>
            <w:shd w:val="clear" w:color="auto" w:fill="FFFFFF" w:themeFill="background1"/>
          </w:tcPr>
          <w:p w14:paraId="6CE29136"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45" w:type="dxa"/>
            <w:shd w:val="clear" w:color="auto" w:fill="FFFFFF" w:themeFill="background1"/>
          </w:tcPr>
          <w:p w14:paraId="4AE9B65C"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 xml:space="preserve">Inclusion of detailed information about development of HSR and how to use the HSR effectively to make healthier choices for the family (from perspective of nutritionist) on </w:t>
            </w:r>
            <w:hyperlink r:id="rId130" w:history="1">
              <w:r w:rsidRPr="00CC1ADD">
                <w:rPr>
                  <w:rStyle w:val="Hyperlink"/>
                  <w:rFonts w:cstheme="minorHAnsi"/>
                  <w:sz w:val="20"/>
                  <w:szCs w:val="20"/>
                </w:rPr>
                <w:t>Sarah Moore Wellness website</w:t>
              </w:r>
            </w:hyperlink>
            <w:r w:rsidRPr="00CC1ADD">
              <w:rPr>
                <w:rStyle w:val="Hyperlink"/>
                <w:rFonts w:cstheme="minorHAnsi"/>
                <w:sz w:val="20"/>
                <w:szCs w:val="20"/>
              </w:rPr>
              <w:t>.</w:t>
            </w:r>
          </w:p>
        </w:tc>
        <w:tc>
          <w:tcPr>
            <w:tcW w:w="1461" w:type="dxa"/>
            <w:shd w:val="clear" w:color="auto" w:fill="FFFFFF" w:themeFill="background1"/>
          </w:tcPr>
          <w:p w14:paraId="0305B713"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bookmarkEnd w:id="169"/>
      <w:bookmarkEnd w:id="170"/>
    </w:tbl>
    <w:p w14:paraId="5F9C805A" w14:textId="77777777" w:rsidR="00752513" w:rsidRPr="00CC1ADD" w:rsidRDefault="00752513" w:rsidP="005D75D3">
      <w:pPr>
        <w:pStyle w:val="mpcNormal"/>
        <w:keepNext w:val="0"/>
      </w:pPr>
    </w:p>
    <w:p w14:paraId="11F4D554" w14:textId="1CAB4781" w:rsidR="00752513" w:rsidRPr="00CC1ADD" w:rsidRDefault="00752513">
      <w:pPr>
        <w:pStyle w:val="mpcheading2"/>
        <w:spacing w:after="0"/>
      </w:pPr>
      <w:bookmarkStart w:id="180" w:name="Complementary"/>
      <w:bookmarkStart w:id="181" w:name="_Toc1746529"/>
      <w:bookmarkEnd w:id="180"/>
      <w:r w:rsidRPr="00CC1ADD">
        <w:t>Complementary healthy eating initiatives</w:t>
      </w:r>
      <w:bookmarkEnd w:id="181"/>
    </w:p>
    <w:p w14:paraId="78A8BD7F" w14:textId="77777777" w:rsidR="00752513" w:rsidRPr="00CC1ADD" w:rsidRDefault="00752513" w:rsidP="005D75D3">
      <w:pPr>
        <w:keepLines/>
        <w:rPr>
          <w:rFonts w:cstheme="minorHAnsi"/>
          <w:b/>
          <w:sz w:val="18"/>
          <w:szCs w:val="20"/>
        </w:rPr>
      </w:pPr>
    </w:p>
    <w:p w14:paraId="7C7AA400" w14:textId="77777777" w:rsidR="00752513" w:rsidRPr="00CC1ADD" w:rsidRDefault="00752513" w:rsidP="005D75D3">
      <w:pPr>
        <w:keepLines/>
        <w:rPr>
          <w:rFonts w:cstheme="minorHAnsi"/>
          <w:b/>
          <w:sz w:val="21"/>
          <w:szCs w:val="20"/>
        </w:rPr>
      </w:pPr>
      <w:r w:rsidRPr="00CC1ADD">
        <w:rPr>
          <w:rFonts w:cstheme="minorHAnsi"/>
          <w:b/>
          <w:sz w:val="21"/>
          <w:szCs w:val="20"/>
        </w:rPr>
        <w:t>Industry, public health and joint initiatives</w:t>
      </w:r>
    </w:p>
    <w:p w14:paraId="07F27F60" w14:textId="77777777" w:rsidR="00752513" w:rsidRPr="00CC1ADD" w:rsidRDefault="00752513" w:rsidP="005D75D3">
      <w:pPr>
        <w:keepLines/>
        <w:rPr>
          <w:rFonts w:cstheme="minorHAnsi"/>
          <w:b/>
          <w:sz w:val="21"/>
          <w:szCs w:val="20"/>
        </w:rPr>
      </w:pPr>
    </w:p>
    <w:tbl>
      <w:tblPr>
        <w:tblStyle w:val="TableGrid"/>
        <w:tblW w:w="0" w:type="auto"/>
        <w:tblLook w:val="04A0" w:firstRow="1" w:lastRow="0" w:firstColumn="1" w:lastColumn="0" w:noHBand="0" w:noVBand="1"/>
      </w:tblPr>
      <w:tblGrid>
        <w:gridCol w:w="1555"/>
        <w:gridCol w:w="1275"/>
        <w:gridCol w:w="5387"/>
        <w:gridCol w:w="1519"/>
      </w:tblGrid>
      <w:tr w:rsidR="00752513" w:rsidRPr="00CC1ADD" w14:paraId="34B19410" w14:textId="77777777" w:rsidTr="00752513">
        <w:trPr>
          <w:tblHeader/>
        </w:trPr>
        <w:tc>
          <w:tcPr>
            <w:tcW w:w="1555" w:type="dxa"/>
            <w:shd w:val="clear" w:color="auto" w:fill="516A8E"/>
          </w:tcPr>
          <w:p w14:paraId="7D0D4496" w14:textId="77777777" w:rsidR="00752513" w:rsidRPr="00CC1ADD" w:rsidRDefault="00752513" w:rsidP="005A3631">
            <w:pPr>
              <w:pStyle w:val="Tabletext"/>
              <w:spacing w:before="40" w:after="40" w:line="240" w:lineRule="auto"/>
              <w:rPr>
                <w:rFonts w:cstheme="minorHAnsi"/>
                <w:b/>
                <w:color w:val="FFFFFF" w:themeColor="background1"/>
                <w:szCs w:val="20"/>
              </w:rPr>
            </w:pPr>
            <w:bookmarkStart w:id="182" w:name="Type2"/>
            <w:bookmarkEnd w:id="182"/>
            <w:r w:rsidRPr="00CC1ADD">
              <w:rPr>
                <w:rFonts w:cstheme="minorHAnsi"/>
                <w:b/>
                <w:color w:val="FFFFFF" w:themeColor="background1"/>
                <w:szCs w:val="20"/>
              </w:rPr>
              <w:t>Type of Policy/Program</w:t>
            </w:r>
          </w:p>
        </w:tc>
        <w:tc>
          <w:tcPr>
            <w:tcW w:w="1275" w:type="dxa"/>
            <w:shd w:val="clear" w:color="auto" w:fill="516A8E"/>
          </w:tcPr>
          <w:p w14:paraId="010D2FF9"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387" w:type="dxa"/>
            <w:shd w:val="clear" w:color="auto" w:fill="516A8E"/>
          </w:tcPr>
          <w:p w14:paraId="71F61222"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519" w:type="dxa"/>
            <w:shd w:val="clear" w:color="auto" w:fill="516A8E"/>
          </w:tcPr>
          <w:p w14:paraId="0822A8C7"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1A81FD76" w14:textId="77777777" w:rsidTr="00752513">
        <w:tc>
          <w:tcPr>
            <w:tcW w:w="1555" w:type="dxa"/>
            <w:shd w:val="clear" w:color="auto" w:fill="FFFFFF" w:themeFill="background1"/>
          </w:tcPr>
          <w:p w14:paraId="1B8A0561" w14:textId="77777777" w:rsidR="00752513" w:rsidRPr="00CC1ADD" w:rsidRDefault="00752513" w:rsidP="005A3631">
            <w:pPr>
              <w:spacing w:before="40" w:after="40"/>
              <w:rPr>
                <w:rFonts w:cstheme="minorHAnsi"/>
                <w:sz w:val="20"/>
                <w:szCs w:val="20"/>
              </w:rPr>
            </w:pPr>
            <w:r w:rsidRPr="00CC1ADD">
              <w:rPr>
                <w:rFonts w:cstheme="minorHAnsi"/>
                <w:sz w:val="20"/>
                <w:szCs w:val="20"/>
              </w:rPr>
              <w:t>Family Food Patch – You Tube clips sugar in drinks</w:t>
            </w:r>
          </w:p>
        </w:tc>
        <w:tc>
          <w:tcPr>
            <w:tcW w:w="1275" w:type="dxa"/>
            <w:shd w:val="clear" w:color="auto" w:fill="FFFFFF" w:themeFill="background1"/>
          </w:tcPr>
          <w:p w14:paraId="18FD0C5E" w14:textId="77777777" w:rsidR="00752513" w:rsidRPr="00CC1ADD" w:rsidRDefault="00752513">
            <w:pPr>
              <w:spacing w:before="40" w:after="40"/>
              <w:rPr>
                <w:rFonts w:cstheme="minorHAnsi"/>
                <w:sz w:val="20"/>
                <w:szCs w:val="20"/>
              </w:rPr>
            </w:pPr>
            <w:r w:rsidRPr="00CC1ADD">
              <w:rPr>
                <w:rFonts w:cstheme="minorHAnsi"/>
                <w:sz w:val="20"/>
                <w:szCs w:val="20"/>
              </w:rPr>
              <w:t>Tasmania</w:t>
            </w:r>
          </w:p>
        </w:tc>
        <w:tc>
          <w:tcPr>
            <w:tcW w:w="5387" w:type="dxa"/>
            <w:shd w:val="clear" w:color="auto" w:fill="FFFFFF" w:themeFill="background1"/>
          </w:tcPr>
          <w:p w14:paraId="3ED0397B" w14:textId="77777777" w:rsidR="00752513" w:rsidRPr="00CC1ADD" w:rsidRDefault="00752513">
            <w:pPr>
              <w:spacing w:before="40" w:after="40"/>
              <w:rPr>
                <w:rFonts w:cstheme="minorHAnsi"/>
                <w:sz w:val="20"/>
                <w:szCs w:val="20"/>
              </w:rPr>
            </w:pPr>
            <w:r w:rsidRPr="00CC1ADD">
              <w:rPr>
                <w:rFonts w:cstheme="minorHAnsi"/>
                <w:color w:val="222222"/>
                <w:sz w:val="20"/>
                <w:szCs w:val="20"/>
              </w:rPr>
              <w:t>State</w:t>
            </w:r>
            <w:r w:rsidRPr="00CC1ADD">
              <w:rPr>
                <w:rFonts w:cstheme="minorHAnsi"/>
                <w:sz w:val="20"/>
                <w:szCs w:val="20"/>
              </w:rPr>
              <w:t>-wide promotion through the family Food Patch peer education program. Includes you-tube educational videos designed for peer food educators and communities.</w:t>
            </w:r>
          </w:p>
          <w:p w14:paraId="5539FA86" w14:textId="77777777" w:rsidR="00752513" w:rsidRPr="00CC1ADD" w:rsidRDefault="00752513">
            <w:pPr>
              <w:spacing w:before="40" w:after="40"/>
              <w:rPr>
                <w:rFonts w:cstheme="minorHAnsi"/>
                <w:color w:val="222222"/>
                <w:sz w:val="20"/>
                <w:szCs w:val="20"/>
              </w:rPr>
            </w:pPr>
          </w:p>
        </w:tc>
        <w:tc>
          <w:tcPr>
            <w:tcW w:w="1519" w:type="dxa"/>
            <w:shd w:val="clear" w:color="auto" w:fill="FFFFFF" w:themeFill="background1"/>
          </w:tcPr>
          <w:p w14:paraId="2C4CD487"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047E5DCA" w14:textId="77777777" w:rsidTr="00752513">
        <w:tc>
          <w:tcPr>
            <w:tcW w:w="1555" w:type="dxa"/>
            <w:shd w:val="clear" w:color="auto" w:fill="FFFFFF" w:themeFill="background1"/>
          </w:tcPr>
          <w:p w14:paraId="07E5571C" w14:textId="77777777" w:rsidR="00752513" w:rsidRPr="00CC1ADD" w:rsidRDefault="00752513" w:rsidP="005A3631">
            <w:pPr>
              <w:spacing w:before="40" w:after="40"/>
              <w:rPr>
                <w:rFonts w:cstheme="minorHAnsi"/>
                <w:sz w:val="20"/>
                <w:szCs w:val="20"/>
              </w:rPr>
            </w:pPr>
            <w:r w:rsidRPr="00CC1ADD">
              <w:rPr>
                <w:rFonts w:cstheme="minorHAnsi"/>
                <w:sz w:val="20"/>
                <w:szCs w:val="20"/>
              </w:rPr>
              <w:t>Food for Thought</w:t>
            </w:r>
          </w:p>
        </w:tc>
        <w:tc>
          <w:tcPr>
            <w:tcW w:w="1275" w:type="dxa"/>
            <w:shd w:val="clear" w:color="auto" w:fill="FFFFFF" w:themeFill="background1"/>
          </w:tcPr>
          <w:p w14:paraId="044B8C57"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387" w:type="dxa"/>
            <w:shd w:val="clear" w:color="auto" w:fill="FFFFFF" w:themeFill="background1"/>
          </w:tcPr>
          <w:p w14:paraId="61539DCD"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A healthy choices nutrition program for year 5 and 6 primary school students incorporating a framework of activities, nutritionist support and sponsored lunch and a supermarket visit to Pak’n’Save, New World or Four Square supermarkets.</w:t>
            </w:r>
          </w:p>
        </w:tc>
        <w:tc>
          <w:tcPr>
            <w:tcW w:w="1519" w:type="dxa"/>
            <w:shd w:val="clear" w:color="auto" w:fill="FFFFFF" w:themeFill="background1"/>
          </w:tcPr>
          <w:p w14:paraId="5FD9A427" w14:textId="77777777" w:rsidR="00752513" w:rsidRPr="00CC1ADD" w:rsidRDefault="00752513">
            <w:pPr>
              <w:spacing w:before="40" w:after="40"/>
              <w:rPr>
                <w:rFonts w:cstheme="minorHAnsi"/>
                <w:sz w:val="20"/>
                <w:szCs w:val="20"/>
              </w:rPr>
            </w:pPr>
            <w:r w:rsidRPr="00CC1ADD">
              <w:rPr>
                <w:rFonts w:cstheme="minorHAnsi"/>
                <w:sz w:val="20"/>
                <w:szCs w:val="20"/>
              </w:rPr>
              <w:t>Primary school students</w:t>
            </w:r>
          </w:p>
          <w:p w14:paraId="3B7B4E79" w14:textId="77777777" w:rsidR="00752513" w:rsidRPr="00CC1ADD" w:rsidRDefault="00752513">
            <w:pPr>
              <w:spacing w:before="40" w:after="40"/>
              <w:rPr>
                <w:rFonts w:cstheme="minorHAnsi"/>
                <w:sz w:val="20"/>
                <w:szCs w:val="20"/>
              </w:rPr>
            </w:pPr>
          </w:p>
        </w:tc>
      </w:tr>
      <w:tr w:rsidR="00752513" w:rsidRPr="00CC1ADD" w14:paraId="5D37B9C9" w14:textId="77777777" w:rsidTr="00752513">
        <w:tc>
          <w:tcPr>
            <w:tcW w:w="1555" w:type="dxa"/>
            <w:shd w:val="clear" w:color="auto" w:fill="FFFFFF" w:themeFill="background1"/>
          </w:tcPr>
          <w:p w14:paraId="7EE0BC16" w14:textId="77777777" w:rsidR="00752513" w:rsidRPr="00CC1ADD" w:rsidRDefault="00752513" w:rsidP="005A3631">
            <w:pPr>
              <w:spacing w:before="40" w:after="40"/>
              <w:rPr>
                <w:rFonts w:cstheme="minorHAnsi"/>
                <w:sz w:val="20"/>
                <w:szCs w:val="20"/>
              </w:rPr>
            </w:pPr>
            <w:r w:rsidRPr="00CC1ADD">
              <w:rPr>
                <w:rFonts w:cstheme="minorHAnsi"/>
                <w:sz w:val="20"/>
                <w:szCs w:val="20"/>
              </w:rPr>
              <w:t>Free fruit for kids</w:t>
            </w:r>
          </w:p>
        </w:tc>
        <w:tc>
          <w:tcPr>
            <w:tcW w:w="1275" w:type="dxa"/>
            <w:shd w:val="clear" w:color="auto" w:fill="FFFFFF" w:themeFill="background1"/>
          </w:tcPr>
          <w:p w14:paraId="0E9C908E" w14:textId="77777777" w:rsidR="00752513" w:rsidRPr="00CC1ADD" w:rsidRDefault="00752513">
            <w:pPr>
              <w:spacing w:before="40" w:after="40"/>
              <w:rPr>
                <w:rFonts w:cstheme="minorHAnsi"/>
                <w:sz w:val="20"/>
                <w:szCs w:val="20"/>
              </w:rPr>
            </w:pPr>
            <w:r w:rsidRPr="00CC1ADD">
              <w:rPr>
                <w:rFonts w:cstheme="minorHAnsi"/>
                <w:sz w:val="20"/>
                <w:szCs w:val="20"/>
              </w:rPr>
              <w:t>Australia, New Zealand</w:t>
            </w:r>
          </w:p>
        </w:tc>
        <w:tc>
          <w:tcPr>
            <w:tcW w:w="5387" w:type="dxa"/>
            <w:shd w:val="clear" w:color="auto" w:fill="FFFFFF" w:themeFill="background1"/>
          </w:tcPr>
          <w:p w14:paraId="2762551B"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Free fresh fruit available for children while parents are shopping at Harris Farm Markets, Woolworths, Coles, Countdown, Fresh Choice.</w:t>
            </w:r>
          </w:p>
        </w:tc>
        <w:tc>
          <w:tcPr>
            <w:tcW w:w="1519" w:type="dxa"/>
            <w:shd w:val="clear" w:color="auto" w:fill="FFFFFF" w:themeFill="background1"/>
          </w:tcPr>
          <w:p w14:paraId="0267A529" w14:textId="77777777" w:rsidR="00752513" w:rsidRPr="00CC1ADD" w:rsidRDefault="00752513">
            <w:pPr>
              <w:spacing w:before="40" w:after="40"/>
              <w:rPr>
                <w:rFonts w:cstheme="minorHAnsi"/>
                <w:sz w:val="20"/>
                <w:szCs w:val="20"/>
              </w:rPr>
            </w:pPr>
            <w:r w:rsidRPr="00CC1ADD">
              <w:rPr>
                <w:rFonts w:cstheme="minorHAnsi"/>
                <w:sz w:val="20"/>
                <w:szCs w:val="20"/>
              </w:rPr>
              <w:t>Parents and children</w:t>
            </w:r>
          </w:p>
        </w:tc>
      </w:tr>
      <w:tr w:rsidR="00A46252" w:rsidRPr="00CC1ADD" w14:paraId="20EB0132" w14:textId="77777777" w:rsidTr="00752513">
        <w:tc>
          <w:tcPr>
            <w:tcW w:w="1555" w:type="dxa"/>
            <w:shd w:val="clear" w:color="auto" w:fill="FFFFFF" w:themeFill="background1"/>
          </w:tcPr>
          <w:p w14:paraId="6DED53E4" w14:textId="416113DB" w:rsidR="00A46252" w:rsidRPr="00CC1ADD" w:rsidRDefault="00A46252" w:rsidP="005A3631">
            <w:pPr>
              <w:spacing w:before="40" w:after="40"/>
              <w:rPr>
                <w:rFonts w:cstheme="minorHAnsi"/>
                <w:sz w:val="20"/>
                <w:szCs w:val="20"/>
              </w:rPr>
            </w:pPr>
            <w:r>
              <w:rPr>
                <w:rFonts w:cstheme="minorHAnsi"/>
                <w:sz w:val="20"/>
                <w:szCs w:val="20"/>
              </w:rPr>
              <w:t>Milk for Schools</w:t>
            </w:r>
          </w:p>
        </w:tc>
        <w:tc>
          <w:tcPr>
            <w:tcW w:w="1275" w:type="dxa"/>
            <w:shd w:val="clear" w:color="auto" w:fill="FFFFFF" w:themeFill="background1"/>
          </w:tcPr>
          <w:p w14:paraId="44B83AF4" w14:textId="6CD6016F" w:rsidR="00A46252" w:rsidRPr="00CC1ADD" w:rsidRDefault="00A46252">
            <w:pPr>
              <w:spacing w:before="40" w:after="40"/>
              <w:rPr>
                <w:rFonts w:cstheme="minorHAnsi"/>
                <w:sz w:val="20"/>
                <w:szCs w:val="20"/>
              </w:rPr>
            </w:pPr>
            <w:r w:rsidRPr="00CC1ADD">
              <w:rPr>
                <w:rFonts w:cstheme="minorHAnsi"/>
                <w:sz w:val="20"/>
                <w:szCs w:val="20"/>
              </w:rPr>
              <w:t>New Zealand</w:t>
            </w:r>
          </w:p>
        </w:tc>
        <w:tc>
          <w:tcPr>
            <w:tcW w:w="5387" w:type="dxa"/>
            <w:shd w:val="clear" w:color="auto" w:fill="FFFFFF" w:themeFill="background1"/>
          </w:tcPr>
          <w:p w14:paraId="6ABA767C" w14:textId="2C5CD8F7" w:rsidR="00A46252" w:rsidRPr="00CC1ADD" w:rsidRDefault="00A46252">
            <w:pPr>
              <w:spacing w:before="40" w:after="40"/>
              <w:rPr>
                <w:rFonts w:cstheme="minorHAnsi"/>
                <w:color w:val="222222"/>
                <w:sz w:val="20"/>
                <w:szCs w:val="20"/>
              </w:rPr>
            </w:pPr>
            <w:r>
              <w:rPr>
                <w:rFonts w:cstheme="minorHAnsi"/>
                <w:color w:val="222222"/>
                <w:sz w:val="20"/>
                <w:szCs w:val="20"/>
              </w:rPr>
              <w:t>Fonterra is currently providing free milk in 70% of New Zealand primary schools.</w:t>
            </w:r>
          </w:p>
        </w:tc>
        <w:tc>
          <w:tcPr>
            <w:tcW w:w="1519" w:type="dxa"/>
            <w:shd w:val="clear" w:color="auto" w:fill="FFFFFF" w:themeFill="background1"/>
          </w:tcPr>
          <w:p w14:paraId="0E6056B4" w14:textId="3E969617" w:rsidR="00A46252" w:rsidRPr="00CC1ADD" w:rsidRDefault="00A46252">
            <w:pPr>
              <w:spacing w:before="40" w:after="40"/>
              <w:rPr>
                <w:rFonts w:cstheme="minorHAnsi"/>
                <w:sz w:val="20"/>
                <w:szCs w:val="20"/>
              </w:rPr>
            </w:pPr>
            <w:r w:rsidRPr="00CC1ADD">
              <w:rPr>
                <w:rFonts w:cstheme="minorHAnsi"/>
                <w:sz w:val="20"/>
                <w:szCs w:val="20"/>
              </w:rPr>
              <w:t>Primary school students</w:t>
            </w:r>
          </w:p>
        </w:tc>
      </w:tr>
      <w:tr w:rsidR="00752513" w:rsidRPr="00CC1ADD" w14:paraId="40E2F7AA" w14:textId="77777777" w:rsidTr="00752513">
        <w:tc>
          <w:tcPr>
            <w:tcW w:w="1555" w:type="dxa"/>
            <w:shd w:val="clear" w:color="auto" w:fill="FFFFFF" w:themeFill="background1"/>
          </w:tcPr>
          <w:p w14:paraId="3DDF2E16" w14:textId="77777777" w:rsidR="00752513" w:rsidRPr="00CC1ADD" w:rsidRDefault="00752513" w:rsidP="005A3631">
            <w:pPr>
              <w:spacing w:before="40" w:after="40"/>
              <w:rPr>
                <w:rFonts w:cstheme="minorHAnsi"/>
                <w:sz w:val="20"/>
                <w:szCs w:val="20"/>
              </w:rPr>
            </w:pPr>
            <w:r w:rsidRPr="00CC1ADD">
              <w:rPr>
                <w:rFonts w:cstheme="minorHAnsi"/>
                <w:sz w:val="20"/>
                <w:szCs w:val="20"/>
              </w:rPr>
              <w:t>HeartSAFE reformulation programme</w:t>
            </w:r>
          </w:p>
        </w:tc>
        <w:tc>
          <w:tcPr>
            <w:tcW w:w="1275" w:type="dxa"/>
            <w:shd w:val="clear" w:color="auto" w:fill="FFFFFF" w:themeFill="background1"/>
          </w:tcPr>
          <w:p w14:paraId="35F7D936"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387" w:type="dxa"/>
            <w:shd w:val="clear" w:color="auto" w:fill="FFFFFF" w:themeFill="background1"/>
          </w:tcPr>
          <w:p w14:paraId="0054B095" w14:textId="77777777" w:rsidR="00752513" w:rsidRPr="00CC1ADD" w:rsidRDefault="00752513">
            <w:pPr>
              <w:spacing w:before="40" w:after="40"/>
              <w:rPr>
                <w:rFonts w:cstheme="minorHAnsi"/>
                <w:color w:val="222222"/>
                <w:sz w:val="20"/>
                <w:szCs w:val="20"/>
              </w:rPr>
            </w:pPr>
            <w:r w:rsidRPr="00CC1ADD">
              <w:rPr>
                <w:rFonts w:eastAsia="Times New Roman" w:cstheme="minorHAnsi"/>
                <w:sz w:val="20"/>
                <w:szCs w:val="20"/>
                <w:lang w:eastAsia="en-NZ"/>
              </w:rPr>
              <w:t>Funded by the Ministry of Health and led by New Zealand Heart Foundation, it sets targets for sodium reductions in processed foods.</w:t>
            </w:r>
          </w:p>
        </w:tc>
        <w:tc>
          <w:tcPr>
            <w:tcW w:w="1519" w:type="dxa"/>
            <w:shd w:val="clear" w:color="auto" w:fill="FFFFFF" w:themeFill="background1"/>
          </w:tcPr>
          <w:p w14:paraId="4C06EDF0" w14:textId="77777777" w:rsidR="00752513" w:rsidRPr="00CC1ADD" w:rsidRDefault="00752513">
            <w:pPr>
              <w:spacing w:before="40" w:after="40"/>
              <w:rPr>
                <w:rFonts w:cstheme="minorHAnsi"/>
                <w:sz w:val="20"/>
                <w:szCs w:val="20"/>
              </w:rPr>
            </w:pPr>
            <w:r w:rsidRPr="00CC1ADD">
              <w:rPr>
                <w:rFonts w:cstheme="minorHAnsi"/>
                <w:sz w:val="20"/>
                <w:szCs w:val="20"/>
              </w:rPr>
              <w:t>Food manufacturers and producers</w:t>
            </w:r>
          </w:p>
        </w:tc>
      </w:tr>
      <w:tr w:rsidR="00752513" w:rsidRPr="00CC1ADD" w14:paraId="5C68990B" w14:textId="77777777" w:rsidTr="00752513">
        <w:tc>
          <w:tcPr>
            <w:tcW w:w="1555" w:type="dxa"/>
            <w:shd w:val="clear" w:color="auto" w:fill="FFFFFF" w:themeFill="background1"/>
          </w:tcPr>
          <w:p w14:paraId="5E441710" w14:textId="77777777" w:rsidR="00752513" w:rsidRPr="00CC1ADD" w:rsidRDefault="00752513" w:rsidP="005A3631">
            <w:pPr>
              <w:spacing w:before="40" w:after="40"/>
              <w:rPr>
                <w:rFonts w:cstheme="minorHAnsi"/>
                <w:sz w:val="20"/>
                <w:szCs w:val="20"/>
              </w:rPr>
            </w:pPr>
            <w:r w:rsidRPr="00CC1ADD">
              <w:rPr>
                <w:rFonts w:cstheme="minorHAnsi"/>
                <w:bCs/>
                <w:sz w:val="20"/>
                <w:szCs w:val="20"/>
              </w:rPr>
              <w:t>Live Lighter campaign</w:t>
            </w:r>
          </w:p>
        </w:tc>
        <w:tc>
          <w:tcPr>
            <w:tcW w:w="1275" w:type="dxa"/>
            <w:shd w:val="clear" w:color="auto" w:fill="FFFFFF" w:themeFill="background1"/>
          </w:tcPr>
          <w:p w14:paraId="7535A6A3" w14:textId="77777777" w:rsidR="00752513" w:rsidRPr="00CC1ADD" w:rsidRDefault="00752513">
            <w:pPr>
              <w:spacing w:before="40" w:after="40"/>
              <w:rPr>
                <w:rFonts w:cstheme="minorHAnsi"/>
                <w:sz w:val="20"/>
                <w:szCs w:val="20"/>
              </w:rPr>
            </w:pPr>
            <w:r w:rsidRPr="00CC1ADD">
              <w:rPr>
                <w:rFonts w:cstheme="minorHAnsi"/>
                <w:bCs/>
                <w:sz w:val="20"/>
                <w:szCs w:val="20"/>
              </w:rPr>
              <w:t xml:space="preserve">WA, ACT, NT and Victoria </w:t>
            </w:r>
          </w:p>
        </w:tc>
        <w:tc>
          <w:tcPr>
            <w:tcW w:w="5387" w:type="dxa"/>
            <w:shd w:val="clear" w:color="auto" w:fill="FFFFFF" w:themeFill="background1"/>
          </w:tcPr>
          <w:p w14:paraId="2646B5A6" w14:textId="77777777" w:rsidR="00752513" w:rsidRPr="00CC1ADD" w:rsidRDefault="00752513">
            <w:pPr>
              <w:spacing w:before="40" w:after="40"/>
              <w:rPr>
                <w:rFonts w:cstheme="minorHAnsi"/>
                <w:sz w:val="20"/>
                <w:szCs w:val="20"/>
              </w:rPr>
            </w:pPr>
            <w:r w:rsidRPr="00CC1ADD">
              <w:rPr>
                <w:rFonts w:cstheme="minorHAnsi"/>
                <w:bCs/>
                <w:sz w:val="20"/>
                <w:szCs w:val="20"/>
              </w:rPr>
              <w:t xml:space="preserve">A campaign (developed in WA) that aims to promote healthy eating, physical activity and healthy weight through </w:t>
            </w:r>
            <w:r w:rsidRPr="00CC1ADD">
              <w:rPr>
                <w:rFonts w:cstheme="minorHAnsi"/>
                <w:sz w:val="20"/>
                <w:szCs w:val="20"/>
              </w:rPr>
              <w:t>mass media, advertising, social media, online and printed resources, advocacy and retailers. Online resources include sugar related education material on avoiding sugary drinks and tips to cut back on added sugar in the diet.</w:t>
            </w:r>
          </w:p>
        </w:tc>
        <w:tc>
          <w:tcPr>
            <w:tcW w:w="1519" w:type="dxa"/>
            <w:shd w:val="clear" w:color="auto" w:fill="FFFFFF" w:themeFill="background1"/>
          </w:tcPr>
          <w:p w14:paraId="01B373A8" w14:textId="77777777" w:rsidR="00752513" w:rsidRPr="00CC1ADD" w:rsidRDefault="00752513">
            <w:pPr>
              <w:spacing w:before="40" w:after="40"/>
              <w:rPr>
                <w:rFonts w:cstheme="minorHAnsi"/>
                <w:sz w:val="20"/>
                <w:szCs w:val="20"/>
              </w:rPr>
            </w:pPr>
            <w:r w:rsidRPr="00CC1ADD">
              <w:rPr>
                <w:rFonts w:cstheme="minorHAnsi"/>
                <w:sz w:val="20"/>
                <w:szCs w:val="20"/>
              </w:rPr>
              <w:t>Adults and parents of children 0 - 12 years</w:t>
            </w:r>
          </w:p>
        </w:tc>
      </w:tr>
      <w:tr w:rsidR="00752513" w:rsidRPr="00CC1ADD" w14:paraId="00EC6C6B" w14:textId="77777777" w:rsidTr="00752513">
        <w:tc>
          <w:tcPr>
            <w:tcW w:w="1555" w:type="dxa"/>
            <w:shd w:val="clear" w:color="auto" w:fill="FFFFFF" w:themeFill="background1"/>
          </w:tcPr>
          <w:p w14:paraId="33C430DD" w14:textId="77777777" w:rsidR="00752513" w:rsidRPr="00CC1ADD" w:rsidRDefault="00752513" w:rsidP="005A3631">
            <w:pPr>
              <w:spacing w:before="40" w:after="40"/>
              <w:rPr>
                <w:rFonts w:cstheme="minorHAnsi"/>
                <w:sz w:val="20"/>
                <w:szCs w:val="20"/>
              </w:rPr>
            </w:pPr>
            <w:r w:rsidRPr="00CC1ADD">
              <w:rPr>
                <w:rFonts w:cstheme="minorHAnsi"/>
                <w:sz w:val="20"/>
                <w:szCs w:val="20"/>
              </w:rPr>
              <w:t>Responsible Children’s Marketing Initiative</w:t>
            </w:r>
          </w:p>
        </w:tc>
        <w:tc>
          <w:tcPr>
            <w:tcW w:w="1275" w:type="dxa"/>
            <w:shd w:val="clear" w:color="auto" w:fill="FFFFFF" w:themeFill="background1"/>
          </w:tcPr>
          <w:p w14:paraId="08934E0E"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387" w:type="dxa"/>
            <w:shd w:val="clear" w:color="auto" w:fill="FFFFFF" w:themeFill="background1"/>
          </w:tcPr>
          <w:p w14:paraId="1626124E"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An initiative developed by the Australian food and beverage manufacturing industry in 2008 in response to concerns about the level of advertising of foods high in energy, fat, sugar and salt to children.</w:t>
            </w:r>
          </w:p>
          <w:p w14:paraId="4D98FC0C"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Signatories report against company action plans which highlight specific steps towards meeting commitment to responsible marketing of food and beverages to children.</w:t>
            </w:r>
          </w:p>
        </w:tc>
        <w:tc>
          <w:tcPr>
            <w:tcW w:w="1519" w:type="dxa"/>
            <w:shd w:val="clear" w:color="auto" w:fill="FFFFFF" w:themeFill="background1"/>
          </w:tcPr>
          <w:p w14:paraId="010A3DAB" w14:textId="77777777" w:rsidR="00752513" w:rsidRPr="00CC1ADD" w:rsidRDefault="00752513">
            <w:pPr>
              <w:spacing w:before="40" w:after="40"/>
              <w:rPr>
                <w:rFonts w:cstheme="minorHAnsi"/>
                <w:sz w:val="20"/>
                <w:szCs w:val="20"/>
              </w:rPr>
            </w:pPr>
            <w:r w:rsidRPr="00CC1ADD">
              <w:rPr>
                <w:rFonts w:cstheme="minorHAnsi"/>
                <w:sz w:val="20"/>
                <w:szCs w:val="20"/>
              </w:rPr>
              <w:t>Industry</w:t>
            </w:r>
          </w:p>
        </w:tc>
      </w:tr>
      <w:tr w:rsidR="00752513" w:rsidRPr="00CC1ADD" w14:paraId="601AC2CD" w14:textId="77777777" w:rsidTr="00752513">
        <w:tc>
          <w:tcPr>
            <w:tcW w:w="1555" w:type="dxa"/>
            <w:shd w:val="clear" w:color="auto" w:fill="FFFFFF" w:themeFill="background1"/>
          </w:tcPr>
          <w:p w14:paraId="0907E731" w14:textId="77777777" w:rsidR="00752513" w:rsidRPr="00CC1ADD" w:rsidRDefault="00752513" w:rsidP="005A3631">
            <w:pPr>
              <w:spacing w:before="40" w:after="40"/>
              <w:rPr>
                <w:rFonts w:cstheme="minorHAnsi"/>
                <w:sz w:val="20"/>
                <w:szCs w:val="20"/>
              </w:rPr>
            </w:pPr>
            <w:r w:rsidRPr="00CC1ADD">
              <w:rPr>
                <w:rFonts w:cstheme="minorHAnsi"/>
                <w:sz w:val="20"/>
                <w:szCs w:val="20"/>
              </w:rPr>
              <w:t>Victorian Salt Reduction Partnership</w:t>
            </w:r>
          </w:p>
        </w:tc>
        <w:tc>
          <w:tcPr>
            <w:tcW w:w="1275" w:type="dxa"/>
            <w:shd w:val="clear" w:color="auto" w:fill="FFFFFF" w:themeFill="background1"/>
          </w:tcPr>
          <w:p w14:paraId="0F3D091F" w14:textId="77777777" w:rsidR="00752513" w:rsidRPr="00CC1ADD" w:rsidRDefault="00752513">
            <w:pPr>
              <w:spacing w:before="40" w:after="40"/>
              <w:rPr>
                <w:rFonts w:cstheme="minorHAnsi"/>
                <w:sz w:val="20"/>
                <w:szCs w:val="20"/>
              </w:rPr>
            </w:pPr>
            <w:r w:rsidRPr="00CC1ADD">
              <w:rPr>
                <w:rFonts w:cstheme="minorHAnsi"/>
                <w:sz w:val="20"/>
                <w:szCs w:val="20"/>
              </w:rPr>
              <w:t>Victoria, Australia</w:t>
            </w:r>
          </w:p>
        </w:tc>
        <w:tc>
          <w:tcPr>
            <w:tcW w:w="5387" w:type="dxa"/>
            <w:shd w:val="clear" w:color="auto" w:fill="FFFFFF" w:themeFill="background1"/>
          </w:tcPr>
          <w:p w14:paraId="3393ABF2" w14:textId="77777777" w:rsidR="00752513" w:rsidRPr="00CC1ADD" w:rsidRDefault="00752513">
            <w:pPr>
              <w:spacing w:before="40" w:after="40"/>
              <w:rPr>
                <w:rFonts w:cstheme="minorHAnsi"/>
                <w:color w:val="222222"/>
                <w:sz w:val="20"/>
                <w:szCs w:val="20"/>
              </w:rPr>
            </w:pPr>
            <w:r w:rsidRPr="00CC1ADD">
              <w:rPr>
                <w:rFonts w:cstheme="minorHAnsi"/>
                <w:color w:val="222222"/>
                <w:sz w:val="20"/>
                <w:szCs w:val="20"/>
              </w:rPr>
              <w:t>A joint action plan of the VicHealth, National Heart Foundation, The George Institute, Deakin University, IPAN, Stroke Foundation, Kidney Health Australia, Baker Heart and Diabetes Institute, AHPS and HBPRCA to reduce salt intake in Victoria and Australia.</w:t>
            </w:r>
          </w:p>
        </w:tc>
        <w:tc>
          <w:tcPr>
            <w:tcW w:w="1519" w:type="dxa"/>
            <w:shd w:val="clear" w:color="auto" w:fill="FFFFFF" w:themeFill="background1"/>
          </w:tcPr>
          <w:p w14:paraId="433840CD"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bl>
    <w:p w14:paraId="7DB01380" w14:textId="77777777" w:rsidR="00752513" w:rsidRPr="00CC1ADD" w:rsidRDefault="00752513" w:rsidP="0017608D">
      <w:pPr>
        <w:keepLines/>
        <w:rPr>
          <w:rFonts w:cstheme="minorHAnsi"/>
          <w:b/>
          <w:sz w:val="20"/>
          <w:szCs w:val="20"/>
        </w:rPr>
      </w:pPr>
    </w:p>
    <w:p w14:paraId="66E91E51" w14:textId="77777777" w:rsidR="00752513" w:rsidRPr="00CC1ADD" w:rsidRDefault="00752513" w:rsidP="0017608D">
      <w:pPr>
        <w:keepNext/>
        <w:rPr>
          <w:rFonts w:cstheme="minorHAnsi"/>
          <w:b/>
          <w:sz w:val="20"/>
          <w:szCs w:val="20"/>
        </w:rPr>
      </w:pPr>
      <w:r w:rsidRPr="00CC1ADD">
        <w:rPr>
          <w:rFonts w:cstheme="minorHAnsi"/>
          <w:b/>
          <w:sz w:val="20"/>
          <w:szCs w:val="20"/>
        </w:rPr>
        <w:t>Government led initiatives</w:t>
      </w:r>
    </w:p>
    <w:p w14:paraId="183CFD58" w14:textId="77777777" w:rsidR="00752513" w:rsidRPr="00CC1ADD" w:rsidRDefault="00752513" w:rsidP="0017608D">
      <w:pPr>
        <w:keepNext/>
        <w:rPr>
          <w:rFonts w:cstheme="minorHAnsi"/>
          <w:b/>
          <w:sz w:val="20"/>
          <w:szCs w:val="20"/>
        </w:rPr>
      </w:pPr>
    </w:p>
    <w:tbl>
      <w:tblPr>
        <w:tblStyle w:val="TableGrid"/>
        <w:tblW w:w="0" w:type="auto"/>
        <w:tblLayout w:type="fixed"/>
        <w:tblLook w:val="04A0" w:firstRow="1" w:lastRow="0" w:firstColumn="1" w:lastColumn="0" w:noHBand="0" w:noVBand="1"/>
        <w:tblCaption w:val="Header Row"/>
        <w:tblDescription w:val="&quot;&quot;"/>
      </w:tblPr>
      <w:tblGrid>
        <w:gridCol w:w="1555"/>
        <w:gridCol w:w="1275"/>
        <w:gridCol w:w="5426"/>
        <w:gridCol w:w="1480"/>
      </w:tblGrid>
      <w:tr w:rsidR="00752513" w:rsidRPr="00CC1ADD" w14:paraId="1A21A84B" w14:textId="77777777" w:rsidTr="00752513">
        <w:trPr>
          <w:tblHeader/>
        </w:trPr>
        <w:tc>
          <w:tcPr>
            <w:tcW w:w="1555" w:type="dxa"/>
            <w:shd w:val="clear" w:color="auto" w:fill="516A8E"/>
          </w:tcPr>
          <w:p w14:paraId="76CFCC5E" w14:textId="77777777" w:rsidR="00752513" w:rsidRPr="00CC1ADD" w:rsidRDefault="00752513" w:rsidP="0017608D">
            <w:pPr>
              <w:pStyle w:val="Tabletext"/>
              <w:keepNext/>
              <w:spacing w:before="40" w:after="40" w:line="240" w:lineRule="auto"/>
              <w:rPr>
                <w:rFonts w:cstheme="minorHAnsi"/>
                <w:b/>
                <w:color w:val="FFFFFF" w:themeColor="background1"/>
                <w:szCs w:val="20"/>
              </w:rPr>
            </w:pPr>
            <w:r w:rsidRPr="00CC1ADD">
              <w:rPr>
                <w:rFonts w:cstheme="minorHAnsi"/>
                <w:b/>
                <w:color w:val="FFFFFF" w:themeColor="background1"/>
                <w:szCs w:val="20"/>
              </w:rPr>
              <w:t>Type of Policy/Program</w:t>
            </w:r>
          </w:p>
        </w:tc>
        <w:tc>
          <w:tcPr>
            <w:tcW w:w="1275" w:type="dxa"/>
            <w:shd w:val="clear" w:color="auto" w:fill="516A8E"/>
          </w:tcPr>
          <w:p w14:paraId="1CE02338" w14:textId="77777777" w:rsidR="00752513" w:rsidRPr="00CC1ADD" w:rsidRDefault="00752513" w:rsidP="0017608D">
            <w:pPr>
              <w:pStyle w:val="Tabletext"/>
              <w:keepN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426" w:type="dxa"/>
            <w:shd w:val="clear" w:color="auto" w:fill="516A8E"/>
          </w:tcPr>
          <w:p w14:paraId="5DB3D290" w14:textId="77777777" w:rsidR="00752513" w:rsidRPr="00CC1ADD" w:rsidRDefault="00752513" w:rsidP="0017608D">
            <w:pPr>
              <w:pStyle w:val="Tabletext"/>
              <w:keepN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480" w:type="dxa"/>
            <w:shd w:val="clear" w:color="auto" w:fill="516A8E"/>
          </w:tcPr>
          <w:p w14:paraId="56A1D97E" w14:textId="77777777" w:rsidR="00752513" w:rsidRPr="00CC1ADD" w:rsidRDefault="00752513" w:rsidP="0017608D">
            <w:pPr>
              <w:pStyle w:val="Tabletext"/>
              <w:keepN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0B6BD748" w14:textId="77777777" w:rsidTr="00752513">
        <w:tc>
          <w:tcPr>
            <w:tcW w:w="1555" w:type="dxa"/>
            <w:shd w:val="clear" w:color="auto" w:fill="FFFFFF" w:themeFill="background1"/>
          </w:tcPr>
          <w:p w14:paraId="1841FFD8" w14:textId="77777777" w:rsidR="00752513" w:rsidRPr="00CC1ADD" w:rsidRDefault="00752513" w:rsidP="005A3631">
            <w:pPr>
              <w:spacing w:before="40" w:after="40"/>
              <w:rPr>
                <w:rFonts w:cstheme="minorHAnsi"/>
                <w:sz w:val="20"/>
                <w:szCs w:val="20"/>
              </w:rPr>
            </w:pPr>
            <w:r w:rsidRPr="00CC1ADD">
              <w:rPr>
                <w:rFonts w:cstheme="minorHAnsi"/>
                <w:sz w:val="20"/>
                <w:szCs w:val="20"/>
              </w:rPr>
              <w:t>Healthy Food Partnership</w:t>
            </w:r>
          </w:p>
        </w:tc>
        <w:tc>
          <w:tcPr>
            <w:tcW w:w="1275" w:type="dxa"/>
            <w:shd w:val="clear" w:color="auto" w:fill="FFFFFF" w:themeFill="background1"/>
          </w:tcPr>
          <w:p w14:paraId="3700B698"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26" w:type="dxa"/>
            <w:shd w:val="clear" w:color="auto" w:fill="FFFFFF" w:themeFill="background1"/>
          </w:tcPr>
          <w:p w14:paraId="3169B6BE" w14:textId="77777777" w:rsidR="00752513" w:rsidRPr="00CC1ADD" w:rsidRDefault="00752513">
            <w:pPr>
              <w:spacing w:before="40" w:after="40"/>
              <w:rPr>
                <w:rFonts w:eastAsia="Times New Roman" w:cstheme="minorHAnsi"/>
                <w:color w:val="222222"/>
                <w:sz w:val="20"/>
                <w:szCs w:val="20"/>
                <w:lang w:eastAsia="en-AU"/>
              </w:rPr>
            </w:pPr>
            <w:r w:rsidRPr="00CC1ADD">
              <w:rPr>
                <w:rFonts w:eastAsia="Times New Roman" w:cstheme="minorHAnsi"/>
                <w:color w:val="222222"/>
                <w:sz w:val="20"/>
                <w:szCs w:val="20"/>
                <w:lang w:eastAsia="en-AU"/>
              </w:rPr>
              <w:t xml:space="preserve">A joint initiative between government, </w:t>
            </w:r>
            <w:r>
              <w:rPr>
                <w:rFonts w:eastAsia="Times New Roman" w:cstheme="minorHAnsi"/>
                <w:color w:val="222222"/>
                <w:sz w:val="20"/>
                <w:szCs w:val="20"/>
                <w:lang w:eastAsia="en-AU"/>
              </w:rPr>
              <w:t xml:space="preserve">the </w:t>
            </w:r>
            <w:r w:rsidRPr="00CC1ADD">
              <w:rPr>
                <w:rFonts w:eastAsia="Times New Roman" w:cstheme="minorHAnsi"/>
                <w:color w:val="222222"/>
                <w:sz w:val="20"/>
                <w:szCs w:val="20"/>
                <w:lang w:eastAsia="en-AU"/>
              </w:rPr>
              <w:t>food industry and public health groups focusing on increased health knowledge, healthier choices and better health outcomes for Australian</w:t>
            </w:r>
            <w:r>
              <w:rPr>
                <w:rFonts w:eastAsia="Times New Roman" w:cstheme="minorHAnsi"/>
                <w:color w:val="222222"/>
                <w:sz w:val="20"/>
                <w:szCs w:val="20"/>
                <w:lang w:eastAsia="en-AU"/>
              </w:rPr>
              <w:t>s</w:t>
            </w:r>
            <w:r w:rsidRPr="00CC1ADD">
              <w:rPr>
                <w:rFonts w:eastAsia="Times New Roman" w:cstheme="minorHAnsi"/>
                <w:color w:val="222222"/>
                <w:sz w:val="20"/>
                <w:szCs w:val="20"/>
                <w:lang w:eastAsia="en-AU"/>
              </w:rPr>
              <w:t>. The focus of the Partnership includes:</w:t>
            </w:r>
          </w:p>
          <w:p w14:paraId="3F94627A" w14:textId="77777777" w:rsidR="00752513" w:rsidRPr="00CC1ADD" w:rsidRDefault="00752513">
            <w:pPr>
              <w:pStyle w:val="ListParagraph"/>
              <w:numPr>
                <w:ilvl w:val="0"/>
                <w:numId w:val="17"/>
              </w:numPr>
              <w:spacing w:before="40" w:after="40"/>
              <w:rPr>
                <w:rFonts w:cstheme="minorHAnsi"/>
                <w:color w:val="222222"/>
                <w:sz w:val="20"/>
                <w:szCs w:val="20"/>
              </w:rPr>
            </w:pPr>
            <w:r w:rsidRPr="00CC1ADD">
              <w:rPr>
                <w:rFonts w:cstheme="minorHAnsi"/>
                <w:color w:val="222222"/>
                <w:sz w:val="20"/>
                <w:szCs w:val="20"/>
              </w:rPr>
              <w:t>portion control</w:t>
            </w:r>
          </w:p>
          <w:p w14:paraId="3A92B8CA" w14:textId="77777777" w:rsidR="00752513" w:rsidRPr="00CC1ADD" w:rsidRDefault="00752513">
            <w:pPr>
              <w:pStyle w:val="ListParagraph"/>
              <w:numPr>
                <w:ilvl w:val="0"/>
                <w:numId w:val="17"/>
              </w:numPr>
              <w:spacing w:before="40" w:after="40"/>
              <w:rPr>
                <w:rFonts w:cstheme="minorHAnsi"/>
                <w:color w:val="222222"/>
                <w:sz w:val="20"/>
                <w:szCs w:val="20"/>
              </w:rPr>
            </w:pPr>
            <w:r w:rsidRPr="00CC1ADD">
              <w:rPr>
                <w:rFonts w:cstheme="minorHAnsi"/>
                <w:color w:val="222222"/>
                <w:sz w:val="20"/>
                <w:szCs w:val="20"/>
              </w:rPr>
              <w:t>communication, education and meal planning on whole foods and total diet</w:t>
            </w:r>
          </w:p>
          <w:p w14:paraId="29C7E863" w14:textId="77777777" w:rsidR="00752513" w:rsidRPr="00CC1ADD" w:rsidRDefault="00752513">
            <w:pPr>
              <w:pStyle w:val="ListParagraph"/>
              <w:numPr>
                <w:ilvl w:val="0"/>
                <w:numId w:val="17"/>
              </w:numPr>
              <w:spacing w:before="40" w:after="40"/>
              <w:rPr>
                <w:rFonts w:cstheme="minorHAnsi"/>
                <w:sz w:val="20"/>
                <w:szCs w:val="20"/>
              </w:rPr>
            </w:pPr>
            <w:r w:rsidRPr="00CC1ADD">
              <w:rPr>
                <w:rFonts w:cstheme="minorHAnsi"/>
                <w:color w:val="222222"/>
                <w:sz w:val="20"/>
                <w:szCs w:val="20"/>
              </w:rPr>
              <w:t>reformulation activities.</w:t>
            </w:r>
          </w:p>
        </w:tc>
        <w:tc>
          <w:tcPr>
            <w:tcW w:w="1480" w:type="dxa"/>
            <w:shd w:val="clear" w:color="auto" w:fill="FFFFFF" w:themeFill="background1"/>
          </w:tcPr>
          <w:p w14:paraId="752AF0FC"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2609481A" w14:textId="77777777" w:rsidTr="00752513">
        <w:tc>
          <w:tcPr>
            <w:tcW w:w="1555" w:type="dxa"/>
            <w:shd w:val="clear" w:color="auto" w:fill="FFFFFF" w:themeFill="background1"/>
          </w:tcPr>
          <w:p w14:paraId="432E8FA4" w14:textId="77777777" w:rsidR="00752513" w:rsidRPr="00CC1ADD" w:rsidRDefault="00752513" w:rsidP="005A3631">
            <w:pPr>
              <w:spacing w:before="40" w:after="40"/>
              <w:rPr>
                <w:rFonts w:cstheme="minorHAnsi"/>
                <w:sz w:val="20"/>
                <w:szCs w:val="20"/>
              </w:rPr>
            </w:pPr>
            <w:r w:rsidRPr="00CC1ADD">
              <w:rPr>
                <w:rFonts w:cstheme="minorHAnsi"/>
                <w:sz w:val="20"/>
                <w:szCs w:val="20"/>
              </w:rPr>
              <w:t>Eatforhealth.gov.au</w:t>
            </w:r>
          </w:p>
          <w:p w14:paraId="6C49600A" w14:textId="77777777" w:rsidR="00752513" w:rsidRPr="00CC1ADD" w:rsidRDefault="00752513">
            <w:pPr>
              <w:spacing w:before="40" w:after="40"/>
              <w:rPr>
                <w:rFonts w:cstheme="minorHAnsi"/>
                <w:sz w:val="20"/>
                <w:szCs w:val="20"/>
              </w:rPr>
            </w:pPr>
          </w:p>
        </w:tc>
        <w:tc>
          <w:tcPr>
            <w:tcW w:w="1275" w:type="dxa"/>
            <w:shd w:val="clear" w:color="auto" w:fill="FFFFFF" w:themeFill="background1"/>
          </w:tcPr>
          <w:p w14:paraId="55F65B30" w14:textId="77777777" w:rsidR="00752513" w:rsidRPr="00CC1ADD" w:rsidRDefault="00752513">
            <w:pPr>
              <w:spacing w:before="40" w:after="40"/>
              <w:rPr>
                <w:rFonts w:cstheme="minorHAnsi"/>
                <w:sz w:val="20"/>
                <w:szCs w:val="20"/>
              </w:rPr>
            </w:pPr>
            <w:r w:rsidRPr="00CC1ADD">
              <w:rPr>
                <w:rFonts w:cstheme="minorHAnsi"/>
                <w:sz w:val="20"/>
                <w:szCs w:val="20"/>
              </w:rPr>
              <w:t>Australia</w:t>
            </w:r>
          </w:p>
        </w:tc>
        <w:tc>
          <w:tcPr>
            <w:tcW w:w="5426" w:type="dxa"/>
            <w:shd w:val="clear" w:color="auto" w:fill="FFFFFF" w:themeFill="background1"/>
          </w:tcPr>
          <w:p w14:paraId="67152E81" w14:textId="77777777" w:rsidR="00752513" w:rsidRPr="00CC1ADD" w:rsidRDefault="00752513">
            <w:pPr>
              <w:spacing w:before="40" w:after="40"/>
              <w:rPr>
                <w:rFonts w:eastAsia="Times New Roman" w:cstheme="minorHAnsi"/>
                <w:color w:val="222222"/>
                <w:sz w:val="20"/>
                <w:szCs w:val="20"/>
                <w:lang w:eastAsia="en-AU"/>
              </w:rPr>
            </w:pPr>
            <w:r w:rsidRPr="00CC1ADD">
              <w:rPr>
                <w:rFonts w:eastAsia="Times New Roman" w:cstheme="minorHAnsi"/>
                <w:color w:val="222222"/>
                <w:sz w:val="20"/>
                <w:szCs w:val="20"/>
                <w:lang w:eastAsia="en-AU"/>
              </w:rPr>
              <w:t xml:space="preserve">Australian Government website promoting the Australian Dietary Guidelines and providing supporting resources for health professionals and consumers, including brochures and posters for use in different settings. The website includes advice for consumers on how to translate ADG recommendations into everyday life. </w:t>
            </w:r>
          </w:p>
        </w:tc>
        <w:tc>
          <w:tcPr>
            <w:tcW w:w="1480" w:type="dxa"/>
            <w:shd w:val="clear" w:color="auto" w:fill="FFFFFF" w:themeFill="background1"/>
          </w:tcPr>
          <w:p w14:paraId="32A6048C"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7ECF9F77" w14:textId="77777777" w:rsidTr="00752513">
        <w:trPr>
          <w:trHeight w:val="2631"/>
        </w:trPr>
        <w:tc>
          <w:tcPr>
            <w:tcW w:w="1555" w:type="dxa"/>
            <w:shd w:val="clear" w:color="auto" w:fill="FFFFFF" w:themeFill="background1"/>
          </w:tcPr>
          <w:p w14:paraId="4D1FCDBC"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Healthy kids industry pledge  </w:t>
            </w:r>
          </w:p>
        </w:tc>
        <w:tc>
          <w:tcPr>
            <w:tcW w:w="1275" w:type="dxa"/>
            <w:shd w:val="clear" w:color="auto" w:fill="FFFFFF" w:themeFill="background1"/>
          </w:tcPr>
          <w:p w14:paraId="5824794A" w14:textId="77777777" w:rsidR="00752513" w:rsidRPr="00CC1ADD" w:rsidRDefault="00752513">
            <w:pPr>
              <w:spacing w:before="40" w:after="40"/>
              <w:rPr>
                <w:rFonts w:cstheme="minorHAnsi"/>
                <w:sz w:val="20"/>
                <w:szCs w:val="20"/>
              </w:rPr>
            </w:pPr>
            <w:r w:rsidRPr="00CC1ADD">
              <w:rPr>
                <w:rFonts w:cstheme="minorHAnsi"/>
                <w:sz w:val="20"/>
                <w:szCs w:val="20"/>
              </w:rPr>
              <w:t xml:space="preserve">New Zealand </w:t>
            </w:r>
          </w:p>
        </w:tc>
        <w:tc>
          <w:tcPr>
            <w:tcW w:w="5426" w:type="dxa"/>
            <w:shd w:val="clear" w:color="auto" w:fill="FFFFFF" w:themeFill="background1"/>
          </w:tcPr>
          <w:p w14:paraId="0A4DFD7A" w14:textId="77777777" w:rsidR="00752513" w:rsidRPr="00CC1ADD" w:rsidRDefault="00752513">
            <w:pPr>
              <w:shd w:val="clear" w:color="auto" w:fill="FFFFFF"/>
              <w:spacing w:before="40" w:after="40"/>
              <w:rPr>
                <w:rFonts w:eastAsia="Times New Roman" w:cstheme="minorHAnsi"/>
                <w:sz w:val="20"/>
                <w:szCs w:val="20"/>
                <w:lang w:eastAsia="en-NZ"/>
              </w:rPr>
            </w:pPr>
            <w:r w:rsidRPr="00CC1ADD">
              <w:rPr>
                <w:rFonts w:eastAsia="Times New Roman" w:cstheme="minorHAnsi"/>
                <w:sz w:val="20"/>
                <w:szCs w:val="20"/>
                <w:lang w:eastAsia="en-NZ"/>
              </w:rPr>
              <w:t>As part of the New Zealand Government’s Childhood Obesity Plan, the Healthy kids industry pledge involves partnerships with the food and beverage industry to make commitments (relating to reformulation, labelling, education, marketing, addressing health inequalities and communication and public reporting) that will make a contribution to reducing the incidence of childhood obesity. Companies and industry groups already committed include the New Zealand Food and Grocery Council, Coca-Cola, McDonalds New Zealand, Nestle, Fonterra, Retail New Zealand and the Association of New Zealand Advertisers.</w:t>
            </w:r>
          </w:p>
        </w:tc>
        <w:tc>
          <w:tcPr>
            <w:tcW w:w="1480" w:type="dxa"/>
            <w:shd w:val="clear" w:color="auto" w:fill="FFFFFF" w:themeFill="background1"/>
          </w:tcPr>
          <w:p w14:paraId="6D01F2E1" w14:textId="77777777" w:rsidR="00752513" w:rsidRPr="00CC1ADD" w:rsidRDefault="00752513">
            <w:pPr>
              <w:spacing w:before="40" w:after="40"/>
              <w:rPr>
                <w:rFonts w:cstheme="minorHAnsi"/>
                <w:sz w:val="20"/>
                <w:szCs w:val="20"/>
              </w:rPr>
            </w:pPr>
            <w:r w:rsidRPr="00CC1ADD">
              <w:rPr>
                <w:rFonts w:cstheme="minorHAnsi"/>
                <w:sz w:val="20"/>
                <w:szCs w:val="20"/>
              </w:rPr>
              <w:t xml:space="preserve">New Zealand Children </w:t>
            </w:r>
          </w:p>
        </w:tc>
      </w:tr>
      <w:tr w:rsidR="00752513" w:rsidRPr="00CC1ADD" w14:paraId="2AF5BD0B" w14:textId="77777777" w:rsidTr="00752513">
        <w:trPr>
          <w:trHeight w:val="904"/>
        </w:trPr>
        <w:tc>
          <w:tcPr>
            <w:tcW w:w="1555" w:type="dxa"/>
            <w:shd w:val="clear" w:color="auto" w:fill="FFFFFF" w:themeFill="background1"/>
          </w:tcPr>
          <w:p w14:paraId="7E2590A3" w14:textId="77777777" w:rsidR="00752513" w:rsidRPr="00CC1ADD" w:rsidRDefault="00752513" w:rsidP="005A3631">
            <w:pPr>
              <w:spacing w:before="40" w:after="40"/>
              <w:rPr>
                <w:rFonts w:cstheme="minorHAnsi"/>
                <w:sz w:val="20"/>
                <w:szCs w:val="20"/>
              </w:rPr>
            </w:pPr>
            <w:r w:rsidRPr="00CC1ADD">
              <w:rPr>
                <w:rFonts w:cstheme="minorHAnsi"/>
                <w:sz w:val="20"/>
                <w:szCs w:val="20"/>
              </w:rPr>
              <w:t>Make Healthy Normal campaign</w:t>
            </w:r>
          </w:p>
        </w:tc>
        <w:tc>
          <w:tcPr>
            <w:tcW w:w="1275" w:type="dxa"/>
            <w:shd w:val="clear" w:color="auto" w:fill="FFFFFF" w:themeFill="background1"/>
          </w:tcPr>
          <w:p w14:paraId="022AB986" w14:textId="77777777" w:rsidR="00752513" w:rsidRPr="00CC1ADD" w:rsidRDefault="00752513">
            <w:pPr>
              <w:spacing w:before="40" w:after="40"/>
              <w:rPr>
                <w:rFonts w:cstheme="minorHAnsi"/>
                <w:sz w:val="20"/>
                <w:szCs w:val="20"/>
              </w:rPr>
            </w:pPr>
            <w:r w:rsidRPr="00CC1ADD">
              <w:rPr>
                <w:rFonts w:cstheme="minorHAnsi"/>
                <w:sz w:val="20"/>
                <w:szCs w:val="20"/>
              </w:rPr>
              <w:t>NSW</w:t>
            </w:r>
          </w:p>
        </w:tc>
        <w:tc>
          <w:tcPr>
            <w:tcW w:w="5426" w:type="dxa"/>
            <w:shd w:val="clear" w:color="auto" w:fill="FFFFFF" w:themeFill="background1"/>
          </w:tcPr>
          <w:p w14:paraId="3C1C0A58" w14:textId="04F494B4" w:rsidR="00752513" w:rsidRPr="00CC1ADD" w:rsidRDefault="00752513">
            <w:pPr>
              <w:spacing w:before="40" w:after="40"/>
              <w:rPr>
                <w:rFonts w:cstheme="minorHAnsi"/>
                <w:sz w:val="20"/>
                <w:szCs w:val="20"/>
              </w:rPr>
            </w:pPr>
            <w:r w:rsidRPr="00CC1ADD">
              <w:rPr>
                <w:rFonts w:cstheme="minorHAnsi"/>
                <w:sz w:val="20"/>
                <w:szCs w:val="20"/>
              </w:rPr>
              <w:t>A campaign that aims to support healthy eating and active living in NSW and includes targeted consumer messaging to replace sugar</w:t>
            </w:r>
            <w:r w:rsidR="00B33DA3">
              <w:rPr>
                <w:rFonts w:cstheme="minorHAnsi"/>
                <w:sz w:val="20"/>
                <w:szCs w:val="20"/>
              </w:rPr>
              <w:t>-</w:t>
            </w:r>
            <w:r w:rsidRPr="00CC1ADD">
              <w:rPr>
                <w:rFonts w:cstheme="minorHAnsi"/>
                <w:sz w:val="20"/>
                <w:szCs w:val="20"/>
              </w:rPr>
              <w:t>sweetened beverages with water.</w:t>
            </w:r>
          </w:p>
        </w:tc>
        <w:tc>
          <w:tcPr>
            <w:tcW w:w="1480" w:type="dxa"/>
            <w:shd w:val="clear" w:color="auto" w:fill="FFFFFF" w:themeFill="background1"/>
          </w:tcPr>
          <w:p w14:paraId="1AC5A272" w14:textId="77777777" w:rsidR="00752513" w:rsidRPr="00CC1ADD" w:rsidRDefault="00752513">
            <w:pPr>
              <w:spacing w:before="40" w:after="40"/>
              <w:rPr>
                <w:rFonts w:cstheme="minorHAnsi"/>
                <w:sz w:val="20"/>
                <w:szCs w:val="20"/>
              </w:rPr>
            </w:pPr>
            <w:r w:rsidRPr="00CC1ADD">
              <w:rPr>
                <w:rFonts w:cstheme="minorHAnsi"/>
                <w:sz w:val="20"/>
                <w:szCs w:val="20"/>
              </w:rPr>
              <w:t xml:space="preserve">Consumers </w:t>
            </w:r>
          </w:p>
        </w:tc>
      </w:tr>
      <w:tr w:rsidR="00752513" w:rsidRPr="00CC1ADD" w14:paraId="54C4686E" w14:textId="77777777" w:rsidTr="00752513">
        <w:trPr>
          <w:trHeight w:val="757"/>
        </w:trPr>
        <w:tc>
          <w:tcPr>
            <w:tcW w:w="1555" w:type="dxa"/>
            <w:shd w:val="clear" w:color="auto" w:fill="FFFFFF" w:themeFill="background1"/>
          </w:tcPr>
          <w:p w14:paraId="3062095E" w14:textId="77777777" w:rsidR="00752513" w:rsidRPr="00CC1ADD" w:rsidRDefault="00752513" w:rsidP="005A3631">
            <w:pPr>
              <w:spacing w:before="40" w:after="40"/>
              <w:rPr>
                <w:rFonts w:cstheme="minorHAnsi"/>
                <w:sz w:val="20"/>
                <w:szCs w:val="20"/>
              </w:rPr>
            </w:pPr>
            <w:r w:rsidRPr="00CC1ADD">
              <w:rPr>
                <w:rFonts w:cstheme="minorHAnsi"/>
                <w:sz w:val="20"/>
                <w:szCs w:val="20"/>
              </w:rPr>
              <w:t>Big Changes Starts Small</w:t>
            </w:r>
          </w:p>
        </w:tc>
        <w:tc>
          <w:tcPr>
            <w:tcW w:w="1275" w:type="dxa"/>
            <w:shd w:val="clear" w:color="auto" w:fill="FFFFFF" w:themeFill="background1"/>
          </w:tcPr>
          <w:p w14:paraId="3C0E21BB"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426" w:type="dxa"/>
            <w:shd w:val="clear" w:color="auto" w:fill="FFFFFF" w:themeFill="background1"/>
          </w:tcPr>
          <w:p w14:paraId="0530E0D3" w14:textId="77777777" w:rsidR="00752513" w:rsidRPr="00CC1ADD" w:rsidRDefault="00752513">
            <w:pPr>
              <w:spacing w:before="40" w:after="40"/>
              <w:rPr>
                <w:rFonts w:cstheme="minorHAnsi"/>
                <w:sz w:val="20"/>
                <w:szCs w:val="20"/>
              </w:rPr>
            </w:pPr>
            <w:r w:rsidRPr="00CC1ADD">
              <w:rPr>
                <w:rFonts w:cstheme="minorHAnsi"/>
                <w:sz w:val="20"/>
                <w:szCs w:val="20"/>
              </w:rPr>
              <w:t>A national social marketing campaign that was one of the 22 initiatives in the Government obesity plan to raise awareness of childhood obesity in New Zealand, run by the Health Promotion Agency.</w:t>
            </w:r>
          </w:p>
        </w:tc>
        <w:tc>
          <w:tcPr>
            <w:tcW w:w="1480" w:type="dxa"/>
            <w:shd w:val="clear" w:color="auto" w:fill="FFFFFF" w:themeFill="background1"/>
          </w:tcPr>
          <w:p w14:paraId="3F2DA29E"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4961DD7F" w14:textId="77777777" w:rsidTr="00752513">
        <w:trPr>
          <w:trHeight w:val="998"/>
        </w:trPr>
        <w:tc>
          <w:tcPr>
            <w:tcW w:w="1555" w:type="dxa"/>
            <w:shd w:val="clear" w:color="auto" w:fill="FFFFFF" w:themeFill="background1"/>
          </w:tcPr>
          <w:p w14:paraId="0DE7266C" w14:textId="77777777" w:rsidR="00752513" w:rsidRPr="00CC1ADD" w:rsidRDefault="00752513" w:rsidP="005A3631">
            <w:pPr>
              <w:spacing w:before="40" w:after="40"/>
              <w:rPr>
                <w:rFonts w:cstheme="minorHAnsi"/>
                <w:sz w:val="20"/>
                <w:szCs w:val="20"/>
              </w:rPr>
            </w:pPr>
            <w:r w:rsidRPr="00CC1ADD">
              <w:rPr>
                <w:rFonts w:cstheme="minorHAnsi"/>
                <w:sz w:val="20"/>
                <w:szCs w:val="20"/>
              </w:rPr>
              <w:t>Healthier Happier Campaign</w:t>
            </w:r>
          </w:p>
        </w:tc>
        <w:tc>
          <w:tcPr>
            <w:tcW w:w="1275" w:type="dxa"/>
            <w:shd w:val="clear" w:color="auto" w:fill="FFFFFF" w:themeFill="background1"/>
          </w:tcPr>
          <w:p w14:paraId="77B9A445" w14:textId="77777777" w:rsidR="00752513" w:rsidRPr="00CC1ADD" w:rsidRDefault="00752513">
            <w:pPr>
              <w:spacing w:before="40" w:after="40"/>
              <w:rPr>
                <w:rFonts w:cstheme="minorHAnsi"/>
                <w:sz w:val="20"/>
                <w:szCs w:val="20"/>
              </w:rPr>
            </w:pPr>
            <w:r w:rsidRPr="00CC1ADD">
              <w:rPr>
                <w:rFonts w:cstheme="minorHAnsi"/>
                <w:sz w:val="20"/>
                <w:szCs w:val="20"/>
              </w:rPr>
              <w:t>Queensland</w:t>
            </w:r>
          </w:p>
        </w:tc>
        <w:tc>
          <w:tcPr>
            <w:tcW w:w="5426" w:type="dxa"/>
            <w:shd w:val="clear" w:color="auto" w:fill="FFFFFF" w:themeFill="background1"/>
          </w:tcPr>
          <w:p w14:paraId="27DFDD42" w14:textId="77777777" w:rsidR="00752513" w:rsidRPr="00CC1ADD" w:rsidRDefault="00752513">
            <w:pPr>
              <w:spacing w:before="40" w:after="40"/>
              <w:rPr>
                <w:rFonts w:cstheme="minorHAnsi"/>
                <w:sz w:val="20"/>
                <w:szCs w:val="20"/>
              </w:rPr>
            </w:pPr>
            <w:r w:rsidRPr="00CC1ADD">
              <w:rPr>
                <w:rFonts w:cstheme="minorHAnsi"/>
                <w:sz w:val="20"/>
                <w:szCs w:val="20"/>
              </w:rPr>
              <w:t>Social marketing campaign including a website, TVC, social media encouraging Queenslanders to add more fruit and vegetables to their meals, have smaller portion sizes, cut back on sugary drinks and increase levels of physical activity.</w:t>
            </w:r>
          </w:p>
        </w:tc>
        <w:tc>
          <w:tcPr>
            <w:tcW w:w="1480" w:type="dxa"/>
            <w:shd w:val="clear" w:color="auto" w:fill="FFFFFF" w:themeFill="background1"/>
          </w:tcPr>
          <w:p w14:paraId="5237FFEC"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bl>
    <w:p w14:paraId="4A7B2608" w14:textId="77777777" w:rsidR="00752513" w:rsidRPr="00CC1ADD" w:rsidRDefault="00752513" w:rsidP="005A3631">
      <w:pPr>
        <w:rPr>
          <w:rFonts w:cstheme="minorHAnsi"/>
          <w:b/>
          <w:sz w:val="20"/>
          <w:szCs w:val="20"/>
        </w:rPr>
      </w:pPr>
    </w:p>
    <w:p w14:paraId="716ED306" w14:textId="77777777" w:rsidR="00752513" w:rsidRPr="00CC1ADD" w:rsidRDefault="00752513" w:rsidP="005D75D3">
      <w:pPr>
        <w:keepLines/>
        <w:rPr>
          <w:rFonts w:cstheme="minorHAnsi"/>
          <w:b/>
          <w:sz w:val="20"/>
          <w:szCs w:val="20"/>
        </w:rPr>
      </w:pPr>
      <w:r w:rsidRPr="00CC1ADD">
        <w:rPr>
          <w:rFonts w:cstheme="minorHAnsi"/>
          <w:b/>
          <w:sz w:val="20"/>
          <w:szCs w:val="20"/>
        </w:rPr>
        <w:t>Settings based food and drink policies</w:t>
      </w:r>
    </w:p>
    <w:p w14:paraId="43A29061" w14:textId="77777777" w:rsidR="00752513" w:rsidRPr="00CC1ADD" w:rsidRDefault="00752513" w:rsidP="005D75D3">
      <w:pPr>
        <w:keepLines/>
        <w:rPr>
          <w:rFonts w:cstheme="minorHAnsi"/>
          <w:b/>
          <w:sz w:val="20"/>
          <w:szCs w:val="20"/>
        </w:rPr>
      </w:pPr>
    </w:p>
    <w:tbl>
      <w:tblPr>
        <w:tblStyle w:val="TableGrid"/>
        <w:tblW w:w="0" w:type="auto"/>
        <w:tblLook w:val="04A0" w:firstRow="1" w:lastRow="0" w:firstColumn="1" w:lastColumn="0" w:noHBand="0" w:noVBand="1"/>
        <w:tblDescription w:val="&quot;&quot;"/>
      </w:tblPr>
      <w:tblGrid>
        <w:gridCol w:w="1555"/>
        <w:gridCol w:w="1294"/>
        <w:gridCol w:w="5368"/>
        <w:gridCol w:w="1519"/>
      </w:tblGrid>
      <w:tr w:rsidR="00752513" w:rsidRPr="00CC1ADD" w14:paraId="2BE41C5C" w14:textId="77777777" w:rsidTr="00752513">
        <w:trPr>
          <w:tblHeader/>
        </w:trPr>
        <w:tc>
          <w:tcPr>
            <w:tcW w:w="1555" w:type="dxa"/>
            <w:shd w:val="clear" w:color="auto" w:fill="516A8E"/>
          </w:tcPr>
          <w:p w14:paraId="4E89B52D" w14:textId="77777777" w:rsidR="00752513" w:rsidRPr="00CC1ADD" w:rsidRDefault="00752513" w:rsidP="005A3631">
            <w:pPr>
              <w:pStyle w:val="Tabletext"/>
              <w:spacing w:before="40" w:after="40" w:line="240" w:lineRule="auto"/>
              <w:rPr>
                <w:rFonts w:cstheme="minorHAnsi"/>
                <w:b/>
                <w:color w:val="FFFFFF" w:themeColor="background1"/>
                <w:szCs w:val="20"/>
              </w:rPr>
            </w:pPr>
            <w:bookmarkStart w:id="183" w:name="Type3"/>
            <w:bookmarkEnd w:id="183"/>
            <w:r w:rsidRPr="00CC1ADD">
              <w:rPr>
                <w:rFonts w:cstheme="minorHAnsi"/>
                <w:b/>
                <w:color w:val="FFFFFF" w:themeColor="background1"/>
                <w:szCs w:val="20"/>
              </w:rPr>
              <w:t>Type of Policy/Program</w:t>
            </w:r>
          </w:p>
        </w:tc>
        <w:tc>
          <w:tcPr>
            <w:tcW w:w="1294" w:type="dxa"/>
            <w:shd w:val="clear" w:color="auto" w:fill="516A8E"/>
          </w:tcPr>
          <w:p w14:paraId="13F85452"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368" w:type="dxa"/>
            <w:shd w:val="clear" w:color="auto" w:fill="516A8E"/>
          </w:tcPr>
          <w:p w14:paraId="38C78084"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519" w:type="dxa"/>
            <w:shd w:val="clear" w:color="auto" w:fill="516A8E"/>
          </w:tcPr>
          <w:p w14:paraId="589A20AB"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5A8961AA" w14:textId="77777777" w:rsidTr="00752513">
        <w:tc>
          <w:tcPr>
            <w:tcW w:w="1555" w:type="dxa"/>
          </w:tcPr>
          <w:p w14:paraId="6920BFE6" w14:textId="77777777" w:rsidR="00752513" w:rsidRPr="00CC1ADD" w:rsidRDefault="00752513" w:rsidP="005A3631">
            <w:pPr>
              <w:spacing w:before="40" w:after="40"/>
              <w:rPr>
                <w:rFonts w:cstheme="minorHAnsi"/>
                <w:sz w:val="20"/>
                <w:szCs w:val="20"/>
              </w:rPr>
            </w:pPr>
            <w:r w:rsidRPr="00CC1ADD">
              <w:rPr>
                <w:rFonts w:cstheme="minorHAnsi"/>
                <w:sz w:val="20"/>
                <w:szCs w:val="20"/>
              </w:rPr>
              <w:t>kJ information (menu labelling)</w:t>
            </w:r>
          </w:p>
          <w:p w14:paraId="286EC986" w14:textId="77777777" w:rsidR="00752513" w:rsidRPr="00CC1ADD" w:rsidRDefault="00752513">
            <w:pPr>
              <w:spacing w:before="40" w:after="40"/>
              <w:rPr>
                <w:rFonts w:cstheme="minorHAnsi"/>
                <w:sz w:val="20"/>
                <w:szCs w:val="20"/>
              </w:rPr>
            </w:pPr>
          </w:p>
        </w:tc>
        <w:tc>
          <w:tcPr>
            <w:tcW w:w="1294" w:type="dxa"/>
          </w:tcPr>
          <w:p w14:paraId="3D35F3E5" w14:textId="77777777" w:rsidR="00752513" w:rsidRPr="00CC1ADD" w:rsidRDefault="00752513">
            <w:pPr>
              <w:spacing w:before="40" w:after="40"/>
              <w:rPr>
                <w:rFonts w:cstheme="minorHAnsi"/>
                <w:sz w:val="20"/>
                <w:szCs w:val="20"/>
              </w:rPr>
            </w:pPr>
            <w:r w:rsidRPr="00CC1ADD">
              <w:rPr>
                <w:rFonts w:cstheme="minorHAnsi"/>
                <w:sz w:val="20"/>
                <w:szCs w:val="20"/>
              </w:rPr>
              <w:t>NSW, Victoria, Queensland, SA, ACT</w:t>
            </w:r>
          </w:p>
        </w:tc>
        <w:tc>
          <w:tcPr>
            <w:tcW w:w="5368" w:type="dxa"/>
          </w:tcPr>
          <w:p w14:paraId="59DA6657" w14:textId="3BB6D9FA" w:rsidR="00752513" w:rsidRPr="00CC1ADD" w:rsidRDefault="00752513">
            <w:pPr>
              <w:spacing w:before="40" w:after="40"/>
              <w:rPr>
                <w:rFonts w:cstheme="minorHAnsi"/>
                <w:sz w:val="20"/>
                <w:szCs w:val="20"/>
              </w:rPr>
            </w:pPr>
            <w:r w:rsidRPr="00CC1ADD">
              <w:rPr>
                <w:rFonts w:cstheme="minorHAnsi"/>
                <w:sz w:val="20"/>
                <w:szCs w:val="20"/>
              </w:rPr>
              <w:t>In 201</w:t>
            </w:r>
            <w:r w:rsidR="00CF3274">
              <w:rPr>
                <w:rFonts w:cstheme="minorHAnsi"/>
                <w:sz w:val="20"/>
                <w:szCs w:val="20"/>
              </w:rPr>
              <w:t>0</w:t>
            </w:r>
            <w:r w:rsidRPr="00CC1ADD">
              <w:rPr>
                <w:rFonts w:cstheme="minorHAnsi"/>
                <w:sz w:val="20"/>
                <w:szCs w:val="20"/>
              </w:rPr>
              <w:t xml:space="preserve">, NSW was the first state to legislate mandatory kilojoule (kJ) menu labelling to </w:t>
            </w:r>
            <w:r w:rsidR="00CF3274">
              <w:rPr>
                <w:rFonts w:cstheme="minorHAnsi"/>
                <w:sz w:val="20"/>
                <w:szCs w:val="20"/>
              </w:rPr>
              <w:t>support consumers to identify</w:t>
            </w:r>
            <w:r w:rsidR="00CF3274" w:rsidRPr="00CC1ADD">
              <w:rPr>
                <w:rFonts w:cstheme="minorHAnsi"/>
                <w:sz w:val="20"/>
                <w:szCs w:val="20"/>
              </w:rPr>
              <w:t xml:space="preserve"> </w:t>
            </w:r>
            <w:r w:rsidRPr="00CC1ADD">
              <w:rPr>
                <w:rFonts w:cstheme="minorHAnsi"/>
                <w:sz w:val="20"/>
                <w:szCs w:val="20"/>
              </w:rPr>
              <w:t>healthier food and drink choices at major fast food outlets.</w:t>
            </w:r>
          </w:p>
          <w:p w14:paraId="2A9502C1" w14:textId="77777777" w:rsidR="00752513" w:rsidRPr="00CC1ADD" w:rsidRDefault="00752513">
            <w:pPr>
              <w:spacing w:before="40" w:after="40"/>
              <w:rPr>
                <w:rFonts w:cstheme="minorHAnsi"/>
                <w:sz w:val="20"/>
                <w:szCs w:val="20"/>
              </w:rPr>
            </w:pPr>
            <w:r w:rsidRPr="00CC1ADD">
              <w:rPr>
                <w:rFonts w:cstheme="minorHAnsi"/>
                <w:sz w:val="20"/>
                <w:szCs w:val="20"/>
              </w:rPr>
              <w:t xml:space="preserve">Since then, Victoria, Queensland, South Australia and the Australian Capital Territory have also implemented a kJ Menu Labelling Scheme. </w:t>
            </w:r>
          </w:p>
          <w:p w14:paraId="31977636" w14:textId="77777777" w:rsidR="00752513" w:rsidRPr="00CC1ADD" w:rsidRDefault="00752513">
            <w:pPr>
              <w:spacing w:before="40" w:after="40"/>
              <w:rPr>
                <w:rFonts w:cstheme="minorHAnsi"/>
                <w:sz w:val="20"/>
                <w:szCs w:val="20"/>
              </w:rPr>
            </w:pPr>
            <w:r w:rsidRPr="00CC1ADD">
              <w:rPr>
                <w:rFonts w:cstheme="minorHAnsi"/>
                <w:sz w:val="20"/>
                <w:szCs w:val="20"/>
              </w:rPr>
              <w:t xml:space="preserve">Whilst the kJ Menu </w:t>
            </w:r>
            <w:r>
              <w:rPr>
                <w:rFonts w:cstheme="minorHAnsi"/>
                <w:sz w:val="20"/>
                <w:szCs w:val="20"/>
              </w:rPr>
              <w:t>l</w:t>
            </w:r>
            <w:r w:rsidRPr="00CC1ADD">
              <w:rPr>
                <w:rFonts w:cstheme="minorHAnsi"/>
                <w:sz w:val="20"/>
                <w:szCs w:val="20"/>
              </w:rPr>
              <w:t xml:space="preserve">abelling </w:t>
            </w:r>
            <w:r>
              <w:rPr>
                <w:rFonts w:cstheme="minorHAnsi"/>
                <w:sz w:val="20"/>
                <w:szCs w:val="20"/>
              </w:rPr>
              <w:t>s</w:t>
            </w:r>
            <w:r w:rsidRPr="00CC1ADD">
              <w:rPr>
                <w:rFonts w:cstheme="minorHAnsi"/>
                <w:sz w:val="20"/>
                <w:szCs w:val="20"/>
              </w:rPr>
              <w:t xml:space="preserve">cheme is not mandatory in Tasmania, the Northern Territory and Western Australia, some fast food companies have introduced a kJ menu board in restaurants. </w:t>
            </w:r>
          </w:p>
        </w:tc>
        <w:tc>
          <w:tcPr>
            <w:tcW w:w="1519" w:type="dxa"/>
          </w:tcPr>
          <w:p w14:paraId="1A9ED621" w14:textId="77777777" w:rsidR="00752513" w:rsidRPr="00CC1ADD" w:rsidRDefault="00752513">
            <w:pPr>
              <w:spacing w:before="40" w:after="40"/>
              <w:rPr>
                <w:rFonts w:cstheme="minorHAnsi"/>
                <w:sz w:val="20"/>
                <w:szCs w:val="20"/>
              </w:rPr>
            </w:pPr>
            <w:r w:rsidRPr="00CC1ADD">
              <w:rPr>
                <w:rFonts w:cstheme="minorHAnsi"/>
                <w:sz w:val="20"/>
                <w:szCs w:val="20"/>
              </w:rPr>
              <w:t>Consumers</w:t>
            </w:r>
          </w:p>
        </w:tc>
      </w:tr>
      <w:tr w:rsidR="00752513" w:rsidRPr="00CC1ADD" w14:paraId="7DC242C5" w14:textId="77777777" w:rsidTr="00752513">
        <w:tc>
          <w:tcPr>
            <w:tcW w:w="1555" w:type="dxa"/>
          </w:tcPr>
          <w:p w14:paraId="6374A101" w14:textId="77777777" w:rsidR="00752513" w:rsidRPr="00CC1ADD" w:rsidRDefault="00752513" w:rsidP="005A3631">
            <w:pPr>
              <w:spacing w:before="40" w:after="40"/>
              <w:rPr>
                <w:rFonts w:cstheme="minorHAnsi"/>
                <w:b/>
                <w:sz w:val="20"/>
                <w:szCs w:val="20"/>
              </w:rPr>
            </w:pPr>
            <w:r w:rsidRPr="00CC1ADD">
              <w:rPr>
                <w:rFonts w:cstheme="minorHAnsi"/>
                <w:sz w:val="20"/>
                <w:szCs w:val="20"/>
              </w:rPr>
              <w:t>Healthy food and drink policies in Government work places and public facilities</w:t>
            </w:r>
          </w:p>
        </w:tc>
        <w:tc>
          <w:tcPr>
            <w:tcW w:w="1294" w:type="dxa"/>
          </w:tcPr>
          <w:p w14:paraId="0C5192EF" w14:textId="77777777" w:rsidR="00752513" w:rsidRPr="00CC1ADD" w:rsidRDefault="00752513">
            <w:pPr>
              <w:spacing w:before="40" w:after="40"/>
              <w:rPr>
                <w:rFonts w:cstheme="minorHAnsi"/>
                <w:sz w:val="20"/>
                <w:szCs w:val="20"/>
              </w:rPr>
            </w:pPr>
            <w:r w:rsidRPr="00CC1ADD">
              <w:rPr>
                <w:rFonts w:cstheme="minorHAnsi"/>
                <w:sz w:val="20"/>
                <w:szCs w:val="20"/>
              </w:rPr>
              <w:t>Various Australian States and Territories, and New Zealand</w:t>
            </w:r>
          </w:p>
          <w:p w14:paraId="307EA00F" w14:textId="77777777" w:rsidR="00752513" w:rsidRPr="00CC1ADD" w:rsidRDefault="00752513">
            <w:pPr>
              <w:spacing w:before="40" w:after="40"/>
              <w:rPr>
                <w:rFonts w:cstheme="minorHAnsi"/>
                <w:b/>
                <w:sz w:val="20"/>
                <w:szCs w:val="20"/>
              </w:rPr>
            </w:pPr>
          </w:p>
        </w:tc>
        <w:tc>
          <w:tcPr>
            <w:tcW w:w="5368" w:type="dxa"/>
          </w:tcPr>
          <w:p w14:paraId="04CF3300" w14:textId="77777777" w:rsidR="00752513" w:rsidRPr="00CC1ADD" w:rsidRDefault="00752513">
            <w:pPr>
              <w:spacing w:before="40" w:after="40"/>
              <w:rPr>
                <w:rFonts w:cstheme="minorHAnsi"/>
                <w:sz w:val="20"/>
                <w:szCs w:val="20"/>
              </w:rPr>
            </w:pPr>
            <w:r w:rsidRPr="00CC1ADD">
              <w:rPr>
                <w:rFonts w:cstheme="minorHAnsi"/>
                <w:sz w:val="20"/>
                <w:szCs w:val="20"/>
              </w:rPr>
              <w:t xml:space="preserve">Mandatory and voluntary policies for food service facilities, including cafeterias, kiosks, and vending machines in government run facilities including public schools, public health sites such as hospitals, health centres, recreation centres, public events and sports facilities. Policies include limiting/restricting the availability of unhealthy foods and drinks (including those high in added/total sugar) and increasing the availability of healthy food. Implementation is varied according to local health districts and jurisdictions. </w:t>
            </w:r>
          </w:p>
          <w:p w14:paraId="1BE4286C" w14:textId="77777777" w:rsidR="00752513" w:rsidRPr="00CC1ADD" w:rsidRDefault="00752513">
            <w:pPr>
              <w:spacing w:before="40" w:after="40"/>
              <w:rPr>
                <w:rFonts w:cstheme="minorHAnsi"/>
                <w:sz w:val="20"/>
                <w:szCs w:val="20"/>
              </w:rPr>
            </w:pPr>
            <w:r w:rsidRPr="00CC1ADD">
              <w:rPr>
                <w:rFonts w:cstheme="minorHAnsi"/>
                <w:sz w:val="20"/>
                <w:szCs w:val="20"/>
              </w:rPr>
              <w:t>Some jurisdictions include additional guidelines for:</w:t>
            </w:r>
          </w:p>
          <w:p w14:paraId="1AEF6B2A" w14:textId="77777777" w:rsidR="00752513" w:rsidRPr="00CC1ADD" w:rsidRDefault="00752513">
            <w:pPr>
              <w:pStyle w:val="ListParagraph"/>
              <w:numPr>
                <w:ilvl w:val="0"/>
                <w:numId w:val="15"/>
              </w:numPr>
              <w:spacing w:before="40" w:after="40"/>
              <w:rPr>
                <w:rFonts w:cstheme="minorHAnsi"/>
                <w:sz w:val="20"/>
                <w:szCs w:val="20"/>
              </w:rPr>
            </w:pPr>
            <w:r w:rsidRPr="00CC1ADD">
              <w:rPr>
                <w:rFonts w:cstheme="minorHAnsi"/>
                <w:sz w:val="20"/>
                <w:szCs w:val="20"/>
              </w:rPr>
              <w:t xml:space="preserve">fundraising, advertising and sponsorship  </w:t>
            </w:r>
          </w:p>
          <w:p w14:paraId="6DEED903" w14:textId="77777777" w:rsidR="00752513" w:rsidRPr="00CC1ADD" w:rsidRDefault="00752513">
            <w:pPr>
              <w:pStyle w:val="ListParagraph"/>
              <w:numPr>
                <w:ilvl w:val="0"/>
                <w:numId w:val="15"/>
              </w:numPr>
              <w:spacing w:before="40" w:after="40"/>
              <w:rPr>
                <w:rFonts w:cstheme="minorHAnsi"/>
                <w:sz w:val="20"/>
                <w:szCs w:val="20"/>
              </w:rPr>
            </w:pPr>
            <w:r w:rsidRPr="00CC1ADD">
              <w:rPr>
                <w:rFonts w:cstheme="minorHAnsi"/>
                <w:sz w:val="20"/>
                <w:szCs w:val="20"/>
              </w:rPr>
              <w:t>workplace health education programs</w:t>
            </w:r>
          </w:p>
          <w:p w14:paraId="7F082F1D" w14:textId="77777777" w:rsidR="00752513" w:rsidRPr="00CC1ADD" w:rsidRDefault="00752513">
            <w:pPr>
              <w:pStyle w:val="ListParagraph"/>
              <w:numPr>
                <w:ilvl w:val="0"/>
                <w:numId w:val="15"/>
              </w:numPr>
              <w:spacing w:before="40" w:after="40"/>
              <w:rPr>
                <w:rFonts w:cstheme="minorHAnsi"/>
                <w:sz w:val="20"/>
                <w:szCs w:val="20"/>
              </w:rPr>
            </w:pPr>
            <w:r w:rsidRPr="00CC1ADD">
              <w:rPr>
                <w:rFonts w:cstheme="minorHAnsi"/>
                <w:sz w:val="20"/>
                <w:szCs w:val="20"/>
              </w:rPr>
              <w:t xml:space="preserve">retail food outlets (e.g. cafeterias, cafes, coffee shops - implemented by WA, Victoria and SA). </w:t>
            </w:r>
          </w:p>
        </w:tc>
        <w:tc>
          <w:tcPr>
            <w:tcW w:w="1519" w:type="dxa"/>
          </w:tcPr>
          <w:p w14:paraId="78046271" w14:textId="77777777" w:rsidR="00752513" w:rsidRPr="00CC1ADD" w:rsidRDefault="00752513">
            <w:pPr>
              <w:spacing w:before="40" w:after="40"/>
              <w:rPr>
                <w:rFonts w:cstheme="minorHAnsi"/>
                <w:sz w:val="20"/>
                <w:szCs w:val="20"/>
              </w:rPr>
            </w:pPr>
            <w:r w:rsidRPr="00CC1ADD">
              <w:rPr>
                <w:rFonts w:cstheme="minorHAnsi"/>
                <w:sz w:val="20"/>
                <w:szCs w:val="20"/>
              </w:rPr>
              <w:t xml:space="preserve">Staff working at these facilities and visitors </w:t>
            </w:r>
          </w:p>
          <w:p w14:paraId="5B419371" w14:textId="77777777" w:rsidR="00752513" w:rsidRPr="00CC1ADD" w:rsidRDefault="00752513">
            <w:pPr>
              <w:spacing w:before="40" w:after="40"/>
              <w:rPr>
                <w:rFonts w:cstheme="minorHAnsi"/>
                <w:b/>
                <w:sz w:val="20"/>
                <w:szCs w:val="20"/>
              </w:rPr>
            </w:pPr>
          </w:p>
        </w:tc>
      </w:tr>
      <w:tr w:rsidR="00752513" w:rsidRPr="00CC1ADD" w14:paraId="02A7CFA8" w14:textId="77777777" w:rsidTr="00752513">
        <w:tc>
          <w:tcPr>
            <w:tcW w:w="1555" w:type="dxa"/>
          </w:tcPr>
          <w:p w14:paraId="20886EE9"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Healthy eating guidelines for government schools </w:t>
            </w:r>
          </w:p>
          <w:p w14:paraId="2D13B77D" w14:textId="77777777" w:rsidR="00752513" w:rsidRPr="00CC1ADD" w:rsidRDefault="00752513">
            <w:pPr>
              <w:spacing w:before="40" w:after="40"/>
              <w:rPr>
                <w:rFonts w:cstheme="minorHAnsi"/>
                <w:sz w:val="20"/>
                <w:szCs w:val="20"/>
              </w:rPr>
            </w:pPr>
          </w:p>
        </w:tc>
        <w:tc>
          <w:tcPr>
            <w:tcW w:w="1294" w:type="dxa"/>
          </w:tcPr>
          <w:p w14:paraId="6872FDE4" w14:textId="77777777" w:rsidR="00752513" w:rsidRPr="00CC1ADD" w:rsidRDefault="00752513">
            <w:pPr>
              <w:spacing w:before="40" w:after="40"/>
              <w:rPr>
                <w:rFonts w:cstheme="minorHAnsi"/>
                <w:sz w:val="20"/>
                <w:szCs w:val="20"/>
              </w:rPr>
            </w:pPr>
            <w:r w:rsidRPr="00CC1ADD">
              <w:rPr>
                <w:rFonts w:cstheme="minorHAnsi"/>
                <w:sz w:val="20"/>
                <w:szCs w:val="20"/>
              </w:rPr>
              <w:t xml:space="preserve">Australian Government, various States and Territories </w:t>
            </w:r>
          </w:p>
          <w:p w14:paraId="1E82F89C" w14:textId="77777777" w:rsidR="00752513" w:rsidRPr="00CC1ADD" w:rsidRDefault="00752513">
            <w:pPr>
              <w:spacing w:before="40" w:after="40"/>
              <w:rPr>
                <w:rFonts w:cstheme="minorHAnsi"/>
                <w:b/>
                <w:sz w:val="20"/>
                <w:szCs w:val="20"/>
              </w:rPr>
            </w:pPr>
          </w:p>
        </w:tc>
        <w:tc>
          <w:tcPr>
            <w:tcW w:w="5368" w:type="dxa"/>
          </w:tcPr>
          <w:p w14:paraId="218837EA" w14:textId="77777777" w:rsidR="00752513" w:rsidRPr="00CC1ADD" w:rsidRDefault="00752513">
            <w:pPr>
              <w:spacing w:before="40" w:after="40"/>
              <w:rPr>
                <w:rFonts w:cstheme="minorHAnsi"/>
                <w:sz w:val="20"/>
                <w:szCs w:val="20"/>
              </w:rPr>
            </w:pPr>
            <w:r w:rsidRPr="00CC1ADD">
              <w:rPr>
                <w:rFonts w:cstheme="minorHAnsi"/>
                <w:sz w:val="20"/>
                <w:szCs w:val="20"/>
              </w:rPr>
              <w:t xml:space="preserve">The National Healthy School Canteen guidelines and resources provide national guidance and training to help canteen managers to make healthier food and drink choices for school canteens. Implementation of the NHSC guidelines is at the discretion of each state or territory government. Some states and territories have implemented the NHSC guidelines in full, others incorporated components of the guidelines within their own system. Under the Guidelines, foods and drinks high in sugar are banned from sale in school canteens, vending machines and preschools. </w:t>
            </w:r>
          </w:p>
          <w:p w14:paraId="01D5CB2D" w14:textId="13E7569A" w:rsidR="00752513" w:rsidRPr="00CC1ADD" w:rsidRDefault="00752513">
            <w:pPr>
              <w:spacing w:before="40" w:after="40"/>
              <w:rPr>
                <w:rFonts w:cstheme="minorHAnsi"/>
                <w:sz w:val="20"/>
                <w:szCs w:val="20"/>
              </w:rPr>
            </w:pPr>
            <w:r w:rsidRPr="00CC1ADD">
              <w:rPr>
                <w:rFonts w:cstheme="minorHAnsi"/>
                <w:sz w:val="20"/>
                <w:szCs w:val="20"/>
              </w:rPr>
              <w:t xml:space="preserve">NSW has recently </w:t>
            </w:r>
            <w:r w:rsidR="00CF3274">
              <w:rPr>
                <w:rFonts w:cstheme="minorHAnsi"/>
                <w:sz w:val="20"/>
                <w:szCs w:val="20"/>
              </w:rPr>
              <w:t>relaunched the NSW Healthy School Canteen Strategy, which classifies</w:t>
            </w:r>
            <w:r w:rsidRPr="00CC1ADD">
              <w:rPr>
                <w:rFonts w:cstheme="minorHAnsi"/>
                <w:sz w:val="20"/>
                <w:szCs w:val="20"/>
              </w:rPr>
              <w:t xml:space="preserve"> foods according to the Australian Dietary Guidelines concepts of </w:t>
            </w:r>
            <w:r w:rsidR="00CF3274">
              <w:rPr>
                <w:rFonts w:cstheme="minorHAnsi"/>
                <w:sz w:val="20"/>
                <w:szCs w:val="20"/>
              </w:rPr>
              <w:t>FFG</w:t>
            </w:r>
            <w:r w:rsidR="00CF3274" w:rsidRPr="00CC1ADD">
              <w:rPr>
                <w:rFonts w:cstheme="minorHAnsi"/>
                <w:sz w:val="20"/>
                <w:szCs w:val="20"/>
              </w:rPr>
              <w:t xml:space="preserve"> </w:t>
            </w:r>
            <w:r w:rsidRPr="00CC1ADD">
              <w:rPr>
                <w:rFonts w:cstheme="minorHAnsi"/>
                <w:sz w:val="20"/>
                <w:szCs w:val="20"/>
              </w:rPr>
              <w:t>(</w:t>
            </w:r>
            <w:r w:rsidR="00CF3274">
              <w:rPr>
                <w:rFonts w:cstheme="minorHAnsi"/>
                <w:sz w:val="20"/>
                <w:szCs w:val="20"/>
              </w:rPr>
              <w:t>E</w:t>
            </w:r>
            <w:r w:rsidRPr="00CC1ADD">
              <w:rPr>
                <w:rFonts w:cstheme="minorHAnsi"/>
                <w:sz w:val="20"/>
                <w:szCs w:val="20"/>
              </w:rPr>
              <w:t>veryday) and discretionary (</w:t>
            </w:r>
            <w:r w:rsidR="00CF3274">
              <w:rPr>
                <w:rFonts w:cstheme="minorHAnsi"/>
                <w:sz w:val="20"/>
                <w:szCs w:val="20"/>
              </w:rPr>
              <w:t>O</w:t>
            </w:r>
            <w:r w:rsidRPr="00CC1ADD">
              <w:rPr>
                <w:rFonts w:cstheme="minorHAnsi"/>
                <w:sz w:val="20"/>
                <w:szCs w:val="20"/>
              </w:rPr>
              <w:t xml:space="preserve">ccasional), supported by the use of </w:t>
            </w:r>
            <w:r w:rsidR="008A3672">
              <w:rPr>
                <w:rFonts w:cstheme="minorHAnsi"/>
                <w:sz w:val="20"/>
                <w:szCs w:val="20"/>
              </w:rPr>
              <w:t xml:space="preserve">portion size and </w:t>
            </w:r>
            <w:r w:rsidRPr="00CC1ADD">
              <w:rPr>
                <w:rFonts w:cstheme="minorHAnsi"/>
                <w:sz w:val="20"/>
                <w:szCs w:val="20"/>
              </w:rPr>
              <w:t>the HSR to select healthier versions of some foods</w:t>
            </w:r>
            <w:r w:rsidR="008A3672">
              <w:rPr>
                <w:rFonts w:cstheme="minorHAnsi"/>
                <w:sz w:val="20"/>
                <w:szCs w:val="20"/>
              </w:rPr>
              <w:t xml:space="preserve"> and drinks.</w:t>
            </w:r>
          </w:p>
        </w:tc>
        <w:tc>
          <w:tcPr>
            <w:tcW w:w="1519" w:type="dxa"/>
          </w:tcPr>
          <w:p w14:paraId="01E0358C" w14:textId="77777777" w:rsidR="00752513" w:rsidRPr="00CC1ADD" w:rsidRDefault="00752513">
            <w:pPr>
              <w:spacing w:before="40" w:after="40"/>
              <w:rPr>
                <w:rFonts w:cstheme="minorHAnsi"/>
                <w:sz w:val="20"/>
                <w:szCs w:val="20"/>
              </w:rPr>
            </w:pPr>
            <w:r w:rsidRPr="00CC1ADD">
              <w:rPr>
                <w:rFonts w:cstheme="minorHAnsi"/>
                <w:sz w:val="20"/>
                <w:szCs w:val="20"/>
              </w:rPr>
              <w:t>School children</w:t>
            </w:r>
          </w:p>
          <w:p w14:paraId="1172F82F" w14:textId="77777777" w:rsidR="00752513" w:rsidRPr="00CC1ADD" w:rsidRDefault="00752513">
            <w:pPr>
              <w:spacing w:before="40" w:after="40"/>
              <w:rPr>
                <w:rFonts w:cstheme="minorHAnsi"/>
                <w:sz w:val="20"/>
                <w:szCs w:val="20"/>
              </w:rPr>
            </w:pPr>
          </w:p>
        </w:tc>
      </w:tr>
      <w:tr w:rsidR="00752513" w:rsidRPr="00CC1ADD" w14:paraId="6D2C1CCB" w14:textId="77777777" w:rsidTr="00752513">
        <w:trPr>
          <w:trHeight w:val="1735"/>
        </w:trPr>
        <w:tc>
          <w:tcPr>
            <w:tcW w:w="1555" w:type="dxa"/>
          </w:tcPr>
          <w:p w14:paraId="7AD60ECD"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Healthy Food Provision in early childhood settings </w:t>
            </w:r>
          </w:p>
        </w:tc>
        <w:tc>
          <w:tcPr>
            <w:tcW w:w="1294" w:type="dxa"/>
          </w:tcPr>
          <w:p w14:paraId="0102D405" w14:textId="77777777" w:rsidR="00752513" w:rsidRPr="00CC1ADD" w:rsidRDefault="00752513">
            <w:pPr>
              <w:spacing w:before="40" w:after="40"/>
              <w:rPr>
                <w:rFonts w:cstheme="minorHAnsi"/>
                <w:sz w:val="20"/>
                <w:szCs w:val="20"/>
              </w:rPr>
            </w:pPr>
            <w:r w:rsidRPr="00CC1ADD">
              <w:rPr>
                <w:rFonts w:cstheme="minorHAnsi"/>
                <w:sz w:val="20"/>
                <w:szCs w:val="20"/>
              </w:rPr>
              <w:t>Australian Government, States and Territories</w:t>
            </w:r>
          </w:p>
        </w:tc>
        <w:tc>
          <w:tcPr>
            <w:tcW w:w="5368" w:type="dxa"/>
          </w:tcPr>
          <w:p w14:paraId="648C7A70" w14:textId="77777777" w:rsidR="00752513" w:rsidRPr="00CC1ADD" w:rsidRDefault="00752513">
            <w:pPr>
              <w:spacing w:before="40" w:after="40"/>
              <w:rPr>
                <w:rFonts w:cstheme="minorHAnsi"/>
                <w:sz w:val="20"/>
                <w:szCs w:val="20"/>
              </w:rPr>
            </w:pPr>
            <w:r w:rsidRPr="00CC1ADD">
              <w:rPr>
                <w:rFonts w:cstheme="minorHAnsi"/>
                <w:sz w:val="20"/>
                <w:szCs w:val="20"/>
              </w:rPr>
              <w:t>A National Quality Standard requires all services to actively promote healthy eating and provide adequate, nutritious food specific for early childhood (0-5 years), based on recommendations in the Australian Dietary Guidelines.</w:t>
            </w:r>
          </w:p>
          <w:p w14:paraId="7C42047C" w14:textId="5E1D65E8" w:rsidR="00752513" w:rsidRPr="00CC1ADD" w:rsidRDefault="00752513">
            <w:pPr>
              <w:spacing w:before="40" w:after="40"/>
              <w:rPr>
                <w:rFonts w:cstheme="minorHAnsi"/>
                <w:sz w:val="20"/>
                <w:szCs w:val="20"/>
              </w:rPr>
            </w:pPr>
            <w:r w:rsidRPr="00CC1ADD">
              <w:rPr>
                <w:rFonts w:cstheme="minorHAnsi"/>
                <w:sz w:val="20"/>
                <w:szCs w:val="20"/>
              </w:rPr>
              <w:t>Get up and Grow: Healthy Eating and Physical Activity for Early Childhood resources are also available from the Australian Department of Health website.</w:t>
            </w:r>
          </w:p>
        </w:tc>
        <w:tc>
          <w:tcPr>
            <w:tcW w:w="1519" w:type="dxa"/>
          </w:tcPr>
          <w:p w14:paraId="0BB300A3" w14:textId="77777777" w:rsidR="00752513" w:rsidRPr="00CC1ADD" w:rsidRDefault="00752513">
            <w:pPr>
              <w:spacing w:before="40" w:after="40"/>
              <w:rPr>
                <w:rFonts w:cstheme="minorHAnsi"/>
                <w:sz w:val="20"/>
                <w:szCs w:val="20"/>
              </w:rPr>
            </w:pPr>
            <w:r w:rsidRPr="00CC1ADD">
              <w:rPr>
                <w:rFonts w:cstheme="minorHAnsi"/>
                <w:sz w:val="20"/>
                <w:szCs w:val="20"/>
              </w:rPr>
              <w:t>All children in organised care aged 0-5 years</w:t>
            </w:r>
          </w:p>
        </w:tc>
      </w:tr>
      <w:tr w:rsidR="00752513" w:rsidRPr="00CC1ADD" w14:paraId="52593E23" w14:textId="77777777" w:rsidTr="00752513">
        <w:tc>
          <w:tcPr>
            <w:tcW w:w="1555" w:type="dxa"/>
          </w:tcPr>
          <w:p w14:paraId="50597EB2"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Fuelled4 Life </w:t>
            </w:r>
          </w:p>
        </w:tc>
        <w:tc>
          <w:tcPr>
            <w:tcW w:w="1294" w:type="dxa"/>
          </w:tcPr>
          <w:p w14:paraId="145E62AF" w14:textId="77777777" w:rsidR="00752513" w:rsidRPr="00CC1ADD" w:rsidRDefault="00752513">
            <w:pPr>
              <w:spacing w:before="40" w:after="40"/>
              <w:rPr>
                <w:rFonts w:cstheme="minorHAnsi"/>
                <w:sz w:val="20"/>
                <w:szCs w:val="20"/>
              </w:rPr>
            </w:pPr>
            <w:r w:rsidRPr="00CC1ADD">
              <w:rPr>
                <w:rFonts w:cstheme="minorHAnsi"/>
                <w:sz w:val="20"/>
                <w:szCs w:val="20"/>
              </w:rPr>
              <w:t xml:space="preserve">New Zealand </w:t>
            </w:r>
          </w:p>
        </w:tc>
        <w:tc>
          <w:tcPr>
            <w:tcW w:w="5368" w:type="dxa"/>
          </w:tcPr>
          <w:p w14:paraId="03FC9C42" w14:textId="77777777" w:rsidR="00752513" w:rsidRPr="00CC1ADD" w:rsidRDefault="00752513">
            <w:pPr>
              <w:spacing w:before="40" w:after="40"/>
              <w:rPr>
                <w:rFonts w:cstheme="minorHAnsi"/>
                <w:sz w:val="20"/>
                <w:szCs w:val="20"/>
              </w:rPr>
            </w:pPr>
            <w:r w:rsidRPr="00CC1ADD">
              <w:rPr>
                <w:rFonts w:cstheme="minorHAnsi"/>
                <w:sz w:val="20"/>
                <w:szCs w:val="20"/>
              </w:rPr>
              <w:t xml:space="preserve">Managed by the Heart Foundation is a Food and Beverage Classification System (using ‘everyday’ or ‘sometimes’ categorisation) designed specifically for foods and beverages children commonly consume in an education setting. </w:t>
            </w:r>
          </w:p>
        </w:tc>
        <w:tc>
          <w:tcPr>
            <w:tcW w:w="1519" w:type="dxa"/>
          </w:tcPr>
          <w:p w14:paraId="0D034ACC" w14:textId="77777777" w:rsidR="00752513" w:rsidRPr="00CC1ADD" w:rsidRDefault="00752513">
            <w:pPr>
              <w:spacing w:before="40" w:after="40"/>
              <w:rPr>
                <w:rFonts w:cstheme="minorHAnsi"/>
                <w:sz w:val="20"/>
                <w:szCs w:val="20"/>
              </w:rPr>
            </w:pPr>
            <w:r w:rsidRPr="00CC1ADD">
              <w:rPr>
                <w:rFonts w:cstheme="minorHAnsi"/>
                <w:sz w:val="20"/>
                <w:szCs w:val="20"/>
              </w:rPr>
              <w:t xml:space="preserve">School and preschool aged children </w:t>
            </w:r>
          </w:p>
        </w:tc>
      </w:tr>
      <w:tr w:rsidR="00752513" w:rsidRPr="00CC1ADD" w14:paraId="654C1E46" w14:textId="77777777" w:rsidTr="00752513">
        <w:tc>
          <w:tcPr>
            <w:tcW w:w="1555" w:type="dxa"/>
          </w:tcPr>
          <w:p w14:paraId="44B1B03D" w14:textId="77777777" w:rsidR="00752513" w:rsidRPr="00CC1ADD" w:rsidRDefault="00752513" w:rsidP="005A3631">
            <w:pPr>
              <w:spacing w:before="40" w:after="40"/>
              <w:rPr>
                <w:rFonts w:cstheme="minorHAnsi"/>
                <w:sz w:val="20"/>
                <w:szCs w:val="20"/>
              </w:rPr>
            </w:pPr>
            <w:r w:rsidRPr="00CC1ADD">
              <w:rPr>
                <w:rFonts w:cstheme="minorHAnsi"/>
                <w:sz w:val="20"/>
                <w:szCs w:val="20"/>
              </w:rPr>
              <w:t>Healthy Lifestyles – Drink Water promotion</w:t>
            </w:r>
          </w:p>
        </w:tc>
        <w:tc>
          <w:tcPr>
            <w:tcW w:w="1294" w:type="dxa"/>
          </w:tcPr>
          <w:p w14:paraId="6FC2E0BC" w14:textId="77777777" w:rsidR="00752513" w:rsidRPr="00CC1ADD" w:rsidRDefault="00752513">
            <w:pPr>
              <w:spacing w:before="40" w:after="40"/>
              <w:rPr>
                <w:rFonts w:cstheme="minorHAnsi"/>
                <w:sz w:val="20"/>
                <w:szCs w:val="20"/>
              </w:rPr>
            </w:pPr>
            <w:r w:rsidRPr="00CC1ADD">
              <w:rPr>
                <w:rFonts w:cstheme="minorHAnsi"/>
                <w:sz w:val="20"/>
                <w:szCs w:val="20"/>
              </w:rPr>
              <w:t>New Zealand</w:t>
            </w:r>
          </w:p>
          <w:p w14:paraId="22347E91" w14:textId="77777777" w:rsidR="00752513" w:rsidRPr="00CC1ADD" w:rsidRDefault="00752513">
            <w:pPr>
              <w:spacing w:before="40" w:after="40"/>
              <w:rPr>
                <w:rFonts w:cstheme="minorHAnsi"/>
                <w:sz w:val="20"/>
                <w:szCs w:val="20"/>
              </w:rPr>
            </w:pPr>
          </w:p>
        </w:tc>
        <w:tc>
          <w:tcPr>
            <w:tcW w:w="5368" w:type="dxa"/>
          </w:tcPr>
          <w:p w14:paraId="52E8344D" w14:textId="77777777" w:rsidR="00752513" w:rsidRPr="00CC1ADD" w:rsidRDefault="00752513">
            <w:pPr>
              <w:spacing w:before="40" w:after="40"/>
              <w:rPr>
                <w:rFonts w:cstheme="minorHAnsi"/>
                <w:sz w:val="20"/>
                <w:szCs w:val="20"/>
              </w:rPr>
            </w:pPr>
            <w:r w:rsidRPr="00CC1ADD">
              <w:rPr>
                <w:rFonts w:cstheme="minorHAnsi"/>
                <w:sz w:val="20"/>
                <w:szCs w:val="20"/>
              </w:rPr>
              <w:t>Encouraging all schools in New Zealand to provide water and plain milk only. Includes infographic posters and guidance on how to implement plain water drink policy in schools.</w:t>
            </w:r>
          </w:p>
        </w:tc>
        <w:tc>
          <w:tcPr>
            <w:tcW w:w="1519" w:type="dxa"/>
          </w:tcPr>
          <w:p w14:paraId="312B4D95" w14:textId="77777777" w:rsidR="00752513" w:rsidRPr="00CC1ADD" w:rsidRDefault="00752513">
            <w:pPr>
              <w:spacing w:before="40" w:after="40"/>
              <w:rPr>
                <w:rFonts w:cstheme="minorHAnsi"/>
                <w:sz w:val="20"/>
                <w:szCs w:val="20"/>
              </w:rPr>
            </w:pPr>
            <w:r w:rsidRPr="00CC1ADD">
              <w:rPr>
                <w:rFonts w:cstheme="minorHAnsi"/>
                <w:sz w:val="20"/>
                <w:szCs w:val="20"/>
              </w:rPr>
              <w:t>School children</w:t>
            </w:r>
          </w:p>
        </w:tc>
      </w:tr>
      <w:tr w:rsidR="00752513" w:rsidRPr="00CC1ADD" w14:paraId="3A7FF49F" w14:textId="77777777" w:rsidTr="00752513">
        <w:tc>
          <w:tcPr>
            <w:tcW w:w="1555" w:type="dxa"/>
          </w:tcPr>
          <w:p w14:paraId="343258C5" w14:textId="77777777" w:rsidR="00752513" w:rsidRPr="00CC1ADD" w:rsidRDefault="00752513" w:rsidP="005A3631">
            <w:pPr>
              <w:spacing w:before="40" w:after="40"/>
              <w:rPr>
                <w:rFonts w:cstheme="minorHAnsi"/>
                <w:sz w:val="20"/>
                <w:szCs w:val="20"/>
              </w:rPr>
            </w:pPr>
            <w:r w:rsidRPr="00CC1ADD">
              <w:rPr>
                <w:rFonts w:cstheme="minorHAnsi"/>
                <w:sz w:val="20"/>
                <w:szCs w:val="20"/>
              </w:rPr>
              <w:t>The Victorian Healthy Eating Enterprise (VHEE)</w:t>
            </w:r>
          </w:p>
        </w:tc>
        <w:tc>
          <w:tcPr>
            <w:tcW w:w="1294" w:type="dxa"/>
          </w:tcPr>
          <w:p w14:paraId="0A844247" w14:textId="77777777" w:rsidR="00752513" w:rsidRPr="00CC1ADD" w:rsidRDefault="00752513">
            <w:pPr>
              <w:spacing w:before="40" w:after="40"/>
              <w:rPr>
                <w:rFonts w:cstheme="minorHAnsi"/>
                <w:sz w:val="20"/>
                <w:szCs w:val="20"/>
              </w:rPr>
            </w:pPr>
            <w:r w:rsidRPr="00CC1ADD">
              <w:rPr>
                <w:rFonts w:cstheme="minorHAnsi"/>
                <w:sz w:val="20"/>
                <w:szCs w:val="20"/>
              </w:rPr>
              <w:t>Victoria</w:t>
            </w:r>
          </w:p>
        </w:tc>
        <w:tc>
          <w:tcPr>
            <w:tcW w:w="5368" w:type="dxa"/>
          </w:tcPr>
          <w:p w14:paraId="0EEF66ED" w14:textId="77777777" w:rsidR="00752513" w:rsidRPr="00CC1ADD" w:rsidRDefault="00752513">
            <w:pPr>
              <w:spacing w:before="40" w:after="40"/>
              <w:rPr>
                <w:rFonts w:cstheme="minorHAnsi"/>
                <w:sz w:val="20"/>
                <w:szCs w:val="20"/>
              </w:rPr>
            </w:pPr>
            <w:r w:rsidRPr="00CC1ADD">
              <w:rPr>
                <w:rFonts w:cstheme="minorHAnsi"/>
                <w:sz w:val="20"/>
                <w:szCs w:val="20"/>
              </w:rPr>
              <w:t>A coordinated platform to support healthy eating targeting state-wide and local organisations and workforce (beyond the health sector) promoting access to nutritious food in Victoria.</w:t>
            </w:r>
          </w:p>
          <w:p w14:paraId="114C505E" w14:textId="77777777" w:rsidR="00752513" w:rsidRPr="00CC1ADD" w:rsidRDefault="00752513">
            <w:pPr>
              <w:spacing w:before="40" w:after="40"/>
              <w:rPr>
                <w:rFonts w:cstheme="minorHAnsi"/>
                <w:sz w:val="20"/>
                <w:szCs w:val="20"/>
              </w:rPr>
            </w:pPr>
            <w:r w:rsidRPr="00CC1ADD">
              <w:rPr>
                <w:rFonts w:cstheme="minorHAnsi"/>
                <w:sz w:val="20"/>
                <w:szCs w:val="20"/>
              </w:rPr>
              <w:t>Priority areas:</w:t>
            </w:r>
          </w:p>
          <w:p w14:paraId="37B3D774" w14:textId="77777777" w:rsidR="00752513" w:rsidRPr="00CC1ADD" w:rsidRDefault="00752513">
            <w:pPr>
              <w:numPr>
                <w:ilvl w:val="0"/>
                <w:numId w:val="16"/>
              </w:numPr>
              <w:spacing w:before="40" w:after="40"/>
              <w:contextualSpacing/>
              <w:rPr>
                <w:rFonts w:eastAsia="Calibri" w:cstheme="minorHAnsi"/>
                <w:sz w:val="20"/>
                <w:szCs w:val="20"/>
              </w:rPr>
            </w:pPr>
            <w:r w:rsidRPr="00CC1ADD">
              <w:rPr>
                <w:rFonts w:eastAsia="Calibri" w:cstheme="minorHAnsi"/>
                <w:sz w:val="20"/>
                <w:szCs w:val="20"/>
              </w:rPr>
              <w:t>increasing fruit and vegetables</w:t>
            </w:r>
          </w:p>
          <w:p w14:paraId="095D448D" w14:textId="77777777" w:rsidR="00752513" w:rsidRPr="00CC1ADD" w:rsidRDefault="00752513">
            <w:pPr>
              <w:numPr>
                <w:ilvl w:val="0"/>
                <w:numId w:val="16"/>
              </w:numPr>
              <w:spacing w:before="40" w:after="40"/>
              <w:contextualSpacing/>
              <w:rPr>
                <w:rFonts w:eastAsia="Calibri" w:cstheme="minorHAnsi"/>
                <w:sz w:val="20"/>
                <w:szCs w:val="20"/>
              </w:rPr>
            </w:pPr>
            <w:r w:rsidRPr="00CC1ADD">
              <w:rPr>
                <w:rFonts w:eastAsia="Calibri" w:cstheme="minorHAnsi"/>
                <w:sz w:val="20"/>
                <w:szCs w:val="20"/>
              </w:rPr>
              <w:t>reducing sugar-sweetened beverages</w:t>
            </w:r>
          </w:p>
          <w:p w14:paraId="5A1B8CAB" w14:textId="77777777" w:rsidR="00752513" w:rsidRPr="00CC1ADD" w:rsidRDefault="00752513">
            <w:pPr>
              <w:numPr>
                <w:ilvl w:val="0"/>
                <w:numId w:val="16"/>
              </w:numPr>
              <w:spacing w:before="40" w:after="40"/>
              <w:contextualSpacing/>
              <w:rPr>
                <w:rFonts w:cstheme="minorHAnsi"/>
                <w:sz w:val="20"/>
                <w:szCs w:val="20"/>
              </w:rPr>
            </w:pPr>
            <w:r w:rsidRPr="00CC1ADD">
              <w:rPr>
                <w:rFonts w:cstheme="minorHAnsi"/>
                <w:sz w:val="20"/>
                <w:szCs w:val="20"/>
              </w:rPr>
              <w:t>increase access to nutritious food.</w:t>
            </w:r>
          </w:p>
        </w:tc>
        <w:tc>
          <w:tcPr>
            <w:tcW w:w="1519" w:type="dxa"/>
          </w:tcPr>
          <w:p w14:paraId="6DF065D8" w14:textId="2CF2050C" w:rsidR="00752513" w:rsidRPr="00CC1ADD" w:rsidRDefault="00752513">
            <w:pPr>
              <w:spacing w:before="40" w:after="40"/>
              <w:rPr>
                <w:rFonts w:cstheme="minorHAnsi"/>
                <w:sz w:val="20"/>
                <w:szCs w:val="20"/>
              </w:rPr>
            </w:pPr>
            <w:r w:rsidRPr="00CC1ADD">
              <w:rPr>
                <w:rFonts w:cstheme="minorHAnsi"/>
                <w:sz w:val="20"/>
                <w:szCs w:val="20"/>
              </w:rPr>
              <w:t>NGOs, local government, community and health services, health professionals and food relief organisations</w:t>
            </w:r>
          </w:p>
        </w:tc>
      </w:tr>
      <w:tr w:rsidR="00752513" w:rsidRPr="00CC1ADD" w14:paraId="59621CC0" w14:textId="77777777" w:rsidTr="00752513">
        <w:tc>
          <w:tcPr>
            <w:tcW w:w="1555" w:type="dxa"/>
          </w:tcPr>
          <w:p w14:paraId="59D859FE" w14:textId="77777777" w:rsidR="00752513" w:rsidRPr="00CC1ADD" w:rsidRDefault="00752513" w:rsidP="005A3631">
            <w:pPr>
              <w:spacing w:before="40" w:after="40"/>
              <w:rPr>
                <w:rFonts w:cstheme="minorHAnsi"/>
                <w:sz w:val="20"/>
                <w:szCs w:val="20"/>
              </w:rPr>
            </w:pPr>
            <w:r w:rsidRPr="00CC1ADD">
              <w:rPr>
                <w:rFonts w:cstheme="minorHAnsi"/>
                <w:sz w:val="20"/>
                <w:szCs w:val="20"/>
              </w:rPr>
              <w:t>Healthy Eating Advisory Service</w:t>
            </w:r>
          </w:p>
        </w:tc>
        <w:tc>
          <w:tcPr>
            <w:tcW w:w="1294" w:type="dxa"/>
          </w:tcPr>
          <w:p w14:paraId="5C014422" w14:textId="77777777" w:rsidR="00752513" w:rsidRPr="00CC1ADD" w:rsidRDefault="00752513">
            <w:pPr>
              <w:spacing w:before="40" w:after="40"/>
              <w:rPr>
                <w:rFonts w:cstheme="minorHAnsi"/>
                <w:sz w:val="20"/>
                <w:szCs w:val="20"/>
              </w:rPr>
            </w:pPr>
            <w:r w:rsidRPr="00CC1ADD">
              <w:rPr>
                <w:rFonts w:cstheme="minorHAnsi"/>
                <w:sz w:val="20"/>
                <w:szCs w:val="20"/>
              </w:rPr>
              <w:t>Victoria</w:t>
            </w:r>
          </w:p>
        </w:tc>
        <w:tc>
          <w:tcPr>
            <w:tcW w:w="5368" w:type="dxa"/>
          </w:tcPr>
          <w:p w14:paraId="379FA48B" w14:textId="77777777" w:rsidR="00752513" w:rsidRPr="00CC1ADD" w:rsidRDefault="00752513">
            <w:pPr>
              <w:spacing w:before="40" w:after="40"/>
              <w:rPr>
                <w:rFonts w:cstheme="minorHAnsi"/>
                <w:sz w:val="20"/>
                <w:szCs w:val="20"/>
              </w:rPr>
            </w:pPr>
            <w:r w:rsidRPr="00CC1ADD">
              <w:rPr>
                <w:rFonts w:cstheme="minorHAnsi"/>
                <w:sz w:val="20"/>
                <w:szCs w:val="20"/>
              </w:rPr>
              <w:t xml:space="preserve">A state service providing practical support to key settings and organisations to meet Government nutrition policies and guidelines. </w:t>
            </w:r>
          </w:p>
        </w:tc>
        <w:tc>
          <w:tcPr>
            <w:tcW w:w="1519" w:type="dxa"/>
          </w:tcPr>
          <w:p w14:paraId="02783A52" w14:textId="77777777" w:rsidR="00752513" w:rsidRPr="00CC1ADD" w:rsidRDefault="00752513">
            <w:pPr>
              <w:spacing w:before="40" w:after="40"/>
              <w:rPr>
                <w:rFonts w:cstheme="minorHAnsi"/>
                <w:sz w:val="20"/>
                <w:szCs w:val="20"/>
              </w:rPr>
            </w:pPr>
            <w:r w:rsidRPr="00CC1ADD">
              <w:rPr>
                <w:rFonts w:cstheme="minorHAnsi"/>
                <w:sz w:val="20"/>
                <w:szCs w:val="20"/>
              </w:rPr>
              <w:t>Schools, workplaces. sport and recreation centres and health services</w:t>
            </w:r>
          </w:p>
        </w:tc>
      </w:tr>
      <w:tr w:rsidR="00752513" w:rsidRPr="00CC1ADD" w14:paraId="276FC138" w14:textId="77777777" w:rsidTr="00752513">
        <w:tc>
          <w:tcPr>
            <w:tcW w:w="1555" w:type="dxa"/>
          </w:tcPr>
          <w:p w14:paraId="23F5DE1A"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Premier’s Healthy Kids Menus Initiative </w:t>
            </w:r>
          </w:p>
        </w:tc>
        <w:tc>
          <w:tcPr>
            <w:tcW w:w="1294" w:type="dxa"/>
          </w:tcPr>
          <w:p w14:paraId="2A564897" w14:textId="77777777" w:rsidR="00752513" w:rsidRPr="00CC1ADD" w:rsidRDefault="00752513">
            <w:pPr>
              <w:spacing w:before="40" w:after="40"/>
              <w:rPr>
                <w:rFonts w:cstheme="minorHAnsi"/>
                <w:sz w:val="20"/>
                <w:szCs w:val="20"/>
              </w:rPr>
            </w:pPr>
            <w:r w:rsidRPr="00CC1ADD">
              <w:rPr>
                <w:rFonts w:cstheme="minorHAnsi"/>
                <w:sz w:val="20"/>
                <w:szCs w:val="20"/>
              </w:rPr>
              <w:t xml:space="preserve">SA </w:t>
            </w:r>
          </w:p>
        </w:tc>
        <w:tc>
          <w:tcPr>
            <w:tcW w:w="5368" w:type="dxa"/>
          </w:tcPr>
          <w:p w14:paraId="4B2B84B9" w14:textId="77777777" w:rsidR="00752513" w:rsidRPr="00CC1ADD" w:rsidRDefault="00752513">
            <w:pPr>
              <w:spacing w:before="40" w:after="40"/>
              <w:rPr>
                <w:rFonts w:cstheme="minorHAnsi"/>
                <w:sz w:val="20"/>
                <w:szCs w:val="20"/>
              </w:rPr>
            </w:pPr>
            <w:r w:rsidRPr="00CC1ADD">
              <w:rPr>
                <w:rFonts w:cstheme="minorHAnsi"/>
                <w:sz w:val="20"/>
                <w:szCs w:val="20"/>
              </w:rPr>
              <w:t>Aims to increase the provision of, and access to, healthy menu options for children in SA restaurants, cafes, hotels and clubs. Criteria specific to sugar reduction include:</w:t>
            </w:r>
          </w:p>
          <w:p w14:paraId="5F8F8C11" w14:textId="77777777" w:rsidR="00752513" w:rsidRPr="00CC1ADD" w:rsidRDefault="00752513">
            <w:pPr>
              <w:numPr>
                <w:ilvl w:val="0"/>
                <w:numId w:val="16"/>
              </w:numPr>
              <w:spacing w:before="40" w:after="40"/>
              <w:contextualSpacing/>
              <w:rPr>
                <w:rFonts w:eastAsia="Calibri" w:cstheme="minorHAnsi"/>
                <w:sz w:val="20"/>
                <w:szCs w:val="20"/>
              </w:rPr>
            </w:pPr>
            <w:r>
              <w:rPr>
                <w:rFonts w:eastAsia="Calibri" w:cstheme="minorHAnsi"/>
                <w:sz w:val="20"/>
                <w:szCs w:val="20"/>
              </w:rPr>
              <w:t>f</w:t>
            </w:r>
            <w:r w:rsidRPr="00CC1ADD">
              <w:rPr>
                <w:rFonts w:eastAsia="Calibri" w:cstheme="minorHAnsi"/>
                <w:sz w:val="20"/>
                <w:szCs w:val="20"/>
              </w:rPr>
              <w:t>ree tap water is easily accessible</w:t>
            </w:r>
          </w:p>
          <w:p w14:paraId="20FD405E" w14:textId="77777777" w:rsidR="00752513" w:rsidRPr="00CC1ADD" w:rsidRDefault="00752513">
            <w:pPr>
              <w:numPr>
                <w:ilvl w:val="0"/>
                <w:numId w:val="16"/>
              </w:numPr>
              <w:spacing w:before="40" w:after="40"/>
              <w:contextualSpacing/>
              <w:rPr>
                <w:rFonts w:eastAsia="Calibri" w:cstheme="minorHAnsi"/>
                <w:sz w:val="20"/>
                <w:szCs w:val="20"/>
              </w:rPr>
            </w:pPr>
            <w:r>
              <w:rPr>
                <w:rFonts w:eastAsia="Calibri" w:cstheme="minorHAnsi"/>
                <w:sz w:val="20"/>
                <w:szCs w:val="20"/>
              </w:rPr>
              <w:t>m</w:t>
            </w:r>
            <w:r w:rsidRPr="00CC1ADD">
              <w:rPr>
                <w:rFonts w:eastAsia="Calibri" w:cstheme="minorHAnsi"/>
                <w:sz w:val="20"/>
                <w:szCs w:val="20"/>
              </w:rPr>
              <w:t>eal deals do not include soft drinks containing sugar or artificial sweeteners</w:t>
            </w:r>
          </w:p>
          <w:p w14:paraId="2E9B27F9" w14:textId="77777777" w:rsidR="00752513" w:rsidRPr="00CC1ADD" w:rsidRDefault="00752513">
            <w:pPr>
              <w:numPr>
                <w:ilvl w:val="0"/>
                <w:numId w:val="16"/>
              </w:numPr>
              <w:spacing w:before="40" w:after="40"/>
              <w:contextualSpacing/>
              <w:rPr>
                <w:rFonts w:eastAsia="Calibri" w:cstheme="minorHAnsi"/>
                <w:sz w:val="20"/>
                <w:szCs w:val="20"/>
              </w:rPr>
            </w:pPr>
            <w:r>
              <w:rPr>
                <w:rFonts w:eastAsia="Calibri" w:cstheme="minorHAnsi"/>
                <w:sz w:val="20"/>
                <w:szCs w:val="20"/>
              </w:rPr>
              <w:t>g</w:t>
            </w:r>
            <w:r w:rsidRPr="00CC1ADD">
              <w:rPr>
                <w:rFonts w:eastAsia="Calibri" w:cstheme="minorHAnsi"/>
                <w:sz w:val="20"/>
                <w:szCs w:val="20"/>
              </w:rPr>
              <w:t>uidance on desserts on the menu.</w:t>
            </w:r>
          </w:p>
        </w:tc>
        <w:tc>
          <w:tcPr>
            <w:tcW w:w="1519" w:type="dxa"/>
          </w:tcPr>
          <w:p w14:paraId="11593C6C" w14:textId="77777777" w:rsidR="00752513" w:rsidRPr="00CC1ADD" w:rsidRDefault="00752513">
            <w:pPr>
              <w:spacing w:before="40" w:after="40"/>
              <w:rPr>
                <w:rFonts w:cstheme="minorHAnsi"/>
                <w:sz w:val="20"/>
                <w:szCs w:val="20"/>
              </w:rPr>
            </w:pPr>
            <w:r w:rsidRPr="00CC1ADD">
              <w:rPr>
                <w:rFonts w:cstheme="minorHAnsi"/>
                <w:sz w:val="20"/>
                <w:szCs w:val="20"/>
              </w:rPr>
              <w:t>Children</w:t>
            </w:r>
          </w:p>
        </w:tc>
      </w:tr>
      <w:tr w:rsidR="00752513" w:rsidRPr="00CC1ADD" w14:paraId="346CE964" w14:textId="77777777" w:rsidTr="00752513">
        <w:tc>
          <w:tcPr>
            <w:tcW w:w="1555" w:type="dxa"/>
          </w:tcPr>
          <w:p w14:paraId="05544DD9" w14:textId="77777777" w:rsidR="00752513" w:rsidRPr="00CC1ADD" w:rsidRDefault="00752513" w:rsidP="005A3631">
            <w:pPr>
              <w:spacing w:before="40" w:after="40"/>
              <w:rPr>
                <w:rFonts w:cstheme="minorHAnsi"/>
                <w:sz w:val="20"/>
                <w:szCs w:val="20"/>
              </w:rPr>
            </w:pPr>
            <w:r w:rsidRPr="00CC1ADD">
              <w:rPr>
                <w:rFonts w:cstheme="minorHAnsi"/>
                <w:sz w:val="20"/>
                <w:szCs w:val="20"/>
              </w:rPr>
              <w:t>Healthy Children Initiative</w:t>
            </w:r>
          </w:p>
        </w:tc>
        <w:tc>
          <w:tcPr>
            <w:tcW w:w="1294" w:type="dxa"/>
          </w:tcPr>
          <w:p w14:paraId="0E3B42C5" w14:textId="77777777" w:rsidR="00752513" w:rsidRPr="00CC1ADD" w:rsidRDefault="00752513">
            <w:pPr>
              <w:spacing w:before="40" w:after="40"/>
              <w:rPr>
                <w:rFonts w:cstheme="minorHAnsi"/>
                <w:sz w:val="20"/>
                <w:szCs w:val="20"/>
              </w:rPr>
            </w:pPr>
            <w:r w:rsidRPr="00CC1ADD">
              <w:rPr>
                <w:rFonts w:cstheme="minorHAnsi"/>
                <w:sz w:val="20"/>
                <w:szCs w:val="20"/>
              </w:rPr>
              <w:t>NSW</w:t>
            </w:r>
          </w:p>
        </w:tc>
        <w:tc>
          <w:tcPr>
            <w:tcW w:w="5368" w:type="dxa"/>
          </w:tcPr>
          <w:p w14:paraId="127D373E" w14:textId="442892A6" w:rsidR="00752513" w:rsidRPr="00CC1ADD" w:rsidRDefault="008A3672">
            <w:pPr>
              <w:spacing w:before="40" w:after="40"/>
              <w:rPr>
                <w:rFonts w:cstheme="minorHAnsi"/>
                <w:sz w:val="20"/>
                <w:szCs w:val="20"/>
              </w:rPr>
            </w:pPr>
            <w:r>
              <w:rPr>
                <w:rFonts w:cstheme="minorHAnsi"/>
                <w:sz w:val="20"/>
                <w:szCs w:val="20"/>
              </w:rPr>
              <w:t xml:space="preserve">The NSW Healthy Children Initiative (HCI) was established in 2011 to provide a coordinated approach to childhood obesity prevention across NSW. </w:t>
            </w:r>
            <w:r w:rsidR="00752513" w:rsidRPr="00CC1ADD">
              <w:rPr>
                <w:rFonts w:cstheme="minorHAnsi"/>
                <w:sz w:val="20"/>
                <w:szCs w:val="20"/>
              </w:rPr>
              <w:t>Key program messages encourage the consumption of water over sugar</w:t>
            </w:r>
            <w:r w:rsidR="00B33DA3">
              <w:rPr>
                <w:rFonts w:cstheme="minorHAnsi"/>
                <w:sz w:val="20"/>
                <w:szCs w:val="20"/>
              </w:rPr>
              <w:noBreakHyphen/>
            </w:r>
            <w:r w:rsidR="00752513" w:rsidRPr="00CC1ADD">
              <w:rPr>
                <w:rFonts w:cstheme="minorHAnsi"/>
                <w:sz w:val="20"/>
                <w:szCs w:val="20"/>
              </w:rPr>
              <w:t>sweetened drinks.</w:t>
            </w:r>
          </w:p>
        </w:tc>
        <w:tc>
          <w:tcPr>
            <w:tcW w:w="1519" w:type="dxa"/>
          </w:tcPr>
          <w:p w14:paraId="68BCF76C" w14:textId="77777777" w:rsidR="00752513" w:rsidRPr="00CC1ADD" w:rsidRDefault="00752513">
            <w:pPr>
              <w:spacing w:before="40" w:after="40"/>
              <w:rPr>
                <w:rFonts w:cstheme="minorHAnsi"/>
                <w:sz w:val="20"/>
                <w:szCs w:val="20"/>
              </w:rPr>
            </w:pPr>
            <w:r w:rsidRPr="00CC1ADD">
              <w:rPr>
                <w:rFonts w:cstheme="minorHAnsi"/>
                <w:sz w:val="20"/>
                <w:szCs w:val="20"/>
              </w:rPr>
              <w:t>Children aged 0-16 years</w:t>
            </w:r>
          </w:p>
        </w:tc>
      </w:tr>
    </w:tbl>
    <w:p w14:paraId="51425E2B" w14:textId="77777777" w:rsidR="00752513" w:rsidRPr="00CC1ADD" w:rsidRDefault="00752513" w:rsidP="005D75D3">
      <w:pPr>
        <w:pStyle w:val="mpcNormal"/>
        <w:keepNext w:val="0"/>
      </w:pPr>
    </w:p>
    <w:p w14:paraId="7A238457" w14:textId="77777777" w:rsidR="00752513" w:rsidRPr="00CC1ADD" w:rsidRDefault="00752513">
      <w:pPr>
        <w:rPr>
          <w:rFonts w:cstheme="minorHAnsi"/>
          <w:b/>
          <w:sz w:val="20"/>
          <w:szCs w:val="20"/>
        </w:rPr>
      </w:pPr>
      <w:r w:rsidRPr="00CC1ADD">
        <w:rPr>
          <w:rFonts w:cstheme="minorHAnsi"/>
          <w:b/>
          <w:sz w:val="20"/>
          <w:szCs w:val="20"/>
        </w:rPr>
        <w:t>Resources focusing on beverages</w:t>
      </w:r>
    </w:p>
    <w:p w14:paraId="3F98ECF3" w14:textId="77777777" w:rsidR="00752513" w:rsidRPr="00CC1ADD" w:rsidRDefault="00752513">
      <w:pPr>
        <w:rPr>
          <w:rFonts w:cstheme="minorHAnsi"/>
          <w:sz w:val="20"/>
          <w:szCs w:val="20"/>
        </w:rPr>
      </w:pPr>
    </w:p>
    <w:tbl>
      <w:tblPr>
        <w:tblStyle w:val="TableGrid"/>
        <w:tblW w:w="0" w:type="auto"/>
        <w:tblLook w:val="04A0" w:firstRow="1" w:lastRow="0" w:firstColumn="1" w:lastColumn="0" w:noHBand="0" w:noVBand="1"/>
        <w:tblDescription w:val="&quot;&quot;"/>
      </w:tblPr>
      <w:tblGrid>
        <w:gridCol w:w="1551"/>
        <w:gridCol w:w="1515"/>
        <w:gridCol w:w="5172"/>
        <w:gridCol w:w="1498"/>
      </w:tblGrid>
      <w:tr w:rsidR="00752513" w:rsidRPr="00CC1ADD" w14:paraId="1575D26F" w14:textId="77777777" w:rsidTr="00752513">
        <w:trPr>
          <w:tblHeader/>
        </w:trPr>
        <w:tc>
          <w:tcPr>
            <w:tcW w:w="1553" w:type="dxa"/>
            <w:shd w:val="clear" w:color="auto" w:fill="516A8E"/>
          </w:tcPr>
          <w:p w14:paraId="68C6FD1E" w14:textId="77777777" w:rsidR="00752513" w:rsidRPr="00CC1ADD" w:rsidRDefault="00752513">
            <w:pPr>
              <w:pStyle w:val="Tabletext"/>
              <w:spacing w:before="40" w:after="40" w:line="240" w:lineRule="auto"/>
              <w:rPr>
                <w:rFonts w:cstheme="minorHAnsi"/>
                <w:b/>
                <w:color w:val="FFFFFF" w:themeColor="background1"/>
                <w:szCs w:val="20"/>
              </w:rPr>
            </w:pPr>
            <w:bookmarkStart w:id="184" w:name="Type4"/>
            <w:bookmarkEnd w:id="184"/>
            <w:r w:rsidRPr="00CC1ADD">
              <w:rPr>
                <w:rFonts w:cstheme="minorHAnsi"/>
                <w:b/>
                <w:color w:val="FFFFFF" w:themeColor="background1"/>
                <w:szCs w:val="20"/>
              </w:rPr>
              <w:t>Type of Policy/Program</w:t>
            </w:r>
          </w:p>
        </w:tc>
        <w:tc>
          <w:tcPr>
            <w:tcW w:w="1277" w:type="dxa"/>
            <w:shd w:val="clear" w:color="auto" w:fill="516A8E"/>
          </w:tcPr>
          <w:p w14:paraId="34E955BF"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Jurisdiction</w:t>
            </w:r>
          </w:p>
        </w:tc>
        <w:tc>
          <w:tcPr>
            <w:tcW w:w="5387" w:type="dxa"/>
            <w:shd w:val="clear" w:color="auto" w:fill="516A8E"/>
          </w:tcPr>
          <w:p w14:paraId="768B3ECD"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Description summary</w:t>
            </w:r>
          </w:p>
        </w:tc>
        <w:tc>
          <w:tcPr>
            <w:tcW w:w="1519" w:type="dxa"/>
            <w:shd w:val="clear" w:color="auto" w:fill="516A8E"/>
          </w:tcPr>
          <w:p w14:paraId="56F52413" w14:textId="77777777" w:rsidR="00752513" w:rsidRPr="00CC1ADD" w:rsidRDefault="00752513">
            <w:pPr>
              <w:pStyle w:val="Tabletext"/>
              <w:spacing w:before="40" w:after="40" w:line="240" w:lineRule="auto"/>
              <w:rPr>
                <w:rFonts w:cstheme="minorHAnsi"/>
                <w:b/>
                <w:color w:val="FFFFFF" w:themeColor="background1"/>
                <w:szCs w:val="20"/>
              </w:rPr>
            </w:pPr>
            <w:r w:rsidRPr="00CC1ADD">
              <w:rPr>
                <w:rFonts w:cstheme="minorHAnsi"/>
                <w:b/>
                <w:color w:val="FFFFFF" w:themeColor="background1"/>
                <w:szCs w:val="20"/>
              </w:rPr>
              <w:t>Target audience</w:t>
            </w:r>
          </w:p>
        </w:tc>
      </w:tr>
      <w:tr w:rsidR="00752513" w:rsidRPr="00CC1ADD" w14:paraId="2ACD4062" w14:textId="77777777" w:rsidTr="00752513">
        <w:trPr>
          <w:cantSplit/>
        </w:trPr>
        <w:tc>
          <w:tcPr>
            <w:tcW w:w="1553" w:type="dxa"/>
          </w:tcPr>
          <w:p w14:paraId="6416A485" w14:textId="77777777" w:rsidR="00752513" w:rsidRPr="00CC1ADD" w:rsidRDefault="00752513" w:rsidP="005A3631">
            <w:pPr>
              <w:spacing w:before="40" w:after="40"/>
              <w:rPr>
                <w:rFonts w:cstheme="minorHAnsi"/>
                <w:sz w:val="20"/>
                <w:szCs w:val="20"/>
              </w:rPr>
            </w:pPr>
            <w:r w:rsidRPr="00CC1ADD">
              <w:rPr>
                <w:rFonts w:cstheme="minorHAnsi"/>
                <w:sz w:val="20"/>
                <w:szCs w:val="20"/>
              </w:rPr>
              <w:t>Sugary Drinks - Healthy Bodies Need Healthy Drinks</w:t>
            </w:r>
          </w:p>
        </w:tc>
        <w:tc>
          <w:tcPr>
            <w:tcW w:w="1277" w:type="dxa"/>
          </w:tcPr>
          <w:p w14:paraId="53B264FF" w14:textId="77777777" w:rsidR="00752513" w:rsidRPr="00CC1ADD" w:rsidRDefault="00752513">
            <w:pPr>
              <w:spacing w:before="40" w:after="40"/>
              <w:rPr>
                <w:rFonts w:cstheme="minorHAnsi"/>
                <w:sz w:val="20"/>
                <w:szCs w:val="20"/>
              </w:rPr>
            </w:pPr>
            <w:r w:rsidRPr="00CC1ADD">
              <w:rPr>
                <w:rFonts w:cstheme="minorHAnsi"/>
                <w:sz w:val="20"/>
                <w:szCs w:val="20"/>
              </w:rPr>
              <w:t>Commonwealth</w:t>
            </w:r>
          </w:p>
        </w:tc>
        <w:tc>
          <w:tcPr>
            <w:tcW w:w="5387" w:type="dxa"/>
          </w:tcPr>
          <w:p w14:paraId="7DD96CF0" w14:textId="77777777" w:rsidR="00752513" w:rsidRPr="00CC1ADD" w:rsidRDefault="00752513">
            <w:pPr>
              <w:spacing w:before="40" w:after="40"/>
              <w:rPr>
                <w:rFonts w:cstheme="minorHAnsi"/>
                <w:sz w:val="20"/>
                <w:szCs w:val="20"/>
              </w:rPr>
            </w:pPr>
            <w:r w:rsidRPr="00CC1ADD">
              <w:rPr>
                <w:rFonts w:cstheme="minorHAnsi"/>
                <w:sz w:val="20"/>
                <w:szCs w:val="20"/>
              </w:rPr>
              <w:t>Online resource package that promotes healthy drink choices and discourages excessive consumption of sugar-sweetened drinks among Aboriginal and Torres Strait Islander school aged children, their families and communities. Includes brochures, activities, music videos, posters and song lyrics.</w:t>
            </w:r>
          </w:p>
        </w:tc>
        <w:tc>
          <w:tcPr>
            <w:tcW w:w="1519" w:type="dxa"/>
          </w:tcPr>
          <w:p w14:paraId="19353F62" w14:textId="77777777" w:rsidR="00752513" w:rsidRPr="00CC1ADD" w:rsidRDefault="00752513">
            <w:pPr>
              <w:spacing w:before="40" w:after="40"/>
              <w:rPr>
                <w:rFonts w:cstheme="minorHAnsi"/>
                <w:sz w:val="20"/>
                <w:szCs w:val="20"/>
              </w:rPr>
            </w:pPr>
            <w:r w:rsidRPr="00CC1ADD">
              <w:rPr>
                <w:rFonts w:cstheme="minorHAnsi"/>
                <w:sz w:val="20"/>
                <w:szCs w:val="20"/>
              </w:rPr>
              <w:t>Aboriginal and Torres Strait Islander peoples</w:t>
            </w:r>
          </w:p>
        </w:tc>
      </w:tr>
      <w:tr w:rsidR="00752513" w:rsidRPr="00CC1ADD" w14:paraId="7418A8A1" w14:textId="77777777" w:rsidTr="00752513">
        <w:tc>
          <w:tcPr>
            <w:tcW w:w="1553" w:type="dxa"/>
          </w:tcPr>
          <w:p w14:paraId="1F2BC8C5" w14:textId="77777777" w:rsidR="00752513" w:rsidRPr="00CC1ADD" w:rsidRDefault="00752513" w:rsidP="005A3631">
            <w:pPr>
              <w:spacing w:before="40" w:after="40"/>
              <w:rPr>
                <w:rFonts w:cstheme="minorHAnsi"/>
                <w:sz w:val="20"/>
                <w:szCs w:val="20"/>
              </w:rPr>
            </w:pPr>
            <w:r w:rsidRPr="00CC1ADD">
              <w:rPr>
                <w:rFonts w:cstheme="minorHAnsi"/>
                <w:sz w:val="20"/>
                <w:szCs w:val="20"/>
              </w:rPr>
              <w:t>Swap Soft Drinks for Water initiative</w:t>
            </w:r>
          </w:p>
        </w:tc>
        <w:tc>
          <w:tcPr>
            <w:tcW w:w="1277" w:type="dxa"/>
          </w:tcPr>
          <w:p w14:paraId="6DC1E6E2" w14:textId="77777777" w:rsidR="00752513" w:rsidRPr="00CC1ADD" w:rsidRDefault="00752513">
            <w:pPr>
              <w:spacing w:before="40" w:after="40"/>
              <w:rPr>
                <w:rFonts w:cstheme="minorHAnsi"/>
                <w:sz w:val="20"/>
                <w:szCs w:val="20"/>
              </w:rPr>
            </w:pPr>
            <w:r w:rsidRPr="00CC1ADD">
              <w:rPr>
                <w:rFonts w:cstheme="minorHAnsi"/>
                <w:sz w:val="20"/>
                <w:szCs w:val="20"/>
              </w:rPr>
              <w:t>NT</w:t>
            </w:r>
          </w:p>
        </w:tc>
        <w:tc>
          <w:tcPr>
            <w:tcW w:w="5387" w:type="dxa"/>
          </w:tcPr>
          <w:p w14:paraId="42C36A95" w14:textId="77777777" w:rsidR="00752513" w:rsidRPr="00CC1ADD" w:rsidRDefault="00752513">
            <w:pPr>
              <w:spacing w:before="40" w:after="40"/>
              <w:rPr>
                <w:rFonts w:cstheme="minorHAnsi"/>
                <w:sz w:val="20"/>
                <w:szCs w:val="20"/>
              </w:rPr>
            </w:pPr>
            <w:r w:rsidRPr="00CC1ADD">
              <w:rPr>
                <w:rFonts w:cstheme="minorHAnsi"/>
                <w:sz w:val="20"/>
                <w:szCs w:val="20"/>
              </w:rPr>
              <w:t>Online information sheets and promotional resources on replacing soft drinks with water, for use by different health promotion sectors including schools, child care, community groups, stores, council (through Sport and Recreation Officers) and health centres.</w:t>
            </w:r>
          </w:p>
        </w:tc>
        <w:tc>
          <w:tcPr>
            <w:tcW w:w="1519" w:type="dxa"/>
          </w:tcPr>
          <w:p w14:paraId="5DDCA0FB" w14:textId="77777777" w:rsidR="00752513" w:rsidRPr="00CC1ADD" w:rsidRDefault="00752513">
            <w:pPr>
              <w:spacing w:before="40" w:after="40"/>
              <w:rPr>
                <w:rFonts w:cstheme="minorHAnsi"/>
                <w:sz w:val="20"/>
                <w:szCs w:val="20"/>
              </w:rPr>
            </w:pPr>
            <w:r w:rsidRPr="00CC1ADD">
              <w:rPr>
                <w:rFonts w:cstheme="minorHAnsi"/>
                <w:sz w:val="20"/>
                <w:szCs w:val="20"/>
              </w:rPr>
              <w:t xml:space="preserve">Consumers </w:t>
            </w:r>
          </w:p>
        </w:tc>
      </w:tr>
      <w:tr w:rsidR="00752513" w:rsidRPr="00CC1ADD" w14:paraId="7A8E52AA" w14:textId="77777777" w:rsidTr="00752513">
        <w:tc>
          <w:tcPr>
            <w:tcW w:w="1553" w:type="dxa"/>
          </w:tcPr>
          <w:p w14:paraId="710A1475" w14:textId="77777777" w:rsidR="00752513" w:rsidRPr="00CC1ADD" w:rsidRDefault="00752513" w:rsidP="005A3631">
            <w:pPr>
              <w:spacing w:before="40" w:after="40"/>
              <w:rPr>
                <w:rFonts w:cstheme="minorHAnsi"/>
                <w:sz w:val="20"/>
                <w:szCs w:val="20"/>
              </w:rPr>
            </w:pPr>
            <w:r w:rsidRPr="00CC1ADD">
              <w:rPr>
                <w:rFonts w:cstheme="minorHAnsi"/>
                <w:sz w:val="20"/>
                <w:szCs w:val="20"/>
              </w:rPr>
              <w:t>H30 Challenge</w:t>
            </w:r>
          </w:p>
        </w:tc>
        <w:tc>
          <w:tcPr>
            <w:tcW w:w="1277" w:type="dxa"/>
          </w:tcPr>
          <w:p w14:paraId="2ABFC2F8" w14:textId="77777777" w:rsidR="00752513" w:rsidRPr="00CC1ADD" w:rsidRDefault="00752513">
            <w:pPr>
              <w:spacing w:before="40" w:after="40"/>
              <w:rPr>
                <w:rFonts w:cstheme="minorHAnsi"/>
                <w:sz w:val="20"/>
                <w:szCs w:val="20"/>
              </w:rPr>
            </w:pPr>
            <w:r w:rsidRPr="00CC1ADD">
              <w:rPr>
                <w:rFonts w:cstheme="minorHAnsi"/>
                <w:sz w:val="20"/>
                <w:szCs w:val="20"/>
              </w:rPr>
              <w:t>Victoria</w:t>
            </w:r>
          </w:p>
        </w:tc>
        <w:tc>
          <w:tcPr>
            <w:tcW w:w="5387" w:type="dxa"/>
          </w:tcPr>
          <w:p w14:paraId="19A75E51" w14:textId="77777777" w:rsidR="00752513" w:rsidRPr="00CC1ADD" w:rsidRDefault="00752513">
            <w:pPr>
              <w:spacing w:before="40" w:after="40"/>
              <w:rPr>
                <w:rFonts w:cstheme="minorHAnsi"/>
                <w:sz w:val="20"/>
                <w:szCs w:val="20"/>
              </w:rPr>
            </w:pPr>
            <w:r w:rsidRPr="00CC1ADD">
              <w:rPr>
                <w:rFonts w:cstheme="minorHAnsi"/>
                <w:sz w:val="20"/>
                <w:szCs w:val="20"/>
              </w:rPr>
              <w:t>VicHealth campaign encouraging Victorians to make a 30-day pledge to replace every sugary drink they would normally drink with water.</w:t>
            </w:r>
          </w:p>
        </w:tc>
        <w:tc>
          <w:tcPr>
            <w:tcW w:w="1519" w:type="dxa"/>
          </w:tcPr>
          <w:p w14:paraId="44DA0212" w14:textId="77777777" w:rsidR="00752513" w:rsidRPr="00CC1ADD" w:rsidRDefault="00752513">
            <w:pPr>
              <w:spacing w:before="40" w:after="40"/>
              <w:rPr>
                <w:rFonts w:cstheme="minorHAnsi"/>
                <w:sz w:val="20"/>
                <w:szCs w:val="20"/>
              </w:rPr>
            </w:pPr>
            <w:r w:rsidRPr="00CC1ADD">
              <w:rPr>
                <w:rFonts w:cstheme="minorHAnsi"/>
                <w:sz w:val="20"/>
                <w:szCs w:val="20"/>
              </w:rPr>
              <w:t>VIC population</w:t>
            </w:r>
          </w:p>
        </w:tc>
      </w:tr>
      <w:tr w:rsidR="00752513" w:rsidRPr="00CC1ADD" w14:paraId="2DCBD5DE" w14:textId="77777777" w:rsidTr="00752513">
        <w:tc>
          <w:tcPr>
            <w:tcW w:w="1553" w:type="dxa"/>
          </w:tcPr>
          <w:p w14:paraId="410633B3" w14:textId="77777777" w:rsidR="00752513" w:rsidRPr="00CC1ADD" w:rsidRDefault="00752513" w:rsidP="005A3631">
            <w:pPr>
              <w:spacing w:before="40" w:after="40"/>
              <w:rPr>
                <w:rFonts w:cstheme="minorHAnsi"/>
                <w:sz w:val="20"/>
                <w:szCs w:val="20"/>
              </w:rPr>
            </w:pPr>
            <w:r w:rsidRPr="00CC1ADD">
              <w:rPr>
                <w:rFonts w:cstheme="minorHAnsi"/>
                <w:sz w:val="20"/>
                <w:szCs w:val="20"/>
              </w:rPr>
              <w:t>Good Habits for Life – Sugar Swap Challenge</w:t>
            </w:r>
          </w:p>
        </w:tc>
        <w:tc>
          <w:tcPr>
            <w:tcW w:w="1277" w:type="dxa"/>
          </w:tcPr>
          <w:p w14:paraId="25FA4241" w14:textId="77777777" w:rsidR="00752513" w:rsidRPr="00CC1ADD" w:rsidRDefault="00752513">
            <w:pPr>
              <w:spacing w:before="40" w:after="40"/>
              <w:rPr>
                <w:rFonts w:cstheme="minorHAnsi"/>
                <w:sz w:val="20"/>
                <w:szCs w:val="20"/>
              </w:rPr>
            </w:pPr>
            <w:r w:rsidRPr="00CC1ADD">
              <w:rPr>
                <w:rFonts w:cstheme="minorHAnsi"/>
                <w:sz w:val="20"/>
                <w:szCs w:val="20"/>
              </w:rPr>
              <w:t>ACT</w:t>
            </w:r>
          </w:p>
        </w:tc>
        <w:tc>
          <w:tcPr>
            <w:tcW w:w="5387" w:type="dxa"/>
          </w:tcPr>
          <w:p w14:paraId="0CCC847E" w14:textId="77777777" w:rsidR="00752513" w:rsidRPr="00CC1ADD" w:rsidRDefault="00752513">
            <w:pPr>
              <w:spacing w:before="40" w:after="40"/>
              <w:rPr>
                <w:rFonts w:cstheme="minorHAnsi"/>
                <w:sz w:val="20"/>
                <w:szCs w:val="20"/>
              </w:rPr>
            </w:pPr>
            <w:r w:rsidRPr="00CC1ADD">
              <w:rPr>
                <w:rFonts w:cstheme="minorHAnsi"/>
                <w:sz w:val="20"/>
                <w:szCs w:val="20"/>
              </w:rPr>
              <w:t>Online resources and advice for families to recognise added sugar in their food and drinks, and to ‘swap them out’ for healthier alternatives for one month. Includes an online sugar swap game for children.</w:t>
            </w:r>
          </w:p>
        </w:tc>
        <w:tc>
          <w:tcPr>
            <w:tcW w:w="1519" w:type="dxa"/>
          </w:tcPr>
          <w:p w14:paraId="1D039730" w14:textId="77777777" w:rsidR="00752513" w:rsidRPr="00CC1ADD" w:rsidRDefault="00752513">
            <w:pPr>
              <w:spacing w:before="40" w:after="40"/>
              <w:rPr>
                <w:rFonts w:cstheme="minorHAnsi"/>
                <w:sz w:val="20"/>
                <w:szCs w:val="20"/>
              </w:rPr>
            </w:pPr>
            <w:r w:rsidRPr="00CC1ADD">
              <w:rPr>
                <w:rFonts w:cstheme="minorHAnsi"/>
                <w:sz w:val="20"/>
                <w:szCs w:val="20"/>
              </w:rPr>
              <w:t>Parents and carers with children 0 - 8 years</w:t>
            </w:r>
          </w:p>
        </w:tc>
      </w:tr>
      <w:tr w:rsidR="00752513" w:rsidRPr="00CC1ADD" w14:paraId="788FE001" w14:textId="77777777" w:rsidTr="00752513">
        <w:tc>
          <w:tcPr>
            <w:tcW w:w="1553" w:type="dxa"/>
          </w:tcPr>
          <w:p w14:paraId="7FD87FC9" w14:textId="77777777" w:rsidR="00752513" w:rsidRPr="00CC1ADD" w:rsidRDefault="00752513" w:rsidP="005A3631">
            <w:pPr>
              <w:spacing w:before="40" w:after="40"/>
              <w:rPr>
                <w:rFonts w:cstheme="minorHAnsi"/>
                <w:sz w:val="20"/>
                <w:szCs w:val="20"/>
              </w:rPr>
            </w:pPr>
            <w:r w:rsidRPr="00CC1ADD">
              <w:rPr>
                <w:rFonts w:cstheme="minorHAnsi"/>
                <w:sz w:val="20"/>
                <w:szCs w:val="20"/>
              </w:rPr>
              <w:t xml:space="preserve">100% water resources Health Promotion </w:t>
            </w:r>
          </w:p>
        </w:tc>
        <w:tc>
          <w:tcPr>
            <w:tcW w:w="1277" w:type="dxa"/>
          </w:tcPr>
          <w:p w14:paraId="2FAB2F91" w14:textId="77777777" w:rsidR="00752513" w:rsidRPr="00CC1ADD" w:rsidRDefault="00752513">
            <w:pPr>
              <w:spacing w:before="40" w:after="40"/>
              <w:rPr>
                <w:rFonts w:cstheme="minorHAnsi"/>
                <w:sz w:val="20"/>
                <w:szCs w:val="20"/>
              </w:rPr>
            </w:pPr>
            <w:r w:rsidRPr="00CC1ADD">
              <w:rPr>
                <w:rFonts w:cstheme="minorHAnsi"/>
                <w:sz w:val="20"/>
                <w:szCs w:val="20"/>
              </w:rPr>
              <w:t>New Zealand</w:t>
            </w:r>
          </w:p>
        </w:tc>
        <w:tc>
          <w:tcPr>
            <w:tcW w:w="5387" w:type="dxa"/>
          </w:tcPr>
          <w:p w14:paraId="554C96BB" w14:textId="77777777" w:rsidR="00752513" w:rsidRPr="00CC1ADD" w:rsidRDefault="00752513">
            <w:pPr>
              <w:spacing w:before="40" w:after="40"/>
              <w:rPr>
                <w:rFonts w:cstheme="minorHAnsi"/>
                <w:sz w:val="20"/>
                <w:szCs w:val="20"/>
              </w:rPr>
            </w:pPr>
            <w:r w:rsidRPr="00CC1ADD">
              <w:rPr>
                <w:rFonts w:cstheme="minorHAnsi"/>
                <w:sz w:val="20"/>
                <w:szCs w:val="20"/>
              </w:rPr>
              <w:t>Online resources including sugary drink infographics and suite of ‘100% Water’ posters encouraging consumers to choose water instead of sugary drinks.</w:t>
            </w:r>
          </w:p>
        </w:tc>
        <w:tc>
          <w:tcPr>
            <w:tcW w:w="1519" w:type="dxa"/>
          </w:tcPr>
          <w:p w14:paraId="763F6197" w14:textId="77777777" w:rsidR="00752513" w:rsidRPr="00CC1ADD" w:rsidRDefault="00752513">
            <w:pPr>
              <w:spacing w:before="40" w:after="40"/>
              <w:rPr>
                <w:rFonts w:cstheme="minorHAnsi"/>
                <w:sz w:val="20"/>
                <w:szCs w:val="20"/>
              </w:rPr>
            </w:pPr>
            <w:r w:rsidRPr="00CC1ADD">
              <w:rPr>
                <w:rFonts w:cstheme="minorHAnsi"/>
                <w:sz w:val="20"/>
                <w:szCs w:val="20"/>
              </w:rPr>
              <w:t xml:space="preserve">Consumers </w:t>
            </w:r>
          </w:p>
        </w:tc>
      </w:tr>
      <w:tr w:rsidR="00752513" w:rsidRPr="00CC1ADD" w14:paraId="77398600" w14:textId="77777777" w:rsidTr="00752513">
        <w:tc>
          <w:tcPr>
            <w:tcW w:w="1553" w:type="dxa"/>
          </w:tcPr>
          <w:p w14:paraId="429173D5" w14:textId="1E54B076" w:rsidR="00752513" w:rsidRPr="00CC1ADD" w:rsidRDefault="00752513" w:rsidP="005A3631">
            <w:pPr>
              <w:spacing w:before="40" w:after="40"/>
              <w:rPr>
                <w:rFonts w:cstheme="minorHAnsi"/>
                <w:sz w:val="20"/>
                <w:szCs w:val="20"/>
              </w:rPr>
            </w:pPr>
            <w:r w:rsidRPr="00CC1ADD">
              <w:rPr>
                <w:rFonts w:cstheme="minorHAnsi"/>
                <w:sz w:val="20"/>
                <w:szCs w:val="20"/>
              </w:rPr>
              <w:t>Move Well Eat Well program</w:t>
            </w:r>
          </w:p>
        </w:tc>
        <w:tc>
          <w:tcPr>
            <w:tcW w:w="1277" w:type="dxa"/>
          </w:tcPr>
          <w:p w14:paraId="61159AC1" w14:textId="77777777" w:rsidR="00752513" w:rsidRPr="00CC1ADD" w:rsidRDefault="00752513">
            <w:pPr>
              <w:spacing w:before="40" w:after="40"/>
              <w:rPr>
                <w:rFonts w:cstheme="minorHAnsi"/>
                <w:sz w:val="20"/>
                <w:szCs w:val="20"/>
              </w:rPr>
            </w:pPr>
            <w:r w:rsidRPr="00CC1ADD">
              <w:rPr>
                <w:rFonts w:cstheme="minorHAnsi"/>
                <w:sz w:val="20"/>
                <w:szCs w:val="20"/>
              </w:rPr>
              <w:t>Tasmania</w:t>
            </w:r>
          </w:p>
        </w:tc>
        <w:tc>
          <w:tcPr>
            <w:tcW w:w="5387" w:type="dxa"/>
          </w:tcPr>
          <w:p w14:paraId="14DEB8EE" w14:textId="638ED05B" w:rsidR="00752513" w:rsidRPr="00CC1ADD" w:rsidRDefault="00D83FE0">
            <w:pPr>
              <w:spacing w:before="40" w:after="40"/>
              <w:rPr>
                <w:rFonts w:cstheme="minorHAnsi"/>
                <w:sz w:val="20"/>
                <w:szCs w:val="20"/>
              </w:rPr>
            </w:pPr>
            <w:r>
              <w:rPr>
                <w:rFonts w:cstheme="minorHAnsi"/>
                <w:sz w:val="20"/>
                <w:szCs w:val="20"/>
              </w:rPr>
              <w:t>Resource</w:t>
            </w:r>
            <w:r w:rsidRPr="00CC1ADD">
              <w:rPr>
                <w:rFonts w:cstheme="minorHAnsi"/>
                <w:sz w:val="20"/>
                <w:szCs w:val="20"/>
              </w:rPr>
              <w:t xml:space="preserve"> </w:t>
            </w:r>
            <w:r w:rsidR="00752513" w:rsidRPr="00CC1ADD">
              <w:rPr>
                <w:rFonts w:cstheme="minorHAnsi"/>
                <w:sz w:val="20"/>
                <w:szCs w:val="20"/>
              </w:rPr>
              <w:t>promoting healthy eating and physical activity which also includes a ‘Think before you drink’ poster promoted through early childhood and primary school programs.</w:t>
            </w:r>
          </w:p>
        </w:tc>
        <w:tc>
          <w:tcPr>
            <w:tcW w:w="1519" w:type="dxa"/>
          </w:tcPr>
          <w:p w14:paraId="3F693BA2" w14:textId="77777777" w:rsidR="00752513" w:rsidRPr="00CC1ADD" w:rsidRDefault="00752513">
            <w:pPr>
              <w:spacing w:before="40" w:after="40"/>
              <w:rPr>
                <w:rFonts w:cstheme="minorHAnsi"/>
                <w:sz w:val="20"/>
                <w:szCs w:val="20"/>
              </w:rPr>
            </w:pPr>
            <w:r w:rsidRPr="00CC1ADD">
              <w:rPr>
                <w:rFonts w:cstheme="minorHAnsi"/>
                <w:sz w:val="20"/>
                <w:szCs w:val="20"/>
              </w:rPr>
              <w:t>Children aged 0 – 12 years</w:t>
            </w:r>
          </w:p>
          <w:p w14:paraId="43218008" w14:textId="77777777" w:rsidR="00752513" w:rsidRPr="00CC1ADD" w:rsidRDefault="00752513">
            <w:pPr>
              <w:spacing w:before="40" w:after="40"/>
              <w:rPr>
                <w:rFonts w:cstheme="minorHAnsi"/>
                <w:sz w:val="20"/>
                <w:szCs w:val="20"/>
              </w:rPr>
            </w:pPr>
          </w:p>
        </w:tc>
      </w:tr>
    </w:tbl>
    <w:p w14:paraId="3A70B43A" w14:textId="5597578A" w:rsidR="00B76A4B" w:rsidRPr="00CC1ADD" w:rsidRDefault="004560A4" w:rsidP="004D0222">
      <w:pPr>
        <w:pStyle w:val="mpcheading1"/>
      </w:pPr>
      <w:r>
        <w:br w:type="column"/>
      </w:r>
      <w:bookmarkStart w:id="185" w:name="AppendixD"/>
      <w:bookmarkStart w:id="186" w:name="_Toc1746530"/>
      <w:bookmarkEnd w:id="185"/>
      <w:r w:rsidR="009B0396">
        <w:t>Appendix</w:t>
      </w:r>
      <w:r w:rsidR="00B76A4B" w:rsidRPr="00CC1ADD">
        <w:t xml:space="preserve"> </w:t>
      </w:r>
      <w:r w:rsidR="009B0396">
        <w:t>D</w:t>
      </w:r>
      <w:r w:rsidR="00012057">
        <w:t>: Additional o</w:t>
      </w:r>
      <w:r w:rsidR="00B76A4B" w:rsidRPr="00CC1ADD">
        <w:t>ption for sodium</w:t>
      </w:r>
      <w:bookmarkEnd w:id="186"/>
      <w:r w:rsidR="00B76A4B" w:rsidRPr="00CC1ADD">
        <w:t xml:space="preserve"> </w:t>
      </w:r>
    </w:p>
    <w:p w14:paraId="4E64EE19" w14:textId="52B3863F" w:rsidR="00052B3F" w:rsidRPr="00052B3F" w:rsidRDefault="00052B3F" w:rsidP="00052B3F">
      <w:pPr>
        <w:pStyle w:val="mpcNormal"/>
        <w:rPr>
          <w:rFonts w:ascii="Times New Roman" w:hAnsi="Times New Roman"/>
        </w:rPr>
      </w:pPr>
      <w:r w:rsidRPr="00052B3F">
        <w:t>The NPSC is based on the UK model, which derives its distribution of points from an equivalent UK NRV (called Daily Reference Value, or DRV) which states that maximum salt intake should be no more than 6g a day (2,400mg sodium).</w:t>
      </w:r>
    </w:p>
    <w:p w14:paraId="3AD187EC" w14:textId="77777777" w:rsidR="00052B3F" w:rsidRPr="00052B3F" w:rsidRDefault="00052B3F" w:rsidP="00052B3F">
      <w:pPr>
        <w:pStyle w:val="mpcNormal"/>
      </w:pPr>
    </w:p>
    <w:p w14:paraId="06FD1C89" w14:textId="7F85606F" w:rsidR="00B76A4B" w:rsidRPr="00052B3F" w:rsidRDefault="00B76A4B" w:rsidP="005A3631">
      <w:pPr>
        <w:rPr>
          <w:sz w:val="22"/>
          <w:szCs w:val="22"/>
        </w:rPr>
      </w:pPr>
      <w:r w:rsidRPr="00052B3F">
        <w:rPr>
          <w:sz w:val="22"/>
          <w:szCs w:val="22"/>
        </w:rPr>
        <w:t xml:space="preserve">In the UK model (and the NPSC) the maximum baseline points for risk nutrients are equivalent to 37.5% DRV, which is 900mg at 10 points. </w:t>
      </w:r>
    </w:p>
    <w:p w14:paraId="373C7974" w14:textId="77777777" w:rsidR="00B76A4B" w:rsidRPr="00052B3F" w:rsidRDefault="00B76A4B">
      <w:pPr>
        <w:rPr>
          <w:sz w:val="22"/>
          <w:szCs w:val="22"/>
        </w:rPr>
      </w:pPr>
    </w:p>
    <w:p w14:paraId="260C2E22" w14:textId="77777777" w:rsidR="00B76A4B" w:rsidRPr="00CC1ADD" w:rsidRDefault="00B76A4B">
      <w:pPr>
        <w:rPr>
          <w:sz w:val="22"/>
          <w:szCs w:val="22"/>
        </w:rPr>
      </w:pPr>
      <w:r w:rsidRPr="00052B3F">
        <w:rPr>
          <w:sz w:val="22"/>
          <w:szCs w:val="22"/>
        </w:rPr>
        <w:t>Applying this logic to the HSR System, baseline points for sodium would start at 75mg of sodium and increase linearly to 10 baseline points for 750mg (instead of the current 900mg).</w:t>
      </w:r>
    </w:p>
    <w:p w14:paraId="3C52A3C5" w14:textId="77777777" w:rsidR="00B76A4B" w:rsidRPr="00CC1ADD" w:rsidRDefault="00B76A4B">
      <w:pPr>
        <w:rPr>
          <w:sz w:val="22"/>
          <w:szCs w:val="22"/>
        </w:rPr>
      </w:pPr>
    </w:p>
    <w:p w14:paraId="4961991A" w14:textId="4155FA21" w:rsidR="00B76A4B" w:rsidRPr="00CC1ADD" w:rsidRDefault="00B76A4B">
      <w:pPr>
        <w:rPr>
          <w:sz w:val="22"/>
          <w:szCs w:val="22"/>
        </w:rPr>
      </w:pPr>
      <w:r w:rsidRPr="00CC1ADD">
        <w:rPr>
          <w:sz w:val="22"/>
          <w:szCs w:val="22"/>
        </w:rPr>
        <w:t xml:space="preserve">Using linear increases, sodium would </w:t>
      </w:r>
      <w:r w:rsidR="00052B3F">
        <w:rPr>
          <w:sz w:val="22"/>
          <w:szCs w:val="22"/>
        </w:rPr>
        <w:t>continue</w:t>
      </w:r>
      <w:r w:rsidR="00DE336D">
        <w:rPr>
          <w:sz w:val="22"/>
          <w:szCs w:val="22"/>
        </w:rPr>
        <w:t xml:space="preserve"> to</w:t>
      </w:r>
      <w:r w:rsidR="00052B3F">
        <w:rPr>
          <w:sz w:val="22"/>
          <w:szCs w:val="22"/>
        </w:rPr>
        <w:t xml:space="preserve"> </w:t>
      </w:r>
      <w:r w:rsidRPr="00CC1ADD">
        <w:rPr>
          <w:sz w:val="22"/>
          <w:szCs w:val="22"/>
        </w:rPr>
        <w:t xml:space="preserve">increase in 75mg increments to a maximum of 2,250mg at 30 points. For consistency, this points table </w:t>
      </w:r>
      <w:r w:rsidR="00DD78A3" w:rsidRPr="00CC1ADD">
        <w:rPr>
          <w:sz w:val="22"/>
          <w:szCs w:val="22"/>
        </w:rPr>
        <w:t xml:space="preserve">could </w:t>
      </w:r>
      <w:r w:rsidRPr="00CC1ADD">
        <w:rPr>
          <w:sz w:val="22"/>
          <w:szCs w:val="22"/>
        </w:rPr>
        <w:t xml:space="preserve">be applied to all HSR </w:t>
      </w:r>
      <w:r w:rsidR="00153CBD">
        <w:rPr>
          <w:sz w:val="22"/>
          <w:szCs w:val="22"/>
        </w:rPr>
        <w:t>c</w:t>
      </w:r>
      <w:r w:rsidRPr="00CC1ADD">
        <w:rPr>
          <w:sz w:val="22"/>
          <w:szCs w:val="22"/>
        </w:rPr>
        <w:t>ategories.</w:t>
      </w:r>
    </w:p>
    <w:p w14:paraId="403B60CC" w14:textId="77777777" w:rsidR="00B76A4B" w:rsidRPr="00CC1ADD" w:rsidRDefault="00B76A4B">
      <w:pPr>
        <w:rPr>
          <w:sz w:val="22"/>
          <w:szCs w:val="22"/>
        </w:rPr>
      </w:pPr>
    </w:p>
    <w:p w14:paraId="40FD5098" w14:textId="77777777" w:rsidR="00B76A4B" w:rsidRPr="00CC1ADD" w:rsidRDefault="00B76A4B">
      <w:pPr>
        <w:rPr>
          <w:rFonts w:cstheme="minorHAnsi"/>
          <w:b/>
          <w:sz w:val="22"/>
          <w:szCs w:val="22"/>
        </w:rPr>
      </w:pPr>
      <w:r w:rsidRPr="00CC1ADD">
        <w:rPr>
          <w:rFonts w:cstheme="minorHAnsi"/>
          <w:b/>
          <w:sz w:val="22"/>
          <w:szCs w:val="22"/>
        </w:rPr>
        <w:t>Proposed changes to sodium points table</w:t>
      </w:r>
    </w:p>
    <w:p w14:paraId="5109B2EE" w14:textId="77777777" w:rsidR="00B76A4B" w:rsidRPr="00CC1ADD" w:rsidRDefault="00B76A4B">
      <w:pPr>
        <w:rPr>
          <w:rFonts w:cstheme="minorHAnsi"/>
          <w:b/>
          <w:szCs w:val="22"/>
        </w:rPr>
      </w:pPr>
    </w:p>
    <w:tbl>
      <w:tblPr>
        <w:tblStyle w:val="TableGrid"/>
        <w:tblW w:w="8075" w:type="dxa"/>
        <w:jc w:val="center"/>
        <w:tblLook w:val="04A0" w:firstRow="1" w:lastRow="0" w:firstColumn="1" w:lastColumn="0" w:noHBand="0" w:noVBand="1"/>
      </w:tblPr>
      <w:tblGrid>
        <w:gridCol w:w="1129"/>
        <w:gridCol w:w="2552"/>
        <w:gridCol w:w="2268"/>
        <w:gridCol w:w="2126"/>
      </w:tblGrid>
      <w:tr w:rsidR="00B76A4B" w:rsidRPr="00CC1ADD" w14:paraId="73823E1C" w14:textId="77777777" w:rsidTr="00CB0A32">
        <w:trPr>
          <w:trHeight w:val="421"/>
          <w:jc w:val="center"/>
        </w:trPr>
        <w:tc>
          <w:tcPr>
            <w:tcW w:w="1129" w:type="dxa"/>
            <w:tcBorders>
              <w:top w:val="single" w:sz="2" w:space="0" w:color="auto"/>
              <w:left w:val="single" w:sz="2" w:space="0" w:color="auto"/>
              <w:bottom w:val="nil"/>
              <w:right w:val="single" w:sz="2" w:space="0" w:color="auto"/>
            </w:tcBorders>
            <w:shd w:val="clear" w:color="auto" w:fill="516A8E"/>
            <w:vAlign w:val="center"/>
          </w:tcPr>
          <w:p w14:paraId="7C223AE2" w14:textId="77777777" w:rsidR="00B76A4B" w:rsidRPr="00CC1ADD" w:rsidRDefault="00B76A4B" w:rsidP="00CB0A32">
            <w:pPr>
              <w:jc w:val="center"/>
              <w:rPr>
                <w:rFonts w:cstheme="minorHAnsi"/>
                <w:b/>
                <w:color w:val="FFFFFF" w:themeColor="background1"/>
                <w:sz w:val="20"/>
                <w:szCs w:val="20"/>
              </w:rPr>
            </w:pPr>
            <w:bookmarkStart w:id="187" w:name="Baseline"/>
            <w:bookmarkEnd w:id="187"/>
            <w:r w:rsidRPr="00CC1ADD">
              <w:rPr>
                <w:rFonts w:cstheme="minorHAnsi"/>
                <w:b/>
                <w:color w:val="FFFFFF" w:themeColor="background1"/>
                <w:sz w:val="20"/>
                <w:szCs w:val="20"/>
              </w:rPr>
              <w:t>Baseline points</w:t>
            </w:r>
          </w:p>
        </w:tc>
        <w:tc>
          <w:tcPr>
            <w:tcW w:w="6946" w:type="dxa"/>
            <w:gridSpan w:val="3"/>
            <w:tcBorders>
              <w:left w:val="single" w:sz="2" w:space="0" w:color="auto"/>
            </w:tcBorders>
            <w:shd w:val="clear" w:color="auto" w:fill="516A8E"/>
            <w:vAlign w:val="center"/>
          </w:tcPr>
          <w:p w14:paraId="4839FBEB" w14:textId="77777777" w:rsidR="00B76A4B" w:rsidRPr="00CC1ADD" w:rsidRDefault="00B76A4B">
            <w:pPr>
              <w:jc w:val="center"/>
              <w:rPr>
                <w:rFonts w:cstheme="minorHAnsi"/>
                <w:b/>
                <w:color w:val="FFFFFF" w:themeColor="background1"/>
                <w:sz w:val="20"/>
                <w:szCs w:val="20"/>
              </w:rPr>
            </w:pPr>
            <w:r w:rsidRPr="00CC1ADD">
              <w:rPr>
                <w:rFonts w:cstheme="minorHAnsi"/>
                <w:b/>
                <w:color w:val="FFFFFF" w:themeColor="background1"/>
                <w:sz w:val="20"/>
                <w:szCs w:val="20"/>
              </w:rPr>
              <w:t>Average sodium (mg) per 100g or 100mL</w:t>
            </w:r>
          </w:p>
        </w:tc>
      </w:tr>
      <w:tr w:rsidR="00B76A4B" w:rsidRPr="00CC1ADD" w14:paraId="6A365E18" w14:textId="77777777" w:rsidTr="00CB0A32">
        <w:trPr>
          <w:trHeight w:val="411"/>
          <w:jc w:val="center"/>
        </w:trPr>
        <w:tc>
          <w:tcPr>
            <w:tcW w:w="1129" w:type="dxa"/>
            <w:tcBorders>
              <w:top w:val="nil"/>
              <w:left w:val="single" w:sz="2" w:space="0" w:color="auto"/>
              <w:bottom w:val="single" w:sz="2" w:space="0" w:color="auto"/>
              <w:right w:val="single" w:sz="2" w:space="0" w:color="auto"/>
            </w:tcBorders>
            <w:shd w:val="clear" w:color="auto" w:fill="516A8E"/>
            <w:vAlign w:val="center"/>
          </w:tcPr>
          <w:p w14:paraId="6695ACE8" w14:textId="77777777" w:rsidR="00B76A4B" w:rsidRPr="00CC1ADD" w:rsidRDefault="00B76A4B" w:rsidP="00CB0A32">
            <w:pPr>
              <w:jc w:val="center"/>
              <w:rPr>
                <w:rFonts w:cstheme="minorHAnsi"/>
                <w:b/>
                <w:color w:val="FFFFFF" w:themeColor="background1"/>
                <w:sz w:val="20"/>
                <w:szCs w:val="20"/>
              </w:rPr>
            </w:pPr>
          </w:p>
        </w:tc>
        <w:tc>
          <w:tcPr>
            <w:tcW w:w="2552" w:type="dxa"/>
            <w:tcBorders>
              <w:left w:val="single" w:sz="2" w:space="0" w:color="auto"/>
            </w:tcBorders>
            <w:shd w:val="clear" w:color="auto" w:fill="516A8E"/>
            <w:vAlign w:val="center"/>
          </w:tcPr>
          <w:p w14:paraId="1717407D" w14:textId="77777777" w:rsidR="00B76A4B" w:rsidRPr="00CC1ADD" w:rsidRDefault="00B76A4B">
            <w:pPr>
              <w:jc w:val="center"/>
              <w:rPr>
                <w:rFonts w:cstheme="minorHAnsi"/>
                <w:b/>
                <w:color w:val="FFFFFF" w:themeColor="background1"/>
                <w:sz w:val="20"/>
                <w:szCs w:val="20"/>
              </w:rPr>
            </w:pPr>
            <w:r w:rsidRPr="00CC1ADD">
              <w:rPr>
                <w:rFonts w:cstheme="minorHAnsi"/>
                <w:b/>
                <w:color w:val="FFFFFF" w:themeColor="background1"/>
                <w:sz w:val="20"/>
                <w:szCs w:val="20"/>
              </w:rPr>
              <w:t>Current for Cat 1, 1D, 2, 2D</w:t>
            </w:r>
          </w:p>
        </w:tc>
        <w:tc>
          <w:tcPr>
            <w:tcW w:w="2268" w:type="dxa"/>
            <w:shd w:val="clear" w:color="auto" w:fill="516A8E"/>
            <w:vAlign w:val="center"/>
          </w:tcPr>
          <w:p w14:paraId="7211A6B7" w14:textId="77777777" w:rsidR="00B76A4B" w:rsidRPr="00CC1ADD" w:rsidRDefault="00B76A4B">
            <w:pPr>
              <w:jc w:val="center"/>
              <w:rPr>
                <w:rFonts w:cstheme="minorHAnsi"/>
                <w:b/>
                <w:color w:val="FFFFFF" w:themeColor="background1"/>
                <w:sz w:val="20"/>
                <w:szCs w:val="20"/>
              </w:rPr>
            </w:pPr>
            <w:r w:rsidRPr="00CC1ADD">
              <w:rPr>
                <w:rFonts w:cstheme="minorHAnsi"/>
                <w:b/>
                <w:color w:val="FFFFFF" w:themeColor="background1"/>
                <w:sz w:val="20"/>
                <w:szCs w:val="20"/>
              </w:rPr>
              <w:t>Current for Cat 3 and 3D</w:t>
            </w:r>
          </w:p>
        </w:tc>
        <w:tc>
          <w:tcPr>
            <w:tcW w:w="2126" w:type="dxa"/>
            <w:shd w:val="clear" w:color="auto" w:fill="516A8E"/>
            <w:vAlign w:val="center"/>
          </w:tcPr>
          <w:p w14:paraId="2A35BA3C" w14:textId="77777777" w:rsidR="00B76A4B" w:rsidRPr="00CC1ADD" w:rsidRDefault="00B76A4B">
            <w:pPr>
              <w:jc w:val="center"/>
              <w:rPr>
                <w:rFonts w:cstheme="minorHAnsi"/>
                <w:b/>
                <w:color w:val="FFFFFF" w:themeColor="background1"/>
                <w:sz w:val="20"/>
                <w:szCs w:val="20"/>
              </w:rPr>
            </w:pPr>
            <w:r w:rsidRPr="00CC1ADD">
              <w:rPr>
                <w:rFonts w:cstheme="minorHAnsi"/>
                <w:b/>
                <w:color w:val="FFFFFF" w:themeColor="background1"/>
                <w:sz w:val="20"/>
                <w:szCs w:val="20"/>
              </w:rPr>
              <w:t>Additional option proposed for all Cats</w:t>
            </w:r>
          </w:p>
        </w:tc>
      </w:tr>
      <w:tr w:rsidR="00B76A4B" w:rsidRPr="00CC1ADD" w14:paraId="49953551" w14:textId="77777777" w:rsidTr="00CB0A32">
        <w:trPr>
          <w:jc w:val="center"/>
        </w:trPr>
        <w:tc>
          <w:tcPr>
            <w:tcW w:w="1129" w:type="dxa"/>
            <w:tcBorders>
              <w:top w:val="single" w:sz="2" w:space="0" w:color="auto"/>
            </w:tcBorders>
          </w:tcPr>
          <w:p w14:paraId="42C4B7CE" w14:textId="77777777" w:rsidR="00B76A4B" w:rsidRPr="00CC1ADD" w:rsidRDefault="00B76A4B" w:rsidP="005A3631">
            <w:pPr>
              <w:rPr>
                <w:rFonts w:cstheme="minorHAnsi"/>
                <w:sz w:val="20"/>
                <w:szCs w:val="20"/>
              </w:rPr>
            </w:pPr>
            <w:r w:rsidRPr="00CC1ADD">
              <w:rPr>
                <w:rFonts w:cstheme="minorHAnsi"/>
                <w:sz w:val="20"/>
                <w:szCs w:val="20"/>
              </w:rPr>
              <w:t>0</w:t>
            </w:r>
          </w:p>
        </w:tc>
        <w:tc>
          <w:tcPr>
            <w:tcW w:w="2552" w:type="dxa"/>
          </w:tcPr>
          <w:p w14:paraId="0FCC21B2" w14:textId="77777777" w:rsidR="00B76A4B" w:rsidRPr="00CC1ADD" w:rsidRDefault="00B76A4B">
            <w:pPr>
              <w:rPr>
                <w:rFonts w:cstheme="minorHAnsi"/>
                <w:sz w:val="20"/>
                <w:szCs w:val="20"/>
              </w:rPr>
            </w:pPr>
            <w:r w:rsidRPr="00CC1ADD">
              <w:rPr>
                <w:rFonts w:cstheme="minorHAnsi"/>
                <w:sz w:val="20"/>
                <w:szCs w:val="20"/>
              </w:rPr>
              <w:t>≤90</w:t>
            </w:r>
          </w:p>
        </w:tc>
        <w:tc>
          <w:tcPr>
            <w:tcW w:w="2268" w:type="dxa"/>
          </w:tcPr>
          <w:p w14:paraId="2535648F" w14:textId="77777777" w:rsidR="00B76A4B" w:rsidRPr="00CC1ADD" w:rsidRDefault="00B76A4B">
            <w:pPr>
              <w:rPr>
                <w:rFonts w:cstheme="minorHAnsi"/>
                <w:sz w:val="20"/>
                <w:szCs w:val="20"/>
              </w:rPr>
            </w:pPr>
            <w:r w:rsidRPr="00CC1ADD">
              <w:rPr>
                <w:rFonts w:cstheme="minorHAnsi"/>
                <w:sz w:val="20"/>
                <w:szCs w:val="20"/>
              </w:rPr>
              <w:t>≤ 90</w:t>
            </w:r>
          </w:p>
        </w:tc>
        <w:tc>
          <w:tcPr>
            <w:tcW w:w="2126" w:type="dxa"/>
          </w:tcPr>
          <w:p w14:paraId="0C5F92F3" w14:textId="77777777" w:rsidR="00B76A4B" w:rsidRPr="00CC1ADD" w:rsidRDefault="00B76A4B">
            <w:pPr>
              <w:rPr>
                <w:rFonts w:cstheme="minorHAnsi"/>
                <w:sz w:val="20"/>
                <w:szCs w:val="20"/>
              </w:rPr>
            </w:pPr>
            <w:r w:rsidRPr="00CC1ADD">
              <w:rPr>
                <w:rFonts w:cstheme="minorHAnsi"/>
                <w:sz w:val="20"/>
                <w:szCs w:val="20"/>
              </w:rPr>
              <w:t>≤75</w:t>
            </w:r>
          </w:p>
        </w:tc>
      </w:tr>
      <w:tr w:rsidR="00B76A4B" w:rsidRPr="00CC1ADD" w14:paraId="18ABA0AE" w14:textId="77777777" w:rsidTr="001D5779">
        <w:trPr>
          <w:jc w:val="center"/>
        </w:trPr>
        <w:tc>
          <w:tcPr>
            <w:tcW w:w="1129" w:type="dxa"/>
          </w:tcPr>
          <w:p w14:paraId="7C2B3160" w14:textId="77777777" w:rsidR="00B76A4B" w:rsidRPr="00CC1ADD" w:rsidRDefault="00B76A4B" w:rsidP="005A3631">
            <w:pPr>
              <w:rPr>
                <w:rFonts w:cstheme="minorHAnsi"/>
                <w:sz w:val="20"/>
                <w:szCs w:val="20"/>
              </w:rPr>
            </w:pPr>
            <w:r w:rsidRPr="00CC1ADD">
              <w:rPr>
                <w:rFonts w:cstheme="minorHAnsi"/>
                <w:sz w:val="20"/>
                <w:szCs w:val="20"/>
              </w:rPr>
              <w:t>1</w:t>
            </w:r>
          </w:p>
        </w:tc>
        <w:tc>
          <w:tcPr>
            <w:tcW w:w="2552" w:type="dxa"/>
          </w:tcPr>
          <w:p w14:paraId="20121E9F" w14:textId="77777777" w:rsidR="00B76A4B" w:rsidRPr="00CC1ADD" w:rsidRDefault="00B76A4B">
            <w:pPr>
              <w:rPr>
                <w:rFonts w:cstheme="minorHAnsi"/>
                <w:sz w:val="20"/>
                <w:szCs w:val="20"/>
              </w:rPr>
            </w:pPr>
            <w:r w:rsidRPr="00CC1ADD">
              <w:rPr>
                <w:rFonts w:cstheme="minorHAnsi"/>
                <w:sz w:val="20"/>
                <w:szCs w:val="20"/>
              </w:rPr>
              <w:t>&gt;90</w:t>
            </w:r>
          </w:p>
        </w:tc>
        <w:tc>
          <w:tcPr>
            <w:tcW w:w="2268" w:type="dxa"/>
          </w:tcPr>
          <w:p w14:paraId="722D7F38" w14:textId="77777777" w:rsidR="00B76A4B" w:rsidRPr="00CC1ADD" w:rsidRDefault="00B76A4B">
            <w:pPr>
              <w:rPr>
                <w:rFonts w:cstheme="minorHAnsi"/>
                <w:sz w:val="20"/>
                <w:szCs w:val="20"/>
              </w:rPr>
            </w:pPr>
            <w:r w:rsidRPr="00CC1ADD">
              <w:rPr>
                <w:rFonts w:cstheme="minorHAnsi"/>
                <w:sz w:val="20"/>
                <w:szCs w:val="20"/>
              </w:rPr>
              <w:t>&gt;90</w:t>
            </w:r>
          </w:p>
        </w:tc>
        <w:tc>
          <w:tcPr>
            <w:tcW w:w="2126" w:type="dxa"/>
          </w:tcPr>
          <w:p w14:paraId="56766FCB" w14:textId="77777777" w:rsidR="00B76A4B" w:rsidRPr="00CC1ADD" w:rsidRDefault="00B76A4B">
            <w:pPr>
              <w:rPr>
                <w:rFonts w:cstheme="minorHAnsi"/>
                <w:sz w:val="20"/>
                <w:szCs w:val="20"/>
              </w:rPr>
            </w:pPr>
            <w:r w:rsidRPr="00CC1ADD">
              <w:rPr>
                <w:rFonts w:cstheme="minorHAnsi"/>
                <w:sz w:val="20"/>
                <w:szCs w:val="20"/>
              </w:rPr>
              <w:t>&gt;75</w:t>
            </w:r>
          </w:p>
        </w:tc>
      </w:tr>
      <w:tr w:rsidR="00B76A4B" w:rsidRPr="00CC1ADD" w14:paraId="0F5E99C5" w14:textId="77777777" w:rsidTr="001D5779">
        <w:trPr>
          <w:jc w:val="center"/>
        </w:trPr>
        <w:tc>
          <w:tcPr>
            <w:tcW w:w="1129" w:type="dxa"/>
          </w:tcPr>
          <w:p w14:paraId="0B3FF633" w14:textId="77777777" w:rsidR="00B76A4B" w:rsidRPr="00CC1ADD" w:rsidRDefault="00B76A4B" w:rsidP="005A3631">
            <w:pPr>
              <w:rPr>
                <w:rFonts w:cstheme="minorHAnsi"/>
                <w:sz w:val="20"/>
                <w:szCs w:val="20"/>
              </w:rPr>
            </w:pPr>
            <w:r w:rsidRPr="00CC1ADD">
              <w:rPr>
                <w:rFonts w:cstheme="minorHAnsi"/>
                <w:sz w:val="20"/>
                <w:szCs w:val="20"/>
              </w:rPr>
              <w:t>2</w:t>
            </w:r>
          </w:p>
        </w:tc>
        <w:tc>
          <w:tcPr>
            <w:tcW w:w="2552" w:type="dxa"/>
          </w:tcPr>
          <w:p w14:paraId="2FD4C4D7" w14:textId="77777777" w:rsidR="00B76A4B" w:rsidRPr="00CC1ADD" w:rsidRDefault="00B76A4B">
            <w:pPr>
              <w:rPr>
                <w:rFonts w:cstheme="minorHAnsi"/>
                <w:sz w:val="20"/>
                <w:szCs w:val="20"/>
              </w:rPr>
            </w:pPr>
            <w:r w:rsidRPr="00CC1ADD">
              <w:rPr>
                <w:rFonts w:cstheme="minorHAnsi"/>
                <w:sz w:val="20"/>
                <w:szCs w:val="20"/>
              </w:rPr>
              <w:t>&gt;180</w:t>
            </w:r>
          </w:p>
        </w:tc>
        <w:tc>
          <w:tcPr>
            <w:tcW w:w="2268" w:type="dxa"/>
          </w:tcPr>
          <w:p w14:paraId="10903C6F" w14:textId="77777777" w:rsidR="00B76A4B" w:rsidRPr="00CC1ADD" w:rsidRDefault="00B76A4B">
            <w:pPr>
              <w:rPr>
                <w:rFonts w:cstheme="minorHAnsi"/>
                <w:sz w:val="20"/>
                <w:szCs w:val="20"/>
              </w:rPr>
            </w:pPr>
            <w:r w:rsidRPr="00CC1ADD">
              <w:rPr>
                <w:rFonts w:cstheme="minorHAnsi"/>
                <w:sz w:val="20"/>
                <w:szCs w:val="20"/>
              </w:rPr>
              <w:t>&gt;180</w:t>
            </w:r>
          </w:p>
        </w:tc>
        <w:tc>
          <w:tcPr>
            <w:tcW w:w="2126" w:type="dxa"/>
          </w:tcPr>
          <w:p w14:paraId="086B1704" w14:textId="77777777" w:rsidR="00B76A4B" w:rsidRPr="00CC1ADD" w:rsidRDefault="00B76A4B">
            <w:pPr>
              <w:rPr>
                <w:rFonts w:cstheme="minorHAnsi"/>
                <w:sz w:val="20"/>
                <w:szCs w:val="20"/>
              </w:rPr>
            </w:pPr>
            <w:r w:rsidRPr="00CC1ADD">
              <w:rPr>
                <w:rFonts w:cstheme="minorHAnsi"/>
                <w:sz w:val="20"/>
                <w:szCs w:val="20"/>
              </w:rPr>
              <w:t>&gt;150</w:t>
            </w:r>
          </w:p>
        </w:tc>
      </w:tr>
      <w:tr w:rsidR="00B76A4B" w:rsidRPr="00CC1ADD" w14:paraId="3994CF06" w14:textId="77777777" w:rsidTr="001D5779">
        <w:trPr>
          <w:jc w:val="center"/>
        </w:trPr>
        <w:tc>
          <w:tcPr>
            <w:tcW w:w="1129" w:type="dxa"/>
          </w:tcPr>
          <w:p w14:paraId="3B3DDF93" w14:textId="77777777" w:rsidR="00B76A4B" w:rsidRPr="00CC1ADD" w:rsidRDefault="00B76A4B" w:rsidP="005A3631">
            <w:pPr>
              <w:rPr>
                <w:rFonts w:cstheme="minorHAnsi"/>
                <w:sz w:val="20"/>
                <w:szCs w:val="20"/>
              </w:rPr>
            </w:pPr>
            <w:r w:rsidRPr="00CC1ADD">
              <w:rPr>
                <w:rFonts w:cstheme="minorHAnsi"/>
                <w:sz w:val="20"/>
                <w:szCs w:val="20"/>
              </w:rPr>
              <w:t>3</w:t>
            </w:r>
          </w:p>
        </w:tc>
        <w:tc>
          <w:tcPr>
            <w:tcW w:w="2552" w:type="dxa"/>
          </w:tcPr>
          <w:p w14:paraId="4FB6EF68" w14:textId="77777777" w:rsidR="00B76A4B" w:rsidRPr="00CC1ADD" w:rsidRDefault="00B76A4B">
            <w:pPr>
              <w:rPr>
                <w:rFonts w:cstheme="minorHAnsi"/>
                <w:sz w:val="20"/>
                <w:szCs w:val="20"/>
              </w:rPr>
            </w:pPr>
            <w:r w:rsidRPr="00CC1ADD">
              <w:rPr>
                <w:rFonts w:cstheme="minorHAnsi"/>
                <w:sz w:val="20"/>
                <w:szCs w:val="20"/>
              </w:rPr>
              <w:t>&gt;270</w:t>
            </w:r>
          </w:p>
        </w:tc>
        <w:tc>
          <w:tcPr>
            <w:tcW w:w="2268" w:type="dxa"/>
          </w:tcPr>
          <w:p w14:paraId="380B3CED" w14:textId="77777777" w:rsidR="00B76A4B" w:rsidRPr="00CC1ADD" w:rsidRDefault="00B76A4B">
            <w:pPr>
              <w:rPr>
                <w:rFonts w:cstheme="minorHAnsi"/>
                <w:sz w:val="20"/>
                <w:szCs w:val="20"/>
              </w:rPr>
            </w:pPr>
            <w:r w:rsidRPr="00CC1ADD">
              <w:rPr>
                <w:rFonts w:cstheme="minorHAnsi"/>
                <w:sz w:val="20"/>
                <w:szCs w:val="20"/>
              </w:rPr>
              <w:t>&gt;270</w:t>
            </w:r>
          </w:p>
        </w:tc>
        <w:tc>
          <w:tcPr>
            <w:tcW w:w="2126" w:type="dxa"/>
          </w:tcPr>
          <w:p w14:paraId="222D2944" w14:textId="77777777" w:rsidR="00B76A4B" w:rsidRPr="00CC1ADD" w:rsidRDefault="00B76A4B">
            <w:pPr>
              <w:rPr>
                <w:rFonts w:cstheme="minorHAnsi"/>
                <w:sz w:val="20"/>
                <w:szCs w:val="20"/>
              </w:rPr>
            </w:pPr>
            <w:r w:rsidRPr="00CC1ADD">
              <w:rPr>
                <w:rFonts w:cstheme="minorHAnsi"/>
                <w:sz w:val="20"/>
                <w:szCs w:val="20"/>
              </w:rPr>
              <w:t>&gt; 225</w:t>
            </w:r>
          </w:p>
        </w:tc>
      </w:tr>
      <w:tr w:rsidR="00B76A4B" w:rsidRPr="00CC1ADD" w14:paraId="6A4A1F08" w14:textId="77777777" w:rsidTr="001D5779">
        <w:trPr>
          <w:jc w:val="center"/>
        </w:trPr>
        <w:tc>
          <w:tcPr>
            <w:tcW w:w="1129" w:type="dxa"/>
          </w:tcPr>
          <w:p w14:paraId="1CD6F14C" w14:textId="77777777" w:rsidR="00B76A4B" w:rsidRPr="00CC1ADD" w:rsidRDefault="00B76A4B" w:rsidP="005A3631">
            <w:pPr>
              <w:rPr>
                <w:rFonts w:cstheme="minorHAnsi"/>
                <w:sz w:val="20"/>
                <w:szCs w:val="20"/>
              </w:rPr>
            </w:pPr>
            <w:r w:rsidRPr="00CC1ADD">
              <w:rPr>
                <w:rFonts w:cstheme="minorHAnsi"/>
                <w:sz w:val="20"/>
                <w:szCs w:val="20"/>
              </w:rPr>
              <w:t>4</w:t>
            </w:r>
          </w:p>
        </w:tc>
        <w:tc>
          <w:tcPr>
            <w:tcW w:w="2552" w:type="dxa"/>
          </w:tcPr>
          <w:p w14:paraId="7CF3BB76" w14:textId="77777777" w:rsidR="00B76A4B" w:rsidRPr="00CC1ADD" w:rsidRDefault="00B76A4B">
            <w:pPr>
              <w:rPr>
                <w:rFonts w:cstheme="minorHAnsi"/>
                <w:sz w:val="20"/>
                <w:szCs w:val="20"/>
              </w:rPr>
            </w:pPr>
            <w:r w:rsidRPr="00CC1ADD">
              <w:rPr>
                <w:rFonts w:cstheme="minorHAnsi"/>
                <w:sz w:val="20"/>
                <w:szCs w:val="20"/>
              </w:rPr>
              <w:t>&gt;360</w:t>
            </w:r>
          </w:p>
        </w:tc>
        <w:tc>
          <w:tcPr>
            <w:tcW w:w="2268" w:type="dxa"/>
          </w:tcPr>
          <w:p w14:paraId="2D6B8951" w14:textId="77777777" w:rsidR="00B76A4B" w:rsidRPr="00CC1ADD" w:rsidRDefault="00B76A4B">
            <w:pPr>
              <w:rPr>
                <w:rFonts w:cstheme="minorHAnsi"/>
                <w:sz w:val="20"/>
                <w:szCs w:val="20"/>
              </w:rPr>
            </w:pPr>
            <w:r w:rsidRPr="00CC1ADD">
              <w:rPr>
                <w:rFonts w:cstheme="minorHAnsi"/>
                <w:sz w:val="20"/>
                <w:szCs w:val="20"/>
              </w:rPr>
              <w:t>&gt;360</w:t>
            </w:r>
          </w:p>
        </w:tc>
        <w:tc>
          <w:tcPr>
            <w:tcW w:w="2126" w:type="dxa"/>
          </w:tcPr>
          <w:p w14:paraId="117FAE30" w14:textId="77777777" w:rsidR="00B76A4B" w:rsidRPr="00CC1ADD" w:rsidRDefault="00B76A4B">
            <w:pPr>
              <w:rPr>
                <w:rFonts w:cstheme="minorHAnsi"/>
                <w:sz w:val="20"/>
                <w:szCs w:val="20"/>
              </w:rPr>
            </w:pPr>
            <w:r w:rsidRPr="00CC1ADD">
              <w:rPr>
                <w:rFonts w:cstheme="minorHAnsi"/>
                <w:sz w:val="20"/>
                <w:szCs w:val="20"/>
              </w:rPr>
              <w:t>&gt; 300</w:t>
            </w:r>
          </w:p>
        </w:tc>
      </w:tr>
      <w:tr w:rsidR="00B76A4B" w:rsidRPr="00CC1ADD" w14:paraId="72BF177D" w14:textId="77777777" w:rsidTr="001D5779">
        <w:trPr>
          <w:jc w:val="center"/>
        </w:trPr>
        <w:tc>
          <w:tcPr>
            <w:tcW w:w="1129" w:type="dxa"/>
          </w:tcPr>
          <w:p w14:paraId="38956D91" w14:textId="77777777" w:rsidR="00B76A4B" w:rsidRPr="00CC1ADD" w:rsidRDefault="00B76A4B" w:rsidP="005A3631">
            <w:pPr>
              <w:rPr>
                <w:rFonts w:cstheme="minorHAnsi"/>
                <w:sz w:val="20"/>
                <w:szCs w:val="20"/>
              </w:rPr>
            </w:pPr>
            <w:r w:rsidRPr="00CC1ADD">
              <w:rPr>
                <w:rFonts w:cstheme="minorHAnsi"/>
                <w:sz w:val="20"/>
                <w:szCs w:val="20"/>
              </w:rPr>
              <w:t>5</w:t>
            </w:r>
          </w:p>
        </w:tc>
        <w:tc>
          <w:tcPr>
            <w:tcW w:w="2552" w:type="dxa"/>
          </w:tcPr>
          <w:p w14:paraId="57993096" w14:textId="77777777" w:rsidR="00B76A4B" w:rsidRPr="00CC1ADD" w:rsidRDefault="00B76A4B">
            <w:pPr>
              <w:rPr>
                <w:rFonts w:cstheme="minorHAnsi"/>
                <w:sz w:val="20"/>
                <w:szCs w:val="20"/>
              </w:rPr>
            </w:pPr>
            <w:r w:rsidRPr="00CC1ADD">
              <w:rPr>
                <w:rFonts w:cstheme="minorHAnsi"/>
                <w:sz w:val="20"/>
                <w:szCs w:val="20"/>
              </w:rPr>
              <w:t>&gt;450</w:t>
            </w:r>
          </w:p>
        </w:tc>
        <w:tc>
          <w:tcPr>
            <w:tcW w:w="2268" w:type="dxa"/>
          </w:tcPr>
          <w:p w14:paraId="2AE9CD53" w14:textId="77777777" w:rsidR="00B76A4B" w:rsidRPr="00CC1ADD" w:rsidRDefault="00B76A4B">
            <w:pPr>
              <w:rPr>
                <w:rFonts w:cstheme="minorHAnsi"/>
                <w:sz w:val="20"/>
                <w:szCs w:val="20"/>
              </w:rPr>
            </w:pPr>
            <w:r w:rsidRPr="00CC1ADD">
              <w:rPr>
                <w:rFonts w:cstheme="minorHAnsi"/>
                <w:sz w:val="20"/>
                <w:szCs w:val="20"/>
              </w:rPr>
              <w:t>&gt;450</w:t>
            </w:r>
          </w:p>
        </w:tc>
        <w:tc>
          <w:tcPr>
            <w:tcW w:w="2126" w:type="dxa"/>
          </w:tcPr>
          <w:p w14:paraId="6676B308" w14:textId="77777777" w:rsidR="00B76A4B" w:rsidRPr="00CC1ADD" w:rsidRDefault="00B76A4B">
            <w:pPr>
              <w:rPr>
                <w:rFonts w:cstheme="minorHAnsi"/>
                <w:sz w:val="20"/>
                <w:szCs w:val="20"/>
              </w:rPr>
            </w:pPr>
            <w:r w:rsidRPr="00CC1ADD">
              <w:rPr>
                <w:rFonts w:cstheme="minorHAnsi"/>
                <w:sz w:val="20"/>
                <w:szCs w:val="20"/>
              </w:rPr>
              <w:t>&gt; 375</w:t>
            </w:r>
          </w:p>
        </w:tc>
      </w:tr>
      <w:tr w:rsidR="00B76A4B" w:rsidRPr="00CC1ADD" w14:paraId="799251E4" w14:textId="77777777" w:rsidTr="001D5779">
        <w:trPr>
          <w:jc w:val="center"/>
        </w:trPr>
        <w:tc>
          <w:tcPr>
            <w:tcW w:w="1129" w:type="dxa"/>
          </w:tcPr>
          <w:p w14:paraId="27F51198" w14:textId="77777777" w:rsidR="00B76A4B" w:rsidRPr="00CC1ADD" w:rsidRDefault="00B76A4B" w:rsidP="005A3631">
            <w:pPr>
              <w:rPr>
                <w:rFonts w:cstheme="minorHAnsi"/>
                <w:sz w:val="20"/>
                <w:szCs w:val="20"/>
              </w:rPr>
            </w:pPr>
            <w:r w:rsidRPr="00CC1ADD">
              <w:rPr>
                <w:rFonts w:cstheme="minorHAnsi"/>
                <w:sz w:val="20"/>
                <w:szCs w:val="20"/>
              </w:rPr>
              <w:t>6</w:t>
            </w:r>
          </w:p>
        </w:tc>
        <w:tc>
          <w:tcPr>
            <w:tcW w:w="2552" w:type="dxa"/>
          </w:tcPr>
          <w:p w14:paraId="7FB0BF5E" w14:textId="77777777" w:rsidR="00B76A4B" w:rsidRPr="00CC1ADD" w:rsidRDefault="00B76A4B">
            <w:pPr>
              <w:rPr>
                <w:rFonts w:cstheme="minorHAnsi"/>
                <w:sz w:val="20"/>
                <w:szCs w:val="20"/>
              </w:rPr>
            </w:pPr>
            <w:r w:rsidRPr="00CC1ADD">
              <w:rPr>
                <w:rFonts w:cstheme="minorHAnsi"/>
                <w:sz w:val="20"/>
                <w:szCs w:val="20"/>
              </w:rPr>
              <w:t>&gt;540</w:t>
            </w:r>
          </w:p>
        </w:tc>
        <w:tc>
          <w:tcPr>
            <w:tcW w:w="2268" w:type="dxa"/>
          </w:tcPr>
          <w:p w14:paraId="3AAA8078" w14:textId="77777777" w:rsidR="00B76A4B" w:rsidRPr="00CC1ADD" w:rsidRDefault="00B76A4B">
            <w:pPr>
              <w:rPr>
                <w:rFonts w:cstheme="minorHAnsi"/>
                <w:sz w:val="20"/>
                <w:szCs w:val="20"/>
              </w:rPr>
            </w:pPr>
            <w:r w:rsidRPr="00CC1ADD">
              <w:rPr>
                <w:rFonts w:cstheme="minorHAnsi"/>
                <w:sz w:val="20"/>
                <w:szCs w:val="20"/>
              </w:rPr>
              <w:t>&gt;540</w:t>
            </w:r>
          </w:p>
        </w:tc>
        <w:tc>
          <w:tcPr>
            <w:tcW w:w="2126" w:type="dxa"/>
          </w:tcPr>
          <w:p w14:paraId="3A0F573B" w14:textId="77777777" w:rsidR="00B76A4B" w:rsidRPr="00CC1ADD" w:rsidRDefault="00B76A4B">
            <w:pPr>
              <w:rPr>
                <w:rFonts w:cstheme="minorHAnsi"/>
                <w:sz w:val="20"/>
                <w:szCs w:val="20"/>
              </w:rPr>
            </w:pPr>
            <w:r w:rsidRPr="00CC1ADD">
              <w:rPr>
                <w:rFonts w:cstheme="minorHAnsi"/>
                <w:sz w:val="20"/>
                <w:szCs w:val="20"/>
              </w:rPr>
              <w:t>&gt; 450</w:t>
            </w:r>
          </w:p>
        </w:tc>
      </w:tr>
      <w:tr w:rsidR="00B76A4B" w:rsidRPr="00CC1ADD" w14:paraId="1EEC4DE3" w14:textId="77777777" w:rsidTr="001D5779">
        <w:trPr>
          <w:jc w:val="center"/>
        </w:trPr>
        <w:tc>
          <w:tcPr>
            <w:tcW w:w="1129" w:type="dxa"/>
          </w:tcPr>
          <w:p w14:paraId="7D5C8166" w14:textId="77777777" w:rsidR="00B76A4B" w:rsidRPr="00CC1ADD" w:rsidRDefault="00B76A4B" w:rsidP="005A3631">
            <w:pPr>
              <w:rPr>
                <w:rFonts w:cstheme="minorHAnsi"/>
                <w:sz w:val="20"/>
                <w:szCs w:val="20"/>
              </w:rPr>
            </w:pPr>
            <w:r w:rsidRPr="00CC1ADD">
              <w:rPr>
                <w:rFonts w:cstheme="minorHAnsi"/>
                <w:sz w:val="20"/>
                <w:szCs w:val="20"/>
              </w:rPr>
              <w:t>7</w:t>
            </w:r>
          </w:p>
        </w:tc>
        <w:tc>
          <w:tcPr>
            <w:tcW w:w="2552" w:type="dxa"/>
          </w:tcPr>
          <w:p w14:paraId="60DD23B5" w14:textId="77777777" w:rsidR="00B76A4B" w:rsidRPr="00CC1ADD" w:rsidRDefault="00B76A4B">
            <w:pPr>
              <w:rPr>
                <w:rFonts w:cstheme="minorHAnsi"/>
                <w:sz w:val="20"/>
                <w:szCs w:val="20"/>
              </w:rPr>
            </w:pPr>
            <w:r w:rsidRPr="00CC1ADD">
              <w:rPr>
                <w:rFonts w:cstheme="minorHAnsi"/>
                <w:sz w:val="20"/>
                <w:szCs w:val="20"/>
              </w:rPr>
              <w:t>&gt;630</w:t>
            </w:r>
          </w:p>
        </w:tc>
        <w:tc>
          <w:tcPr>
            <w:tcW w:w="2268" w:type="dxa"/>
          </w:tcPr>
          <w:p w14:paraId="1EAFC81F" w14:textId="77777777" w:rsidR="00B76A4B" w:rsidRPr="00CC1ADD" w:rsidRDefault="00B76A4B">
            <w:pPr>
              <w:rPr>
                <w:rFonts w:cstheme="minorHAnsi"/>
                <w:sz w:val="20"/>
                <w:szCs w:val="20"/>
              </w:rPr>
            </w:pPr>
            <w:r w:rsidRPr="00CC1ADD">
              <w:rPr>
                <w:rFonts w:cstheme="minorHAnsi"/>
                <w:sz w:val="20"/>
                <w:szCs w:val="20"/>
              </w:rPr>
              <w:t>&gt;630</w:t>
            </w:r>
          </w:p>
        </w:tc>
        <w:tc>
          <w:tcPr>
            <w:tcW w:w="2126" w:type="dxa"/>
          </w:tcPr>
          <w:p w14:paraId="589D2048" w14:textId="77777777" w:rsidR="00B76A4B" w:rsidRPr="00CC1ADD" w:rsidRDefault="00B76A4B">
            <w:pPr>
              <w:rPr>
                <w:rFonts w:cstheme="minorHAnsi"/>
                <w:sz w:val="20"/>
                <w:szCs w:val="20"/>
              </w:rPr>
            </w:pPr>
            <w:r w:rsidRPr="00CC1ADD">
              <w:rPr>
                <w:rFonts w:cstheme="minorHAnsi"/>
                <w:sz w:val="20"/>
                <w:szCs w:val="20"/>
              </w:rPr>
              <w:t>&gt; 525</w:t>
            </w:r>
          </w:p>
        </w:tc>
      </w:tr>
      <w:tr w:rsidR="00B76A4B" w:rsidRPr="00CC1ADD" w14:paraId="4B12ABBB" w14:textId="77777777" w:rsidTr="001D5779">
        <w:trPr>
          <w:jc w:val="center"/>
        </w:trPr>
        <w:tc>
          <w:tcPr>
            <w:tcW w:w="1129" w:type="dxa"/>
          </w:tcPr>
          <w:p w14:paraId="6A74CE3C" w14:textId="77777777" w:rsidR="00B76A4B" w:rsidRPr="00CC1ADD" w:rsidRDefault="00B76A4B" w:rsidP="005A3631">
            <w:pPr>
              <w:rPr>
                <w:rFonts w:cstheme="minorHAnsi"/>
                <w:sz w:val="20"/>
                <w:szCs w:val="20"/>
              </w:rPr>
            </w:pPr>
            <w:r w:rsidRPr="00CC1ADD">
              <w:rPr>
                <w:rFonts w:cstheme="minorHAnsi"/>
                <w:sz w:val="20"/>
                <w:szCs w:val="20"/>
              </w:rPr>
              <w:t>8</w:t>
            </w:r>
          </w:p>
        </w:tc>
        <w:tc>
          <w:tcPr>
            <w:tcW w:w="2552" w:type="dxa"/>
          </w:tcPr>
          <w:p w14:paraId="1E18CCA9" w14:textId="77777777" w:rsidR="00B76A4B" w:rsidRPr="00CC1ADD" w:rsidRDefault="00B76A4B">
            <w:pPr>
              <w:rPr>
                <w:rFonts w:cstheme="minorHAnsi"/>
                <w:sz w:val="20"/>
                <w:szCs w:val="20"/>
              </w:rPr>
            </w:pPr>
            <w:r w:rsidRPr="00CC1ADD">
              <w:rPr>
                <w:rFonts w:cstheme="minorHAnsi"/>
                <w:sz w:val="20"/>
                <w:szCs w:val="20"/>
              </w:rPr>
              <w:t>&gt;720</w:t>
            </w:r>
          </w:p>
        </w:tc>
        <w:tc>
          <w:tcPr>
            <w:tcW w:w="2268" w:type="dxa"/>
          </w:tcPr>
          <w:p w14:paraId="38702259" w14:textId="77777777" w:rsidR="00B76A4B" w:rsidRPr="00CC1ADD" w:rsidRDefault="00B76A4B">
            <w:pPr>
              <w:rPr>
                <w:rFonts w:cstheme="minorHAnsi"/>
                <w:sz w:val="20"/>
                <w:szCs w:val="20"/>
              </w:rPr>
            </w:pPr>
            <w:r w:rsidRPr="00CC1ADD">
              <w:rPr>
                <w:rFonts w:cstheme="minorHAnsi"/>
                <w:sz w:val="20"/>
                <w:szCs w:val="20"/>
              </w:rPr>
              <w:t>&gt;720</w:t>
            </w:r>
          </w:p>
        </w:tc>
        <w:tc>
          <w:tcPr>
            <w:tcW w:w="2126" w:type="dxa"/>
          </w:tcPr>
          <w:p w14:paraId="40E27797" w14:textId="77777777" w:rsidR="00B76A4B" w:rsidRPr="00CC1ADD" w:rsidRDefault="00B76A4B">
            <w:pPr>
              <w:rPr>
                <w:rFonts w:cstheme="minorHAnsi"/>
                <w:sz w:val="20"/>
                <w:szCs w:val="20"/>
              </w:rPr>
            </w:pPr>
            <w:r w:rsidRPr="00CC1ADD">
              <w:rPr>
                <w:rFonts w:cstheme="minorHAnsi"/>
                <w:sz w:val="20"/>
                <w:szCs w:val="20"/>
              </w:rPr>
              <w:t>&gt; 600</w:t>
            </w:r>
          </w:p>
        </w:tc>
      </w:tr>
      <w:tr w:rsidR="00B76A4B" w:rsidRPr="00CC1ADD" w14:paraId="2EF8203D" w14:textId="77777777" w:rsidTr="001D5779">
        <w:trPr>
          <w:jc w:val="center"/>
        </w:trPr>
        <w:tc>
          <w:tcPr>
            <w:tcW w:w="1129" w:type="dxa"/>
          </w:tcPr>
          <w:p w14:paraId="2652F08A" w14:textId="77777777" w:rsidR="00B76A4B" w:rsidRPr="00CC1ADD" w:rsidRDefault="00B76A4B" w:rsidP="005A3631">
            <w:pPr>
              <w:rPr>
                <w:rFonts w:cstheme="minorHAnsi"/>
                <w:sz w:val="20"/>
                <w:szCs w:val="20"/>
              </w:rPr>
            </w:pPr>
            <w:r w:rsidRPr="00CC1ADD">
              <w:rPr>
                <w:rFonts w:cstheme="minorHAnsi"/>
                <w:sz w:val="20"/>
                <w:szCs w:val="20"/>
              </w:rPr>
              <w:t>9</w:t>
            </w:r>
          </w:p>
        </w:tc>
        <w:tc>
          <w:tcPr>
            <w:tcW w:w="2552" w:type="dxa"/>
          </w:tcPr>
          <w:p w14:paraId="56E29C2C" w14:textId="77777777" w:rsidR="00B76A4B" w:rsidRPr="00CC1ADD" w:rsidRDefault="00B76A4B">
            <w:pPr>
              <w:rPr>
                <w:rFonts w:cstheme="minorHAnsi"/>
                <w:sz w:val="20"/>
                <w:szCs w:val="20"/>
              </w:rPr>
            </w:pPr>
            <w:r w:rsidRPr="00CC1ADD">
              <w:rPr>
                <w:rFonts w:cstheme="minorHAnsi"/>
                <w:sz w:val="20"/>
                <w:szCs w:val="20"/>
              </w:rPr>
              <w:t>&gt;810</w:t>
            </w:r>
          </w:p>
        </w:tc>
        <w:tc>
          <w:tcPr>
            <w:tcW w:w="2268" w:type="dxa"/>
          </w:tcPr>
          <w:p w14:paraId="4E8E2D1C" w14:textId="77777777" w:rsidR="00B76A4B" w:rsidRPr="00CC1ADD" w:rsidRDefault="00B76A4B">
            <w:pPr>
              <w:rPr>
                <w:rFonts w:cstheme="minorHAnsi"/>
                <w:sz w:val="20"/>
                <w:szCs w:val="20"/>
              </w:rPr>
            </w:pPr>
            <w:r w:rsidRPr="00CC1ADD">
              <w:rPr>
                <w:rFonts w:cstheme="minorHAnsi"/>
                <w:sz w:val="20"/>
                <w:szCs w:val="20"/>
              </w:rPr>
              <w:t>&gt;810</w:t>
            </w:r>
          </w:p>
        </w:tc>
        <w:tc>
          <w:tcPr>
            <w:tcW w:w="2126" w:type="dxa"/>
          </w:tcPr>
          <w:p w14:paraId="3F655EF1" w14:textId="77777777" w:rsidR="00B76A4B" w:rsidRPr="00CC1ADD" w:rsidRDefault="00B76A4B">
            <w:pPr>
              <w:rPr>
                <w:rFonts w:cstheme="minorHAnsi"/>
                <w:sz w:val="20"/>
                <w:szCs w:val="20"/>
              </w:rPr>
            </w:pPr>
            <w:r w:rsidRPr="00CC1ADD">
              <w:rPr>
                <w:rFonts w:cstheme="minorHAnsi"/>
                <w:sz w:val="20"/>
                <w:szCs w:val="20"/>
              </w:rPr>
              <w:t>&gt; 675</w:t>
            </w:r>
          </w:p>
        </w:tc>
      </w:tr>
      <w:tr w:rsidR="00B76A4B" w:rsidRPr="00CC1ADD" w14:paraId="1A10F312" w14:textId="77777777" w:rsidTr="001D5779">
        <w:trPr>
          <w:jc w:val="center"/>
        </w:trPr>
        <w:tc>
          <w:tcPr>
            <w:tcW w:w="1129" w:type="dxa"/>
          </w:tcPr>
          <w:p w14:paraId="7FF99215" w14:textId="77777777" w:rsidR="00B76A4B" w:rsidRPr="00CC1ADD" w:rsidRDefault="00B76A4B" w:rsidP="005A3631">
            <w:pPr>
              <w:rPr>
                <w:rFonts w:cstheme="minorHAnsi"/>
                <w:sz w:val="20"/>
                <w:szCs w:val="20"/>
              </w:rPr>
            </w:pPr>
            <w:r w:rsidRPr="00CC1ADD">
              <w:rPr>
                <w:rFonts w:cstheme="minorHAnsi"/>
                <w:sz w:val="20"/>
                <w:szCs w:val="20"/>
              </w:rPr>
              <w:t>10</w:t>
            </w:r>
          </w:p>
        </w:tc>
        <w:tc>
          <w:tcPr>
            <w:tcW w:w="2552" w:type="dxa"/>
          </w:tcPr>
          <w:p w14:paraId="24662C3D" w14:textId="77777777" w:rsidR="00B76A4B" w:rsidRPr="00CC1ADD" w:rsidRDefault="00B76A4B">
            <w:pPr>
              <w:rPr>
                <w:rFonts w:cstheme="minorHAnsi"/>
                <w:sz w:val="20"/>
                <w:szCs w:val="20"/>
              </w:rPr>
            </w:pPr>
            <w:r w:rsidRPr="00CC1ADD">
              <w:rPr>
                <w:rFonts w:cstheme="minorHAnsi"/>
                <w:sz w:val="20"/>
                <w:szCs w:val="20"/>
              </w:rPr>
              <w:t>&gt;900</w:t>
            </w:r>
          </w:p>
        </w:tc>
        <w:tc>
          <w:tcPr>
            <w:tcW w:w="2268" w:type="dxa"/>
          </w:tcPr>
          <w:p w14:paraId="7EBBD654" w14:textId="77777777" w:rsidR="00B76A4B" w:rsidRPr="00CC1ADD" w:rsidRDefault="00B76A4B">
            <w:pPr>
              <w:rPr>
                <w:rFonts w:cstheme="minorHAnsi"/>
                <w:sz w:val="20"/>
                <w:szCs w:val="20"/>
              </w:rPr>
            </w:pPr>
            <w:r w:rsidRPr="00CC1ADD">
              <w:rPr>
                <w:rFonts w:cstheme="minorHAnsi"/>
                <w:sz w:val="20"/>
                <w:szCs w:val="20"/>
              </w:rPr>
              <w:t>&gt;900</w:t>
            </w:r>
          </w:p>
        </w:tc>
        <w:tc>
          <w:tcPr>
            <w:tcW w:w="2126" w:type="dxa"/>
          </w:tcPr>
          <w:p w14:paraId="071A613C" w14:textId="77777777" w:rsidR="00B76A4B" w:rsidRPr="00CC1ADD" w:rsidRDefault="00B76A4B">
            <w:pPr>
              <w:rPr>
                <w:rFonts w:cstheme="minorHAnsi"/>
                <w:sz w:val="20"/>
                <w:szCs w:val="20"/>
              </w:rPr>
            </w:pPr>
            <w:r w:rsidRPr="00CC1ADD">
              <w:rPr>
                <w:rFonts w:cstheme="minorHAnsi"/>
                <w:sz w:val="20"/>
                <w:szCs w:val="20"/>
              </w:rPr>
              <w:t>&gt; 750</w:t>
            </w:r>
          </w:p>
        </w:tc>
      </w:tr>
      <w:tr w:rsidR="00B76A4B" w:rsidRPr="00CC1ADD" w14:paraId="4128C4D3" w14:textId="77777777" w:rsidTr="001D5779">
        <w:trPr>
          <w:jc w:val="center"/>
        </w:trPr>
        <w:tc>
          <w:tcPr>
            <w:tcW w:w="1129" w:type="dxa"/>
          </w:tcPr>
          <w:p w14:paraId="1749BCD4" w14:textId="77777777" w:rsidR="00B76A4B" w:rsidRPr="00CC1ADD" w:rsidRDefault="00B76A4B" w:rsidP="005A3631">
            <w:pPr>
              <w:rPr>
                <w:rFonts w:cstheme="minorHAnsi"/>
                <w:sz w:val="20"/>
                <w:szCs w:val="20"/>
              </w:rPr>
            </w:pPr>
            <w:r w:rsidRPr="00CC1ADD">
              <w:rPr>
                <w:rFonts w:cstheme="minorHAnsi"/>
                <w:sz w:val="20"/>
                <w:szCs w:val="20"/>
              </w:rPr>
              <w:t>11</w:t>
            </w:r>
          </w:p>
        </w:tc>
        <w:tc>
          <w:tcPr>
            <w:tcW w:w="2552" w:type="dxa"/>
          </w:tcPr>
          <w:p w14:paraId="02DDC8D7" w14:textId="77777777" w:rsidR="00B76A4B" w:rsidRPr="00CC1ADD" w:rsidRDefault="00B76A4B">
            <w:pPr>
              <w:rPr>
                <w:rFonts w:cstheme="minorHAnsi"/>
                <w:sz w:val="20"/>
                <w:szCs w:val="20"/>
              </w:rPr>
            </w:pPr>
            <w:r w:rsidRPr="00CC1ADD">
              <w:rPr>
                <w:rFonts w:cstheme="minorHAnsi"/>
                <w:sz w:val="20"/>
                <w:szCs w:val="20"/>
              </w:rPr>
              <w:t>&gt;1005</w:t>
            </w:r>
          </w:p>
        </w:tc>
        <w:tc>
          <w:tcPr>
            <w:tcW w:w="2268" w:type="dxa"/>
          </w:tcPr>
          <w:p w14:paraId="116E9FF3" w14:textId="77777777" w:rsidR="00B76A4B" w:rsidRPr="00CC1ADD" w:rsidRDefault="00B76A4B">
            <w:pPr>
              <w:rPr>
                <w:rFonts w:cstheme="minorHAnsi"/>
                <w:sz w:val="20"/>
                <w:szCs w:val="20"/>
              </w:rPr>
            </w:pPr>
            <w:r w:rsidRPr="00CC1ADD">
              <w:rPr>
                <w:rFonts w:cstheme="minorHAnsi"/>
                <w:sz w:val="20"/>
                <w:szCs w:val="20"/>
              </w:rPr>
              <w:t>&gt;990</w:t>
            </w:r>
          </w:p>
        </w:tc>
        <w:tc>
          <w:tcPr>
            <w:tcW w:w="2126" w:type="dxa"/>
          </w:tcPr>
          <w:p w14:paraId="5BFAD777" w14:textId="77777777" w:rsidR="00B76A4B" w:rsidRPr="00CC1ADD" w:rsidRDefault="00B76A4B">
            <w:pPr>
              <w:rPr>
                <w:rFonts w:cstheme="minorHAnsi"/>
                <w:sz w:val="20"/>
                <w:szCs w:val="20"/>
              </w:rPr>
            </w:pPr>
            <w:r w:rsidRPr="00CC1ADD">
              <w:rPr>
                <w:rFonts w:cstheme="minorHAnsi"/>
                <w:sz w:val="20"/>
                <w:szCs w:val="20"/>
              </w:rPr>
              <w:t>&gt; 825</w:t>
            </w:r>
          </w:p>
        </w:tc>
      </w:tr>
      <w:tr w:rsidR="00B76A4B" w:rsidRPr="00CC1ADD" w14:paraId="42C9F44B" w14:textId="77777777" w:rsidTr="001D5779">
        <w:trPr>
          <w:jc w:val="center"/>
        </w:trPr>
        <w:tc>
          <w:tcPr>
            <w:tcW w:w="1129" w:type="dxa"/>
          </w:tcPr>
          <w:p w14:paraId="5413AF43" w14:textId="77777777" w:rsidR="00B76A4B" w:rsidRPr="00CC1ADD" w:rsidRDefault="00B76A4B" w:rsidP="005A3631">
            <w:pPr>
              <w:rPr>
                <w:rFonts w:cstheme="minorHAnsi"/>
                <w:sz w:val="20"/>
                <w:szCs w:val="20"/>
              </w:rPr>
            </w:pPr>
            <w:r w:rsidRPr="00CC1ADD">
              <w:rPr>
                <w:rFonts w:cstheme="minorHAnsi"/>
                <w:sz w:val="20"/>
                <w:szCs w:val="20"/>
              </w:rPr>
              <w:t>12</w:t>
            </w:r>
          </w:p>
        </w:tc>
        <w:tc>
          <w:tcPr>
            <w:tcW w:w="2552" w:type="dxa"/>
          </w:tcPr>
          <w:p w14:paraId="12378AAA" w14:textId="77777777" w:rsidR="00B76A4B" w:rsidRPr="00CC1ADD" w:rsidRDefault="00B76A4B">
            <w:pPr>
              <w:rPr>
                <w:rFonts w:cstheme="minorHAnsi"/>
                <w:sz w:val="20"/>
                <w:szCs w:val="20"/>
              </w:rPr>
            </w:pPr>
            <w:r w:rsidRPr="00CC1ADD">
              <w:rPr>
                <w:rFonts w:cstheme="minorHAnsi"/>
                <w:sz w:val="20"/>
                <w:szCs w:val="20"/>
              </w:rPr>
              <w:t>&gt;1121</w:t>
            </w:r>
          </w:p>
        </w:tc>
        <w:tc>
          <w:tcPr>
            <w:tcW w:w="2268" w:type="dxa"/>
          </w:tcPr>
          <w:p w14:paraId="77CF4FC1" w14:textId="77777777" w:rsidR="00B76A4B" w:rsidRPr="00CC1ADD" w:rsidRDefault="00B76A4B">
            <w:pPr>
              <w:rPr>
                <w:rFonts w:cstheme="minorHAnsi"/>
                <w:sz w:val="20"/>
                <w:szCs w:val="20"/>
              </w:rPr>
            </w:pPr>
            <w:r w:rsidRPr="00CC1ADD">
              <w:rPr>
                <w:rFonts w:cstheme="minorHAnsi"/>
                <w:sz w:val="20"/>
                <w:szCs w:val="20"/>
              </w:rPr>
              <w:t>&gt;1080</w:t>
            </w:r>
          </w:p>
        </w:tc>
        <w:tc>
          <w:tcPr>
            <w:tcW w:w="2126" w:type="dxa"/>
          </w:tcPr>
          <w:p w14:paraId="6733A190" w14:textId="77777777" w:rsidR="00B76A4B" w:rsidRPr="00CC1ADD" w:rsidRDefault="00B76A4B">
            <w:pPr>
              <w:rPr>
                <w:rFonts w:cstheme="minorHAnsi"/>
                <w:sz w:val="20"/>
                <w:szCs w:val="20"/>
              </w:rPr>
            </w:pPr>
            <w:r w:rsidRPr="00CC1ADD">
              <w:rPr>
                <w:rFonts w:cstheme="minorHAnsi"/>
                <w:sz w:val="20"/>
                <w:szCs w:val="20"/>
              </w:rPr>
              <w:t>&gt; 900</w:t>
            </w:r>
          </w:p>
        </w:tc>
      </w:tr>
      <w:tr w:rsidR="00B76A4B" w:rsidRPr="00CC1ADD" w14:paraId="37392EB2" w14:textId="77777777" w:rsidTr="001D5779">
        <w:trPr>
          <w:jc w:val="center"/>
        </w:trPr>
        <w:tc>
          <w:tcPr>
            <w:tcW w:w="1129" w:type="dxa"/>
          </w:tcPr>
          <w:p w14:paraId="58ADB910" w14:textId="77777777" w:rsidR="00B76A4B" w:rsidRPr="00CC1ADD" w:rsidRDefault="00B76A4B" w:rsidP="005A3631">
            <w:pPr>
              <w:rPr>
                <w:rFonts w:cstheme="minorHAnsi"/>
                <w:sz w:val="20"/>
                <w:szCs w:val="20"/>
              </w:rPr>
            </w:pPr>
            <w:r w:rsidRPr="00CC1ADD">
              <w:rPr>
                <w:rFonts w:cstheme="minorHAnsi"/>
                <w:sz w:val="20"/>
                <w:szCs w:val="20"/>
              </w:rPr>
              <w:t>13</w:t>
            </w:r>
          </w:p>
        </w:tc>
        <w:tc>
          <w:tcPr>
            <w:tcW w:w="2552" w:type="dxa"/>
          </w:tcPr>
          <w:p w14:paraId="1BA17029" w14:textId="77777777" w:rsidR="00B76A4B" w:rsidRPr="00CC1ADD" w:rsidRDefault="00B76A4B">
            <w:pPr>
              <w:rPr>
                <w:rFonts w:cstheme="minorHAnsi"/>
                <w:sz w:val="20"/>
                <w:szCs w:val="20"/>
              </w:rPr>
            </w:pPr>
            <w:r w:rsidRPr="00CC1ADD">
              <w:rPr>
                <w:rFonts w:cstheme="minorHAnsi"/>
                <w:sz w:val="20"/>
                <w:szCs w:val="20"/>
              </w:rPr>
              <w:t>&gt;1251</w:t>
            </w:r>
          </w:p>
        </w:tc>
        <w:tc>
          <w:tcPr>
            <w:tcW w:w="2268" w:type="dxa"/>
          </w:tcPr>
          <w:p w14:paraId="1B58841A" w14:textId="77777777" w:rsidR="00B76A4B" w:rsidRPr="00CC1ADD" w:rsidRDefault="00B76A4B">
            <w:pPr>
              <w:rPr>
                <w:rFonts w:cstheme="minorHAnsi"/>
                <w:sz w:val="20"/>
                <w:szCs w:val="20"/>
              </w:rPr>
            </w:pPr>
            <w:r w:rsidRPr="00CC1ADD">
              <w:rPr>
                <w:rFonts w:cstheme="minorHAnsi"/>
                <w:sz w:val="20"/>
                <w:szCs w:val="20"/>
              </w:rPr>
              <w:t>&gt;1170</w:t>
            </w:r>
          </w:p>
        </w:tc>
        <w:tc>
          <w:tcPr>
            <w:tcW w:w="2126" w:type="dxa"/>
          </w:tcPr>
          <w:p w14:paraId="2DD09D8E" w14:textId="77777777" w:rsidR="00B76A4B" w:rsidRPr="00CC1ADD" w:rsidRDefault="00B76A4B">
            <w:pPr>
              <w:rPr>
                <w:rFonts w:cstheme="minorHAnsi"/>
                <w:sz w:val="20"/>
                <w:szCs w:val="20"/>
              </w:rPr>
            </w:pPr>
            <w:r w:rsidRPr="00CC1ADD">
              <w:rPr>
                <w:rFonts w:cstheme="minorHAnsi"/>
                <w:sz w:val="20"/>
                <w:szCs w:val="20"/>
              </w:rPr>
              <w:t>&gt; 975</w:t>
            </w:r>
          </w:p>
        </w:tc>
      </w:tr>
      <w:tr w:rsidR="00B76A4B" w:rsidRPr="00CC1ADD" w14:paraId="1A4B2D96" w14:textId="77777777" w:rsidTr="001D5779">
        <w:trPr>
          <w:jc w:val="center"/>
        </w:trPr>
        <w:tc>
          <w:tcPr>
            <w:tcW w:w="1129" w:type="dxa"/>
          </w:tcPr>
          <w:p w14:paraId="27C141E6" w14:textId="77777777" w:rsidR="00B76A4B" w:rsidRPr="00CC1ADD" w:rsidRDefault="00B76A4B" w:rsidP="005A3631">
            <w:pPr>
              <w:rPr>
                <w:rFonts w:cstheme="minorHAnsi"/>
                <w:sz w:val="20"/>
                <w:szCs w:val="20"/>
              </w:rPr>
            </w:pPr>
            <w:r w:rsidRPr="00CC1ADD">
              <w:rPr>
                <w:rFonts w:cstheme="minorHAnsi"/>
                <w:sz w:val="20"/>
                <w:szCs w:val="20"/>
              </w:rPr>
              <w:t>14</w:t>
            </w:r>
          </w:p>
        </w:tc>
        <w:tc>
          <w:tcPr>
            <w:tcW w:w="2552" w:type="dxa"/>
          </w:tcPr>
          <w:p w14:paraId="3C09E939" w14:textId="77777777" w:rsidR="00B76A4B" w:rsidRPr="00CC1ADD" w:rsidRDefault="00B76A4B">
            <w:pPr>
              <w:rPr>
                <w:rFonts w:cstheme="minorHAnsi"/>
                <w:sz w:val="20"/>
                <w:szCs w:val="20"/>
              </w:rPr>
            </w:pPr>
            <w:r w:rsidRPr="00CC1ADD">
              <w:rPr>
                <w:rFonts w:cstheme="minorHAnsi"/>
                <w:sz w:val="20"/>
                <w:szCs w:val="20"/>
              </w:rPr>
              <w:t>&gt;1397</w:t>
            </w:r>
          </w:p>
        </w:tc>
        <w:tc>
          <w:tcPr>
            <w:tcW w:w="2268" w:type="dxa"/>
          </w:tcPr>
          <w:p w14:paraId="63451349" w14:textId="77777777" w:rsidR="00B76A4B" w:rsidRPr="00CC1ADD" w:rsidRDefault="00B76A4B">
            <w:pPr>
              <w:rPr>
                <w:rFonts w:cstheme="minorHAnsi"/>
                <w:sz w:val="20"/>
                <w:szCs w:val="20"/>
              </w:rPr>
            </w:pPr>
            <w:r w:rsidRPr="00CC1ADD">
              <w:rPr>
                <w:rFonts w:cstheme="minorHAnsi"/>
                <w:sz w:val="20"/>
                <w:szCs w:val="20"/>
              </w:rPr>
              <w:t>&gt;1260</w:t>
            </w:r>
          </w:p>
        </w:tc>
        <w:tc>
          <w:tcPr>
            <w:tcW w:w="2126" w:type="dxa"/>
          </w:tcPr>
          <w:p w14:paraId="6C01C0B7" w14:textId="77777777" w:rsidR="00B76A4B" w:rsidRPr="00CC1ADD" w:rsidRDefault="00B76A4B">
            <w:pPr>
              <w:rPr>
                <w:rFonts w:cstheme="minorHAnsi"/>
                <w:sz w:val="20"/>
                <w:szCs w:val="20"/>
              </w:rPr>
            </w:pPr>
            <w:r w:rsidRPr="00CC1ADD">
              <w:rPr>
                <w:rFonts w:cstheme="minorHAnsi"/>
                <w:sz w:val="20"/>
                <w:szCs w:val="20"/>
              </w:rPr>
              <w:t>&gt;1050</w:t>
            </w:r>
          </w:p>
        </w:tc>
      </w:tr>
      <w:tr w:rsidR="00B76A4B" w:rsidRPr="00CC1ADD" w14:paraId="2322D144" w14:textId="77777777" w:rsidTr="001D5779">
        <w:trPr>
          <w:jc w:val="center"/>
        </w:trPr>
        <w:tc>
          <w:tcPr>
            <w:tcW w:w="1129" w:type="dxa"/>
          </w:tcPr>
          <w:p w14:paraId="512085C5" w14:textId="77777777" w:rsidR="00B76A4B" w:rsidRPr="00CC1ADD" w:rsidRDefault="00B76A4B" w:rsidP="005A3631">
            <w:pPr>
              <w:rPr>
                <w:rFonts w:cstheme="minorHAnsi"/>
                <w:sz w:val="20"/>
                <w:szCs w:val="20"/>
              </w:rPr>
            </w:pPr>
            <w:r w:rsidRPr="00CC1ADD">
              <w:rPr>
                <w:rFonts w:cstheme="minorHAnsi"/>
                <w:sz w:val="20"/>
                <w:szCs w:val="20"/>
              </w:rPr>
              <w:t>15</w:t>
            </w:r>
          </w:p>
        </w:tc>
        <w:tc>
          <w:tcPr>
            <w:tcW w:w="2552" w:type="dxa"/>
          </w:tcPr>
          <w:p w14:paraId="67B8ABD5" w14:textId="77777777" w:rsidR="00B76A4B" w:rsidRPr="00CC1ADD" w:rsidRDefault="00B76A4B">
            <w:pPr>
              <w:rPr>
                <w:rFonts w:cstheme="minorHAnsi"/>
                <w:sz w:val="20"/>
                <w:szCs w:val="20"/>
              </w:rPr>
            </w:pPr>
            <w:r w:rsidRPr="00CC1ADD">
              <w:rPr>
                <w:rFonts w:cstheme="minorHAnsi"/>
                <w:sz w:val="20"/>
                <w:szCs w:val="20"/>
              </w:rPr>
              <w:t>&gt;1559</w:t>
            </w:r>
          </w:p>
        </w:tc>
        <w:tc>
          <w:tcPr>
            <w:tcW w:w="2268" w:type="dxa"/>
          </w:tcPr>
          <w:p w14:paraId="32A4FF58" w14:textId="77777777" w:rsidR="00B76A4B" w:rsidRPr="00CC1ADD" w:rsidRDefault="00B76A4B">
            <w:pPr>
              <w:rPr>
                <w:rFonts w:cstheme="minorHAnsi"/>
                <w:sz w:val="20"/>
                <w:szCs w:val="20"/>
              </w:rPr>
            </w:pPr>
            <w:r w:rsidRPr="00CC1ADD">
              <w:rPr>
                <w:rFonts w:cstheme="minorHAnsi"/>
                <w:sz w:val="20"/>
                <w:szCs w:val="20"/>
              </w:rPr>
              <w:t>&gt;1350</w:t>
            </w:r>
          </w:p>
        </w:tc>
        <w:tc>
          <w:tcPr>
            <w:tcW w:w="2126" w:type="dxa"/>
          </w:tcPr>
          <w:p w14:paraId="7EE49B32" w14:textId="77777777" w:rsidR="00B76A4B" w:rsidRPr="00CC1ADD" w:rsidRDefault="00B76A4B">
            <w:pPr>
              <w:rPr>
                <w:rFonts w:cstheme="minorHAnsi"/>
                <w:sz w:val="20"/>
                <w:szCs w:val="20"/>
              </w:rPr>
            </w:pPr>
            <w:r w:rsidRPr="00CC1ADD">
              <w:rPr>
                <w:rFonts w:cstheme="minorHAnsi"/>
                <w:sz w:val="20"/>
                <w:szCs w:val="20"/>
              </w:rPr>
              <w:t>&gt;1125</w:t>
            </w:r>
          </w:p>
        </w:tc>
      </w:tr>
      <w:tr w:rsidR="00B76A4B" w:rsidRPr="00CC1ADD" w14:paraId="22AF8B89" w14:textId="77777777" w:rsidTr="001D5779">
        <w:trPr>
          <w:jc w:val="center"/>
        </w:trPr>
        <w:tc>
          <w:tcPr>
            <w:tcW w:w="1129" w:type="dxa"/>
          </w:tcPr>
          <w:p w14:paraId="09C2DA2D" w14:textId="77777777" w:rsidR="00B76A4B" w:rsidRPr="00CC1ADD" w:rsidRDefault="00B76A4B" w:rsidP="005A3631">
            <w:pPr>
              <w:rPr>
                <w:rFonts w:cstheme="minorHAnsi"/>
                <w:sz w:val="20"/>
                <w:szCs w:val="20"/>
              </w:rPr>
            </w:pPr>
            <w:r w:rsidRPr="00CC1ADD">
              <w:rPr>
                <w:rFonts w:cstheme="minorHAnsi"/>
                <w:sz w:val="20"/>
                <w:szCs w:val="20"/>
              </w:rPr>
              <w:t>16</w:t>
            </w:r>
          </w:p>
        </w:tc>
        <w:tc>
          <w:tcPr>
            <w:tcW w:w="2552" w:type="dxa"/>
          </w:tcPr>
          <w:p w14:paraId="133893DE" w14:textId="77777777" w:rsidR="00B76A4B" w:rsidRPr="00CC1ADD" w:rsidRDefault="00B76A4B">
            <w:pPr>
              <w:rPr>
                <w:rFonts w:cstheme="minorHAnsi"/>
                <w:sz w:val="20"/>
                <w:szCs w:val="20"/>
              </w:rPr>
            </w:pPr>
            <w:r w:rsidRPr="00CC1ADD">
              <w:rPr>
                <w:rFonts w:cstheme="minorHAnsi"/>
                <w:sz w:val="20"/>
                <w:szCs w:val="20"/>
              </w:rPr>
              <w:t>&gt;1740</w:t>
            </w:r>
          </w:p>
        </w:tc>
        <w:tc>
          <w:tcPr>
            <w:tcW w:w="2268" w:type="dxa"/>
          </w:tcPr>
          <w:p w14:paraId="7C8D62DE" w14:textId="77777777" w:rsidR="00B76A4B" w:rsidRPr="00CC1ADD" w:rsidRDefault="00B76A4B">
            <w:pPr>
              <w:rPr>
                <w:rFonts w:cstheme="minorHAnsi"/>
                <w:sz w:val="20"/>
                <w:szCs w:val="20"/>
              </w:rPr>
            </w:pPr>
            <w:r w:rsidRPr="00CC1ADD">
              <w:rPr>
                <w:rFonts w:cstheme="minorHAnsi"/>
                <w:sz w:val="20"/>
                <w:szCs w:val="20"/>
              </w:rPr>
              <w:t>&gt;1440</w:t>
            </w:r>
          </w:p>
        </w:tc>
        <w:tc>
          <w:tcPr>
            <w:tcW w:w="2126" w:type="dxa"/>
          </w:tcPr>
          <w:p w14:paraId="5716D9D4" w14:textId="77777777" w:rsidR="00B76A4B" w:rsidRPr="00CC1ADD" w:rsidRDefault="00B76A4B">
            <w:pPr>
              <w:rPr>
                <w:rFonts w:cstheme="minorHAnsi"/>
                <w:sz w:val="20"/>
                <w:szCs w:val="20"/>
              </w:rPr>
            </w:pPr>
            <w:r w:rsidRPr="00CC1ADD">
              <w:rPr>
                <w:rFonts w:cstheme="minorHAnsi"/>
                <w:sz w:val="20"/>
                <w:szCs w:val="20"/>
              </w:rPr>
              <w:t>&gt;1200</w:t>
            </w:r>
          </w:p>
        </w:tc>
      </w:tr>
      <w:tr w:rsidR="00B76A4B" w:rsidRPr="00CC1ADD" w14:paraId="0AF3A131" w14:textId="77777777" w:rsidTr="001D5779">
        <w:trPr>
          <w:jc w:val="center"/>
        </w:trPr>
        <w:tc>
          <w:tcPr>
            <w:tcW w:w="1129" w:type="dxa"/>
          </w:tcPr>
          <w:p w14:paraId="4388C15D" w14:textId="77777777" w:rsidR="00B76A4B" w:rsidRPr="00CC1ADD" w:rsidRDefault="00B76A4B" w:rsidP="005A3631">
            <w:pPr>
              <w:rPr>
                <w:rFonts w:cstheme="minorHAnsi"/>
                <w:sz w:val="20"/>
                <w:szCs w:val="20"/>
              </w:rPr>
            </w:pPr>
            <w:r w:rsidRPr="00CC1ADD">
              <w:rPr>
                <w:rFonts w:cstheme="minorHAnsi"/>
                <w:sz w:val="20"/>
                <w:szCs w:val="20"/>
              </w:rPr>
              <w:t>17</w:t>
            </w:r>
          </w:p>
        </w:tc>
        <w:tc>
          <w:tcPr>
            <w:tcW w:w="2552" w:type="dxa"/>
          </w:tcPr>
          <w:p w14:paraId="706EE845" w14:textId="77777777" w:rsidR="00B76A4B" w:rsidRPr="00CC1ADD" w:rsidRDefault="00B76A4B">
            <w:pPr>
              <w:rPr>
                <w:rFonts w:cstheme="minorHAnsi"/>
                <w:sz w:val="20"/>
                <w:szCs w:val="20"/>
              </w:rPr>
            </w:pPr>
            <w:r w:rsidRPr="00CC1ADD">
              <w:rPr>
                <w:rFonts w:cstheme="minorHAnsi"/>
                <w:sz w:val="20"/>
                <w:szCs w:val="20"/>
              </w:rPr>
              <w:t>&gt;1942</w:t>
            </w:r>
          </w:p>
        </w:tc>
        <w:tc>
          <w:tcPr>
            <w:tcW w:w="2268" w:type="dxa"/>
          </w:tcPr>
          <w:p w14:paraId="69D196F3" w14:textId="77777777" w:rsidR="00B76A4B" w:rsidRPr="00CC1ADD" w:rsidRDefault="00B76A4B">
            <w:pPr>
              <w:rPr>
                <w:rFonts w:cstheme="minorHAnsi"/>
                <w:sz w:val="20"/>
                <w:szCs w:val="20"/>
              </w:rPr>
            </w:pPr>
            <w:r w:rsidRPr="00CC1ADD">
              <w:rPr>
                <w:rFonts w:cstheme="minorHAnsi"/>
                <w:sz w:val="20"/>
                <w:szCs w:val="20"/>
              </w:rPr>
              <w:t>&gt;1530</w:t>
            </w:r>
          </w:p>
        </w:tc>
        <w:tc>
          <w:tcPr>
            <w:tcW w:w="2126" w:type="dxa"/>
          </w:tcPr>
          <w:p w14:paraId="2898DA18" w14:textId="77777777" w:rsidR="00B76A4B" w:rsidRPr="00CC1ADD" w:rsidRDefault="00B76A4B">
            <w:pPr>
              <w:rPr>
                <w:rFonts w:cstheme="minorHAnsi"/>
                <w:sz w:val="20"/>
                <w:szCs w:val="20"/>
              </w:rPr>
            </w:pPr>
            <w:r w:rsidRPr="00CC1ADD">
              <w:rPr>
                <w:rFonts w:cstheme="minorHAnsi"/>
                <w:sz w:val="20"/>
                <w:szCs w:val="20"/>
              </w:rPr>
              <w:t>&gt;1275</w:t>
            </w:r>
          </w:p>
        </w:tc>
      </w:tr>
      <w:tr w:rsidR="00B76A4B" w:rsidRPr="00CC1ADD" w14:paraId="5BFF6E79" w14:textId="77777777" w:rsidTr="001D5779">
        <w:trPr>
          <w:jc w:val="center"/>
        </w:trPr>
        <w:tc>
          <w:tcPr>
            <w:tcW w:w="1129" w:type="dxa"/>
          </w:tcPr>
          <w:p w14:paraId="3F7B7971" w14:textId="77777777" w:rsidR="00B76A4B" w:rsidRPr="00CC1ADD" w:rsidRDefault="00B76A4B" w:rsidP="005A3631">
            <w:pPr>
              <w:rPr>
                <w:rFonts w:cstheme="minorHAnsi"/>
                <w:sz w:val="20"/>
                <w:szCs w:val="20"/>
              </w:rPr>
            </w:pPr>
            <w:r w:rsidRPr="00CC1ADD">
              <w:rPr>
                <w:rFonts w:cstheme="minorHAnsi"/>
                <w:sz w:val="20"/>
                <w:szCs w:val="20"/>
              </w:rPr>
              <w:t>18</w:t>
            </w:r>
          </w:p>
        </w:tc>
        <w:tc>
          <w:tcPr>
            <w:tcW w:w="2552" w:type="dxa"/>
          </w:tcPr>
          <w:p w14:paraId="7EEEB711" w14:textId="77777777" w:rsidR="00B76A4B" w:rsidRPr="00CC1ADD" w:rsidRDefault="00B76A4B">
            <w:pPr>
              <w:rPr>
                <w:rFonts w:cstheme="minorHAnsi"/>
                <w:sz w:val="20"/>
                <w:szCs w:val="20"/>
              </w:rPr>
            </w:pPr>
            <w:r w:rsidRPr="00CC1ADD">
              <w:rPr>
                <w:rFonts w:cstheme="minorHAnsi"/>
                <w:sz w:val="20"/>
                <w:szCs w:val="20"/>
              </w:rPr>
              <w:t>&gt;2168</w:t>
            </w:r>
          </w:p>
        </w:tc>
        <w:tc>
          <w:tcPr>
            <w:tcW w:w="2268" w:type="dxa"/>
          </w:tcPr>
          <w:p w14:paraId="26F21145" w14:textId="77777777" w:rsidR="00B76A4B" w:rsidRPr="00CC1ADD" w:rsidRDefault="00B76A4B">
            <w:pPr>
              <w:rPr>
                <w:rFonts w:cstheme="minorHAnsi"/>
                <w:sz w:val="20"/>
                <w:szCs w:val="20"/>
              </w:rPr>
            </w:pPr>
            <w:r w:rsidRPr="00CC1ADD">
              <w:rPr>
                <w:rFonts w:cstheme="minorHAnsi"/>
                <w:sz w:val="20"/>
                <w:szCs w:val="20"/>
              </w:rPr>
              <w:t>&gt;1620</w:t>
            </w:r>
          </w:p>
        </w:tc>
        <w:tc>
          <w:tcPr>
            <w:tcW w:w="2126" w:type="dxa"/>
          </w:tcPr>
          <w:p w14:paraId="2F8D54EA" w14:textId="77777777" w:rsidR="00B76A4B" w:rsidRPr="00CC1ADD" w:rsidRDefault="00B76A4B">
            <w:pPr>
              <w:rPr>
                <w:rFonts w:cstheme="minorHAnsi"/>
                <w:sz w:val="20"/>
                <w:szCs w:val="20"/>
              </w:rPr>
            </w:pPr>
            <w:r w:rsidRPr="00CC1ADD">
              <w:rPr>
                <w:rFonts w:cstheme="minorHAnsi"/>
                <w:sz w:val="20"/>
                <w:szCs w:val="20"/>
              </w:rPr>
              <w:t>&gt;1350</w:t>
            </w:r>
          </w:p>
        </w:tc>
      </w:tr>
      <w:tr w:rsidR="00B76A4B" w:rsidRPr="00CC1ADD" w14:paraId="24BE813D" w14:textId="77777777" w:rsidTr="001D5779">
        <w:trPr>
          <w:jc w:val="center"/>
        </w:trPr>
        <w:tc>
          <w:tcPr>
            <w:tcW w:w="1129" w:type="dxa"/>
          </w:tcPr>
          <w:p w14:paraId="713DED26" w14:textId="77777777" w:rsidR="00B76A4B" w:rsidRPr="00CC1ADD" w:rsidRDefault="00B76A4B" w:rsidP="005A3631">
            <w:pPr>
              <w:rPr>
                <w:rFonts w:cstheme="minorHAnsi"/>
                <w:sz w:val="20"/>
                <w:szCs w:val="20"/>
              </w:rPr>
            </w:pPr>
            <w:r w:rsidRPr="00CC1ADD">
              <w:rPr>
                <w:rFonts w:cstheme="minorHAnsi"/>
                <w:sz w:val="20"/>
                <w:szCs w:val="20"/>
              </w:rPr>
              <w:t>19</w:t>
            </w:r>
          </w:p>
        </w:tc>
        <w:tc>
          <w:tcPr>
            <w:tcW w:w="2552" w:type="dxa"/>
          </w:tcPr>
          <w:p w14:paraId="6FBFB8CC" w14:textId="77777777" w:rsidR="00B76A4B" w:rsidRPr="00CC1ADD" w:rsidRDefault="00B76A4B">
            <w:pPr>
              <w:rPr>
                <w:rFonts w:cstheme="minorHAnsi"/>
                <w:sz w:val="20"/>
                <w:szCs w:val="20"/>
              </w:rPr>
            </w:pPr>
            <w:r w:rsidRPr="00CC1ADD">
              <w:rPr>
                <w:rFonts w:cstheme="minorHAnsi"/>
                <w:sz w:val="20"/>
                <w:szCs w:val="20"/>
              </w:rPr>
              <w:t>&gt;2420</w:t>
            </w:r>
          </w:p>
        </w:tc>
        <w:tc>
          <w:tcPr>
            <w:tcW w:w="2268" w:type="dxa"/>
          </w:tcPr>
          <w:p w14:paraId="29215CD4" w14:textId="77777777" w:rsidR="00B76A4B" w:rsidRPr="00CC1ADD" w:rsidRDefault="00B76A4B">
            <w:pPr>
              <w:rPr>
                <w:rFonts w:cstheme="minorHAnsi"/>
                <w:sz w:val="20"/>
                <w:szCs w:val="20"/>
              </w:rPr>
            </w:pPr>
            <w:r w:rsidRPr="00CC1ADD">
              <w:rPr>
                <w:rFonts w:cstheme="minorHAnsi"/>
                <w:sz w:val="20"/>
                <w:szCs w:val="20"/>
              </w:rPr>
              <w:t>&gt;1710</w:t>
            </w:r>
          </w:p>
        </w:tc>
        <w:tc>
          <w:tcPr>
            <w:tcW w:w="2126" w:type="dxa"/>
          </w:tcPr>
          <w:p w14:paraId="7FF2E816" w14:textId="77777777" w:rsidR="00B76A4B" w:rsidRPr="00CC1ADD" w:rsidRDefault="00B76A4B">
            <w:pPr>
              <w:rPr>
                <w:rFonts w:cstheme="minorHAnsi"/>
                <w:sz w:val="20"/>
                <w:szCs w:val="20"/>
              </w:rPr>
            </w:pPr>
            <w:r w:rsidRPr="00CC1ADD">
              <w:rPr>
                <w:rFonts w:cstheme="minorHAnsi"/>
                <w:sz w:val="20"/>
                <w:szCs w:val="20"/>
              </w:rPr>
              <w:t>&gt;1425</w:t>
            </w:r>
          </w:p>
        </w:tc>
      </w:tr>
      <w:tr w:rsidR="00B76A4B" w:rsidRPr="00CC1ADD" w14:paraId="42D04E93" w14:textId="77777777" w:rsidTr="001D5779">
        <w:trPr>
          <w:jc w:val="center"/>
        </w:trPr>
        <w:tc>
          <w:tcPr>
            <w:tcW w:w="1129" w:type="dxa"/>
          </w:tcPr>
          <w:p w14:paraId="3B70D4B5" w14:textId="77777777" w:rsidR="00B76A4B" w:rsidRPr="00CC1ADD" w:rsidRDefault="00B76A4B" w:rsidP="005A3631">
            <w:pPr>
              <w:rPr>
                <w:rFonts w:cstheme="minorHAnsi"/>
                <w:sz w:val="20"/>
                <w:szCs w:val="20"/>
              </w:rPr>
            </w:pPr>
            <w:r w:rsidRPr="00CC1ADD">
              <w:rPr>
                <w:rFonts w:cstheme="minorHAnsi"/>
                <w:sz w:val="20"/>
                <w:szCs w:val="20"/>
              </w:rPr>
              <w:t>20</w:t>
            </w:r>
          </w:p>
        </w:tc>
        <w:tc>
          <w:tcPr>
            <w:tcW w:w="2552" w:type="dxa"/>
          </w:tcPr>
          <w:p w14:paraId="729CEB88" w14:textId="77777777" w:rsidR="00B76A4B" w:rsidRPr="00CC1ADD" w:rsidRDefault="00B76A4B">
            <w:pPr>
              <w:rPr>
                <w:rFonts w:cstheme="minorHAnsi"/>
                <w:sz w:val="20"/>
                <w:szCs w:val="20"/>
              </w:rPr>
            </w:pPr>
            <w:r w:rsidRPr="00CC1ADD">
              <w:rPr>
                <w:rFonts w:cstheme="minorHAnsi"/>
                <w:sz w:val="20"/>
                <w:szCs w:val="20"/>
              </w:rPr>
              <w:t>&gt;2701</w:t>
            </w:r>
          </w:p>
        </w:tc>
        <w:tc>
          <w:tcPr>
            <w:tcW w:w="2268" w:type="dxa"/>
          </w:tcPr>
          <w:p w14:paraId="0904C110" w14:textId="77777777" w:rsidR="00B76A4B" w:rsidRPr="00CC1ADD" w:rsidRDefault="00B76A4B">
            <w:pPr>
              <w:rPr>
                <w:rFonts w:cstheme="minorHAnsi"/>
                <w:sz w:val="20"/>
                <w:szCs w:val="20"/>
              </w:rPr>
            </w:pPr>
            <w:r w:rsidRPr="00CC1ADD">
              <w:rPr>
                <w:rFonts w:cstheme="minorHAnsi"/>
                <w:sz w:val="20"/>
                <w:szCs w:val="20"/>
              </w:rPr>
              <w:t>&gt;1800</w:t>
            </w:r>
          </w:p>
        </w:tc>
        <w:tc>
          <w:tcPr>
            <w:tcW w:w="2126" w:type="dxa"/>
          </w:tcPr>
          <w:p w14:paraId="166F31A5" w14:textId="77777777" w:rsidR="00B76A4B" w:rsidRPr="00CC1ADD" w:rsidRDefault="00B76A4B">
            <w:pPr>
              <w:rPr>
                <w:rFonts w:cstheme="minorHAnsi"/>
                <w:sz w:val="20"/>
                <w:szCs w:val="20"/>
              </w:rPr>
            </w:pPr>
            <w:r w:rsidRPr="00CC1ADD">
              <w:rPr>
                <w:rFonts w:cstheme="minorHAnsi"/>
                <w:sz w:val="20"/>
                <w:szCs w:val="20"/>
              </w:rPr>
              <w:t>&gt;1500</w:t>
            </w:r>
          </w:p>
        </w:tc>
      </w:tr>
      <w:tr w:rsidR="00B76A4B" w:rsidRPr="00CC1ADD" w14:paraId="1636EBE6" w14:textId="77777777" w:rsidTr="001D5779">
        <w:trPr>
          <w:jc w:val="center"/>
        </w:trPr>
        <w:tc>
          <w:tcPr>
            <w:tcW w:w="1129" w:type="dxa"/>
          </w:tcPr>
          <w:p w14:paraId="4C6329C1" w14:textId="77777777" w:rsidR="00B76A4B" w:rsidRPr="00CC1ADD" w:rsidRDefault="00B76A4B" w:rsidP="005A3631">
            <w:pPr>
              <w:rPr>
                <w:rFonts w:cstheme="minorHAnsi"/>
                <w:sz w:val="20"/>
                <w:szCs w:val="20"/>
              </w:rPr>
            </w:pPr>
            <w:r w:rsidRPr="00CC1ADD">
              <w:rPr>
                <w:rFonts w:cstheme="minorHAnsi"/>
                <w:sz w:val="20"/>
                <w:szCs w:val="20"/>
              </w:rPr>
              <w:t>21</w:t>
            </w:r>
          </w:p>
        </w:tc>
        <w:tc>
          <w:tcPr>
            <w:tcW w:w="2552" w:type="dxa"/>
          </w:tcPr>
          <w:p w14:paraId="1345AE7A" w14:textId="77777777" w:rsidR="00B76A4B" w:rsidRPr="00CC1ADD" w:rsidRDefault="00B76A4B">
            <w:pPr>
              <w:rPr>
                <w:rFonts w:cstheme="minorHAnsi"/>
                <w:sz w:val="20"/>
                <w:szCs w:val="20"/>
              </w:rPr>
            </w:pPr>
            <w:r w:rsidRPr="00CC1ADD">
              <w:rPr>
                <w:rFonts w:cstheme="minorHAnsi"/>
                <w:sz w:val="20"/>
                <w:szCs w:val="20"/>
              </w:rPr>
              <w:t>&gt;3015</w:t>
            </w:r>
          </w:p>
        </w:tc>
        <w:tc>
          <w:tcPr>
            <w:tcW w:w="2268" w:type="dxa"/>
          </w:tcPr>
          <w:p w14:paraId="73433E3B" w14:textId="77777777" w:rsidR="00B76A4B" w:rsidRPr="00CC1ADD" w:rsidRDefault="00B76A4B">
            <w:pPr>
              <w:rPr>
                <w:rFonts w:cstheme="minorHAnsi"/>
                <w:sz w:val="20"/>
                <w:szCs w:val="20"/>
              </w:rPr>
            </w:pPr>
            <w:r w:rsidRPr="00CC1ADD">
              <w:rPr>
                <w:rFonts w:cstheme="minorHAnsi"/>
                <w:sz w:val="20"/>
                <w:szCs w:val="20"/>
              </w:rPr>
              <w:t>&gt;1890</w:t>
            </w:r>
          </w:p>
        </w:tc>
        <w:tc>
          <w:tcPr>
            <w:tcW w:w="2126" w:type="dxa"/>
          </w:tcPr>
          <w:p w14:paraId="75B75B4F" w14:textId="77777777" w:rsidR="00B76A4B" w:rsidRPr="00CC1ADD" w:rsidRDefault="00B76A4B">
            <w:pPr>
              <w:rPr>
                <w:rFonts w:cstheme="minorHAnsi"/>
                <w:sz w:val="20"/>
                <w:szCs w:val="20"/>
              </w:rPr>
            </w:pPr>
            <w:r w:rsidRPr="00CC1ADD">
              <w:rPr>
                <w:rFonts w:cstheme="minorHAnsi"/>
                <w:sz w:val="20"/>
                <w:szCs w:val="20"/>
              </w:rPr>
              <w:t>&gt;1575</w:t>
            </w:r>
          </w:p>
        </w:tc>
      </w:tr>
      <w:tr w:rsidR="00B76A4B" w:rsidRPr="00CC1ADD" w14:paraId="4F9C2FBE" w14:textId="77777777" w:rsidTr="001D5779">
        <w:trPr>
          <w:jc w:val="center"/>
        </w:trPr>
        <w:tc>
          <w:tcPr>
            <w:tcW w:w="1129" w:type="dxa"/>
          </w:tcPr>
          <w:p w14:paraId="54049651" w14:textId="77777777" w:rsidR="00B76A4B" w:rsidRPr="00CC1ADD" w:rsidRDefault="00B76A4B" w:rsidP="005A3631">
            <w:pPr>
              <w:rPr>
                <w:rFonts w:cstheme="minorHAnsi"/>
                <w:sz w:val="20"/>
                <w:szCs w:val="20"/>
              </w:rPr>
            </w:pPr>
            <w:r w:rsidRPr="00CC1ADD">
              <w:rPr>
                <w:rFonts w:cstheme="minorHAnsi"/>
                <w:sz w:val="20"/>
                <w:szCs w:val="20"/>
              </w:rPr>
              <w:t>22</w:t>
            </w:r>
          </w:p>
        </w:tc>
        <w:tc>
          <w:tcPr>
            <w:tcW w:w="2552" w:type="dxa"/>
          </w:tcPr>
          <w:p w14:paraId="4F07915E" w14:textId="77777777" w:rsidR="00B76A4B" w:rsidRPr="00CC1ADD" w:rsidRDefault="00B76A4B">
            <w:pPr>
              <w:rPr>
                <w:rFonts w:cstheme="minorHAnsi"/>
                <w:sz w:val="20"/>
                <w:szCs w:val="20"/>
              </w:rPr>
            </w:pPr>
            <w:r w:rsidRPr="00CC1ADD">
              <w:rPr>
                <w:rFonts w:cstheme="minorHAnsi"/>
                <w:sz w:val="20"/>
                <w:szCs w:val="20"/>
              </w:rPr>
              <w:t>&gt;3365</w:t>
            </w:r>
          </w:p>
        </w:tc>
        <w:tc>
          <w:tcPr>
            <w:tcW w:w="2268" w:type="dxa"/>
          </w:tcPr>
          <w:p w14:paraId="7060AB39" w14:textId="77777777" w:rsidR="00B76A4B" w:rsidRPr="00CC1ADD" w:rsidRDefault="00B76A4B">
            <w:pPr>
              <w:rPr>
                <w:rFonts w:cstheme="minorHAnsi"/>
                <w:sz w:val="20"/>
                <w:szCs w:val="20"/>
              </w:rPr>
            </w:pPr>
            <w:r w:rsidRPr="00CC1ADD">
              <w:rPr>
                <w:rFonts w:cstheme="minorHAnsi"/>
                <w:sz w:val="20"/>
                <w:szCs w:val="20"/>
              </w:rPr>
              <w:t>&gt;1980</w:t>
            </w:r>
          </w:p>
        </w:tc>
        <w:tc>
          <w:tcPr>
            <w:tcW w:w="2126" w:type="dxa"/>
          </w:tcPr>
          <w:p w14:paraId="47958F03" w14:textId="77777777" w:rsidR="00B76A4B" w:rsidRPr="00CC1ADD" w:rsidRDefault="00B76A4B">
            <w:pPr>
              <w:rPr>
                <w:rFonts w:cstheme="minorHAnsi"/>
                <w:sz w:val="20"/>
                <w:szCs w:val="20"/>
              </w:rPr>
            </w:pPr>
            <w:r w:rsidRPr="00CC1ADD">
              <w:rPr>
                <w:rFonts w:cstheme="minorHAnsi"/>
                <w:sz w:val="20"/>
                <w:szCs w:val="20"/>
              </w:rPr>
              <w:t>&gt;1650</w:t>
            </w:r>
          </w:p>
        </w:tc>
      </w:tr>
      <w:tr w:rsidR="00B76A4B" w:rsidRPr="00CC1ADD" w14:paraId="1B71788D" w14:textId="77777777" w:rsidTr="001D5779">
        <w:trPr>
          <w:jc w:val="center"/>
        </w:trPr>
        <w:tc>
          <w:tcPr>
            <w:tcW w:w="1129" w:type="dxa"/>
          </w:tcPr>
          <w:p w14:paraId="35E07B11" w14:textId="77777777" w:rsidR="00B76A4B" w:rsidRPr="00CC1ADD" w:rsidRDefault="00B76A4B" w:rsidP="005A3631">
            <w:pPr>
              <w:rPr>
                <w:rFonts w:cstheme="minorHAnsi"/>
                <w:sz w:val="20"/>
                <w:szCs w:val="20"/>
              </w:rPr>
            </w:pPr>
            <w:r w:rsidRPr="00CC1ADD">
              <w:rPr>
                <w:rFonts w:cstheme="minorHAnsi"/>
                <w:sz w:val="20"/>
                <w:szCs w:val="20"/>
              </w:rPr>
              <w:t>23</w:t>
            </w:r>
          </w:p>
        </w:tc>
        <w:tc>
          <w:tcPr>
            <w:tcW w:w="2552" w:type="dxa"/>
          </w:tcPr>
          <w:p w14:paraId="7FDE1C5B" w14:textId="77777777" w:rsidR="00B76A4B" w:rsidRPr="00CC1ADD" w:rsidRDefault="00B76A4B">
            <w:pPr>
              <w:rPr>
                <w:rFonts w:cstheme="minorHAnsi"/>
                <w:sz w:val="20"/>
                <w:szCs w:val="20"/>
              </w:rPr>
            </w:pPr>
            <w:r w:rsidRPr="00CC1ADD">
              <w:rPr>
                <w:rFonts w:cstheme="minorHAnsi"/>
                <w:sz w:val="20"/>
                <w:szCs w:val="20"/>
              </w:rPr>
              <w:t>&gt;3756</w:t>
            </w:r>
          </w:p>
        </w:tc>
        <w:tc>
          <w:tcPr>
            <w:tcW w:w="2268" w:type="dxa"/>
          </w:tcPr>
          <w:p w14:paraId="06F2BF74" w14:textId="77777777" w:rsidR="00B76A4B" w:rsidRPr="00CC1ADD" w:rsidRDefault="00B76A4B">
            <w:pPr>
              <w:rPr>
                <w:rFonts w:cstheme="minorHAnsi"/>
                <w:sz w:val="20"/>
                <w:szCs w:val="20"/>
              </w:rPr>
            </w:pPr>
            <w:r w:rsidRPr="00CC1ADD">
              <w:rPr>
                <w:rFonts w:cstheme="minorHAnsi"/>
                <w:sz w:val="20"/>
                <w:szCs w:val="20"/>
              </w:rPr>
              <w:t>&gt;2070</w:t>
            </w:r>
          </w:p>
        </w:tc>
        <w:tc>
          <w:tcPr>
            <w:tcW w:w="2126" w:type="dxa"/>
          </w:tcPr>
          <w:p w14:paraId="29A78A4D" w14:textId="77777777" w:rsidR="00B76A4B" w:rsidRPr="00CC1ADD" w:rsidRDefault="00B76A4B">
            <w:pPr>
              <w:rPr>
                <w:rFonts w:cstheme="minorHAnsi"/>
                <w:sz w:val="20"/>
                <w:szCs w:val="20"/>
              </w:rPr>
            </w:pPr>
            <w:r w:rsidRPr="00CC1ADD">
              <w:rPr>
                <w:rFonts w:cstheme="minorHAnsi"/>
                <w:sz w:val="20"/>
                <w:szCs w:val="20"/>
              </w:rPr>
              <w:t>&gt;1725</w:t>
            </w:r>
          </w:p>
        </w:tc>
      </w:tr>
      <w:tr w:rsidR="00B76A4B" w:rsidRPr="00CC1ADD" w14:paraId="58655420" w14:textId="77777777" w:rsidTr="001D5779">
        <w:trPr>
          <w:jc w:val="center"/>
        </w:trPr>
        <w:tc>
          <w:tcPr>
            <w:tcW w:w="1129" w:type="dxa"/>
          </w:tcPr>
          <w:p w14:paraId="6B2A851F" w14:textId="77777777" w:rsidR="00B76A4B" w:rsidRPr="00CC1ADD" w:rsidRDefault="00B76A4B" w:rsidP="005A3631">
            <w:pPr>
              <w:rPr>
                <w:rFonts w:cstheme="minorHAnsi"/>
                <w:sz w:val="20"/>
                <w:szCs w:val="20"/>
              </w:rPr>
            </w:pPr>
            <w:r w:rsidRPr="00CC1ADD">
              <w:rPr>
                <w:rFonts w:cstheme="minorHAnsi"/>
                <w:sz w:val="20"/>
                <w:szCs w:val="20"/>
              </w:rPr>
              <w:t>24</w:t>
            </w:r>
          </w:p>
        </w:tc>
        <w:tc>
          <w:tcPr>
            <w:tcW w:w="2552" w:type="dxa"/>
          </w:tcPr>
          <w:p w14:paraId="5941F68A" w14:textId="77777777" w:rsidR="00B76A4B" w:rsidRPr="00CC1ADD" w:rsidRDefault="00B76A4B">
            <w:pPr>
              <w:rPr>
                <w:rFonts w:cstheme="minorHAnsi"/>
                <w:sz w:val="20"/>
                <w:szCs w:val="20"/>
              </w:rPr>
            </w:pPr>
            <w:r w:rsidRPr="00CC1ADD">
              <w:rPr>
                <w:rFonts w:cstheme="minorHAnsi"/>
                <w:sz w:val="20"/>
                <w:szCs w:val="20"/>
              </w:rPr>
              <w:t>&gt;4192</w:t>
            </w:r>
          </w:p>
        </w:tc>
        <w:tc>
          <w:tcPr>
            <w:tcW w:w="2268" w:type="dxa"/>
          </w:tcPr>
          <w:p w14:paraId="529BE4C6" w14:textId="77777777" w:rsidR="00B76A4B" w:rsidRPr="00CC1ADD" w:rsidRDefault="00B76A4B">
            <w:pPr>
              <w:rPr>
                <w:rFonts w:cstheme="minorHAnsi"/>
                <w:sz w:val="20"/>
                <w:szCs w:val="20"/>
              </w:rPr>
            </w:pPr>
            <w:r w:rsidRPr="00CC1ADD">
              <w:rPr>
                <w:rFonts w:cstheme="minorHAnsi"/>
                <w:sz w:val="20"/>
                <w:szCs w:val="20"/>
              </w:rPr>
              <w:t>&gt;2160</w:t>
            </w:r>
          </w:p>
        </w:tc>
        <w:tc>
          <w:tcPr>
            <w:tcW w:w="2126" w:type="dxa"/>
          </w:tcPr>
          <w:p w14:paraId="41A45533" w14:textId="77777777" w:rsidR="00B76A4B" w:rsidRPr="00CC1ADD" w:rsidRDefault="00B76A4B">
            <w:pPr>
              <w:rPr>
                <w:rFonts w:cstheme="minorHAnsi"/>
                <w:sz w:val="20"/>
                <w:szCs w:val="20"/>
              </w:rPr>
            </w:pPr>
            <w:r w:rsidRPr="00CC1ADD">
              <w:rPr>
                <w:rFonts w:cstheme="minorHAnsi"/>
                <w:sz w:val="20"/>
                <w:szCs w:val="20"/>
              </w:rPr>
              <w:t>&gt;1800</w:t>
            </w:r>
          </w:p>
        </w:tc>
      </w:tr>
      <w:tr w:rsidR="00B76A4B" w:rsidRPr="00CC1ADD" w14:paraId="693CD2CD" w14:textId="77777777" w:rsidTr="001D5779">
        <w:trPr>
          <w:jc w:val="center"/>
        </w:trPr>
        <w:tc>
          <w:tcPr>
            <w:tcW w:w="1129" w:type="dxa"/>
          </w:tcPr>
          <w:p w14:paraId="42593E38" w14:textId="77777777" w:rsidR="00B76A4B" w:rsidRPr="00CC1ADD" w:rsidRDefault="00B76A4B" w:rsidP="005A3631">
            <w:pPr>
              <w:rPr>
                <w:rFonts w:cstheme="minorHAnsi"/>
                <w:sz w:val="20"/>
                <w:szCs w:val="20"/>
              </w:rPr>
            </w:pPr>
            <w:r w:rsidRPr="00CC1ADD">
              <w:rPr>
                <w:rFonts w:cstheme="minorHAnsi"/>
                <w:sz w:val="20"/>
                <w:szCs w:val="20"/>
              </w:rPr>
              <w:t>25</w:t>
            </w:r>
          </w:p>
        </w:tc>
        <w:tc>
          <w:tcPr>
            <w:tcW w:w="2552" w:type="dxa"/>
          </w:tcPr>
          <w:p w14:paraId="74B4C813" w14:textId="77777777" w:rsidR="00B76A4B" w:rsidRPr="00CC1ADD" w:rsidRDefault="00B76A4B">
            <w:pPr>
              <w:rPr>
                <w:rFonts w:cstheme="minorHAnsi"/>
                <w:sz w:val="20"/>
                <w:szCs w:val="20"/>
              </w:rPr>
            </w:pPr>
            <w:r w:rsidRPr="00CC1ADD">
              <w:rPr>
                <w:rFonts w:cstheme="minorHAnsi"/>
                <w:sz w:val="20"/>
                <w:szCs w:val="20"/>
              </w:rPr>
              <w:t>&gt;4679</w:t>
            </w:r>
          </w:p>
        </w:tc>
        <w:tc>
          <w:tcPr>
            <w:tcW w:w="2268" w:type="dxa"/>
          </w:tcPr>
          <w:p w14:paraId="566C8A05" w14:textId="77777777" w:rsidR="00B76A4B" w:rsidRPr="00CC1ADD" w:rsidRDefault="00B76A4B">
            <w:pPr>
              <w:rPr>
                <w:rFonts w:cstheme="minorHAnsi"/>
                <w:sz w:val="20"/>
                <w:szCs w:val="20"/>
              </w:rPr>
            </w:pPr>
            <w:r w:rsidRPr="00CC1ADD">
              <w:rPr>
                <w:rFonts w:cstheme="minorHAnsi"/>
                <w:sz w:val="20"/>
                <w:szCs w:val="20"/>
              </w:rPr>
              <w:t>&gt;2250</w:t>
            </w:r>
          </w:p>
        </w:tc>
        <w:tc>
          <w:tcPr>
            <w:tcW w:w="2126" w:type="dxa"/>
          </w:tcPr>
          <w:p w14:paraId="1CF7CB3E" w14:textId="77777777" w:rsidR="00B76A4B" w:rsidRPr="00CC1ADD" w:rsidRDefault="00B76A4B">
            <w:pPr>
              <w:rPr>
                <w:rFonts w:cstheme="minorHAnsi"/>
                <w:sz w:val="20"/>
                <w:szCs w:val="20"/>
              </w:rPr>
            </w:pPr>
            <w:r w:rsidRPr="00CC1ADD">
              <w:rPr>
                <w:rFonts w:cstheme="minorHAnsi"/>
                <w:sz w:val="20"/>
                <w:szCs w:val="20"/>
              </w:rPr>
              <w:t>&gt;1875</w:t>
            </w:r>
          </w:p>
        </w:tc>
      </w:tr>
      <w:tr w:rsidR="00B76A4B" w:rsidRPr="00CC1ADD" w14:paraId="27A0FBC8" w14:textId="77777777" w:rsidTr="001D5779">
        <w:trPr>
          <w:jc w:val="center"/>
        </w:trPr>
        <w:tc>
          <w:tcPr>
            <w:tcW w:w="1129" w:type="dxa"/>
          </w:tcPr>
          <w:p w14:paraId="5D6FF509" w14:textId="77777777" w:rsidR="00B76A4B" w:rsidRPr="00CC1ADD" w:rsidRDefault="00B76A4B" w:rsidP="005A3631">
            <w:pPr>
              <w:rPr>
                <w:rFonts w:cstheme="minorHAnsi"/>
                <w:sz w:val="20"/>
                <w:szCs w:val="20"/>
              </w:rPr>
            </w:pPr>
            <w:r w:rsidRPr="00CC1ADD">
              <w:rPr>
                <w:rFonts w:cstheme="minorHAnsi"/>
                <w:sz w:val="20"/>
                <w:szCs w:val="20"/>
              </w:rPr>
              <w:t>26</w:t>
            </w:r>
          </w:p>
        </w:tc>
        <w:tc>
          <w:tcPr>
            <w:tcW w:w="2552" w:type="dxa"/>
          </w:tcPr>
          <w:p w14:paraId="2B18500F" w14:textId="77777777" w:rsidR="00B76A4B" w:rsidRPr="00CC1ADD" w:rsidRDefault="00B76A4B">
            <w:pPr>
              <w:rPr>
                <w:rFonts w:cstheme="minorHAnsi"/>
                <w:sz w:val="20"/>
                <w:szCs w:val="20"/>
              </w:rPr>
            </w:pPr>
            <w:r w:rsidRPr="00CC1ADD">
              <w:rPr>
                <w:rFonts w:cstheme="minorHAnsi"/>
                <w:sz w:val="20"/>
                <w:szCs w:val="20"/>
              </w:rPr>
              <w:t>&gt;5223</w:t>
            </w:r>
          </w:p>
        </w:tc>
        <w:tc>
          <w:tcPr>
            <w:tcW w:w="2268" w:type="dxa"/>
          </w:tcPr>
          <w:p w14:paraId="5EC4179B" w14:textId="77777777" w:rsidR="00B76A4B" w:rsidRPr="00CC1ADD" w:rsidRDefault="00B76A4B">
            <w:pPr>
              <w:rPr>
                <w:rFonts w:cstheme="minorHAnsi"/>
                <w:sz w:val="20"/>
                <w:szCs w:val="20"/>
              </w:rPr>
            </w:pPr>
            <w:r w:rsidRPr="00CC1ADD">
              <w:rPr>
                <w:rFonts w:cstheme="minorHAnsi"/>
                <w:sz w:val="20"/>
                <w:szCs w:val="20"/>
              </w:rPr>
              <w:t>&gt;2340</w:t>
            </w:r>
          </w:p>
        </w:tc>
        <w:tc>
          <w:tcPr>
            <w:tcW w:w="2126" w:type="dxa"/>
          </w:tcPr>
          <w:p w14:paraId="23CA6C14" w14:textId="77777777" w:rsidR="00B76A4B" w:rsidRPr="00CC1ADD" w:rsidRDefault="00B76A4B">
            <w:pPr>
              <w:rPr>
                <w:rFonts w:cstheme="minorHAnsi"/>
                <w:sz w:val="20"/>
                <w:szCs w:val="20"/>
              </w:rPr>
            </w:pPr>
            <w:r w:rsidRPr="00CC1ADD">
              <w:rPr>
                <w:rFonts w:cstheme="minorHAnsi"/>
                <w:sz w:val="20"/>
                <w:szCs w:val="20"/>
              </w:rPr>
              <w:t>&gt;1950</w:t>
            </w:r>
          </w:p>
        </w:tc>
      </w:tr>
      <w:tr w:rsidR="00B76A4B" w:rsidRPr="00CC1ADD" w14:paraId="7551FC9F" w14:textId="77777777" w:rsidTr="001D5779">
        <w:trPr>
          <w:jc w:val="center"/>
        </w:trPr>
        <w:tc>
          <w:tcPr>
            <w:tcW w:w="1129" w:type="dxa"/>
          </w:tcPr>
          <w:p w14:paraId="65E7EA31" w14:textId="77777777" w:rsidR="00B76A4B" w:rsidRPr="00CC1ADD" w:rsidRDefault="00B76A4B" w:rsidP="005A3631">
            <w:pPr>
              <w:rPr>
                <w:rFonts w:cstheme="minorHAnsi"/>
                <w:sz w:val="20"/>
                <w:szCs w:val="20"/>
              </w:rPr>
            </w:pPr>
            <w:r w:rsidRPr="00CC1ADD">
              <w:rPr>
                <w:rFonts w:cstheme="minorHAnsi"/>
                <w:sz w:val="20"/>
                <w:szCs w:val="20"/>
              </w:rPr>
              <w:t>27</w:t>
            </w:r>
          </w:p>
        </w:tc>
        <w:tc>
          <w:tcPr>
            <w:tcW w:w="2552" w:type="dxa"/>
          </w:tcPr>
          <w:p w14:paraId="0D103F08" w14:textId="77777777" w:rsidR="00B76A4B" w:rsidRPr="00CC1ADD" w:rsidRDefault="00B76A4B">
            <w:pPr>
              <w:rPr>
                <w:rFonts w:cstheme="minorHAnsi"/>
                <w:sz w:val="20"/>
                <w:szCs w:val="20"/>
              </w:rPr>
            </w:pPr>
            <w:r w:rsidRPr="00CC1ADD">
              <w:rPr>
                <w:rFonts w:cstheme="minorHAnsi"/>
                <w:sz w:val="20"/>
                <w:szCs w:val="20"/>
              </w:rPr>
              <w:t>&gt;5829</w:t>
            </w:r>
          </w:p>
        </w:tc>
        <w:tc>
          <w:tcPr>
            <w:tcW w:w="2268" w:type="dxa"/>
          </w:tcPr>
          <w:p w14:paraId="434ED898" w14:textId="77777777" w:rsidR="00B76A4B" w:rsidRPr="00CC1ADD" w:rsidRDefault="00B76A4B">
            <w:pPr>
              <w:rPr>
                <w:rFonts w:cstheme="minorHAnsi"/>
                <w:sz w:val="20"/>
                <w:szCs w:val="20"/>
              </w:rPr>
            </w:pPr>
            <w:r w:rsidRPr="00CC1ADD">
              <w:rPr>
                <w:rFonts w:cstheme="minorHAnsi"/>
                <w:sz w:val="20"/>
                <w:szCs w:val="20"/>
              </w:rPr>
              <w:t>&gt;2430</w:t>
            </w:r>
          </w:p>
        </w:tc>
        <w:tc>
          <w:tcPr>
            <w:tcW w:w="2126" w:type="dxa"/>
          </w:tcPr>
          <w:p w14:paraId="42D80C05" w14:textId="77777777" w:rsidR="00B76A4B" w:rsidRPr="00CC1ADD" w:rsidRDefault="00B76A4B">
            <w:pPr>
              <w:rPr>
                <w:rFonts w:cstheme="minorHAnsi"/>
                <w:sz w:val="20"/>
                <w:szCs w:val="20"/>
              </w:rPr>
            </w:pPr>
            <w:r w:rsidRPr="00CC1ADD">
              <w:rPr>
                <w:rFonts w:cstheme="minorHAnsi"/>
                <w:sz w:val="20"/>
                <w:szCs w:val="20"/>
              </w:rPr>
              <w:t>&gt;2025</w:t>
            </w:r>
          </w:p>
        </w:tc>
      </w:tr>
      <w:tr w:rsidR="00B76A4B" w:rsidRPr="00CC1ADD" w14:paraId="1B46600A" w14:textId="77777777" w:rsidTr="001D5779">
        <w:trPr>
          <w:jc w:val="center"/>
        </w:trPr>
        <w:tc>
          <w:tcPr>
            <w:tcW w:w="1129" w:type="dxa"/>
          </w:tcPr>
          <w:p w14:paraId="655553AD" w14:textId="77777777" w:rsidR="00B76A4B" w:rsidRPr="00CC1ADD" w:rsidRDefault="00B76A4B" w:rsidP="005A3631">
            <w:pPr>
              <w:rPr>
                <w:rFonts w:cstheme="minorHAnsi"/>
                <w:sz w:val="20"/>
                <w:szCs w:val="20"/>
              </w:rPr>
            </w:pPr>
            <w:r w:rsidRPr="00CC1ADD">
              <w:rPr>
                <w:rFonts w:cstheme="minorHAnsi"/>
                <w:sz w:val="20"/>
                <w:szCs w:val="20"/>
              </w:rPr>
              <w:t>28</w:t>
            </w:r>
          </w:p>
        </w:tc>
        <w:tc>
          <w:tcPr>
            <w:tcW w:w="2552" w:type="dxa"/>
          </w:tcPr>
          <w:p w14:paraId="1577EDB1" w14:textId="77777777" w:rsidR="00B76A4B" w:rsidRPr="00CC1ADD" w:rsidRDefault="00B76A4B">
            <w:pPr>
              <w:rPr>
                <w:rFonts w:cstheme="minorHAnsi"/>
                <w:sz w:val="20"/>
                <w:szCs w:val="20"/>
              </w:rPr>
            </w:pPr>
            <w:r w:rsidRPr="00CC1ADD">
              <w:rPr>
                <w:rFonts w:cstheme="minorHAnsi"/>
                <w:sz w:val="20"/>
                <w:szCs w:val="20"/>
              </w:rPr>
              <w:t>&gt;6506</w:t>
            </w:r>
          </w:p>
        </w:tc>
        <w:tc>
          <w:tcPr>
            <w:tcW w:w="2268" w:type="dxa"/>
          </w:tcPr>
          <w:p w14:paraId="34E64A9C" w14:textId="77777777" w:rsidR="00B76A4B" w:rsidRPr="00CC1ADD" w:rsidRDefault="00B76A4B">
            <w:pPr>
              <w:rPr>
                <w:rFonts w:cstheme="minorHAnsi"/>
                <w:sz w:val="20"/>
                <w:szCs w:val="20"/>
              </w:rPr>
            </w:pPr>
            <w:r w:rsidRPr="00CC1ADD">
              <w:rPr>
                <w:rFonts w:cstheme="minorHAnsi"/>
                <w:sz w:val="20"/>
                <w:szCs w:val="20"/>
              </w:rPr>
              <w:t>&gt;2520</w:t>
            </w:r>
          </w:p>
        </w:tc>
        <w:tc>
          <w:tcPr>
            <w:tcW w:w="2126" w:type="dxa"/>
          </w:tcPr>
          <w:p w14:paraId="01C91C11" w14:textId="77777777" w:rsidR="00B76A4B" w:rsidRPr="00CC1ADD" w:rsidRDefault="00B76A4B">
            <w:pPr>
              <w:rPr>
                <w:rFonts w:cstheme="minorHAnsi"/>
                <w:sz w:val="20"/>
                <w:szCs w:val="20"/>
              </w:rPr>
            </w:pPr>
            <w:r w:rsidRPr="00CC1ADD">
              <w:rPr>
                <w:rFonts w:cstheme="minorHAnsi"/>
                <w:sz w:val="20"/>
                <w:szCs w:val="20"/>
              </w:rPr>
              <w:t>&gt;2100</w:t>
            </w:r>
          </w:p>
        </w:tc>
      </w:tr>
      <w:tr w:rsidR="00B76A4B" w:rsidRPr="00CC1ADD" w14:paraId="73FE5840" w14:textId="77777777" w:rsidTr="001D5779">
        <w:trPr>
          <w:jc w:val="center"/>
        </w:trPr>
        <w:tc>
          <w:tcPr>
            <w:tcW w:w="1129" w:type="dxa"/>
          </w:tcPr>
          <w:p w14:paraId="75DF2B62" w14:textId="77777777" w:rsidR="00B76A4B" w:rsidRPr="00CC1ADD" w:rsidRDefault="00B76A4B" w:rsidP="005A3631">
            <w:pPr>
              <w:rPr>
                <w:rFonts w:cstheme="minorHAnsi"/>
                <w:sz w:val="20"/>
                <w:szCs w:val="20"/>
              </w:rPr>
            </w:pPr>
            <w:r w:rsidRPr="00CC1ADD">
              <w:rPr>
                <w:rFonts w:cstheme="minorHAnsi"/>
                <w:sz w:val="20"/>
                <w:szCs w:val="20"/>
              </w:rPr>
              <w:t>29</w:t>
            </w:r>
          </w:p>
        </w:tc>
        <w:tc>
          <w:tcPr>
            <w:tcW w:w="2552" w:type="dxa"/>
          </w:tcPr>
          <w:p w14:paraId="0D9057F3" w14:textId="77777777" w:rsidR="00B76A4B" w:rsidRPr="00CC1ADD" w:rsidRDefault="00B76A4B">
            <w:pPr>
              <w:rPr>
                <w:rFonts w:cstheme="minorHAnsi"/>
                <w:sz w:val="20"/>
                <w:szCs w:val="20"/>
              </w:rPr>
            </w:pPr>
            <w:r w:rsidRPr="00CC1ADD">
              <w:rPr>
                <w:rFonts w:cstheme="minorHAnsi"/>
                <w:sz w:val="20"/>
                <w:szCs w:val="20"/>
              </w:rPr>
              <w:t>&gt;7262</w:t>
            </w:r>
          </w:p>
        </w:tc>
        <w:tc>
          <w:tcPr>
            <w:tcW w:w="2268" w:type="dxa"/>
          </w:tcPr>
          <w:p w14:paraId="758AB6CD" w14:textId="77777777" w:rsidR="00B76A4B" w:rsidRPr="00CC1ADD" w:rsidRDefault="00B76A4B">
            <w:pPr>
              <w:rPr>
                <w:rFonts w:cstheme="minorHAnsi"/>
                <w:sz w:val="20"/>
                <w:szCs w:val="20"/>
              </w:rPr>
            </w:pPr>
            <w:r w:rsidRPr="00CC1ADD">
              <w:rPr>
                <w:rFonts w:cstheme="minorHAnsi"/>
                <w:sz w:val="20"/>
                <w:szCs w:val="20"/>
              </w:rPr>
              <w:t>&gt;2610</w:t>
            </w:r>
          </w:p>
        </w:tc>
        <w:tc>
          <w:tcPr>
            <w:tcW w:w="2126" w:type="dxa"/>
          </w:tcPr>
          <w:p w14:paraId="6593D925" w14:textId="77777777" w:rsidR="00B76A4B" w:rsidRPr="00CC1ADD" w:rsidRDefault="00B76A4B">
            <w:pPr>
              <w:rPr>
                <w:rFonts w:cstheme="minorHAnsi"/>
                <w:sz w:val="20"/>
                <w:szCs w:val="20"/>
              </w:rPr>
            </w:pPr>
            <w:r w:rsidRPr="00CC1ADD">
              <w:rPr>
                <w:rFonts w:cstheme="minorHAnsi"/>
                <w:sz w:val="20"/>
                <w:szCs w:val="20"/>
              </w:rPr>
              <w:t>&gt;2175</w:t>
            </w:r>
          </w:p>
        </w:tc>
      </w:tr>
      <w:tr w:rsidR="00B76A4B" w:rsidRPr="00CC1ADD" w14:paraId="6C1C5E88" w14:textId="77777777" w:rsidTr="001D5779">
        <w:trPr>
          <w:jc w:val="center"/>
        </w:trPr>
        <w:tc>
          <w:tcPr>
            <w:tcW w:w="1129" w:type="dxa"/>
          </w:tcPr>
          <w:p w14:paraId="7F8C7A18" w14:textId="77777777" w:rsidR="00B76A4B" w:rsidRPr="00CC1ADD" w:rsidRDefault="00B76A4B" w:rsidP="005A3631">
            <w:pPr>
              <w:rPr>
                <w:rFonts w:cstheme="minorHAnsi"/>
                <w:sz w:val="20"/>
                <w:szCs w:val="20"/>
              </w:rPr>
            </w:pPr>
            <w:r w:rsidRPr="00CC1ADD">
              <w:rPr>
                <w:rFonts w:cstheme="minorHAnsi"/>
                <w:sz w:val="20"/>
                <w:szCs w:val="20"/>
              </w:rPr>
              <w:t>30</w:t>
            </w:r>
          </w:p>
        </w:tc>
        <w:tc>
          <w:tcPr>
            <w:tcW w:w="2552" w:type="dxa"/>
          </w:tcPr>
          <w:p w14:paraId="4B34EBD2" w14:textId="77777777" w:rsidR="00B76A4B" w:rsidRPr="00CC1ADD" w:rsidRDefault="00B76A4B">
            <w:pPr>
              <w:rPr>
                <w:rFonts w:cstheme="minorHAnsi"/>
                <w:sz w:val="20"/>
                <w:szCs w:val="20"/>
              </w:rPr>
            </w:pPr>
            <w:r w:rsidRPr="00CC1ADD">
              <w:rPr>
                <w:rFonts w:cstheme="minorHAnsi"/>
                <w:sz w:val="20"/>
                <w:szCs w:val="20"/>
              </w:rPr>
              <w:t>&gt;8106</w:t>
            </w:r>
          </w:p>
        </w:tc>
        <w:tc>
          <w:tcPr>
            <w:tcW w:w="2268" w:type="dxa"/>
          </w:tcPr>
          <w:p w14:paraId="4847AFEE" w14:textId="77777777" w:rsidR="00B76A4B" w:rsidRPr="00CC1ADD" w:rsidRDefault="00B76A4B">
            <w:pPr>
              <w:rPr>
                <w:rFonts w:cstheme="minorHAnsi"/>
                <w:sz w:val="20"/>
                <w:szCs w:val="20"/>
              </w:rPr>
            </w:pPr>
            <w:r w:rsidRPr="00CC1ADD">
              <w:rPr>
                <w:rFonts w:cstheme="minorHAnsi"/>
                <w:sz w:val="20"/>
                <w:szCs w:val="20"/>
              </w:rPr>
              <w:t>&gt;2700</w:t>
            </w:r>
          </w:p>
        </w:tc>
        <w:tc>
          <w:tcPr>
            <w:tcW w:w="2126" w:type="dxa"/>
          </w:tcPr>
          <w:p w14:paraId="013512BC" w14:textId="77777777" w:rsidR="00B76A4B" w:rsidRPr="00CC1ADD" w:rsidRDefault="00B76A4B">
            <w:pPr>
              <w:rPr>
                <w:rFonts w:cstheme="minorHAnsi"/>
                <w:sz w:val="20"/>
                <w:szCs w:val="20"/>
              </w:rPr>
            </w:pPr>
            <w:r w:rsidRPr="00CC1ADD">
              <w:rPr>
                <w:rFonts w:cstheme="minorHAnsi"/>
                <w:sz w:val="20"/>
                <w:szCs w:val="20"/>
              </w:rPr>
              <w:t>&gt;2250</w:t>
            </w:r>
          </w:p>
        </w:tc>
      </w:tr>
    </w:tbl>
    <w:p w14:paraId="1839A08D" w14:textId="77777777" w:rsidR="00B76A4B" w:rsidRPr="00CC1ADD" w:rsidRDefault="00B76A4B" w:rsidP="0017608D">
      <w:pPr>
        <w:pStyle w:val="mpcNormal"/>
        <w:keepNext w:val="0"/>
      </w:pPr>
    </w:p>
    <w:p w14:paraId="6C4848B2" w14:textId="499DAEF0" w:rsidR="000A3464" w:rsidRPr="00CC1ADD" w:rsidRDefault="000A3464">
      <w:pPr>
        <w:pStyle w:val="mpcheading1"/>
        <w:spacing w:after="0"/>
      </w:pPr>
      <w:r w:rsidRPr="00CC1ADD">
        <w:br w:type="column"/>
      </w:r>
      <w:bookmarkStart w:id="188" w:name="AppendixE"/>
      <w:bookmarkStart w:id="189" w:name="_Toc1746531"/>
      <w:bookmarkEnd w:id="188"/>
      <w:r w:rsidRPr="00CC1ADD">
        <w:t xml:space="preserve">Appendix </w:t>
      </w:r>
      <w:r w:rsidR="009B0396">
        <w:t>E</w:t>
      </w:r>
      <w:r w:rsidR="00AC4451" w:rsidRPr="00CC1ADD">
        <w:t>:</w:t>
      </w:r>
      <w:r w:rsidRPr="00CC1ADD">
        <w:t xml:space="preserve"> Revised policy and points tables for non-dairy beverages</w:t>
      </w:r>
      <w:bookmarkEnd w:id="189"/>
    </w:p>
    <w:p w14:paraId="2C19D491" w14:textId="77777777" w:rsidR="000A3464" w:rsidRPr="00CC1ADD" w:rsidRDefault="000A3464" w:rsidP="004D0222">
      <w:pPr>
        <w:pStyle w:val="mpcNormal"/>
        <w:keepNext w:val="0"/>
      </w:pPr>
    </w:p>
    <w:p w14:paraId="3D6E9ACC" w14:textId="5DBF124C" w:rsidR="00750858" w:rsidRPr="00E8024A" w:rsidRDefault="00750858" w:rsidP="00E8024A">
      <w:pPr>
        <w:pStyle w:val="mpcNormal"/>
      </w:pPr>
      <w:r w:rsidRPr="00E8024A">
        <w:t xml:space="preserve">An automatic HSR of 5 applies to </w:t>
      </w:r>
      <w:r w:rsidR="00052B3F" w:rsidRPr="00E8024A">
        <w:t xml:space="preserve">plain still or carbonated </w:t>
      </w:r>
      <w:r w:rsidRPr="00E8024A">
        <w:t xml:space="preserve">packaged water as regulated in </w:t>
      </w:r>
      <w:hyperlink r:id="rId131" w:history="1">
        <w:r w:rsidRPr="00E8024A">
          <w:rPr>
            <w:rStyle w:val="Hyperlink"/>
            <w:i/>
          </w:rPr>
          <w:t>Standard 2.6.2 Non-alcoholic beverages and brewed soft drinks</w:t>
        </w:r>
      </w:hyperlink>
      <w:r w:rsidR="00052B3F" w:rsidRPr="0017608D">
        <w:t xml:space="preserve"> of the Code</w:t>
      </w:r>
      <w:r w:rsidRPr="00E8024A">
        <w:t>.</w:t>
      </w:r>
    </w:p>
    <w:p w14:paraId="1FC92380" w14:textId="77777777" w:rsidR="00750858" w:rsidRPr="00E8024A" w:rsidRDefault="00750858" w:rsidP="00E8024A">
      <w:pPr>
        <w:pStyle w:val="mpcNormal"/>
      </w:pPr>
    </w:p>
    <w:p w14:paraId="2256E3D6" w14:textId="6979685D" w:rsidR="00052B3F" w:rsidRPr="0017608D" w:rsidRDefault="00052B3F" w:rsidP="00E8024A">
      <w:pPr>
        <w:pStyle w:val="mpcNormal"/>
      </w:pPr>
      <w:r w:rsidRPr="0017608D">
        <w:t xml:space="preserve">An automatic HSR of 4.5 applies to uncarbonated, carbonated, mineralised or soda waters that </w:t>
      </w:r>
      <w:r w:rsidRPr="00E8024A">
        <w:t>contain only</w:t>
      </w:r>
      <w:r w:rsidRPr="0017608D">
        <w:t xml:space="preserve"> additions substances at Good Manufacturing Practice (GMP) as per </w:t>
      </w:r>
      <w:hyperlink r:id="rId132" w:history="1">
        <w:r w:rsidRPr="0017608D">
          <w:rPr>
            <w:rStyle w:val="Hyperlink"/>
            <w:i/>
          </w:rPr>
          <w:t>Schedule 16 Types of substances that may be used as food additives</w:t>
        </w:r>
      </w:hyperlink>
      <w:r w:rsidRPr="0017608D">
        <w:t xml:space="preserve"> of the Code</w:t>
      </w:r>
      <w:r w:rsidRPr="00E8024A">
        <w:t xml:space="preserve"> and no added sugars</w:t>
      </w:r>
      <w:r w:rsidRPr="0017608D">
        <w:t>.</w:t>
      </w:r>
      <w:r w:rsidR="00E8024A" w:rsidRPr="00E8024A">
        <w:t xml:space="preserve"> For example, this would permit the addition of a small amount of</w:t>
      </w:r>
      <w:r w:rsidRPr="00E8024A">
        <w:t xml:space="preserve"> citric acid from lemon juice</w:t>
      </w:r>
      <w:r w:rsidR="00E8024A" w:rsidRPr="00E8024A">
        <w:t xml:space="preserve"> to flavour a water</w:t>
      </w:r>
      <w:r w:rsidRPr="00E8024A">
        <w:t>.</w:t>
      </w:r>
    </w:p>
    <w:p w14:paraId="6CA86344" w14:textId="77777777" w:rsidR="00052B3F" w:rsidRPr="00750858" w:rsidRDefault="00052B3F" w:rsidP="004D0222">
      <w:pPr>
        <w:pStyle w:val="mpcNormal"/>
        <w:keepNext w:val="0"/>
      </w:pPr>
    </w:p>
    <w:p w14:paraId="78148DEC" w14:textId="1FFC8698" w:rsidR="000A3464" w:rsidRPr="00CC1ADD" w:rsidRDefault="000A3464" w:rsidP="005A3631">
      <w:pPr>
        <w:rPr>
          <w:rFonts w:cstheme="minorHAnsi"/>
          <w:sz w:val="22"/>
          <w:szCs w:val="22"/>
        </w:rPr>
      </w:pPr>
      <w:r w:rsidRPr="00CC1ADD">
        <w:rPr>
          <w:rFonts w:cstheme="minorHAnsi"/>
          <w:sz w:val="22"/>
          <w:szCs w:val="22"/>
        </w:rPr>
        <w:t xml:space="preserve">For all other non-dairy beverages, the HSR would be calculated using the </w:t>
      </w:r>
      <w:r w:rsidR="00DD78A3" w:rsidRPr="00CC1ADD">
        <w:rPr>
          <w:rFonts w:cstheme="minorHAnsi"/>
          <w:sz w:val="22"/>
          <w:szCs w:val="22"/>
        </w:rPr>
        <w:t>following</w:t>
      </w:r>
      <w:r w:rsidRPr="00CC1ADD">
        <w:rPr>
          <w:rFonts w:cstheme="minorHAnsi"/>
          <w:sz w:val="22"/>
          <w:szCs w:val="22"/>
        </w:rPr>
        <w:t xml:space="preserve"> points table</w:t>
      </w:r>
      <w:r w:rsidR="00CB0A32">
        <w:rPr>
          <w:rFonts w:cstheme="minorHAnsi"/>
          <w:sz w:val="22"/>
          <w:szCs w:val="22"/>
        </w:rPr>
        <w:t>s</w:t>
      </w:r>
      <w:r w:rsidRPr="00CC1ADD">
        <w:rPr>
          <w:rFonts w:cstheme="minorHAnsi"/>
          <w:sz w:val="22"/>
          <w:szCs w:val="22"/>
        </w:rPr>
        <w:t>:</w:t>
      </w:r>
    </w:p>
    <w:p w14:paraId="47957E83" w14:textId="77777777" w:rsidR="000A3464" w:rsidRPr="00CC1ADD" w:rsidRDefault="000A3464" w:rsidP="004D0222">
      <w:pPr>
        <w:jc w:val="center"/>
        <w:rPr>
          <w:rFonts w:cstheme="minorHAnsi"/>
          <w:b/>
          <w:szCs w:val="22"/>
        </w:rPr>
      </w:pPr>
    </w:p>
    <w:tbl>
      <w:tblPr>
        <w:tblStyle w:val="TableGrid"/>
        <w:tblW w:w="8943" w:type="dxa"/>
        <w:jc w:val="center"/>
        <w:tblLook w:val="04A0" w:firstRow="1" w:lastRow="0" w:firstColumn="1" w:lastColumn="0" w:noHBand="0" w:noVBand="1"/>
      </w:tblPr>
      <w:tblGrid>
        <w:gridCol w:w="914"/>
        <w:gridCol w:w="988"/>
        <w:gridCol w:w="1004"/>
        <w:gridCol w:w="1200"/>
        <w:gridCol w:w="1211"/>
        <w:gridCol w:w="1065"/>
        <w:gridCol w:w="1245"/>
        <w:gridCol w:w="1316"/>
      </w:tblGrid>
      <w:tr w:rsidR="00CB0A32" w:rsidRPr="009645C4" w14:paraId="59389536" w14:textId="343D2B0E" w:rsidTr="00CB0A32">
        <w:trPr>
          <w:trHeight w:val="713"/>
          <w:jc w:val="center"/>
        </w:trPr>
        <w:tc>
          <w:tcPr>
            <w:tcW w:w="914" w:type="dxa"/>
            <w:shd w:val="clear" w:color="auto" w:fill="516A8E"/>
            <w:vAlign w:val="center"/>
          </w:tcPr>
          <w:p w14:paraId="4D233118" w14:textId="356E3951" w:rsidR="00CB0A32" w:rsidRPr="009645C4" w:rsidRDefault="00CB0A32" w:rsidP="005A3631">
            <w:pPr>
              <w:jc w:val="center"/>
              <w:rPr>
                <w:rFonts w:cstheme="minorHAnsi"/>
                <w:b/>
                <w:color w:val="FFFFFF" w:themeColor="background1"/>
                <w:sz w:val="20"/>
                <w:szCs w:val="20"/>
              </w:rPr>
            </w:pPr>
            <w:bookmarkStart w:id="190" w:name="Baseline2"/>
            <w:bookmarkEnd w:id="190"/>
            <w:r w:rsidRPr="009645C4">
              <w:rPr>
                <w:rFonts w:cstheme="minorHAnsi"/>
                <w:b/>
                <w:color w:val="FFFFFF" w:themeColor="background1"/>
                <w:sz w:val="20"/>
                <w:szCs w:val="20"/>
              </w:rPr>
              <w:t>Baseline points</w:t>
            </w:r>
          </w:p>
        </w:tc>
        <w:tc>
          <w:tcPr>
            <w:tcW w:w="988" w:type="dxa"/>
            <w:shd w:val="clear" w:color="auto" w:fill="516A8E"/>
            <w:vAlign w:val="center"/>
          </w:tcPr>
          <w:p w14:paraId="0474B737" w14:textId="45FEAA33"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Current energy (kJ/100g)</w:t>
            </w:r>
          </w:p>
        </w:tc>
        <w:tc>
          <w:tcPr>
            <w:tcW w:w="1004" w:type="dxa"/>
            <w:shd w:val="clear" w:color="auto" w:fill="516A8E"/>
            <w:vAlign w:val="center"/>
          </w:tcPr>
          <w:p w14:paraId="5A1F46D3" w14:textId="1C96BD32"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Proposed energy (kJ/100g)</w:t>
            </w:r>
          </w:p>
        </w:tc>
        <w:tc>
          <w:tcPr>
            <w:tcW w:w="1200" w:type="dxa"/>
            <w:shd w:val="clear" w:color="auto" w:fill="516A8E"/>
            <w:vAlign w:val="center"/>
          </w:tcPr>
          <w:p w14:paraId="0CA5E708" w14:textId="1AC0481F"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Current total sugars (g/100g)</w:t>
            </w:r>
          </w:p>
        </w:tc>
        <w:tc>
          <w:tcPr>
            <w:tcW w:w="1211" w:type="dxa"/>
            <w:tcBorders>
              <w:right w:val="single" w:sz="4" w:space="0" w:color="auto"/>
            </w:tcBorders>
            <w:shd w:val="clear" w:color="auto" w:fill="516A8E"/>
            <w:vAlign w:val="center"/>
          </w:tcPr>
          <w:p w14:paraId="7CECF613" w14:textId="5DE4EF8B"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Proposed total sugars (g/100g)</w:t>
            </w:r>
          </w:p>
        </w:tc>
        <w:tc>
          <w:tcPr>
            <w:tcW w:w="1065" w:type="dxa"/>
            <w:tcBorders>
              <w:left w:val="single" w:sz="4" w:space="0" w:color="auto"/>
            </w:tcBorders>
            <w:shd w:val="clear" w:color="auto" w:fill="516A8E"/>
            <w:vAlign w:val="center"/>
          </w:tcPr>
          <w:p w14:paraId="1841B597" w14:textId="483A2D2B"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Modifying points</w:t>
            </w:r>
          </w:p>
        </w:tc>
        <w:tc>
          <w:tcPr>
            <w:tcW w:w="1245" w:type="dxa"/>
            <w:shd w:val="clear" w:color="auto" w:fill="516A8E"/>
            <w:vAlign w:val="center"/>
          </w:tcPr>
          <w:p w14:paraId="29A975AE" w14:textId="0C5E6EBE"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Current fruit and vegetable content (%)</w:t>
            </w:r>
          </w:p>
        </w:tc>
        <w:tc>
          <w:tcPr>
            <w:tcW w:w="1316" w:type="dxa"/>
            <w:shd w:val="clear" w:color="auto" w:fill="516A8E"/>
            <w:vAlign w:val="center"/>
          </w:tcPr>
          <w:p w14:paraId="0F3CBF5B" w14:textId="1CA78C03" w:rsidR="00CB0A32" w:rsidRPr="009645C4" w:rsidRDefault="00CB0A32">
            <w:pPr>
              <w:jc w:val="center"/>
              <w:rPr>
                <w:rFonts w:cstheme="minorHAnsi"/>
                <w:b/>
                <w:color w:val="FFFFFF" w:themeColor="background1"/>
                <w:sz w:val="20"/>
                <w:szCs w:val="20"/>
              </w:rPr>
            </w:pPr>
            <w:r w:rsidRPr="009645C4">
              <w:rPr>
                <w:rFonts w:cstheme="minorHAnsi"/>
                <w:b/>
                <w:color w:val="FFFFFF" w:themeColor="background1"/>
                <w:sz w:val="20"/>
                <w:szCs w:val="20"/>
              </w:rPr>
              <w:t>Proposed fruit and vegetable content (%)</w:t>
            </w:r>
          </w:p>
        </w:tc>
      </w:tr>
      <w:tr w:rsidR="00CB0A32" w:rsidRPr="009645C4" w14:paraId="2F08FDA3" w14:textId="57D5282D" w:rsidTr="00CB0A32">
        <w:trPr>
          <w:jc w:val="center"/>
        </w:trPr>
        <w:tc>
          <w:tcPr>
            <w:tcW w:w="914" w:type="dxa"/>
            <w:shd w:val="clear" w:color="auto" w:fill="F2F2F2" w:themeFill="background1" w:themeFillShade="F2"/>
          </w:tcPr>
          <w:p w14:paraId="6AC115FA" w14:textId="77777777" w:rsidR="00CB0A32" w:rsidRPr="009645C4" w:rsidRDefault="00CB0A32" w:rsidP="004D0222">
            <w:pPr>
              <w:jc w:val="center"/>
              <w:rPr>
                <w:rFonts w:cstheme="minorHAnsi"/>
                <w:sz w:val="20"/>
                <w:szCs w:val="20"/>
              </w:rPr>
            </w:pPr>
            <w:r w:rsidRPr="009645C4">
              <w:rPr>
                <w:rFonts w:cstheme="minorHAnsi"/>
                <w:sz w:val="20"/>
                <w:szCs w:val="20"/>
              </w:rPr>
              <w:t>0</w:t>
            </w:r>
          </w:p>
        </w:tc>
        <w:tc>
          <w:tcPr>
            <w:tcW w:w="988" w:type="dxa"/>
          </w:tcPr>
          <w:p w14:paraId="434C9E82" w14:textId="0ABD77EB" w:rsidR="00CB0A32" w:rsidRPr="009645C4" w:rsidRDefault="00CB0A32" w:rsidP="004D0222">
            <w:pPr>
              <w:jc w:val="center"/>
              <w:rPr>
                <w:rFonts w:cstheme="minorHAnsi"/>
                <w:sz w:val="20"/>
                <w:szCs w:val="20"/>
              </w:rPr>
            </w:pPr>
            <w:r w:rsidRPr="004D0222">
              <w:rPr>
                <w:rFonts w:cstheme="minorHAnsi"/>
                <w:sz w:val="20"/>
                <w:szCs w:val="20"/>
              </w:rPr>
              <w:t>≤335</w:t>
            </w:r>
          </w:p>
        </w:tc>
        <w:tc>
          <w:tcPr>
            <w:tcW w:w="1004" w:type="dxa"/>
          </w:tcPr>
          <w:p w14:paraId="0C74FE1A" w14:textId="0CA57A2C" w:rsidR="00CB0A32" w:rsidRPr="009645C4" w:rsidRDefault="00CB0A32" w:rsidP="004D0222">
            <w:pPr>
              <w:jc w:val="center"/>
              <w:rPr>
                <w:rFonts w:cstheme="minorHAnsi"/>
                <w:sz w:val="20"/>
                <w:szCs w:val="20"/>
              </w:rPr>
            </w:pPr>
            <w:r w:rsidRPr="009645C4">
              <w:rPr>
                <w:rFonts w:cstheme="minorHAnsi"/>
                <w:sz w:val="20"/>
                <w:szCs w:val="20"/>
              </w:rPr>
              <w:t>0</w:t>
            </w:r>
          </w:p>
        </w:tc>
        <w:tc>
          <w:tcPr>
            <w:tcW w:w="1200" w:type="dxa"/>
          </w:tcPr>
          <w:p w14:paraId="438F1D76" w14:textId="7587D3E3" w:rsidR="00CB0A32" w:rsidRPr="009645C4" w:rsidRDefault="00CB0A32" w:rsidP="004D0222">
            <w:pPr>
              <w:jc w:val="center"/>
              <w:rPr>
                <w:rFonts w:cstheme="minorHAnsi"/>
                <w:sz w:val="20"/>
                <w:szCs w:val="20"/>
              </w:rPr>
            </w:pPr>
            <w:r w:rsidRPr="004D0222">
              <w:rPr>
                <w:rFonts w:cstheme="minorHAnsi"/>
                <w:sz w:val="20"/>
                <w:szCs w:val="20"/>
              </w:rPr>
              <w:t>≤5.0</w:t>
            </w:r>
          </w:p>
        </w:tc>
        <w:tc>
          <w:tcPr>
            <w:tcW w:w="1211" w:type="dxa"/>
            <w:tcBorders>
              <w:right w:val="single" w:sz="4" w:space="0" w:color="auto"/>
            </w:tcBorders>
          </w:tcPr>
          <w:p w14:paraId="7F44DC98" w14:textId="539CDB1F" w:rsidR="00CB0A32" w:rsidRPr="009645C4" w:rsidRDefault="00CB0A32" w:rsidP="004D0222">
            <w:pPr>
              <w:jc w:val="center"/>
              <w:rPr>
                <w:rFonts w:cstheme="minorHAnsi"/>
                <w:sz w:val="20"/>
                <w:szCs w:val="20"/>
              </w:rPr>
            </w:pPr>
            <w:r w:rsidRPr="009645C4">
              <w:rPr>
                <w:rFonts w:cstheme="minorHAnsi"/>
                <w:sz w:val="20"/>
                <w:szCs w:val="20"/>
              </w:rPr>
              <w:t>0</w:t>
            </w:r>
          </w:p>
        </w:tc>
        <w:tc>
          <w:tcPr>
            <w:tcW w:w="1065" w:type="dxa"/>
            <w:tcBorders>
              <w:left w:val="single" w:sz="4" w:space="0" w:color="auto"/>
            </w:tcBorders>
            <w:shd w:val="clear" w:color="auto" w:fill="F2F2F2" w:themeFill="background1" w:themeFillShade="F2"/>
          </w:tcPr>
          <w:p w14:paraId="50E0F58E" w14:textId="7AE3A342" w:rsidR="00CB0A32" w:rsidRPr="009645C4" w:rsidRDefault="00CB0A32" w:rsidP="004D0222">
            <w:pPr>
              <w:jc w:val="center"/>
              <w:rPr>
                <w:rFonts w:cstheme="minorHAnsi"/>
                <w:sz w:val="20"/>
                <w:szCs w:val="20"/>
              </w:rPr>
            </w:pPr>
            <w:r w:rsidRPr="009645C4">
              <w:rPr>
                <w:rFonts w:cstheme="minorHAnsi"/>
                <w:sz w:val="20"/>
                <w:szCs w:val="20"/>
              </w:rPr>
              <w:t>0</w:t>
            </w:r>
          </w:p>
        </w:tc>
        <w:tc>
          <w:tcPr>
            <w:tcW w:w="1245" w:type="dxa"/>
          </w:tcPr>
          <w:p w14:paraId="277320CA" w14:textId="547A5EED" w:rsidR="00CB0A32" w:rsidRPr="009645C4" w:rsidRDefault="00CB0A32" w:rsidP="004D0222">
            <w:pPr>
              <w:jc w:val="center"/>
              <w:rPr>
                <w:rFonts w:cstheme="minorHAnsi"/>
                <w:sz w:val="20"/>
                <w:szCs w:val="20"/>
              </w:rPr>
            </w:pPr>
            <w:r w:rsidRPr="005A3631">
              <w:rPr>
                <w:rFonts w:eastAsia="Calibri" w:cstheme="minorHAnsi"/>
                <w:sz w:val="20"/>
                <w:szCs w:val="20"/>
              </w:rPr>
              <w:t>≤40</w:t>
            </w:r>
          </w:p>
        </w:tc>
        <w:tc>
          <w:tcPr>
            <w:tcW w:w="1316" w:type="dxa"/>
          </w:tcPr>
          <w:p w14:paraId="2C70B6D9" w14:textId="77777777" w:rsidR="00CB0A32" w:rsidRPr="009645C4" w:rsidRDefault="00CB0A32" w:rsidP="004D0222">
            <w:pPr>
              <w:jc w:val="center"/>
              <w:rPr>
                <w:rFonts w:cstheme="minorHAnsi"/>
                <w:sz w:val="20"/>
                <w:szCs w:val="20"/>
              </w:rPr>
            </w:pPr>
          </w:p>
        </w:tc>
      </w:tr>
      <w:tr w:rsidR="00CB0A32" w:rsidRPr="009645C4" w14:paraId="7EE19D20" w14:textId="33FF91B0" w:rsidTr="00CB0A32">
        <w:trPr>
          <w:jc w:val="center"/>
        </w:trPr>
        <w:tc>
          <w:tcPr>
            <w:tcW w:w="914" w:type="dxa"/>
            <w:shd w:val="clear" w:color="auto" w:fill="F2F2F2" w:themeFill="background1" w:themeFillShade="F2"/>
          </w:tcPr>
          <w:p w14:paraId="06F71FCC" w14:textId="77777777" w:rsidR="00CB0A32" w:rsidRPr="009645C4" w:rsidRDefault="00CB0A32" w:rsidP="004D0222">
            <w:pPr>
              <w:jc w:val="center"/>
              <w:rPr>
                <w:rFonts w:cstheme="minorHAnsi"/>
                <w:sz w:val="20"/>
                <w:szCs w:val="20"/>
              </w:rPr>
            </w:pPr>
            <w:r w:rsidRPr="009645C4">
              <w:rPr>
                <w:rFonts w:cstheme="minorHAnsi"/>
                <w:sz w:val="20"/>
                <w:szCs w:val="20"/>
              </w:rPr>
              <w:t>1</w:t>
            </w:r>
          </w:p>
        </w:tc>
        <w:tc>
          <w:tcPr>
            <w:tcW w:w="988" w:type="dxa"/>
          </w:tcPr>
          <w:p w14:paraId="0E2016FF" w14:textId="21AE32BD" w:rsidR="00CB0A32" w:rsidRPr="009645C4" w:rsidRDefault="00CB0A32" w:rsidP="004D0222">
            <w:pPr>
              <w:jc w:val="center"/>
              <w:rPr>
                <w:rFonts w:cstheme="minorHAnsi"/>
                <w:sz w:val="20"/>
                <w:szCs w:val="20"/>
              </w:rPr>
            </w:pPr>
            <w:r w:rsidRPr="004D0222">
              <w:rPr>
                <w:rFonts w:cstheme="minorHAnsi"/>
                <w:sz w:val="20"/>
                <w:szCs w:val="20"/>
              </w:rPr>
              <w:t>&gt;335</w:t>
            </w:r>
          </w:p>
        </w:tc>
        <w:tc>
          <w:tcPr>
            <w:tcW w:w="1004" w:type="dxa"/>
          </w:tcPr>
          <w:p w14:paraId="518B96D2" w14:textId="6D69C7BA" w:rsidR="00CB0A32" w:rsidRPr="009645C4" w:rsidRDefault="00CB0A32" w:rsidP="004D0222">
            <w:pPr>
              <w:jc w:val="center"/>
              <w:rPr>
                <w:rFonts w:cstheme="minorHAnsi"/>
                <w:sz w:val="20"/>
                <w:szCs w:val="20"/>
              </w:rPr>
            </w:pPr>
            <w:r w:rsidRPr="009645C4">
              <w:rPr>
                <w:rFonts w:cstheme="minorHAnsi"/>
                <w:sz w:val="20"/>
                <w:szCs w:val="20"/>
              </w:rPr>
              <w:t>≤ 30</w:t>
            </w:r>
          </w:p>
        </w:tc>
        <w:tc>
          <w:tcPr>
            <w:tcW w:w="1200" w:type="dxa"/>
          </w:tcPr>
          <w:p w14:paraId="54589CDF" w14:textId="76D89AA8" w:rsidR="00CB0A32" w:rsidRPr="009645C4" w:rsidRDefault="00CB0A32" w:rsidP="004D0222">
            <w:pPr>
              <w:jc w:val="center"/>
              <w:rPr>
                <w:rFonts w:cstheme="minorHAnsi"/>
                <w:sz w:val="20"/>
                <w:szCs w:val="20"/>
              </w:rPr>
            </w:pPr>
            <w:r w:rsidRPr="004D0222">
              <w:rPr>
                <w:rFonts w:cstheme="minorHAnsi"/>
                <w:sz w:val="20"/>
                <w:szCs w:val="20"/>
              </w:rPr>
              <w:t>&gt;5.0</w:t>
            </w:r>
          </w:p>
        </w:tc>
        <w:tc>
          <w:tcPr>
            <w:tcW w:w="1211" w:type="dxa"/>
            <w:tcBorders>
              <w:right w:val="single" w:sz="4" w:space="0" w:color="auto"/>
            </w:tcBorders>
          </w:tcPr>
          <w:p w14:paraId="7325DB97" w14:textId="646A129A" w:rsidR="00CB0A32" w:rsidRPr="009645C4" w:rsidRDefault="00CB0A32" w:rsidP="004D0222">
            <w:pPr>
              <w:jc w:val="center"/>
              <w:rPr>
                <w:rFonts w:cstheme="minorHAnsi"/>
                <w:sz w:val="20"/>
                <w:szCs w:val="20"/>
              </w:rPr>
            </w:pPr>
            <w:r w:rsidRPr="009645C4">
              <w:rPr>
                <w:rFonts w:cstheme="minorHAnsi"/>
                <w:sz w:val="20"/>
                <w:szCs w:val="20"/>
              </w:rPr>
              <w:t>≤ 1.5</w:t>
            </w:r>
          </w:p>
        </w:tc>
        <w:tc>
          <w:tcPr>
            <w:tcW w:w="1065" w:type="dxa"/>
            <w:tcBorders>
              <w:left w:val="single" w:sz="4" w:space="0" w:color="auto"/>
            </w:tcBorders>
            <w:shd w:val="clear" w:color="auto" w:fill="F2F2F2" w:themeFill="background1" w:themeFillShade="F2"/>
          </w:tcPr>
          <w:p w14:paraId="6A320704" w14:textId="09FB169D" w:rsidR="00CB0A32" w:rsidRPr="009645C4" w:rsidRDefault="00CB0A32" w:rsidP="004D0222">
            <w:pPr>
              <w:jc w:val="center"/>
              <w:rPr>
                <w:rFonts w:cstheme="minorHAnsi"/>
                <w:sz w:val="20"/>
                <w:szCs w:val="20"/>
              </w:rPr>
            </w:pPr>
            <w:r w:rsidRPr="009645C4">
              <w:rPr>
                <w:rFonts w:cstheme="minorHAnsi"/>
                <w:sz w:val="20"/>
                <w:szCs w:val="20"/>
              </w:rPr>
              <w:t>1</w:t>
            </w:r>
          </w:p>
        </w:tc>
        <w:tc>
          <w:tcPr>
            <w:tcW w:w="1245" w:type="dxa"/>
          </w:tcPr>
          <w:p w14:paraId="6E84DE28" w14:textId="75987E2A" w:rsidR="00CB0A32" w:rsidRPr="009645C4" w:rsidRDefault="00CB0A32" w:rsidP="004D0222">
            <w:pPr>
              <w:jc w:val="center"/>
              <w:rPr>
                <w:rFonts w:cstheme="minorHAnsi"/>
                <w:sz w:val="20"/>
                <w:szCs w:val="20"/>
              </w:rPr>
            </w:pPr>
            <w:r w:rsidRPr="005A3631">
              <w:rPr>
                <w:rFonts w:eastAsia="Calibri" w:cstheme="minorHAnsi"/>
                <w:sz w:val="20"/>
                <w:szCs w:val="20"/>
              </w:rPr>
              <w:t>&gt;40</w:t>
            </w:r>
          </w:p>
        </w:tc>
        <w:tc>
          <w:tcPr>
            <w:tcW w:w="1316" w:type="dxa"/>
          </w:tcPr>
          <w:p w14:paraId="1B478619" w14:textId="77777777" w:rsidR="00CB0A32" w:rsidRPr="009645C4" w:rsidRDefault="00CB0A32" w:rsidP="004D0222">
            <w:pPr>
              <w:jc w:val="center"/>
              <w:rPr>
                <w:rFonts w:cstheme="minorHAnsi"/>
                <w:sz w:val="20"/>
                <w:szCs w:val="20"/>
              </w:rPr>
            </w:pPr>
          </w:p>
        </w:tc>
      </w:tr>
      <w:tr w:rsidR="00CB0A32" w:rsidRPr="009645C4" w14:paraId="7C21ABA8" w14:textId="426618C5" w:rsidTr="00CB0A32">
        <w:trPr>
          <w:jc w:val="center"/>
        </w:trPr>
        <w:tc>
          <w:tcPr>
            <w:tcW w:w="914" w:type="dxa"/>
            <w:shd w:val="clear" w:color="auto" w:fill="F2F2F2" w:themeFill="background1" w:themeFillShade="F2"/>
          </w:tcPr>
          <w:p w14:paraId="3055E324" w14:textId="77777777" w:rsidR="00CB0A32" w:rsidRPr="009645C4" w:rsidRDefault="00CB0A32" w:rsidP="004D0222">
            <w:pPr>
              <w:jc w:val="center"/>
              <w:rPr>
                <w:rFonts w:cstheme="minorHAnsi"/>
                <w:sz w:val="20"/>
                <w:szCs w:val="20"/>
              </w:rPr>
            </w:pPr>
            <w:r w:rsidRPr="009645C4">
              <w:rPr>
                <w:rFonts w:cstheme="minorHAnsi"/>
                <w:sz w:val="20"/>
                <w:szCs w:val="20"/>
              </w:rPr>
              <w:t>2</w:t>
            </w:r>
          </w:p>
        </w:tc>
        <w:tc>
          <w:tcPr>
            <w:tcW w:w="988" w:type="dxa"/>
          </w:tcPr>
          <w:p w14:paraId="3BC9FD12" w14:textId="32DD3143" w:rsidR="00CB0A32" w:rsidRPr="009645C4" w:rsidRDefault="00CB0A32" w:rsidP="004D0222">
            <w:pPr>
              <w:jc w:val="center"/>
              <w:rPr>
                <w:rFonts w:cstheme="minorHAnsi"/>
                <w:sz w:val="20"/>
                <w:szCs w:val="20"/>
              </w:rPr>
            </w:pPr>
            <w:r w:rsidRPr="004D0222">
              <w:rPr>
                <w:rFonts w:cstheme="minorHAnsi"/>
                <w:sz w:val="20"/>
                <w:szCs w:val="20"/>
              </w:rPr>
              <w:t>&gt;670</w:t>
            </w:r>
          </w:p>
        </w:tc>
        <w:tc>
          <w:tcPr>
            <w:tcW w:w="1004" w:type="dxa"/>
          </w:tcPr>
          <w:p w14:paraId="69F7A222" w14:textId="001EE1D3" w:rsidR="00CB0A32" w:rsidRPr="009645C4" w:rsidRDefault="00CB0A32" w:rsidP="004D0222">
            <w:pPr>
              <w:jc w:val="center"/>
              <w:rPr>
                <w:rFonts w:cstheme="minorHAnsi"/>
                <w:sz w:val="20"/>
                <w:szCs w:val="20"/>
              </w:rPr>
            </w:pPr>
            <w:r w:rsidRPr="009645C4">
              <w:rPr>
                <w:rFonts w:cstheme="minorHAnsi"/>
                <w:sz w:val="20"/>
                <w:szCs w:val="20"/>
              </w:rPr>
              <w:t>≤ 60</w:t>
            </w:r>
          </w:p>
        </w:tc>
        <w:tc>
          <w:tcPr>
            <w:tcW w:w="1200" w:type="dxa"/>
          </w:tcPr>
          <w:p w14:paraId="65D7BE91" w14:textId="6EB20E26" w:rsidR="00CB0A32" w:rsidRPr="009645C4" w:rsidRDefault="00CB0A32" w:rsidP="004D0222">
            <w:pPr>
              <w:jc w:val="center"/>
              <w:rPr>
                <w:rFonts w:cstheme="minorHAnsi"/>
                <w:sz w:val="20"/>
                <w:szCs w:val="20"/>
              </w:rPr>
            </w:pPr>
            <w:r w:rsidRPr="004D0222">
              <w:rPr>
                <w:rFonts w:cstheme="minorHAnsi"/>
                <w:sz w:val="20"/>
                <w:szCs w:val="20"/>
              </w:rPr>
              <w:t>&gt;9.0</w:t>
            </w:r>
          </w:p>
        </w:tc>
        <w:tc>
          <w:tcPr>
            <w:tcW w:w="1211" w:type="dxa"/>
            <w:tcBorders>
              <w:right w:val="single" w:sz="4" w:space="0" w:color="auto"/>
            </w:tcBorders>
          </w:tcPr>
          <w:p w14:paraId="5C13EC2F" w14:textId="66870BAC" w:rsidR="00CB0A32" w:rsidRPr="009645C4" w:rsidRDefault="00CB0A32" w:rsidP="004D0222">
            <w:pPr>
              <w:jc w:val="center"/>
              <w:rPr>
                <w:rFonts w:cstheme="minorHAnsi"/>
                <w:sz w:val="20"/>
                <w:szCs w:val="20"/>
              </w:rPr>
            </w:pPr>
            <w:r w:rsidRPr="009645C4">
              <w:rPr>
                <w:rFonts w:cstheme="minorHAnsi"/>
                <w:sz w:val="20"/>
                <w:szCs w:val="20"/>
              </w:rPr>
              <w:t>≤ 3</w:t>
            </w:r>
          </w:p>
        </w:tc>
        <w:tc>
          <w:tcPr>
            <w:tcW w:w="1065" w:type="dxa"/>
            <w:tcBorders>
              <w:left w:val="single" w:sz="4" w:space="0" w:color="auto"/>
            </w:tcBorders>
            <w:shd w:val="clear" w:color="auto" w:fill="F2F2F2" w:themeFill="background1" w:themeFillShade="F2"/>
          </w:tcPr>
          <w:p w14:paraId="788AA8E3" w14:textId="009F2D6D" w:rsidR="00CB0A32" w:rsidRPr="009645C4" w:rsidRDefault="00CB0A32" w:rsidP="004D0222">
            <w:pPr>
              <w:jc w:val="center"/>
              <w:rPr>
                <w:rFonts w:cstheme="minorHAnsi"/>
                <w:sz w:val="20"/>
                <w:szCs w:val="20"/>
              </w:rPr>
            </w:pPr>
            <w:r w:rsidRPr="009645C4">
              <w:rPr>
                <w:rFonts w:cstheme="minorHAnsi"/>
                <w:sz w:val="20"/>
                <w:szCs w:val="20"/>
              </w:rPr>
              <w:t>2</w:t>
            </w:r>
          </w:p>
        </w:tc>
        <w:tc>
          <w:tcPr>
            <w:tcW w:w="1245" w:type="dxa"/>
          </w:tcPr>
          <w:p w14:paraId="61D10E1D" w14:textId="762D1547" w:rsidR="00CB0A32" w:rsidRPr="009645C4" w:rsidRDefault="00CB0A32" w:rsidP="004D0222">
            <w:pPr>
              <w:jc w:val="center"/>
              <w:rPr>
                <w:rFonts w:cstheme="minorHAnsi"/>
                <w:sz w:val="20"/>
                <w:szCs w:val="20"/>
              </w:rPr>
            </w:pPr>
            <w:r w:rsidRPr="005A3631">
              <w:rPr>
                <w:rFonts w:eastAsia="Calibri" w:cstheme="minorHAnsi"/>
                <w:sz w:val="20"/>
                <w:szCs w:val="20"/>
              </w:rPr>
              <w:t>&gt;60</w:t>
            </w:r>
          </w:p>
        </w:tc>
        <w:tc>
          <w:tcPr>
            <w:tcW w:w="1316" w:type="dxa"/>
          </w:tcPr>
          <w:p w14:paraId="179337CB" w14:textId="317FBDBD" w:rsidR="00CB0A32" w:rsidRPr="009645C4" w:rsidRDefault="00CB0A32" w:rsidP="004D0222">
            <w:pPr>
              <w:jc w:val="center"/>
              <w:rPr>
                <w:rFonts w:cstheme="minorHAnsi"/>
                <w:sz w:val="20"/>
                <w:szCs w:val="20"/>
              </w:rPr>
            </w:pPr>
            <w:r w:rsidRPr="009645C4">
              <w:rPr>
                <w:rFonts w:cstheme="minorHAnsi"/>
                <w:sz w:val="20"/>
                <w:szCs w:val="20"/>
              </w:rPr>
              <w:t>&gt; 40</w:t>
            </w:r>
          </w:p>
        </w:tc>
      </w:tr>
      <w:tr w:rsidR="00CB0A32" w:rsidRPr="009645C4" w14:paraId="2B84CACB" w14:textId="15C46B17" w:rsidTr="00CB0A32">
        <w:trPr>
          <w:jc w:val="center"/>
        </w:trPr>
        <w:tc>
          <w:tcPr>
            <w:tcW w:w="914" w:type="dxa"/>
            <w:shd w:val="clear" w:color="auto" w:fill="F2F2F2" w:themeFill="background1" w:themeFillShade="F2"/>
          </w:tcPr>
          <w:p w14:paraId="32C34724" w14:textId="77777777" w:rsidR="00CB0A32" w:rsidRPr="009645C4" w:rsidRDefault="00CB0A32" w:rsidP="004D0222">
            <w:pPr>
              <w:jc w:val="center"/>
              <w:rPr>
                <w:rFonts w:cstheme="minorHAnsi"/>
                <w:sz w:val="20"/>
                <w:szCs w:val="20"/>
              </w:rPr>
            </w:pPr>
            <w:r w:rsidRPr="009645C4">
              <w:rPr>
                <w:rFonts w:cstheme="minorHAnsi"/>
                <w:sz w:val="20"/>
                <w:szCs w:val="20"/>
              </w:rPr>
              <w:t>3</w:t>
            </w:r>
          </w:p>
        </w:tc>
        <w:tc>
          <w:tcPr>
            <w:tcW w:w="988" w:type="dxa"/>
          </w:tcPr>
          <w:p w14:paraId="12FB2986" w14:textId="6AB79E72" w:rsidR="00CB0A32" w:rsidRPr="009645C4" w:rsidRDefault="00CB0A32" w:rsidP="004D0222">
            <w:pPr>
              <w:jc w:val="center"/>
              <w:rPr>
                <w:rFonts w:cstheme="minorHAnsi"/>
                <w:sz w:val="20"/>
                <w:szCs w:val="20"/>
              </w:rPr>
            </w:pPr>
            <w:r w:rsidRPr="004D0222">
              <w:rPr>
                <w:rFonts w:cstheme="minorHAnsi"/>
                <w:sz w:val="20"/>
                <w:szCs w:val="20"/>
              </w:rPr>
              <w:t>&gt;1005</w:t>
            </w:r>
          </w:p>
        </w:tc>
        <w:tc>
          <w:tcPr>
            <w:tcW w:w="1004" w:type="dxa"/>
          </w:tcPr>
          <w:p w14:paraId="088CF457" w14:textId="4EFE75D4" w:rsidR="00CB0A32" w:rsidRPr="009645C4" w:rsidRDefault="00CB0A32" w:rsidP="004D0222">
            <w:pPr>
              <w:jc w:val="center"/>
              <w:rPr>
                <w:rFonts w:cstheme="minorHAnsi"/>
                <w:sz w:val="20"/>
                <w:szCs w:val="20"/>
              </w:rPr>
            </w:pPr>
            <w:r w:rsidRPr="009645C4">
              <w:rPr>
                <w:rFonts w:cstheme="minorHAnsi"/>
                <w:sz w:val="20"/>
                <w:szCs w:val="20"/>
              </w:rPr>
              <w:t>≤ 90</w:t>
            </w:r>
          </w:p>
        </w:tc>
        <w:tc>
          <w:tcPr>
            <w:tcW w:w="1200" w:type="dxa"/>
          </w:tcPr>
          <w:p w14:paraId="1B606873" w14:textId="3FD5B008" w:rsidR="00CB0A32" w:rsidRPr="009645C4" w:rsidRDefault="00CB0A32" w:rsidP="004D0222">
            <w:pPr>
              <w:jc w:val="center"/>
              <w:rPr>
                <w:rFonts w:cstheme="minorHAnsi"/>
                <w:sz w:val="20"/>
                <w:szCs w:val="20"/>
              </w:rPr>
            </w:pPr>
            <w:r w:rsidRPr="004D0222">
              <w:rPr>
                <w:rFonts w:cstheme="minorHAnsi"/>
                <w:sz w:val="20"/>
                <w:szCs w:val="20"/>
              </w:rPr>
              <w:t>&gt;13.5</w:t>
            </w:r>
          </w:p>
        </w:tc>
        <w:tc>
          <w:tcPr>
            <w:tcW w:w="1211" w:type="dxa"/>
            <w:tcBorders>
              <w:right w:val="single" w:sz="4" w:space="0" w:color="auto"/>
            </w:tcBorders>
          </w:tcPr>
          <w:p w14:paraId="2286734A" w14:textId="20B6AEE6" w:rsidR="00CB0A32" w:rsidRPr="009645C4" w:rsidRDefault="00CB0A32" w:rsidP="004D0222">
            <w:pPr>
              <w:jc w:val="center"/>
              <w:rPr>
                <w:rFonts w:cstheme="minorHAnsi"/>
                <w:sz w:val="20"/>
                <w:szCs w:val="20"/>
              </w:rPr>
            </w:pPr>
            <w:r w:rsidRPr="009645C4">
              <w:rPr>
                <w:rFonts w:cstheme="minorHAnsi"/>
                <w:sz w:val="20"/>
                <w:szCs w:val="20"/>
              </w:rPr>
              <w:t>≤ 4.5</w:t>
            </w:r>
          </w:p>
        </w:tc>
        <w:tc>
          <w:tcPr>
            <w:tcW w:w="1065" w:type="dxa"/>
            <w:tcBorders>
              <w:left w:val="single" w:sz="4" w:space="0" w:color="auto"/>
            </w:tcBorders>
            <w:shd w:val="clear" w:color="auto" w:fill="F2F2F2" w:themeFill="background1" w:themeFillShade="F2"/>
          </w:tcPr>
          <w:p w14:paraId="50B5EE12" w14:textId="759E5E66" w:rsidR="00CB0A32" w:rsidRPr="009645C4" w:rsidRDefault="00CB0A32" w:rsidP="004D0222">
            <w:pPr>
              <w:jc w:val="center"/>
              <w:rPr>
                <w:rFonts w:cstheme="minorHAnsi"/>
                <w:sz w:val="20"/>
                <w:szCs w:val="20"/>
              </w:rPr>
            </w:pPr>
            <w:r w:rsidRPr="009645C4">
              <w:rPr>
                <w:rFonts w:cstheme="minorHAnsi"/>
                <w:sz w:val="20"/>
                <w:szCs w:val="20"/>
              </w:rPr>
              <w:t>3</w:t>
            </w:r>
          </w:p>
        </w:tc>
        <w:tc>
          <w:tcPr>
            <w:tcW w:w="1245" w:type="dxa"/>
          </w:tcPr>
          <w:p w14:paraId="2B4D177D" w14:textId="3A964718" w:rsidR="00CB0A32" w:rsidRPr="009645C4" w:rsidRDefault="00CB0A32" w:rsidP="004D0222">
            <w:pPr>
              <w:jc w:val="center"/>
              <w:rPr>
                <w:rFonts w:cstheme="minorHAnsi"/>
                <w:sz w:val="20"/>
                <w:szCs w:val="20"/>
              </w:rPr>
            </w:pPr>
            <w:r w:rsidRPr="005A3631">
              <w:rPr>
                <w:rFonts w:eastAsia="Calibri" w:cstheme="minorHAnsi"/>
                <w:sz w:val="20"/>
                <w:szCs w:val="20"/>
              </w:rPr>
              <w:t>&gt;67</w:t>
            </w:r>
          </w:p>
        </w:tc>
        <w:tc>
          <w:tcPr>
            <w:tcW w:w="1316" w:type="dxa"/>
          </w:tcPr>
          <w:p w14:paraId="1AFB14D9" w14:textId="77777777" w:rsidR="00CB0A32" w:rsidRPr="009645C4" w:rsidRDefault="00CB0A32" w:rsidP="004D0222">
            <w:pPr>
              <w:jc w:val="center"/>
              <w:rPr>
                <w:rFonts w:cstheme="minorHAnsi"/>
                <w:sz w:val="20"/>
                <w:szCs w:val="20"/>
              </w:rPr>
            </w:pPr>
          </w:p>
        </w:tc>
      </w:tr>
      <w:tr w:rsidR="00CB0A32" w:rsidRPr="009645C4" w14:paraId="4E4CC371" w14:textId="384697E3" w:rsidTr="00CB0A32">
        <w:trPr>
          <w:jc w:val="center"/>
        </w:trPr>
        <w:tc>
          <w:tcPr>
            <w:tcW w:w="914" w:type="dxa"/>
            <w:shd w:val="clear" w:color="auto" w:fill="F2F2F2" w:themeFill="background1" w:themeFillShade="F2"/>
          </w:tcPr>
          <w:p w14:paraId="2064AA49" w14:textId="77777777" w:rsidR="00CB0A32" w:rsidRPr="009645C4" w:rsidRDefault="00CB0A32" w:rsidP="004D0222">
            <w:pPr>
              <w:jc w:val="center"/>
              <w:rPr>
                <w:rFonts w:cstheme="minorHAnsi"/>
                <w:sz w:val="20"/>
                <w:szCs w:val="20"/>
              </w:rPr>
            </w:pPr>
            <w:r w:rsidRPr="009645C4">
              <w:rPr>
                <w:rFonts w:cstheme="minorHAnsi"/>
                <w:sz w:val="20"/>
                <w:szCs w:val="20"/>
              </w:rPr>
              <w:t>4</w:t>
            </w:r>
          </w:p>
        </w:tc>
        <w:tc>
          <w:tcPr>
            <w:tcW w:w="988" w:type="dxa"/>
          </w:tcPr>
          <w:p w14:paraId="40659AB8" w14:textId="214663B7" w:rsidR="00CB0A32" w:rsidRPr="009645C4" w:rsidRDefault="00CB0A32" w:rsidP="004D0222">
            <w:pPr>
              <w:jc w:val="center"/>
              <w:rPr>
                <w:rFonts w:cstheme="minorHAnsi"/>
                <w:sz w:val="20"/>
                <w:szCs w:val="20"/>
              </w:rPr>
            </w:pPr>
            <w:r w:rsidRPr="004D0222">
              <w:rPr>
                <w:rFonts w:cstheme="minorHAnsi"/>
                <w:sz w:val="20"/>
                <w:szCs w:val="20"/>
              </w:rPr>
              <w:t>&gt;1340</w:t>
            </w:r>
          </w:p>
        </w:tc>
        <w:tc>
          <w:tcPr>
            <w:tcW w:w="1004" w:type="dxa"/>
          </w:tcPr>
          <w:p w14:paraId="50E57282" w14:textId="4874B58C" w:rsidR="00CB0A32" w:rsidRPr="009645C4" w:rsidRDefault="00CB0A32" w:rsidP="004D0222">
            <w:pPr>
              <w:jc w:val="center"/>
              <w:rPr>
                <w:rFonts w:cstheme="minorHAnsi"/>
                <w:sz w:val="20"/>
                <w:szCs w:val="20"/>
              </w:rPr>
            </w:pPr>
            <w:r w:rsidRPr="009645C4">
              <w:rPr>
                <w:rFonts w:cstheme="minorHAnsi"/>
                <w:sz w:val="20"/>
                <w:szCs w:val="20"/>
              </w:rPr>
              <w:t>≤ 120</w:t>
            </w:r>
          </w:p>
        </w:tc>
        <w:tc>
          <w:tcPr>
            <w:tcW w:w="1200" w:type="dxa"/>
          </w:tcPr>
          <w:p w14:paraId="2E569755" w14:textId="03CEEFDD" w:rsidR="00CB0A32" w:rsidRPr="009645C4" w:rsidRDefault="00CB0A32" w:rsidP="004D0222">
            <w:pPr>
              <w:jc w:val="center"/>
              <w:rPr>
                <w:rFonts w:cstheme="minorHAnsi"/>
                <w:sz w:val="20"/>
                <w:szCs w:val="20"/>
              </w:rPr>
            </w:pPr>
            <w:r w:rsidRPr="004D0222">
              <w:rPr>
                <w:rFonts w:cstheme="minorHAnsi"/>
                <w:sz w:val="20"/>
                <w:szCs w:val="20"/>
              </w:rPr>
              <w:t>&gt;18.0</w:t>
            </w:r>
          </w:p>
        </w:tc>
        <w:tc>
          <w:tcPr>
            <w:tcW w:w="1211" w:type="dxa"/>
            <w:tcBorders>
              <w:right w:val="single" w:sz="4" w:space="0" w:color="auto"/>
            </w:tcBorders>
          </w:tcPr>
          <w:p w14:paraId="0D66C3B7" w14:textId="32C6932B" w:rsidR="00CB0A32" w:rsidRPr="009645C4" w:rsidRDefault="00CB0A32" w:rsidP="004D0222">
            <w:pPr>
              <w:jc w:val="center"/>
              <w:rPr>
                <w:rFonts w:cstheme="minorHAnsi"/>
                <w:sz w:val="20"/>
                <w:szCs w:val="20"/>
              </w:rPr>
            </w:pPr>
            <w:r w:rsidRPr="009645C4">
              <w:rPr>
                <w:rFonts w:cstheme="minorHAnsi"/>
                <w:sz w:val="20"/>
                <w:szCs w:val="20"/>
              </w:rPr>
              <w:t>≤ 6</w:t>
            </w:r>
          </w:p>
        </w:tc>
        <w:tc>
          <w:tcPr>
            <w:tcW w:w="1065" w:type="dxa"/>
            <w:tcBorders>
              <w:left w:val="single" w:sz="4" w:space="0" w:color="auto"/>
            </w:tcBorders>
            <w:shd w:val="clear" w:color="auto" w:fill="F2F2F2" w:themeFill="background1" w:themeFillShade="F2"/>
          </w:tcPr>
          <w:p w14:paraId="02BD7665" w14:textId="57986AE9" w:rsidR="00CB0A32" w:rsidRPr="009645C4" w:rsidRDefault="00CB0A32" w:rsidP="004D0222">
            <w:pPr>
              <w:jc w:val="center"/>
              <w:rPr>
                <w:rFonts w:cstheme="minorHAnsi"/>
                <w:sz w:val="20"/>
                <w:szCs w:val="20"/>
              </w:rPr>
            </w:pPr>
            <w:r w:rsidRPr="009645C4">
              <w:rPr>
                <w:rFonts w:cstheme="minorHAnsi"/>
                <w:sz w:val="20"/>
                <w:szCs w:val="20"/>
              </w:rPr>
              <w:t>4</w:t>
            </w:r>
          </w:p>
        </w:tc>
        <w:tc>
          <w:tcPr>
            <w:tcW w:w="1245" w:type="dxa"/>
          </w:tcPr>
          <w:p w14:paraId="073DBE41" w14:textId="323238C3" w:rsidR="00CB0A32" w:rsidRPr="009645C4" w:rsidRDefault="00CB0A32" w:rsidP="004D0222">
            <w:pPr>
              <w:jc w:val="center"/>
              <w:rPr>
                <w:rFonts w:cstheme="minorHAnsi"/>
                <w:sz w:val="20"/>
                <w:szCs w:val="20"/>
              </w:rPr>
            </w:pPr>
            <w:r w:rsidRPr="005A3631">
              <w:rPr>
                <w:rFonts w:eastAsia="Calibri" w:cstheme="minorHAnsi"/>
                <w:sz w:val="20"/>
                <w:szCs w:val="20"/>
              </w:rPr>
              <w:t>&gt;75</w:t>
            </w:r>
          </w:p>
        </w:tc>
        <w:tc>
          <w:tcPr>
            <w:tcW w:w="1316" w:type="dxa"/>
          </w:tcPr>
          <w:p w14:paraId="2BCD9C94" w14:textId="0C9EC47E" w:rsidR="00CB0A32" w:rsidRPr="009645C4" w:rsidRDefault="00CB0A32" w:rsidP="004D0222">
            <w:pPr>
              <w:jc w:val="center"/>
              <w:rPr>
                <w:rFonts w:cstheme="minorHAnsi"/>
                <w:sz w:val="20"/>
                <w:szCs w:val="20"/>
              </w:rPr>
            </w:pPr>
            <w:r w:rsidRPr="009645C4">
              <w:rPr>
                <w:rFonts w:cstheme="minorHAnsi"/>
                <w:sz w:val="20"/>
                <w:szCs w:val="20"/>
              </w:rPr>
              <w:t>&gt; 60</w:t>
            </w:r>
          </w:p>
        </w:tc>
      </w:tr>
      <w:tr w:rsidR="00CB0A32" w:rsidRPr="009645C4" w14:paraId="05E663ED" w14:textId="4C72EDE6" w:rsidTr="00CB0A32">
        <w:trPr>
          <w:jc w:val="center"/>
        </w:trPr>
        <w:tc>
          <w:tcPr>
            <w:tcW w:w="914" w:type="dxa"/>
            <w:shd w:val="clear" w:color="auto" w:fill="F2F2F2" w:themeFill="background1" w:themeFillShade="F2"/>
          </w:tcPr>
          <w:p w14:paraId="71F2AB80" w14:textId="77777777" w:rsidR="00CB0A32" w:rsidRPr="009645C4" w:rsidRDefault="00CB0A32" w:rsidP="004D0222">
            <w:pPr>
              <w:jc w:val="center"/>
              <w:rPr>
                <w:rFonts w:cstheme="minorHAnsi"/>
                <w:sz w:val="20"/>
                <w:szCs w:val="20"/>
              </w:rPr>
            </w:pPr>
            <w:r w:rsidRPr="009645C4">
              <w:rPr>
                <w:rFonts w:cstheme="minorHAnsi"/>
                <w:sz w:val="20"/>
                <w:szCs w:val="20"/>
              </w:rPr>
              <w:t>5</w:t>
            </w:r>
          </w:p>
        </w:tc>
        <w:tc>
          <w:tcPr>
            <w:tcW w:w="988" w:type="dxa"/>
          </w:tcPr>
          <w:p w14:paraId="7116F417" w14:textId="246C3754" w:rsidR="00CB0A32" w:rsidRPr="009645C4" w:rsidRDefault="00CB0A32" w:rsidP="004D0222">
            <w:pPr>
              <w:jc w:val="center"/>
              <w:rPr>
                <w:rFonts w:cstheme="minorHAnsi"/>
                <w:sz w:val="20"/>
                <w:szCs w:val="20"/>
              </w:rPr>
            </w:pPr>
            <w:r w:rsidRPr="004D0222">
              <w:rPr>
                <w:rFonts w:cstheme="minorHAnsi"/>
                <w:sz w:val="20"/>
                <w:szCs w:val="20"/>
              </w:rPr>
              <w:t>&gt;1675</w:t>
            </w:r>
          </w:p>
        </w:tc>
        <w:tc>
          <w:tcPr>
            <w:tcW w:w="1004" w:type="dxa"/>
          </w:tcPr>
          <w:p w14:paraId="05AA4B75" w14:textId="14ED5D0A" w:rsidR="00CB0A32" w:rsidRPr="009645C4" w:rsidRDefault="00CB0A32" w:rsidP="004D0222">
            <w:pPr>
              <w:jc w:val="center"/>
              <w:rPr>
                <w:rFonts w:cstheme="minorHAnsi"/>
                <w:sz w:val="20"/>
                <w:szCs w:val="20"/>
              </w:rPr>
            </w:pPr>
            <w:r w:rsidRPr="009645C4">
              <w:rPr>
                <w:rFonts w:cstheme="minorHAnsi"/>
                <w:sz w:val="20"/>
                <w:szCs w:val="20"/>
              </w:rPr>
              <w:t>≤ 150</w:t>
            </w:r>
          </w:p>
        </w:tc>
        <w:tc>
          <w:tcPr>
            <w:tcW w:w="1200" w:type="dxa"/>
          </w:tcPr>
          <w:p w14:paraId="364107C3" w14:textId="34D4934E" w:rsidR="00CB0A32" w:rsidRPr="009645C4" w:rsidRDefault="00CB0A32" w:rsidP="004D0222">
            <w:pPr>
              <w:jc w:val="center"/>
              <w:rPr>
                <w:rFonts w:cstheme="minorHAnsi"/>
                <w:sz w:val="20"/>
                <w:szCs w:val="20"/>
              </w:rPr>
            </w:pPr>
            <w:r w:rsidRPr="004D0222">
              <w:rPr>
                <w:rFonts w:cstheme="minorHAnsi"/>
                <w:sz w:val="20"/>
                <w:szCs w:val="20"/>
              </w:rPr>
              <w:t>&gt;22.5</w:t>
            </w:r>
          </w:p>
        </w:tc>
        <w:tc>
          <w:tcPr>
            <w:tcW w:w="1211" w:type="dxa"/>
            <w:tcBorders>
              <w:right w:val="single" w:sz="4" w:space="0" w:color="auto"/>
            </w:tcBorders>
          </w:tcPr>
          <w:p w14:paraId="711D8804" w14:textId="4AF864D4" w:rsidR="00CB0A32" w:rsidRPr="009645C4" w:rsidRDefault="00CB0A32" w:rsidP="004D0222">
            <w:pPr>
              <w:jc w:val="center"/>
              <w:rPr>
                <w:rFonts w:cstheme="minorHAnsi"/>
                <w:sz w:val="20"/>
                <w:szCs w:val="20"/>
              </w:rPr>
            </w:pPr>
            <w:r w:rsidRPr="009645C4">
              <w:rPr>
                <w:rFonts w:cstheme="minorHAnsi"/>
                <w:sz w:val="20"/>
                <w:szCs w:val="20"/>
              </w:rPr>
              <w:t>≤ 7.5</w:t>
            </w:r>
          </w:p>
        </w:tc>
        <w:tc>
          <w:tcPr>
            <w:tcW w:w="1065" w:type="dxa"/>
            <w:tcBorders>
              <w:left w:val="single" w:sz="4" w:space="0" w:color="auto"/>
            </w:tcBorders>
            <w:shd w:val="clear" w:color="auto" w:fill="F2F2F2" w:themeFill="background1" w:themeFillShade="F2"/>
          </w:tcPr>
          <w:p w14:paraId="24C2BF18" w14:textId="0D4A5BC4" w:rsidR="00CB0A32" w:rsidRPr="009645C4" w:rsidRDefault="00CB0A32" w:rsidP="004D0222">
            <w:pPr>
              <w:jc w:val="center"/>
              <w:rPr>
                <w:rFonts w:cstheme="minorHAnsi"/>
                <w:sz w:val="20"/>
                <w:szCs w:val="20"/>
              </w:rPr>
            </w:pPr>
            <w:r w:rsidRPr="009645C4">
              <w:rPr>
                <w:rFonts w:cstheme="minorHAnsi"/>
                <w:sz w:val="20"/>
                <w:szCs w:val="20"/>
              </w:rPr>
              <w:t>5</w:t>
            </w:r>
          </w:p>
        </w:tc>
        <w:tc>
          <w:tcPr>
            <w:tcW w:w="1245" w:type="dxa"/>
          </w:tcPr>
          <w:p w14:paraId="701D7781" w14:textId="4BB870E6" w:rsidR="00CB0A32" w:rsidRPr="009645C4" w:rsidRDefault="00CB0A32" w:rsidP="004D0222">
            <w:pPr>
              <w:jc w:val="center"/>
              <w:rPr>
                <w:rFonts w:cstheme="minorHAnsi"/>
                <w:sz w:val="20"/>
                <w:szCs w:val="20"/>
              </w:rPr>
            </w:pPr>
            <w:r w:rsidRPr="005A3631">
              <w:rPr>
                <w:rFonts w:eastAsia="Calibri" w:cstheme="minorHAnsi"/>
                <w:sz w:val="20"/>
                <w:szCs w:val="20"/>
              </w:rPr>
              <w:t>&gt;80</w:t>
            </w:r>
          </w:p>
        </w:tc>
        <w:tc>
          <w:tcPr>
            <w:tcW w:w="1316" w:type="dxa"/>
          </w:tcPr>
          <w:p w14:paraId="3A0B0674" w14:textId="77777777" w:rsidR="00CB0A32" w:rsidRPr="009645C4" w:rsidRDefault="00CB0A32" w:rsidP="004D0222">
            <w:pPr>
              <w:jc w:val="center"/>
              <w:rPr>
                <w:rFonts w:cstheme="minorHAnsi"/>
                <w:sz w:val="20"/>
                <w:szCs w:val="20"/>
              </w:rPr>
            </w:pPr>
          </w:p>
        </w:tc>
      </w:tr>
      <w:tr w:rsidR="00CB0A32" w:rsidRPr="009645C4" w14:paraId="5DBCAB81" w14:textId="50F70A1D" w:rsidTr="00CB0A32">
        <w:trPr>
          <w:jc w:val="center"/>
        </w:trPr>
        <w:tc>
          <w:tcPr>
            <w:tcW w:w="914" w:type="dxa"/>
            <w:shd w:val="clear" w:color="auto" w:fill="F2F2F2" w:themeFill="background1" w:themeFillShade="F2"/>
          </w:tcPr>
          <w:p w14:paraId="72943DC8" w14:textId="77777777" w:rsidR="00CB0A32" w:rsidRPr="009645C4" w:rsidRDefault="00CB0A32" w:rsidP="004D0222">
            <w:pPr>
              <w:jc w:val="center"/>
              <w:rPr>
                <w:rFonts w:cstheme="minorHAnsi"/>
                <w:sz w:val="20"/>
                <w:szCs w:val="20"/>
              </w:rPr>
            </w:pPr>
            <w:r w:rsidRPr="009645C4">
              <w:rPr>
                <w:rFonts w:cstheme="minorHAnsi"/>
                <w:sz w:val="20"/>
                <w:szCs w:val="20"/>
              </w:rPr>
              <w:t>6</w:t>
            </w:r>
          </w:p>
        </w:tc>
        <w:tc>
          <w:tcPr>
            <w:tcW w:w="988" w:type="dxa"/>
          </w:tcPr>
          <w:p w14:paraId="2676E8A2" w14:textId="66934ECE" w:rsidR="00CB0A32" w:rsidRPr="009645C4" w:rsidRDefault="00CB0A32" w:rsidP="004D0222">
            <w:pPr>
              <w:jc w:val="center"/>
              <w:rPr>
                <w:rFonts w:cstheme="minorHAnsi"/>
                <w:sz w:val="20"/>
                <w:szCs w:val="20"/>
              </w:rPr>
            </w:pPr>
            <w:r w:rsidRPr="004D0222">
              <w:rPr>
                <w:rFonts w:cstheme="minorHAnsi"/>
                <w:sz w:val="20"/>
                <w:szCs w:val="20"/>
              </w:rPr>
              <w:t>&gt;2010</w:t>
            </w:r>
          </w:p>
        </w:tc>
        <w:tc>
          <w:tcPr>
            <w:tcW w:w="1004" w:type="dxa"/>
          </w:tcPr>
          <w:p w14:paraId="3C1314D2" w14:textId="189EFDAF" w:rsidR="00CB0A32" w:rsidRPr="009645C4" w:rsidRDefault="00CB0A32" w:rsidP="004D0222">
            <w:pPr>
              <w:jc w:val="center"/>
              <w:rPr>
                <w:rFonts w:cstheme="minorHAnsi"/>
                <w:sz w:val="20"/>
                <w:szCs w:val="20"/>
              </w:rPr>
            </w:pPr>
            <w:r w:rsidRPr="009645C4">
              <w:rPr>
                <w:rFonts w:cstheme="minorHAnsi"/>
                <w:sz w:val="20"/>
                <w:szCs w:val="20"/>
              </w:rPr>
              <w:t>≤ 180</w:t>
            </w:r>
          </w:p>
        </w:tc>
        <w:tc>
          <w:tcPr>
            <w:tcW w:w="1200" w:type="dxa"/>
          </w:tcPr>
          <w:p w14:paraId="09415152" w14:textId="5A23DCA5" w:rsidR="00CB0A32" w:rsidRPr="009645C4" w:rsidRDefault="00CB0A32" w:rsidP="004D0222">
            <w:pPr>
              <w:jc w:val="center"/>
              <w:rPr>
                <w:rFonts w:cstheme="minorHAnsi"/>
                <w:sz w:val="20"/>
                <w:szCs w:val="20"/>
              </w:rPr>
            </w:pPr>
            <w:r w:rsidRPr="004D0222">
              <w:rPr>
                <w:rFonts w:cstheme="minorHAnsi"/>
                <w:sz w:val="20"/>
                <w:szCs w:val="20"/>
              </w:rPr>
              <w:t>&gt;27.0</w:t>
            </w:r>
          </w:p>
        </w:tc>
        <w:tc>
          <w:tcPr>
            <w:tcW w:w="1211" w:type="dxa"/>
            <w:tcBorders>
              <w:right w:val="single" w:sz="4" w:space="0" w:color="auto"/>
            </w:tcBorders>
          </w:tcPr>
          <w:p w14:paraId="43129D2C" w14:textId="77D38925" w:rsidR="00CB0A32" w:rsidRPr="009645C4" w:rsidRDefault="00CB0A32" w:rsidP="004D0222">
            <w:pPr>
              <w:jc w:val="center"/>
              <w:rPr>
                <w:rFonts w:cstheme="minorHAnsi"/>
                <w:sz w:val="20"/>
                <w:szCs w:val="20"/>
              </w:rPr>
            </w:pPr>
            <w:r w:rsidRPr="009645C4">
              <w:rPr>
                <w:rFonts w:cstheme="minorHAnsi"/>
                <w:sz w:val="20"/>
                <w:szCs w:val="20"/>
              </w:rPr>
              <w:t>≤ 9</w:t>
            </w:r>
          </w:p>
        </w:tc>
        <w:tc>
          <w:tcPr>
            <w:tcW w:w="1065" w:type="dxa"/>
            <w:tcBorders>
              <w:left w:val="single" w:sz="4" w:space="0" w:color="auto"/>
            </w:tcBorders>
            <w:shd w:val="clear" w:color="auto" w:fill="F2F2F2" w:themeFill="background1" w:themeFillShade="F2"/>
          </w:tcPr>
          <w:p w14:paraId="023B2B6F" w14:textId="78AF2FFD" w:rsidR="00CB0A32" w:rsidRPr="009645C4" w:rsidRDefault="00CB0A32" w:rsidP="004D0222">
            <w:pPr>
              <w:jc w:val="center"/>
              <w:rPr>
                <w:rFonts w:cstheme="minorHAnsi"/>
                <w:sz w:val="20"/>
                <w:szCs w:val="20"/>
              </w:rPr>
            </w:pPr>
            <w:r w:rsidRPr="009645C4">
              <w:rPr>
                <w:rFonts w:cstheme="minorHAnsi"/>
                <w:sz w:val="20"/>
                <w:szCs w:val="20"/>
              </w:rPr>
              <w:t>6</w:t>
            </w:r>
          </w:p>
        </w:tc>
        <w:tc>
          <w:tcPr>
            <w:tcW w:w="1245" w:type="dxa"/>
          </w:tcPr>
          <w:p w14:paraId="304BEAEE" w14:textId="7DCFFC25" w:rsidR="00CB0A32" w:rsidRPr="009645C4" w:rsidRDefault="00CB0A32" w:rsidP="004D0222">
            <w:pPr>
              <w:jc w:val="center"/>
              <w:rPr>
                <w:rFonts w:cstheme="minorHAnsi"/>
                <w:sz w:val="20"/>
                <w:szCs w:val="20"/>
              </w:rPr>
            </w:pPr>
            <w:r w:rsidRPr="005A3631">
              <w:rPr>
                <w:rFonts w:eastAsia="Calibri" w:cstheme="minorHAnsi"/>
                <w:sz w:val="20"/>
                <w:szCs w:val="20"/>
              </w:rPr>
              <w:t>&gt;90</w:t>
            </w:r>
          </w:p>
        </w:tc>
        <w:tc>
          <w:tcPr>
            <w:tcW w:w="1316" w:type="dxa"/>
          </w:tcPr>
          <w:p w14:paraId="208A24EE" w14:textId="77777777" w:rsidR="00CB0A32" w:rsidRPr="009645C4" w:rsidRDefault="00CB0A32" w:rsidP="004D0222">
            <w:pPr>
              <w:jc w:val="center"/>
              <w:rPr>
                <w:rFonts w:cstheme="minorHAnsi"/>
                <w:sz w:val="20"/>
                <w:szCs w:val="20"/>
              </w:rPr>
            </w:pPr>
          </w:p>
        </w:tc>
      </w:tr>
      <w:tr w:rsidR="00CB0A32" w:rsidRPr="009645C4" w14:paraId="000C2BE4" w14:textId="3993AD57" w:rsidTr="00CB0A32">
        <w:trPr>
          <w:jc w:val="center"/>
        </w:trPr>
        <w:tc>
          <w:tcPr>
            <w:tcW w:w="914" w:type="dxa"/>
            <w:shd w:val="clear" w:color="auto" w:fill="F2F2F2" w:themeFill="background1" w:themeFillShade="F2"/>
          </w:tcPr>
          <w:p w14:paraId="2A0C654E" w14:textId="77777777" w:rsidR="00CB0A32" w:rsidRPr="009645C4" w:rsidRDefault="00CB0A32" w:rsidP="004D0222">
            <w:pPr>
              <w:jc w:val="center"/>
              <w:rPr>
                <w:rFonts w:cstheme="minorHAnsi"/>
                <w:sz w:val="20"/>
                <w:szCs w:val="20"/>
              </w:rPr>
            </w:pPr>
            <w:r w:rsidRPr="009645C4">
              <w:rPr>
                <w:rFonts w:cstheme="minorHAnsi"/>
                <w:sz w:val="20"/>
                <w:szCs w:val="20"/>
              </w:rPr>
              <w:t>7</w:t>
            </w:r>
          </w:p>
        </w:tc>
        <w:tc>
          <w:tcPr>
            <w:tcW w:w="988" w:type="dxa"/>
          </w:tcPr>
          <w:p w14:paraId="0E13CAF8" w14:textId="3C432501" w:rsidR="00CB0A32" w:rsidRPr="009645C4" w:rsidRDefault="00CB0A32" w:rsidP="004D0222">
            <w:pPr>
              <w:jc w:val="center"/>
              <w:rPr>
                <w:rFonts w:cstheme="minorHAnsi"/>
                <w:sz w:val="20"/>
                <w:szCs w:val="20"/>
              </w:rPr>
            </w:pPr>
            <w:r w:rsidRPr="004D0222">
              <w:rPr>
                <w:rFonts w:cstheme="minorHAnsi"/>
                <w:sz w:val="20"/>
                <w:szCs w:val="20"/>
              </w:rPr>
              <w:t>&gt;2345</w:t>
            </w:r>
          </w:p>
        </w:tc>
        <w:tc>
          <w:tcPr>
            <w:tcW w:w="1004" w:type="dxa"/>
          </w:tcPr>
          <w:p w14:paraId="38973B53" w14:textId="3AC76253" w:rsidR="00CB0A32" w:rsidRPr="009645C4" w:rsidRDefault="00CB0A32" w:rsidP="004D0222">
            <w:pPr>
              <w:jc w:val="center"/>
              <w:rPr>
                <w:rFonts w:cstheme="minorHAnsi"/>
                <w:sz w:val="20"/>
                <w:szCs w:val="20"/>
              </w:rPr>
            </w:pPr>
            <w:r w:rsidRPr="009645C4">
              <w:rPr>
                <w:rFonts w:cstheme="minorHAnsi"/>
                <w:sz w:val="20"/>
                <w:szCs w:val="20"/>
              </w:rPr>
              <w:t>≤ 210</w:t>
            </w:r>
          </w:p>
        </w:tc>
        <w:tc>
          <w:tcPr>
            <w:tcW w:w="1200" w:type="dxa"/>
          </w:tcPr>
          <w:p w14:paraId="173B6872" w14:textId="2CD48075" w:rsidR="00CB0A32" w:rsidRPr="009645C4" w:rsidRDefault="00CB0A32" w:rsidP="004D0222">
            <w:pPr>
              <w:jc w:val="center"/>
              <w:rPr>
                <w:rFonts w:cstheme="minorHAnsi"/>
                <w:sz w:val="20"/>
                <w:szCs w:val="20"/>
              </w:rPr>
            </w:pPr>
            <w:r w:rsidRPr="004D0222">
              <w:rPr>
                <w:rFonts w:cstheme="minorHAnsi"/>
                <w:sz w:val="20"/>
                <w:szCs w:val="20"/>
              </w:rPr>
              <w:t>&gt;31.0</w:t>
            </w:r>
          </w:p>
        </w:tc>
        <w:tc>
          <w:tcPr>
            <w:tcW w:w="1211" w:type="dxa"/>
            <w:tcBorders>
              <w:right w:val="single" w:sz="4" w:space="0" w:color="auto"/>
            </w:tcBorders>
          </w:tcPr>
          <w:p w14:paraId="1CCBBEC3" w14:textId="29D97A73" w:rsidR="00CB0A32" w:rsidRPr="009645C4" w:rsidRDefault="00CB0A32" w:rsidP="004D0222">
            <w:pPr>
              <w:jc w:val="center"/>
              <w:rPr>
                <w:rFonts w:cstheme="minorHAnsi"/>
                <w:sz w:val="20"/>
                <w:szCs w:val="20"/>
              </w:rPr>
            </w:pPr>
            <w:r w:rsidRPr="009645C4">
              <w:rPr>
                <w:rFonts w:cstheme="minorHAnsi"/>
                <w:sz w:val="20"/>
                <w:szCs w:val="20"/>
              </w:rPr>
              <w:t>≤ 10.5</w:t>
            </w:r>
          </w:p>
        </w:tc>
        <w:tc>
          <w:tcPr>
            <w:tcW w:w="1065" w:type="dxa"/>
            <w:tcBorders>
              <w:left w:val="single" w:sz="4" w:space="0" w:color="auto"/>
            </w:tcBorders>
            <w:shd w:val="clear" w:color="auto" w:fill="F2F2F2" w:themeFill="background1" w:themeFillShade="F2"/>
          </w:tcPr>
          <w:p w14:paraId="51076C47" w14:textId="73D0E92E" w:rsidR="00CB0A32" w:rsidRPr="009645C4" w:rsidRDefault="00CB0A32" w:rsidP="004D0222">
            <w:pPr>
              <w:jc w:val="center"/>
              <w:rPr>
                <w:rFonts w:cstheme="minorHAnsi"/>
                <w:sz w:val="20"/>
                <w:szCs w:val="20"/>
              </w:rPr>
            </w:pPr>
            <w:r w:rsidRPr="009645C4">
              <w:rPr>
                <w:rFonts w:cstheme="minorHAnsi"/>
                <w:sz w:val="20"/>
                <w:szCs w:val="20"/>
              </w:rPr>
              <w:t>7</w:t>
            </w:r>
          </w:p>
        </w:tc>
        <w:tc>
          <w:tcPr>
            <w:tcW w:w="1245" w:type="dxa"/>
          </w:tcPr>
          <w:p w14:paraId="716DAEA8" w14:textId="2F091A6B" w:rsidR="00CB0A32" w:rsidRPr="009645C4" w:rsidRDefault="00CB0A32" w:rsidP="004D0222">
            <w:pPr>
              <w:jc w:val="center"/>
              <w:rPr>
                <w:rFonts w:cstheme="minorHAnsi"/>
                <w:sz w:val="20"/>
                <w:szCs w:val="20"/>
              </w:rPr>
            </w:pPr>
            <w:r w:rsidRPr="005A3631">
              <w:rPr>
                <w:rFonts w:eastAsia="Calibri" w:cstheme="minorHAnsi"/>
                <w:sz w:val="20"/>
                <w:szCs w:val="20"/>
              </w:rPr>
              <w:t>&gt;95</w:t>
            </w:r>
          </w:p>
        </w:tc>
        <w:tc>
          <w:tcPr>
            <w:tcW w:w="1316" w:type="dxa"/>
          </w:tcPr>
          <w:p w14:paraId="0F920ABE" w14:textId="77777777" w:rsidR="00CB0A32" w:rsidRPr="009645C4" w:rsidRDefault="00CB0A32" w:rsidP="004D0222">
            <w:pPr>
              <w:jc w:val="center"/>
              <w:rPr>
                <w:rFonts w:cstheme="minorHAnsi"/>
                <w:sz w:val="20"/>
                <w:szCs w:val="20"/>
              </w:rPr>
            </w:pPr>
          </w:p>
        </w:tc>
      </w:tr>
      <w:tr w:rsidR="00CB0A32" w:rsidRPr="009645C4" w14:paraId="180FDB35" w14:textId="798F90A5" w:rsidTr="00CB0A32">
        <w:trPr>
          <w:jc w:val="center"/>
        </w:trPr>
        <w:tc>
          <w:tcPr>
            <w:tcW w:w="914" w:type="dxa"/>
            <w:shd w:val="clear" w:color="auto" w:fill="F2F2F2" w:themeFill="background1" w:themeFillShade="F2"/>
          </w:tcPr>
          <w:p w14:paraId="6DFC682C" w14:textId="77777777" w:rsidR="00CB0A32" w:rsidRPr="009645C4" w:rsidRDefault="00CB0A32" w:rsidP="004D0222">
            <w:pPr>
              <w:jc w:val="center"/>
              <w:rPr>
                <w:rFonts w:cstheme="minorHAnsi"/>
                <w:sz w:val="20"/>
                <w:szCs w:val="20"/>
              </w:rPr>
            </w:pPr>
            <w:r w:rsidRPr="009645C4">
              <w:rPr>
                <w:rFonts w:cstheme="minorHAnsi"/>
                <w:sz w:val="20"/>
                <w:szCs w:val="20"/>
              </w:rPr>
              <w:t>8</w:t>
            </w:r>
          </w:p>
        </w:tc>
        <w:tc>
          <w:tcPr>
            <w:tcW w:w="988" w:type="dxa"/>
          </w:tcPr>
          <w:p w14:paraId="4368EDD2" w14:textId="76EF6DFA" w:rsidR="00CB0A32" w:rsidRPr="009645C4" w:rsidRDefault="00CB0A32" w:rsidP="004D0222">
            <w:pPr>
              <w:jc w:val="center"/>
              <w:rPr>
                <w:rFonts w:cstheme="minorHAnsi"/>
                <w:sz w:val="20"/>
                <w:szCs w:val="20"/>
              </w:rPr>
            </w:pPr>
            <w:r w:rsidRPr="004D0222">
              <w:rPr>
                <w:rFonts w:cstheme="minorHAnsi"/>
                <w:sz w:val="20"/>
                <w:szCs w:val="20"/>
              </w:rPr>
              <w:t>&gt;2680</w:t>
            </w:r>
          </w:p>
        </w:tc>
        <w:tc>
          <w:tcPr>
            <w:tcW w:w="1004" w:type="dxa"/>
          </w:tcPr>
          <w:p w14:paraId="07354F7C" w14:textId="285E4424" w:rsidR="00CB0A32" w:rsidRPr="009645C4" w:rsidRDefault="00CB0A32" w:rsidP="004D0222">
            <w:pPr>
              <w:jc w:val="center"/>
              <w:rPr>
                <w:rFonts w:cstheme="minorHAnsi"/>
                <w:sz w:val="20"/>
                <w:szCs w:val="20"/>
              </w:rPr>
            </w:pPr>
            <w:r w:rsidRPr="009645C4">
              <w:rPr>
                <w:rFonts w:cstheme="minorHAnsi"/>
                <w:sz w:val="20"/>
                <w:szCs w:val="20"/>
              </w:rPr>
              <w:t>≤240</w:t>
            </w:r>
          </w:p>
        </w:tc>
        <w:tc>
          <w:tcPr>
            <w:tcW w:w="1200" w:type="dxa"/>
          </w:tcPr>
          <w:p w14:paraId="10E11ABB" w14:textId="6F50CC29" w:rsidR="00CB0A32" w:rsidRPr="009645C4" w:rsidRDefault="00CB0A32" w:rsidP="004D0222">
            <w:pPr>
              <w:jc w:val="center"/>
              <w:rPr>
                <w:rFonts w:cstheme="minorHAnsi"/>
                <w:sz w:val="20"/>
                <w:szCs w:val="20"/>
              </w:rPr>
            </w:pPr>
            <w:r w:rsidRPr="004D0222">
              <w:rPr>
                <w:rFonts w:cstheme="minorHAnsi"/>
                <w:sz w:val="20"/>
                <w:szCs w:val="20"/>
              </w:rPr>
              <w:t>&gt;36.0</w:t>
            </w:r>
          </w:p>
        </w:tc>
        <w:tc>
          <w:tcPr>
            <w:tcW w:w="1211" w:type="dxa"/>
            <w:tcBorders>
              <w:right w:val="single" w:sz="4" w:space="0" w:color="auto"/>
            </w:tcBorders>
          </w:tcPr>
          <w:p w14:paraId="2336EDBD" w14:textId="5D2288A5" w:rsidR="00CB0A32" w:rsidRPr="009645C4" w:rsidRDefault="00CB0A32" w:rsidP="004D0222">
            <w:pPr>
              <w:jc w:val="center"/>
              <w:rPr>
                <w:rFonts w:cstheme="minorHAnsi"/>
                <w:sz w:val="20"/>
                <w:szCs w:val="20"/>
              </w:rPr>
            </w:pPr>
            <w:r w:rsidRPr="009645C4">
              <w:rPr>
                <w:rFonts w:cstheme="minorHAnsi"/>
                <w:sz w:val="20"/>
                <w:szCs w:val="20"/>
              </w:rPr>
              <w:t>≤ 12</w:t>
            </w:r>
          </w:p>
        </w:tc>
        <w:tc>
          <w:tcPr>
            <w:tcW w:w="1065" w:type="dxa"/>
            <w:tcBorders>
              <w:left w:val="single" w:sz="4" w:space="0" w:color="auto"/>
            </w:tcBorders>
            <w:shd w:val="clear" w:color="auto" w:fill="F2F2F2" w:themeFill="background1" w:themeFillShade="F2"/>
          </w:tcPr>
          <w:p w14:paraId="2057A4A9" w14:textId="308E75AF" w:rsidR="00CB0A32" w:rsidRPr="009645C4" w:rsidRDefault="00CB0A32" w:rsidP="004D0222">
            <w:pPr>
              <w:jc w:val="center"/>
              <w:rPr>
                <w:rFonts w:cstheme="minorHAnsi"/>
                <w:sz w:val="20"/>
                <w:szCs w:val="20"/>
              </w:rPr>
            </w:pPr>
            <w:r w:rsidRPr="009645C4">
              <w:rPr>
                <w:rFonts w:cstheme="minorHAnsi"/>
                <w:sz w:val="20"/>
                <w:szCs w:val="20"/>
              </w:rPr>
              <w:t>8</w:t>
            </w:r>
          </w:p>
        </w:tc>
        <w:tc>
          <w:tcPr>
            <w:tcW w:w="1245" w:type="dxa"/>
          </w:tcPr>
          <w:p w14:paraId="13AD1443" w14:textId="0B4741D5" w:rsidR="00CB0A32" w:rsidRPr="009645C4" w:rsidRDefault="00CB0A32" w:rsidP="004D0222">
            <w:pPr>
              <w:jc w:val="center"/>
              <w:rPr>
                <w:rFonts w:cstheme="minorHAnsi"/>
                <w:sz w:val="20"/>
                <w:szCs w:val="20"/>
              </w:rPr>
            </w:pPr>
            <w:r w:rsidRPr="005A3631">
              <w:rPr>
                <w:rFonts w:eastAsia="Calibri" w:cstheme="minorHAnsi"/>
                <w:sz w:val="20"/>
                <w:szCs w:val="20"/>
              </w:rPr>
              <w:t>=100</w:t>
            </w:r>
          </w:p>
        </w:tc>
        <w:tc>
          <w:tcPr>
            <w:tcW w:w="1316" w:type="dxa"/>
          </w:tcPr>
          <w:p w14:paraId="1538E6BA" w14:textId="77777777" w:rsidR="00CB0A32" w:rsidRPr="009645C4" w:rsidRDefault="00CB0A32" w:rsidP="004D0222">
            <w:pPr>
              <w:jc w:val="center"/>
              <w:rPr>
                <w:rFonts w:cstheme="minorHAnsi"/>
                <w:sz w:val="20"/>
                <w:szCs w:val="20"/>
              </w:rPr>
            </w:pPr>
          </w:p>
        </w:tc>
      </w:tr>
      <w:tr w:rsidR="00CB0A32" w:rsidRPr="009645C4" w14:paraId="7AD29F49" w14:textId="7AF16BE7" w:rsidTr="00CB0A32">
        <w:trPr>
          <w:jc w:val="center"/>
        </w:trPr>
        <w:tc>
          <w:tcPr>
            <w:tcW w:w="914" w:type="dxa"/>
            <w:shd w:val="clear" w:color="auto" w:fill="F2F2F2" w:themeFill="background1" w:themeFillShade="F2"/>
          </w:tcPr>
          <w:p w14:paraId="33592FE9" w14:textId="77777777" w:rsidR="00CB0A32" w:rsidRPr="009645C4" w:rsidRDefault="00CB0A32" w:rsidP="004D0222">
            <w:pPr>
              <w:jc w:val="center"/>
              <w:rPr>
                <w:rFonts w:cstheme="minorHAnsi"/>
                <w:sz w:val="20"/>
                <w:szCs w:val="20"/>
              </w:rPr>
            </w:pPr>
            <w:r w:rsidRPr="009645C4">
              <w:rPr>
                <w:rFonts w:cstheme="minorHAnsi"/>
                <w:sz w:val="20"/>
                <w:szCs w:val="20"/>
              </w:rPr>
              <w:t>9</w:t>
            </w:r>
          </w:p>
        </w:tc>
        <w:tc>
          <w:tcPr>
            <w:tcW w:w="988" w:type="dxa"/>
          </w:tcPr>
          <w:p w14:paraId="4833A5D2" w14:textId="5A5B0F1F" w:rsidR="00CB0A32" w:rsidRPr="009645C4" w:rsidRDefault="00CB0A32" w:rsidP="004D0222">
            <w:pPr>
              <w:jc w:val="center"/>
              <w:rPr>
                <w:rFonts w:cstheme="minorHAnsi"/>
                <w:sz w:val="20"/>
                <w:szCs w:val="20"/>
              </w:rPr>
            </w:pPr>
            <w:r w:rsidRPr="004D0222">
              <w:rPr>
                <w:rFonts w:cstheme="minorHAnsi"/>
                <w:sz w:val="20"/>
                <w:szCs w:val="20"/>
              </w:rPr>
              <w:t>&gt;3015</w:t>
            </w:r>
          </w:p>
        </w:tc>
        <w:tc>
          <w:tcPr>
            <w:tcW w:w="1004" w:type="dxa"/>
          </w:tcPr>
          <w:p w14:paraId="7F8FC533" w14:textId="2B787BD7" w:rsidR="00CB0A32" w:rsidRPr="009645C4" w:rsidRDefault="00CB0A32" w:rsidP="004D0222">
            <w:pPr>
              <w:jc w:val="center"/>
              <w:rPr>
                <w:rFonts w:cstheme="minorHAnsi"/>
                <w:sz w:val="20"/>
                <w:szCs w:val="20"/>
              </w:rPr>
            </w:pPr>
            <w:r w:rsidRPr="009645C4">
              <w:rPr>
                <w:rFonts w:cstheme="minorHAnsi"/>
                <w:sz w:val="20"/>
                <w:szCs w:val="20"/>
              </w:rPr>
              <w:t>≤ 270</w:t>
            </w:r>
          </w:p>
        </w:tc>
        <w:tc>
          <w:tcPr>
            <w:tcW w:w="1200" w:type="dxa"/>
          </w:tcPr>
          <w:p w14:paraId="5A2DB9BF" w14:textId="09B541ED" w:rsidR="00CB0A32" w:rsidRPr="009645C4" w:rsidRDefault="00CB0A32" w:rsidP="004D0222">
            <w:pPr>
              <w:jc w:val="center"/>
              <w:rPr>
                <w:rFonts w:cstheme="minorHAnsi"/>
                <w:sz w:val="20"/>
                <w:szCs w:val="20"/>
              </w:rPr>
            </w:pPr>
            <w:r w:rsidRPr="004D0222">
              <w:rPr>
                <w:rFonts w:cstheme="minorHAnsi"/>
                <w:sz w:val="20"/>
                <w:szCs w:val="20"/>
              </w:rPr>
              <w:t>&gt;40.0</w:t>
            </w:r>
          </w:p>
        </w:tc>
        <w:tc>
          <w:tcPr>
            <w:tcW w:w="1211" w:type="dxa"/>
            <w:tcBorders>
              <w:right w:val="single" w:sz="4" w:space="0" w:color="auto"/>
            </w:tcBorders>
          </w:tcPr>
          <w:p w14:paraId="498D2146" w14:textId="7735D9C2" w:rsidR="00CB0A32" w:rsidRPr="009645C4" w:rsidRDefault="00CB0A32" w:rsidP="004D0222">
            <w:pPr>
              <w:jc w:val="center"/>
              <w:rPr>
                <w:rFonts w:cstheme="minorHAnsi"/>
                <w:sz w:val="20"/>
                <w:szCs w:val="20"/>
              </w:rPr>
            </w:pPr>
            <w:r w:rsidRPr="009645C4">
              <w:rPr>
                <w:rFonts w:cstheme="minorHAnsi"/>
                <w:sz w:val="20"/>
                <w:szCs w:val="20"/>
              </w:rPr>
              <w:t>≤ 13</w:t>
            </w:r>
            <w:r>
              <w:rPr>
                <w:rFonts w:cstheme="minorHAnsi"/>
                <w:sz w:val="20"/>
                <w:szCs w:val="20"/>
              </w:rPr>
              <w:t>.5</w:t>
            </w:r>
          </w:p>
        </w:tc>
        <w:tc>
          <w:tcPr>
            <w:tcW w:w="1065" w:type="dxa"/>
            <w:tcBorders>
              <w:left w:val="single" w:sz="4" w:space="0" w:color="auto"/>
            </w:tcBorders>
            <w:shd w:val="clear" w:color="auto" w:fill="F2F2F2" w:themeFill="background1" w:themeFillShade="F2"/>
          </w:tcPr>
          <w:p w14:paraId="12056BD7" w14:textId="64458AAC" w:rsidR="00CB0A32" w:rsidRPr="009645C4" w:rsidRDefault="00CB0A32" w:rsidP="004D0222">
            <w:pPr>
              <w:jc w:val="center"/>
              <w:rPr>
                <w:rFonts w:cstheme="minorHAnsi"/>
                <w:sz w:val="20"/>
                <w:szCs w:val="20"/>
              </w:rPr>
            </w:pPr>
            <w:r w:rsidRPr="009645C4">
              <w:rPr>
                <w:rFonts w:cstheme="minorHAnsi"/>
                <w:sz w:val="20"/>
                <w:szCs w:val="20"/>
              </w:rPr>
              <w:t>9</w:t>
            </w:r>
          </w:p>
        </w:tc>
        <w:tc>
          <w:tcPr>
            <w:tcW w:w="1245" w:type="dxa"/>
          </w:tcPr>
          <w:p w14:paraId="1AC575A1" w14:textId="5D549C84" w:rsidR="00CB0A32" w:rsidRPr="009645C4" w:rsidRDefault="00CB0A32" w:rsidP="004D0222">
            <w:pPr>
              <w:jc w:val="center"/>
              <w:rPr>
                <w:rFonts w:cstheme="minorHAnsi"/>
                <w:sz w:val="20"/>
                <w:szCs w:val="20"/>
              </w:rPr>
            </w:pPr>
          </w:p>
        </w:tc>
        <w:tc>
          <w:tcPr>
            <w:tcW w:w="1316" w:type="dxa"/>
          </w:tcPr>
          <w:p w14:paraId="485CE9E3" w14:textId="77777777" w:rsidR="00CB0A32" w:rsidRPr="009645C4" w:rsidRDefault="00CB0A32" w:rsidP="004D0222">
            <w:pPr>
              <w:jc w:val="center"/>
              <w:rPr>
                <w:rFonts w:cstheme="minorHAnsi"/>
                <w:sz w:val="20"/>
                <w:szCs w:val="20"/>
              </w:rPr>
            </w:pPr>
          </w:p>
        </w:tc>
      </w:tr>
      <w:tr w:rsidR="00CB0A32" w:rsidRPr="009645C4" w14:paraId="229F1D25" w14:textId="09E63006" w:rsidTr="00CB0A32">
        <w:trPr>
          <w:jc w:val="center"/>
        </w:trPr>
        <w:tc>
          <w:tcPr>
            <w:tcW w:w="914" w:type="dxa"/>
            <w:shd w:val="clear" w:color="auto" w:fill="F2F2F2" w:themeFill="background1" w:themeFillShade="F2"/>
          </w:tcPr>
          <w:p w14:paraId="7D35ACAD" w14:textId="77777777" w:rsidR="00CB0A32" w:rsidRPr="009645C4" w:rsidRDefault="00CB0A32" w:rsidP="004D0222">
            <w:pPr>
              <w:jc w:val="center"/>
              <w:rPr>
                <w:rFonts w:cstheme="minorHAnsi"/>
                <w:sz w:val="20"/>
                <w:szCs w:val="20"/>
              </w:rPr>
            </w:pPr>
            <w:r w:rsidRPr="009645C4">
              <w:rPr>
                <w:rFonts w:cstheme="minorHAnsi"/>
                <w:sz w:val="20"/>
                <w:szCs w:val="20"/>
              </w:rPr>
              <w:t>10</w:t>
            </w:r>
          </w:p>
        </w:tc>
        <w:tc>
          <w:tcPr>
            <w:tcW w:w="988" w:type="dxa"/>
          </w:tcPr>
          <w:p w14:paraId="7AE5F875" w14:textId="7260097A" w:rsidR="00CB0A32" w:rsidRPr="009645C4" w:rsidRDefault="00CB0A32" w:rsidP="004D0222">
            <w:pPr>
              <w:jc w:val="center"/>
              <w:rPr>
                <w:rFonts w:cstheme="minorHAnsi"/>
                <w:sz w:val="20"/>
                <w:szCs w:val="20"/>
              </w:rPr>
            </w:pPr>
            <w:r w:rsidRPr="004D0222">
              <w:rPr>
                <w:rFonts w:cstheme="minorHAnsi"/>
                <w:sz w:val="20"/>
                <w:szCs w:val="20"/>
              </w:rPr>
              <w:t>&gt;3350</w:t>
            </w:r>
          </w:p>
        </w:tc>
        <w:tc>
          <w:tcPr>
            <w:tcW w:w="1004" w:type="dxa"/>
          </w:tcPr>
          <w:p w14:paraId="0F2E5E1D" w14:textId="006D4468" w:rsidR="00CB0A32" w:rsidRPr="009645C4" w:rsidRDefault="00CB0A32" w:rsidP="004D0222">
            <w:pPr>
              <w:jc w:val="center"/>
              <w:rPr>
                <w:rFonts w:cstheme="minorHAnsi"/>
                <w:sz w:val="20"/>
                <w:szCs w:val="20"/>
              </w:rPr>
            </w:pPr>
            <w:r w:rsidRPr="009645C4">
              <w:rPr>
                <w:rFonts w:cstheme="minorHAnsi"/>
                <w:sz w:val="20"/>
                <w:szCs w:val="20"/>
              </w:rPr>
              <w:t>&gt; 270</w:t>
            </w:r>
          </w:p>
        </w:tc>
        <w:tc>
          <w:tcPr>
            <w:tcW w:w="1200" w:type="dxa"/>
          </w:tcPr>
          <w:p w14:paraId="3BCAC860" w14:textId="09AECC7C" w:rsidR="00CB0A32" w:rsidRPr="009645C4" w:rsidRDefault="00CB0A32" w:rsidP="004D0222">
            <w:pPr>
              <w:jc w:val="center"/>
              <w:rPr>
                <w:rFonts w:cstheme="minorHAnsi"/>
                <w:sz w:val="20"/>
                <w:szCs w:val="20"/>
              </w:rPr>
            </w:pPr>
            <w:r w:rsidRPr="004D0222">
              <w:rPr>
                <w:rFonts w:cstheme="minorHAnsi"/>
                <w:sz w:val="20"/>
                <w:szCs w:val="20"/>
              </w:rPr>
              <w:t>&gt;45.0</w:t>
            </w:r>
          </w:p>
        </w:tc>
        <w:tc>
          <w:tcPr>
            <w:tcW w:w="1211" w:type="dxa"/>
            <w:tcBorders>
              <w:right w:val="single" w:sz="4" w:space="0" w:color="auto"/>
            </w:tcBorders>
          </w:tcPr>
          <w:p w14:paraId="00DD3C5B" w14:textId="768CD2ED" w:rsidR="00CB0A32" w:rsidRPr="009645C4" w:rsidRDefault="00CB0A32" w:rsidP="004D0222">
            <w:pPr>
              <w:jc w:val="center"/>
              <w:rPr>
                <w:rFonts w:cstheme="minorHAnsi"/>
                <w:sz w:val="20"/>
                <w:szCs w:val="20"/>
              </w:rPr>
            </w:pPr>
            <w:r w:rsidRPr="009645C4">
              <w:rPr>
                <w:rFonts w:cstheme="minorHAnsi"/>
                <w:sz w:val="20"/>
                <w:szCs w:val="20"/>
              </w:rPr>
              <w:t>&gt; 13</w:t>
            </w:r>
            <w:r>
              <w:rPr>
                <w:rFonts w:cstheme="minorHAnsi"/>
                <w:sz w:val="20"/>
                <w:szCs w:val="20"/>
              </w:rPr>
              <w:t>.5</w:t>
            </w:r>
          </w:p>
        </w:tc>
        <w:tc>
          <w:tcPr>
            <w:tcW w:w="1065" w:type="dxa"/>
            <w:tcBorders>
              <w:left w:val="single" w:sz="4" w:space="0" w:color="auto"/>
            </w:tcBorders>
            <w:shd w:val="clear" w:color="auto" w:fill="F2F2F2" w:themeFill="background1" w:themeFillShade="F2"/>
          </w:tcPr>
          <w:p w14:paraId="242E5E6B" w14:textId="5AE5C8FE" w:rsidR="00CB0A32" w:rsidRPr="009645C4" w:rsidRDefault="00CB0A32" w:rsidP="004D0222">
            <w:pPr>
              <w:jc w:val="center"/>
              <w:rPr>
                <w:rFonts w:cstheme="minorHAnsi"/>
                <w:sz w:val="20"/>
                <w:szCs w:val="20"/>
              </w:rPr>
            </w:pPr>
            <w:r w:rsidRPr="009645C4">
              <w:rPr>
                <w:rFonts w:cstheme="minorHAnsi"/>
                <w:sz w:val="20"/>
                <w:szCs w:val="20"/>
              </w:rPr>
              <w:t>10</w:t>
            </w:r>
          </w:p>
        </w:tc>
        <w:tc>
          <w:tcPr>
            <w:tcW w:w="1245" w:type="dxa"/>
          </w:tcPr>
          <w:p w14:paraId="5ECCFAD1" w14:textId="00FFB5BA" w:rsidR="00CB0A32" w:rsidRPr="009645C4" w:rsidRDefault="00CB0A32" w:rsidP="004D0222">
            <w:pPr>
              <w:jc w:val="center"/>
              <w:rPr>
                <w:rFonts w:cstheme="minorHAnsi"/>
                <w:sz w:val="20"/>
                <w:szCs w:val="20"/>
              </w:rPr>
            </w:pPr>
          </w:p>
        </w:tc>
        <w:tc>
          <w:tcPr>
            <w:tcW w:w="1316" w:type="dxa"/>
          </w:tcPr>
          <w:p w14:paraId="31024DE3" w14:textId="41E4DE87" w:rsidR="00CB0A32" w:rsidRPr="009645C4" w:rsidRDefault="00CB0A32" w:rsidP="004D0222">
            <w:pPr>
              <w:jc w:val="center"/>
              <w:rPr>
                <w:rFonts w:cstheme="minorHAnsi"/>
                <w:sz w:val="20"/>
                <w:szCs w:val="20"/>
              </w:rPr>
            </w:pPr>
            <w:r w:rsidRPr="009645C4">
              <w:rPr>
                <w:rFonts w:cstheme="minorHAnsi"/>
                <w:sz w:val="20"/>
                <w:szCs w:val="20"/>
              </w:rPr>
              <w:t>&gt; 80</w:t>
            </w:r>
          </w:p>
        </w:tc>
      </w:tr>
      <w:tr w:rsidR="00CB0A32" w:rsidRPr="009645C4" w14:paraId="721A0038" w14:textId="56D4436D" w:rsidTr="00CB0A32">
        <w:trPr>
          <w:jc w:val="center"/>
        </w:trPr>
        <w:tc>
          <w:tcPr>
            <w:tcW w:w="914" w:type="dxa"/>
            <w:shd w:val="clear" w:color="auto" w:fill="F2F2F2" w:themeFill="background1" w:themeFillShade="F2"/>
          </w:tcPr>
          <w:p w14:paraId="03511F22" w14:textId="35A52D13" w:rsidR="00CB0A32" w:rsidRPr="009645C4" w:rsidRDefault="00CB0A32" w:rsidP="004D0222">
            <w:pPr>
              <w:jc w:val="center"/>
              <w:rPr>
                <w:rFonts w:cstheme="minorHAnsi"/>
                <w:sz w:val="20"/>
                <w:szCs w:val="20"/>
              </w:rPr>
            </w:pPr>
            <w:r>
              <w:rPr>
                <w:rFonts w:cstheme="minorHAnsi"/>
                <w:sz w:val="20"/>
                <w:szCs w:val="20"/>
              </w:rPr>
              <w:t>11</w:t>
            </w:r>
          </w:p>
        </w:tc>
        <w:tc>
          <w:tcPr>
            <w:tcW w:w="988" w:type="dxa"/>
          </w:tcPr>
          <w:p w14:paraId="4D05B23B" w14:textId="695878C4" w:rsidR="00CB0A32" w:rsidRPr="009645C4" w:rsidRDefault="00CB0A32" w:rsidP="004D0222">
            <w:pPr>
              <w:jc w:val="center"/>
              <w:rPr>
                <w:rFonts w:cstheme="minorHAnsi"/>
                <w:sz w:val="20"/>
                <w:szCs w:val="20"/>
              </w:rPr>
            </w:pPr>
            <w:r w:rsidRPr="004D0222">
              <w:rPr>
                <w:rFonts w:cstheme="minorHAnsi"/>
                <w:sz w:val="20"/>
                <w:szCs w:val="20"/>
              </w:rPr>
              <w:t>&gt;3685</w:t>
            </w:r>
          </w:p>
        </w:tc>
        <w:tc>
          <w:tcPr>
            <w:tcW w:w="1004" w:type="dxa"/>
          </w:tcPr>
          <w:p w14:paraId="5A241E43" w14:textId="6379A6ED" w:rsidR="00CB0A32" w:rsidRPr="009645C4" w:rsidRDefault="00CB0A32" w:rsidP="004D0222">
            <w:pPr>
              <w:jc w:val="center"/>
              <w:rPr>
                <w:rFonts w:cstheme="minorHAnsi"/>
                <w:sz w:val="20"/>
                <w:szCs w:val="20"/>
              </w:rPr>
            </w:pPr>
          </w:p>
        </w:tc>
        <w:tc>
          <w:tcPr>
            <w:tcW w:w="1200" w:type="dxa"/>
          </w:tcPr>
          <w:p w14:paraId="36A9D20D" w14:textId="11E76B0B" w:rsidR="00CB0A32" w:rsidRPr="009645C4" w:rsidRDefault="00CB0A32" w:rsidP="004D0222">
            <w:pPr>
              <w:jc w:val="center"/>
              <w:rPr>
                <w:rFonts w:cstheme="minorHAnsi"/>
                <w:sz w:val="20"/>
                <w:szCs w:val="20"/>
              </w:rPr>
            </w:pPr>
            <w:r w:rsidRPr="004D0222">
              <w:rPr>
                <w:rFonts w:cstheme="minorHAnsi"/>
                <w:sz w:val="20"/>
                <w:szCs w:val="20"/>
              </w:rPr>
              <w:t>&gt;49.0</w:t>
            </w:r>
          </w:p>
        </w:tc>
        <w:tc>
          <w:tcPr>
            <w:tcW w:w="1211" w:type="dxa"/>
            <w:tcBorders>
              <w:right w:val="single" w:sz="4" w:space="0" w:color="auto"/>
            </w:tcBorders>
          </w:tcPr>
          <w:p w14:paraId="2BEC01CF" w14:textId="77777777" w:rsidR="00CB0A32" w:rsidRPr="009645C4" w:rsidRDefault="00CB0A32" w:rsidP="004D0222">
            <w:pPr>
              <w:jc w:val="center"/>
              <w:rPr>
                <w:rFonts w:cstheme="minorHAnsi"/>
                <w:sz w:val="20"/>
                <w:szCs w:val="20"/>
              </w:rPr>
            </w:pPr>
          </w:p>
        </w:tc>
        <w:tc>
          <w:tcPr>
            <w:tcW w:w="1065" w:type="dxa"/>
            <w:tcBorders>
              <w:left w:val="single" w:sz="4" w:space="0" w:color="auto"/>
            </w:tcBorders>
            <w:shd w:val="clear" w:color="auto" w:fill="F2F2F2" w:themeFill="background1" w:themeFillShade="F2"/>
          </w:tcPr>
          <w:p w14:paraId="01CC9924" w14:textId="3C5C9051" w:rsidR="00CB0A32" w:rsidRPr="009645C4" w:rsidRDefault="00CB0A32" w:rsidP="004D0222">
            <w:pPr>
              <w:jc w:val="center"/>
              <w:rPr>
                <w:rFonts w:cstheme="minorHAnsi"/>
                <w:sz w:val="20"/>
                <w:szCs w:val="20"/>
              </w:rPr>
            </w:pPr>
            <w:r w:rsidRPr="009645C4">
              <w:rPr>
                <w:rFonts w:cstheme="minorHAnsi"/>
                <w:sz w:val="20"/>
                <w:szCs w:val="20"/>
              </w:rPr>
              <w:t>11</w:t>
            </w:r>
          </w:p>
        </w:tc>
        <w:tc>
          <w:tcPr>
            <w:tcW w:w="1245" w:type="dxa"/>
          </w:tcPr>
          <w:p w14:paraId="282BA3CF" w14:textId="21E8FA07" w:rsidR="00CB0A32" w:rsidRPr="009645C4" w:rsidRDefault="00CB0A32" w:rsidP="004D0222">
            <w:pPr>
              <w:jc w:val="center"/>
              <w:rPr>
                <w:rFonts w:cstheme="minorHAnsi"/>
                <w:sz w:val="20"/>
                <w:szCs w:val="20"/>
              </w:rPr>
            </w:pPr>
          </w:p>
        </w:tc>
        <w:tc>
          <w:tcPr>
            <w:tcW w:w="1316" w:type="dxa"/>
          </w:tcPr>
          <w:p w14:paraId="0F4AAD91" w14:textId="77777777" w:rsidR="00CB0A32" w:rsidRPr="009645C4" w:rsidRDefault="00CB0A32" w:rsidP="004D0222">
            <w:pPr>
              <w:jc w:val="center"/>
              <w:rPr>
                <w:rFonts w:cstheme="minorHAnsi"/>
                <w:sz w:val="20"/>
                <w:szCs w:val="20"/>
              </w:rPr>
            </w:pPr>
          </w:p>
        </w:tc>
      </w:tr>
      <w:tr w:rsidR="00CB0A32" w:rsidRPr="009645C4" w14:paraId="32BD863B" w14:textId="5BA3EFF3" w:rsidTr="00CB0A32">
        <w:trPr>
          <w:jc w:val="center"/>
        </w:trPr>
        <w:tc>
          <w:tcPr>
            <w:tcW w:w="914" w:type="dxa"/>
            <w:shd w:val="clear" w:color="auto" w:fill="F2F2F2" w:themeFill="background1" w:themeFillShade="F2"/>
          </w:tcPr>
          <w:p w14:paraId="6A87643E" w14:textId="678011B6" w:rsidR="00CB0A32" w:rsidRPr="009645C4" w:rsidRDefault="00CB0A32" w:rsidP="004D0222">
            <w:pPr>
              <w:jc w:val="center"/>
              <w:rPr>
                <w:rFonts w:cstheme="minorHAnsi"/>
                <w:sz w:val="20"/>
                <w:szCs w:val="20"/>
              </w:rPr>
            </w:pPr>
            <w:r>
              <w:rPr>
                <w:rFonts w:cstheme="minorHAnsi"/>
                <w:sz w:val="20"/>
                <w:szCs w:val="20"/>
              </w:rPr>
              <w:t>12</w:t>
            </w:r>
          </w:p>
        </w:tc>
        <w:tc>
          <w:tcPr>
            <w:tcW w:w="988" w:type="dxa"/>
          </w:tcPr>
          <w:p w14:paraId="26637B21" w14:textId="77777777" w:rsidR="00CB0A32" w:rsidRPr="009645C4" w:rsidRDefault="00CB0A32" w:rsidP="004D0222">
            <w:pPr>
              <w:jc w:val="center"/>
              <w:rPr>
                <w:rFonts w:cstheme="minorHAnsi"/>
                <w:sz w:val="20"/>
                <w:szCs w:val="20"/>
              </w:rPr>
            </w:pPr>
          </w:p>
        </w:tc>
        <w:tc>
          <w:tcPr>
            <w:tcW w:w="1004" w:type="dxa"/>
          </w:tcPr>
          <w:p w14:paraId="671DA11F" w14:textId="6E935CFE" w:rsidR="00CB0A32" w:rsidRPr="009645C4" w:rsidRDefault="00CB0A32" w:rsidP="004D0222">
            <w:pPr>
              <w:jc w:val="center"/>
              <w:rPr>
                <w:rFonts w:cstheme="minorHAnsi"/>
                <w:sz w:val="20"/>
                <w:szCs w:val="20"/>
              </w:rPr>
            </w:pPr>
          </w:p>
        </w:tc>
        <w:tc>
          <w:tcPr>
            <w:tcW w:w="1200" w:type="dxa"/>
          </w:tcPr>
          <w:p w14:paraId="76BB131A" w14:textId="76024F19" w:rsidR="00CB0A32" w:rsidRPr="009645C4" w:rsidRDefault="00CB0A32" w:rsidP="004D0222">
            <w:pPr>
              <w:jc w:val="center"/>
              <w:rPr>
                <w:rFonts w:cstheme="minorHAnsi"/>
                <w:sz w:val="20"/>
                <w:szCs w:val="20"/>
              </w:rPr>
            </w:pPr>
            <w:r w:rsidRPr="004D0222">
              <w:rPr>
                <w:rFonts w:cstheme="minorHAnsi"/>
                <w:sz w:val="20"/>
                <w:szCs w:val="20"/>
              </w:rPr>
              <w:t>&gt;54.0</w:t>
            </w:r>
          </w:p>
        </w:tc>
        <w:tc>
          <w:tcPr>
            <w:tcW w:w="1211" w:type="dxa"/>
            <w:tcBorders>
              <w:right w:val="single" w:sz="4" w:space="0" w:color="auto"/>
            </w:tcBorders>
          </w:tcPr>
          <w:p w14:paraId="01D8BB6B" w14:textId="77777777" w:rsidR="00CB0A32" w:rsidRPr="009645C4" w:rsidRDefault="00CB0A32" w:rsidP="004D0222">
            <w:pPr>
              <w:jc w:val="center"/>
              <w:rPr>
                <w:rFonts w:cstheme="minorHAnsi"/>
                <w:sz w:val="20"/>
                <w:szCs w:val="20"/>
              </w:rPr>
            </w:pPr>
          </w:p>
        </w:tc>
        <w:tc>
          <w:tcPr>
            <w:tcW w:w="1065" w:type="dxa"/>
            <w:tcBorders>
              <w:left w:val="single" w:sz="4" w:space="0" w:color="auto"/>
            </w:tcBorders>
            <w:shd w:val="clear" w:color="auto" w:fill="F2F2F2" w:themeFill="background1" w:themeFillShade="F2"/>
          </w:tcPr>
          <w:p w14:paraId="3E1D2F6A" w14:textId="46193750" w:rsidR="00CB0A32" w:rsidRPr="009645C4" w:rsidRDefault="00CB0A32" w:rsidP="004D0222">
            <w:pPr>
              <w:jc w:val="center"/>
              <w:rPr>
                <w:rFonts w:cstheme="minorHAnsi"/>
                <w:sz w:val="20"/>
                <w:szCs w:val="20"/>
              </w:rPr>
            </w:pPr>
            <w:r w:rsidRPr="009645C4">
              <w:rPr>
                <w:rFonts w:cstheme="minorHAnsi"/>
                <w:sz w:val="20"/>
                <w:szCs w:val="20"/>
              </w:rPr>
              <w:t>12</w:t>
            </w:r>
          </w:p>
        </w:tc>
        <w:tc>
          <w:tcPr>
            <w:tcW w:w="1245" w:type="dxa"/>
          </w:tcPr>
          <w:p w14:paraId="3B392B46" w14:textId="211BAF34" w:rsidR="00CB0A32" w:rsidRPr="009645C4" w:rsidRDefault="00CB0A32" w:rsidP="004D0222">
            <w:pPr>
              <w:jc w:val="center"/>
              <w:rPr>
                <w:rFonts w:cstheme="minorHAnsi"/>
                <w:sz w:val="20"/>
                <w:szCs w:val="20"/>
              </w:rPr>
            </w:pPr>
          </w:p>
        </w:tc>
        <w:tc>
          <w:tcPr>
            <w:tcW w:w="1316" w:type="dxa"/>
          </w:tcPr>
          <w:p w14:paraId="47C2462B" w14:textId="19E93880" w:rsidR="00CB0A32" w:rsidRPr="009645C4" w:rsidRDefault="00CB0A32" w:rsidP="004D0222">
            <w:pPr>
              <w:jc w:val="center"/>
              <w:rPr>
                <w:rFonts w:cstheme="minorHAnsi"/>
                <w:sz w:val="20"/>
                <w:szCs w:val="20"/>
              </w:rPr>
            </w:pPr>
            <w:r w:rsidRPr="009645C4">
              <w:rPr>
                <w:rFonts w:cstheme="minorHAnsi"/>
                <w:sz w:val="20"/>
                <w:szCs w:val="20"/>
              </w:rPr>
              <w:t>&gt; 99</w:t>
            </w:r>
          </w:p>
        </w:tc>
      </w:tr>
      <w:tr w:rsidR="00CB0A32" w:rsidRPr="009645C4" w14:paraId="46673F6E" w14:textId="31181E05" w:rsidTr="00CB0A32">
        <w:trPr>
          <w:jc w:val="center"/>
        </w:trPr>
        <w:tc>
          <w:tcPr>
            <w:tcW w:w="914" w:type="dxa"/>
            <w:shd w:val="clear" w:color="auto" w:fill="F2F2F2" w:themeFill="background1" w:themeFillShade="F2"/>
          </w:tcPr>
          <w:p w14:paraId="2BD35D2D" w14:textId="703379BD" w:rsidR="00CB0A32" w:rsidRPr="009645C4" w:rsidRDefault="00CB0A32" w:rsidP="004D0222">
            <w:pPr>
              <w:jc w:val="center"/>
              <w:rPr>
                <w:rFonts w:cstheme="minorHAnsi"/>
                <w:sz w:val="20"/>
                <w:szCs w:val="20"/>
              </w:rPr>
            </w:pPr>
            <w:r>
              <w:rPr>
                <w:rFonts w:cstheme="minorHAnsi"/>
                <w:sz w:val="20"/>
                <w:szCs w:val="20"/>
              </w:rPr>
              <w:t>13</w:t>
            </w:r>
          </w:p>
        </w:tc>
        <w:tc>
          <w:tcPr>
            <w:tcW w:w="988" w:type="dxa"/>
          </w:tcPr>
          <w:p w14:paraId="6CECC880" w14:textId="77777777" w:rsidR="00CB0A32" w:rsidRPr="009645C4" w:rsidRDefault="00CB0A32" w:rsidP="004D0222">
            <w:pPr>
              <w:jc w:val="center"/>
              <w:rPr>
                <w:rFonts w:cstheme="minorHAnsi"/>
                <w:sz w:val="20"/>
                <w:szCs w:val="20"/>
              </w:rPr>
            </w:pPr>
          </w:p>
        </w:tc>
        <w:tc>
          <w:tcPr>
            <w:tcW w:w="1004" w:type="dxa"/>
          </w:tcPr>
          <w:p w14:paraId="66AA55B8" w14:textId="51776865" w:rsidR="00CB0A32" w:rsidRPr="009645C4" w:rsidRDefault="00CB0A32" w:rsidP="004D0222">
            <w:pPr>
              <w:jc w:val="center"/>
              <w:rPr>
                <w:rFonts w:cstheme="minorHAnsi"/>
                <w:sz w:val="20"/>
                <w:szCs w:val="20"/>
              </w:rPr>
            </w:pPr>
          </w:p>
        </w:tc>
        <w:tc>
          <w:tcPr>
            <w:tcW w:w="1200" w:type="dxa"/>
          </w:tcPr>
          <w:p w14:paraId="2FA773E6" w14:textId="51A16492" w:rsidR="00CB0A32" w:rsidRPr="009645C4" w:rsidRDefault="00CB0A32" w:rsidP="004D0222">
            <w:pPr>
              <w:jc w:val="center"/>
              <w:rPr>
                <w:rFonts w:cstheme="minorHAnsi"/>
                <w:sz w:val="20"/>
                <w:szCs w:val="20"/>
              </w:rPr>
            </w:pPr>
            <w:r w:rsidRPr="004D0222">
              <w:rPr>
                <w:rFonts w:cstheme="minorHAnsi"/>
                <w:sz w:val="20"/>
                <w:szCs w:val="20"/>
              </w:rPr>
              <w:t>&gt;58.0</w:t>
            </w:r>
          </w:p>
        </w:tc>
        <w:tc>
          <w:tcPr>
            <w:tcW w:w="1211" w:type="dxa"/>
            <w:tcBorders>
              <w:right w:val="single" w:sz="4" w:space="0" w:color="auto"/>
            </w:tcBorders>
          </w:tcPr>
          <w:p w14:paraId="4616024A" w14:textId="77777777" w:rsidR="00CB0A32" w:rsidRPr="009645C4" w:rsidRDefault="00CB0A32" w:rsidP="004D0222">
            <w:pPr>
              <w:jc w:val="center"/>
              <w:rPr>
                <w:rFonts w:cstheme="minorHAnsi"/>
                <w:sz w:val="20"/>
                <w:szCs w:val="20"/>
              </w:rPr>
            </w:pPr>
          </w:p>
        </w:tc>
        <w:tc>
          <w:tcPr>
            <w:tcW w:w="1065" w:type="dxa"/>
            <w:tcBorders>
              <w:left w:val="single" w:sz="4" w:space="0" w:color="auto"/>
            </w:tcBorders>
            <w:shd w:val="clear" w:color="auto" w:fill="F2F2F2" w:themeFill="background1" w:themeFillShade="F2"/>
          </w:tcPr>
          <w:p w14:paraId="1B59EC22" w14:textId="77777777" w:rsidR="00CB0A32" w:rsidRPr="009645C4" w:rsidRDefault="00CB0A32" w:rsidP="004D0222">
            <w:pPr>
              <w:jc w:val="center"/>
              <w:rPr>
                <w:rFonts w:cstheme="minorHAnsi"/>
                <w:sz w:val="20"/>
                <w:szCs w:val="20"/>
              </w:rPr>
            </w:pPr>
          </w:p>
        </w:tc>
        <w:tc>
          <w:tcPr>
            <w:tcW w:w="1245" w:type="dxa"/>
          </w:tcPr>
          <w:p w14:paraId="054465BC" w14:textId="00B0D7F8" w:rsidR="00CB0A32" w:rsidRPr="009645C4" w:rsidRDefault="00CB0A32" w:rsidP="004D0222">
            <w:pPr>
              <w:jc w:val="center"/>
              <w:rPr>
                <w:rFonts w:cstheme="minorHAnsi"/>
                <w:sz w:val="20"/>
                <w:szCs w:val="20"/>
              </w:rPr>
            </w:pPr>
          </w:p>
        </w:tc>
        <w:tc>
          <w:tcPr>
            <w:tcW w:w="1316" w:type="dxa"/>
          </w:tcPr>
          <w:p w14:paraId="4FAD1C31" w14:textId="77777777" w:rsidR="00CB0A32" w:rsidRPr="009645C4" w:rsidRDefault="00CB0A32" w:rsidP="004D0222">
            <w:pPr>
              <w:jc w:val="center"/>
              <w:rPr>
                <w:rFonts w:cstheme="minorHAnsi"/>
                <w:sz w:val="20"/>
                <w:szCs w:val="20"/>
              </w:rPr>
            </w:pPr>
          </w:p>
        </w:tc>
      </w:tr>
      <w:tr w:rsidR="00CB0A32" w:rsidRPr="009645C4" w14:paraId="08068206" w14:textId="0608B19D" w:rsidTr="00CB0A32">
        <w:trPr>
          <w:jc w:val="center"/>
        </w:trPr>
        <w:tc>
          <w:tcPr>
            <w:tcW w:w="914" w:type="dxa"/>
            <w:shd w:val="clear" w:color="auto" w:fill="F2F2F2" w:themeFill="background1" w:themeFillShade="F2"/>
          </w:tcPr>
          <w:p w14:paraId="01F931C3" w14:textId="773927C7" w:rsidR="00CB0A32" w:rsidRPr="009645C4" w:rsidRDefault="00CB0A32" w:rsidP="004D0222">
            <w:pPr>
              <w:jc w:val="center"/>
              <w:rPr>
                <w:rFonts w:cstheme="minorHAnsi"/>
                <w:sz w:val="20"/>
                <w:szCs w:val="20"/>
              </w:rPr>
            </w:pPr>
            <w:r>
              <w:rPr>
                <w:rFonts w:cstheme="minorHAnsi"/>
                <w:sz w:val="20"/>
                <w:szCs w:val="20"/>
              </w:rPr>
              <w:t>14</w:t>
            </w:r>
          </w:p>
        </w:tc>
        <w:tc>
          <w:tcPr>
            <w:tcW w:w="988" w:type="dxa"/>
          </w:tcPr>
          <w:p w14:paraId="46DF2FEF" w14:textId="77777777" w:rsidR="00CB0A32" w:rsidRPr="009645C4" w:rsidRDefault="00CB0A32" w:rsidP="004D0222">
            <w:pPr>
              <w:jc w:val="center"/>
              <w:rPr>
                <w:rFonts w:cstheme="minorHAnsi"/>
                <w:sz w:val="20"/>
                <w:szCs w:val="20"/>
              </w:rPr>
            </w:pPr>
          </w:p>
        </w:tc>
        <w:tc>
          <w:tcPr>
            <w:tcW w:w="1004" w:type="dxa"/>
          </w:tcPr>
          <w:p w14:paraId="4FF6AE4D" w14:textId="52D4C039" w:rsidR="00CB0A32" w:rsidRPr="009645C4" w:rsidRDefault="00CB0A32" w:rsidP="005A3631">
            <w:pPr>
              <w:rPr>
                <w:rFonts w:cstheme="minorHAnsi"/>
                <w:sz w:val="20"/>
                <w:szCs w:val="20"/>
              </w:rPr>
            </w:pPr>
          </w:p>
        </w:tc>
        <w:tc>
          <w:tcPr>
            <w:tcW w:w="1200" w:type="dxa"/>
          </w:tcPr>
          <w:p w14:paraId="45899D1C" w14:textId="379C23DC" w:rsidR="00CB0A32" w:rsidRPr="009645C4" w:rsidRDefault="00CB0A32" w:rsidP="004D0222">
            <w:pPr>
              <w:jc w:val="center"/>
              <w:rPr>
                <w:rFonts w:cstheme="minorHAnsi"/>
                <w:sz w:val="20"/>
                <w:szCs w:val="20"/>
              </w:rPr>
            </w:pPr>
            <w:r w:rsidRPr="004D0222">
              <w:rPr>
                <w:rFonts w:cstheme="minorHAnsi"/>
                <w:sz w:val="20"/>
                <w:szCs w:val="20"/>
              </w:rPr>
              <w:t>&gt;63.0</w:t>
            </w:r>
          </w:p>
        </w:tc>
        <w:tc>
          <w:tcPr>
            <w:tcW w:w="1211" w:type="dxa"/>
            <w:tcBorders>
              <w:right w:val="single" w:sz="4" w:space="0" w:color="auto"/>
            </w:tcBorders>
          </w:tcPr>
          <w:p w14:paraId="4B5D238C"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0941E329" w14:textId="77777777" w:rsidR="00CB0A32" w:rsidRPr="009645C4" w:rsidRDefault="00CB0A32">
            <w:pPr>
              <w:rPr>
                <w:rFonts w:cstheme="minorHAnsi"/>
                <w:sz w:val="20"/>
                <w:szCs w:val="20"/>
              </w:rPr>
            </w:pPr>
          </w:p>
        </w:tc>
        <w:tc>
          <w:tcPr>
            <w:tcW w:w="1245" w:type="dxa"/>
          </w:tcPr>
          <w:p w14:paraId="169293BA" w14:textId="63C4A02E" w:rsidR="00CB0A32" w:rsidRPr="009645C4" w:rsidRDefault="00CB0A32">
            <w:pPr>
              <w:rPr>
                <w:rFonts w:cstheme="minorHAnsi"/>
                <w:sz w:val="20"/>
                <w:szCs w:val="20"/>
              </w:rPr>
            </w:pPr>
          </w:p>
        </w:tc>
        <w:tc>
          <w:tcPr>
            <w:tcW w:w="1316" w:type="dxa"/>
          </w:tcPr>
          <w:p w14:paraId="30F689A7" w14:textId="77777777" w:rsidR="00CB0A32" w:rsidRPr="009645C4" w:rsidRDefault="00CB0A32">
            <w:pPr>
              <w:rPr>
                <w:rFonts w:cstheme="minorHAnsi"/>
                <w:sz w:val="20"/>
                <w:szCs w:val="20"/>
              </w:rPr>
            </w:pPr>
          </w:p>
        </w:tc>
      </w:tr>
      <w:tr w:rsidR="00CB0A32" w:rsidRPr="009645C4" w14:paraId="020CF84C" w14:textId="1D7F15E9" w:rsidTr="00CB0A32">
        <w:trPr>
          <w:jc w:val="center"/>
        </w:trPr>
        <w:tc>
          <w:tcPr>
            <w:tcW w:w="914" w:type="dxa"/>
            <w:shd w:val="clear" w:color="auto" w:fill="F2F2F2" w:themeFill="background1" w:themeFillShade="F2"/>
          </w:tcPr>
          <w:p w14:paraId="7CB6C3FE" w14:textId="37B665BB" w:rsidR="00CB0A32" w:rsidRPr="009645C4" w:rsidRDefault="00CB0A32" w:rsidP="004D0222">
            <w:pPr>
              <w:jc w:val="center"/>
              <w:rPr>
                <w:rFonts w:cstheme="minorHAnsi"/>
                <w:sz w:val="20"/>
                <w:szCs w:val="20"/>
              </w:rPr>
            </w:pPr>
            <w:r>
              <w:rPr>
                <w:rFonts w:cstheme="minorHAnsi"/>
                <w:sz w:val="20"/>
                <w:szCs w:val="20"/>
              </w:rPr>
              <w:t>15</w:t>
            </w:r>
          </w:p>
        </w:tc>
        <w:tc>
          <w:tcPr>
            <w:tcW w:w="988" w:type="dxa"/>
          </w:tcPr>
          <w:p w14:paraId="33467A2D" w14:textId="77777777" w:rsidR="00CB0A32" w:rsidRPr="009645C4" w:rsidRDefault="00CB0A32" w:rsidP="004D0222">
            <w:pPr>
              <w:jc w:val="center"/>
              <w:rPr>
                <w:rFonts w:cstheme="minorHAnsi"/>
                <w:sz w:val="20"/>
                <w:szCs w:val="20"/>
              </w:rPr>
            </w:pPr>
          </w:p>
        </w:tc>
        <w:tc>
          <w:tcPr>
            <w:tcW w:w="1004" w:type="dxa"/>
          </w:tcPr>
          <w:p w14:paraId="0A89E0BC" w14:textId="7B3ECCDF" w:rsidR="00CB0A32" w:rsidRPr="009645C4" w:rsidRDefault="00CB0A32" w:rsidP="005A3631">
            <w:pPr>
              <w:rPr>
                <w:rFonts w:cstheme="minorHAnsi"/>
                <w:sz w:val="20"/>
                <w:szCs w:val="20"/>
              </w:rPr>
            </w:pPr>
          </w:p>
        </w:tc>
        <w:tc>
          <w:tcPr>
            <w:tcW w:w="1200" w:type="dxa"/>
          </w:tcPr>
          <w:p w14:paraId="667F50B4" w14:textId="7C187B32" w:rsidR="00CB0A32" w:rsidRPr="009645C4" w:rsidRDefault="00CB0A32" w:rsidP="004D0222">
            <w:pPr>
              <w:jc w:val="center"/>
              <w:rPr>
                <w:rFonts w:cstheme="minorHAnsi"/>
                <w:sz w:val="20"/>
                <w:szCs w:val="20"/>
              </w:rPr>
            </w:pPr>
            <w:r w:rsidRPr="004D0222">
              <w:rPr>
                <w:rFonts w:cstheme="minorHAnsi"/>
                <w:sz w:val="20"/>
                <w:szCs w:val="20"/>
              </w:rPr>
              <w:t>&gt;67.0</w:t>
            </w:r>
          </w:p>
        </w:tc>
        <w:tc>
          <w:tcPr>
            <w:tcW w:w="1211" w:type="dxa"/>
            <w:tcBorders>
              <w:right w:val="single" w:sz="4" w:space="0" w:color="auto"/>
            </w:tcBorders>
          </w:tcPr>
          <w:p w14:paraId="3D480360"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05F942CC" w14:textId="77777777" w:rsidR="00CB0A32" w:rsidRPr="009645C4" w:rsidRDefault="00CB0A32">
            <w:pPr>
              <w:rPr>
                <w:rFonts w:cstheme="minorHAnsi"/>
                <w:sz w:val="20"/>
                <w:szCs w:val="20"/>
              </w:rPr>
            </w:pPr>
          </w:p>
        </w:tc>
        <w:tc>
          <w:tcPr>
            <w:tcW w:w="1245" w:type="dxa"/>
          </w:tcPr>
          <w:p w14:paraId="2F784A36" w14:textId="3FB460FB" w:rsidR="00CB0A32" w:rsidRPr="009645C4" w:rsidRDefault="00CB0A32">
            <w:pPr>
              <w:rPr>
                <w:rFonts w:cstheme="minorHAnsi"/>
                <w:sz w:val="20"/>
                <w:szCs w:val="20"/>
              </w:rPr>
            </w:pPr>
          </w:p>
        </w:tc>
        <w:tc>
          <w:tcPr>
            <w:tcW w:w="1316" w:type="dxa"/>
          </w:tcPr>
          <w:p w14:paraId="3F6C8558" w14:textId="77777777" w:rsidR="00CB0A32" w:rsidRPr="009645C4" w:rsidRDefault="00CB0A32">
            <w:pPr>
              <w:rPr>
                <w:rFonts w:cstheme="minorHAnsi"/>
                <w:sz w:val="20"/>
                <w:szCs w:val="20"/>
              </w:rPr>
            </w:pPr>
          </w:p>
        </w:tc>
      </w:tr>
      <w:tr w:rsidR="00CB0A32" w:rsidRPr="009645C4" w14:paraId="0CAEBA0D" w14:textId="55AE3708" w:rsidTr="00CB0A32">
        <w:trPr>
          <w:jc w:val="center"/>
        </w:trPr>
        <w:tc>
          <w:tcPr>
            <w:tcW w:w="914" w:type="dxa"/>
            <w:shd w:val="clear" w:color="auto" w:fill="F2F2F2" w:themeFill="background1" w:themeFillShade="F2"/>
          </w:tcPr>
          <w:p w14:paraId="469E2ABD" w14:textId="482698AB" w:rsidR="00CB0A32" w:rsidRPr="009645C4" w:rsidRDefault="00CB0A32" w:rsidP="004D0222">
            <w:pPr>
              <w:jc w:val="center"/>
              <w:rPr>
                <w:rFonts w:cstheme="minorHAnsi"/>
                <w:sz w:val="20"/>
                <w:szCs w:val="20"/>
              </w:rPr>
            </w:pPr>
            <w:r>
              <w:rPr>
                <w:rFonts w:cstheme="minorHAnsi"/>
                <w:sz w:val="20"/>
                <w:szCs w:val="20"/>
              </w:rPr>
              <w:t>16</w:t>
            </w:r>
          </w:p>
        </w:tc>
        <w:tc>
          <w:tcPr>
            <w:tcW w:w="988" w:type="dxa"/>
          </w:tcPr>
          <w:p w14:paraId="2B3838F4" w14:textId="77777777" w:rsidR="00CB0A32" w:rsidRPr="009645C4" w:rsidRDefault="00CB0A32" w:rsidP="004D0222">
            <w:pPr>
              <w:jc w:val="center"/>
              <w:rPr>
                <w:rFonts w:cstheme="minorHAnsi"/>
                <w:sz w:val="20"/>
                <w:szCs w:val="20"/>
              </w:rPr>
            </w:pPr>
          </w:p>
        </w:tc>
        <w:tc>
          <w:tcPr>
            <w:tcW w:w="1004" w:type="dxa"/>
          </w:tcPr>
          <w:p w14:paraId="3CDA782B" w14:textId="31C9F13B" w:rsidR="00CB0A32" w:rsidRPr="009645C4" w:rsidRDefault="00CB0A32" w:rsidP="005A3631">
            <w:pPr>
              <w:rPr>
                <w:rFonts w:cstheme="minorHAnsi"/>
                <w:sz w:val="20"/>
                <w:szCs w:val="20"/>
              </w:rPr>
            </w:pPr>
          </w:p>
        </w:tc>
        <w:tc>
          <w:tcPr>
            <w:tcW w:w="1200" w:type="dxa"/>
          </w:tcPr>
          <w:p w14:paraId="2440DC7E" w14:textId="523B29EB" w:rsidR="00CB0A32" w:rsidRPr="009645C4" w:rsidRDefault="00CB0A32" w:rsidP="004D0222">
            <w:pPr>
              <w:jc w:val="center"/>
              <w:rPr>
                <w:rFonts w:cstheme="minorHAnsi"/>
                <w:sz w:val="20"/>
                <w:szCs w:val="20"/>
              </w:rPr>
            </w:pPr>
            <w:r w:rsidRPr="004D0222">
              <w:rPr>
                <w:rFonts w:cstheme="minorHAnsi"/>
                <w:sz w:val="20"/>
                <w:szCs w:val="20"/>
              </w:rPr>
              <w:t>&gt;72.0</w:t>
            </w:r>
          </w:p>
        </w:tc>
        <w:tc>
          <w:tcPr>
            <w:tcW w:w="1211" w:type="dxa"/>
            <w:tcBorders>
              <w:right w:val="single" w:sz="4" w:space="0" w:color="auto"/>
            </w:tcBorders>
          </w:tcPr>
          <w:p w14:paraId="6757A390"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590FA01B" w14:textId="77777777" w:rsidR="00CB0A32" w:rsidRPr="009645C4" w:rsidRDefault="00CB0A32">
            <w:pPr>
              <w:rPr>
                <w:rFonts w:cstheme="minorHAnsi"/>
                <w:sz w:val="20"/>
                <w:szCs w:val="20"/>
              </w:rPr>
            </w:pPr>
          </w:p>
        </w:tc>
        <w:tc>
          <w:tcPr>
            <w:tcW w:w="1245" w:type="dxa"/>
          </w:tcPr>
          <w:p w14:paraId="17820D38" w14:textId="468435C5" w:rsidR="00CB0A32" w:rsidRPr="009645C4" w:rsidRDefault="00CB0A32">
            <w:pPr>
              <w:rPr>
                <w:rFonts w:cstheme="minorHAnsi"/>
                <w:sz w:val="20"/>
                <w:szCs w:val="20"/>
              </w:rPr>
            </w:pPr>
          </w:p>
        </w:tc>
        <w:tc>
          <w:tcPr>
            <w:tcW w:w="1316" w:type="dxa"/>
          </w:tcPr>
          <w:p w14:paraId="74F2592A" w14:textId="77777777" w:rsidR="00CB0A32" w:rsidRPr="009645C4" w:rsidRDefault="00CB0A32">
            <w:pPr>
              <w:rPr>
                <w:rFonts w:cstheme="minorHAnsi"/>
                <w:sz w:val="20"/>
                <w:szCs w:val="20"/>
              </w:rPr>
            </w:pPr>
          </w:p>
        </w:tc>
      </w:tr>
      <w:tr w:rsidR="00CB0A32" w:rsidRPr="009645C4" w14:paraId="06970CF4" w14:textId="3F39D6DC" w:rsidTr="00CB0A32">
        <w:trPr>
          <w:jc w:val="center"/>
        </w:trPr>
        <w:tc>
          <w:tcPr>
            <w:tcW w:w="914" w:type="dxa"/>
            <w:shd w:val="clear" w:color="auto" w:fill="F2F2F2" w:themeFill="background1" w:themeFillShade="F2"/>
          </w:tcPr>
          <w:p w14:paraId="26243EB8" w14:textId="39484BD1" w:rsidR="00CB0A32" w:rsidRPr="009645C4" w:rsidRDefault="00CB0A32" w:rsidP="004D0222">
            <w:pPr>
              <w:jc w:val="center"/>
              <w:rPr>
                <w:rFonts w:cstheme="minorHAnsi"/>
                <w:sz w:val="20"/>
                <w:szCs w:val="20"/>
              </w:rPr>
            </w:pPr>
            <w:r>
              <w:rPr>
                <w:rFonts w:cstheme="minorHAnsi"/>
                <w:sz w:val="20"/>
                <w:szCs w:val="20"/>
              </w:rPr>
              <w:t>17</w:t>
            </w:r>
          </w:p>
        </w:tc>
        <w:tc>
          <w:tcPr>
            <w:tcW w:w="988" w:type="dxa"/>
          </w:tcPr>
          <w:p w14:paraId="09A9C19A" w14:textId="77777777" w:rsidR="00CB0A32" w:rsidRPr="009645C4" w:rsidRDefault="00CB0A32" w:rsidP="004D0222">
            <w:pPr>
              <w:jc w:val="center"/>
              <w:rPr>
                <w:rFonts w:cstheme="minorHAnsi"/>
                <w:sz w:val="20"/>
                <w:szCs w:val="20"/>
              </w:rPr>
            </w:pPr>
          </w:p>
        </w:tc>
        <w:tc>
          <w:tcPr>
            <w:tcW w:w="1004" w:type="dxa"/>
          </w:tcPr>
          <w:p w14:paraId="5786E2F2" w14:textId="26EDBE49" w:rsidR="00CB0A32" w:rsidRPr="009645C4" w:rsidRDefault="00CB0A32" w:rsidP="005A3631">
            <w:pPr>
              <w:rPr>
                <w:rFonts w:cstheme="minorHAnsi"/>
                <w:sz w:val="20"/>
                <w:szCs w:val="20"/>
              </w:rPr>
            </w:pPr>
          </w:p>
        </w:tc>
        <w:tc>
          <w:tcPr>
            <w:tcW w:w="1200" w:type="dxa"/>
          </w:tcPr>
          <w:p w14:paraId="6CBD5067" w14:textId="42C406D8" w:rsidR="00CB0A32" w:rsidRPr="009645C4" w:rsidRDefault="00CB0A32" w:rsidP="004D0222">
            <w:pPr>
              <w:jc w:val="center"/>
              <w:rPr>
                <w:rFonts w:cstheme="minorHAnsi"/>
                <w:sz w:val="20"/>
                <w:szCs w:val="20"/>
              </w:rPr>
            </w:pPr>
            <w:r w:rsidRPr="004D0222">
              <w:rPr>
                <w:rFonts w:cstheme="minorHAnsi"/>
                <w:sz w:val="20"/>
                <w:szCs w:val="20"/>
              </w:rPr>
              <w:t>&gt;76.0</w:t>
            </w:r>
          </w:p>
        </w:tc>
        <w:tc>
          <w:tcPr>
            <w:tcW w:w="1211" w:type="dxa"/>
            <w:tcBorders>
              <w:right w:val="single" w:sz="4" w:space="0" w:color="auto"/>
            </w:tcBorders>
          </w:tcPr>
          <w:p w14:paraId="35C26E3D"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49049EF8" w14:textId="77777777" w:rsidR="00CB0A32" w:rsidRPr="009645C4" w:rsidRDefault="00CB0A32">
            <w:pPr>
              <w:rPr>
                <w:rFonts w:cstheme="minorHAnsi"/>
                <w:sz w:val="20"/>
                <w:szCs w:val="20"/>
              </w:rPr>
            </w:pPr>
          </w:p>
        </w:tc>
        <w:tc>
          <w:tcPr>
            <w:tcW w:w="1245" w:type="dxa"/>
          </w:tcPr>
          <w:p w14:paraId="28F47949" w14:textId="477E07F8" w:rsidR="00CB0A32" w:rsidRPr="009645C4" w:rsidRDefault="00CB0A32">
            <w:pPr>
              <w:rPr>
                <w:rFonts w:cstheme="minorHAnsi"/>
                <w:sz w:val="20"/>
                <w:szCs w:val="20"/>
              </w:rPr>
            </w:pPr>
          </w:p>
        </w:tc>
        <w:tc>
          <w:tcPr>
            <w:tcW w:w="1316" w:type="dxa"/>
          </w:tcPr>
          <w:p w14:paraId="7082402B" w14:textId="77777777" w:rsidR="00CB0A32" w:rsidRPr="009645C4" w:rsidRDefault="00CB0A32">
            <w:pPr>
              <w:rPr>
                <w:rFonts w:cstheme="minorHAnsi"/>
                <w:sz w:val="20"/>
                <w:szCs w:val="20"/>
              </w:rPr>
            </w:pPr>
          </w:p>
        </w:tc>
      </w:tr>
      <w:tr w:rsidR="00CB0A32" w:rsidRPr="009645C4" w14:paraId="34DD2B5B" w14:textId="62F54CC7" w:rsidTr="00CB0A32">
        <w:trPr>
          <w:jc w:val="center"/>
        </w:trPr>
        <w:tc>
          <w:tcPr>
            <w:tcW w:w="914" w:type="dxa"/>
            <w:shd w:val="clear" w:color="auto" w:fill="F2F2F2" w:themeFill="background1" w:themeFillShade="F2"/>
          </w:tcPr>
          <w:p w14:paraId="6BD8ACB4" w14:textId="5743ACAB" w:rsidR="00CB0A32" w:rsidRPr="009645C4" w:rsidRDefault="00CB0A32" w:rsidP="004D0222">
            <w:pPr>
              <w:jc w:val="center"/>
              <w:rPr>
                <w:rFonts w:cstheme="minorHAnsi"/>
                <w:sz w:val="20"/>
                <w:szCs w:val="20"/>
              </w:rPr>
            </w:pPr>
            <w:r>
              <w:rPr>
                <w:rFonts w:cstheme="minorHAnsi"/>
                <w:sz w:val="20"/>
                <w:szCs w:val="20"/>
              </w:rPr>
              <w:t>18</w:t>
            </w:r>
          </w:p>
        </w:tc>
        <w:tc>
          <w:tcPr>
            <w:tcW w:w="988" w:type="dxa"/>
          </w:tcPr>
          <w:p w14:paraId="2F7194A6" w14:textId="77777777" w:rsidR="00CB0A32" w:rsidRPr="009645C4" w:rsidRDefault="00CB0A32" w:rsidP="004D0222">
            <w:pPr>
              <w:jc w:val="center"/>
              <w:rPr>
                <w:rFonts w:cstheme="minorHAnsi"/>
                <w:sz w:val="20"/>
                <w:szCs w:val="20"/>
              </w:rPr>
            </w:pPr>
          </w:p>
        </w:tc>
        <w:tc>
          <w:tcPr>
            <w:tcW w:w="1004" w:type="dxa"/>
          </w:tcPr>
          <w:p w14:paraId="72665AD7" w14:textId="5074E492" w:rsidR="00CB0A32" w:rsidRPr="009645C4" w:rsidRDefault="00CB0A32" w:rsidP="005A3631">
            <w:pPr>
              <w:rPr>
                <w:rFonts w:cstheme="minorHAnsi"/>
                <w:sz w:val="20"/>
                <w:szCs w:val="20"/>
              </w:rPr>
            </w:pPr>
          </w:p>
        </w:tc>
        <w:tc>
          <w:tcPr>
            <w:tcW w:w="1200" w:type="dxa"/>
          </w:tcPr>
          <w:p w14:paraId="5BB7E835" w14:textId="75476A93" w:rsidR="00CB0A32" w:rsidRPr="009645C4" w:rsidRDefault="00CB0A32" w:rsidP="004D0222">
            <w:pPr>
              <w:jc w:val="center"/>
              <w:rPr>
                <w:rFonts w:cstheme="minorHAnsi"/>
                <w:sz w:val="20"/>
                <w:szCs w:val="20"/>
              </w:rPr>
            </w:pPr>
            <w:r w:rsidRPr="004D0222">
              <w:rPr>
                <w:rFonts w:cstheme="minorHAnsi"/>
                <w:sz w:val="20"/>
                <w:szCs w:val="20"/>
              </w:rPr>
              <w:t>&gt;81.0</w:t>
            </w:r>
          </w:p>
        </w:tc>
        <w:tc>
          <w:tcPr>
            <w:tcW w:w="1211" w:type="dxa"/>
            <w:tcBorders>
              <w:right w:val="single" w:sz="4" w:space="0" w:color="auto"/>
            </w:tcBorders>
          </w:tcPr>
          <w:p w14:paraId="39542E11"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061CBE22" w14:textId="77777777" w:rsidR="00CB0A32" w:rsidRPr="009645C4" w:rsidRDefault="00CB0A32">
            <w:pPr>
              <w:rPr>
                <w:rFonts w:cstheme="minorHAnsi"/>
                <w:sz w:val="20"/>
                <w:szCs w:val="20"/>
              </w:rPr>
            </w:pPr>
          </w:p>
        </w:tc>
        <w:tc>
          <w:tcPr>
            <w:tcW w:w="1245" w:type="dxa"/>
          </w:tcPr>
          <w:p w14:paraId="778F6593" w14:textId="51535CD2" w:rsidR="00CB0A32" w:rsidRPr="009645C4" w:rsidRDefault="00CB0A32">
            <w:pPr>
              <w:rPr>
                <w:rFonts w:cstheme="minorHAnsi"/>
                <w:sz w:val="20"/>
                <w:szCs w:val="20"/>
              </w:rPr>
            </w:pPr>
          </w:p>
        </w:tc>
        <w:tc>
          <w:tcPr>
            <w:tcW w:w="1316" w:type="dxa"/>
          </w:tcPr>
          <w:p w14:paraId="0FF78679" w14:textId="77777777" w:rsidR="00CB0A32" w:rsidRPr="009645C4" w:rsidRDefault="00CB0A32">
            <w:pPr>
              <w:rPr>
                <w:rFonts w:cstheme="minorHAnsi"/>
                <w:sz w:val="20"/>
                <w:szCs w:val="20"/>
              </w:rPr>
            </w:pPr>
          </w:p>
        </w:tc>
      </w:tr>
      <w:tr w:rsidR="00CB0A32" w:rsidRPr="009645C4" w14:paraId="026E3063" w14:textId="430BD8AD" w:rsidTr="00CB0A32">
        <w:trPr>
          <w:jc w:val="center"/>
        </w:trPr>
        <w:tc>
          <w:tcPr>
            <w:tcW w:w="914" w:type="dxa"/>
            <w:shd w:val="clear" w:color="auto" w:fill="F2F2F2" w:themeFill="background1" w:themeFillShade="F2"/>
          </w:tcPr>
          <w:p w14:paraId="23D52424" w14:textId="7B487B28" w:rsidR="00CB0A32" w:rsidRPr="009645C4" w:rsidRDefault="00CB0A32" w:rsidP="004D0222">
            <w:pPr>
              <w:jc w:val="center"/>
              <w:rPr>
                <w:rFonts w:cstheme="minorHAnsi"/>
                <w:sz w:val="20"/>
                <w:szCs w:val="20"/>
              </w:rPr>
            </w:pPr>
            <w:r>
              <w:rPr>
                <w:rFonts w:cstheme="minorHAnsi"/>
                <w:sz w:val="20"/>
                <w:szCs w:val="20"/>
              </w:rPr>
              <w:t>19</w:t>
            </w:r>
          </w:p>
        </w:tc>
        <w:tc>
          <w:tcPr>
            <w:tcW w:w="988" w:type="dxa"/>
          </w:tcPr>
          <w:p w14:paraId="1686B21E" w14:textId="77777777" w:rsidR="00CB0A32" w:rsidRPr="009645C4" w:rsidRDefault="00CB0A32" w:rsidP="004D0222">
            <w:pPr>
              <w:jc w:val="center"/>
              <w:rPr>
                <w:rFonts w:cstheme="minorHAnsi"/>
                <w:sz w:val="20"/>
                <w:szCs w:val="20"/>
              </w:rPr>
            </w:pPr>
          </w:p>
        </w:tc>
        <w:tc>
          <w:tcPr>
            <w:tcW w:w="1004" w:type="dxa"/>
          </w:tcPr>
          <w:p w14:paraId="42D84A00" w14:textId="33607574" w:rsidR="00CB0A32" w:rsidRPr="009645C4" w:rsidRDefault="00CB0A32" w:rsidP="005A3631">
            <w:pPr>
              <w:rPr>
                <w:rFonts w:cstheme="minorHAnsi"/>
                <w:sz w:val="20"/>
                <w:szCs w:val="20"/>
              </w:rPr>
            </w:pPr>
          </w:p>
        </w:tc>
        <w:tc>
          <w:tcPr>
            <w:tcW w:w="1200" w:type="dxa"/>
          </w:tcPr>
          <w:p w14:paraId="7E9BC26E" w14:textId="4FD08F00" w:rsidR="00CB0A32" w:rsidRPr="009645C4" w:rsidRDefault="00CB0A32" w:rsidP="004D0222">
            <w:pPr>
              <w:jc w:val="center"/>
              <w:rPr>
                <w:rFonts w:cstheme="minorHAnsi"/>
                <w:sz w:val="20"/>
                <w:szCs w:val="20"/>
              </w:rPr>
            </w:pPr>
            <w:r w:rsidRPr="004D0222">
              <w:rPr>
                <w:rFonts w:cstheme="minorHAnsi"/>
                <w:sz w:val="20"/>
                <w:szCs w:val="20"/>
              </w:rPr>
              <w:t>&gt;85.0</w:t>
            </w:r>
          </w:p>
        </w:tc>
        <w:tc>
          <w:tcPr>
            <w:tcW w:w="1211" w:type="dxa"/>
            <w:tcBorders>
              <w:right w:val="single" w:sz="4" w:space="0" w:color="auto"/>
            </w:tcBorders>
          </w:tcPr>
          <w:p w14:paraId="387EED66"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5A6331C8" w14:textId="77777777" w:rsidR="00CB0A32" w:rsidRPr="009645C4" w:rsidRDefault="00CB0A32">
            <w:pPr>
              <w:rPr>
                <w:rFonts w:cstheme="minorHAnsi"/>
                <w:sz w:val="20"/>
                <w:szCs w:val="20"/>
              </w:rPr>
            </w:pPr>
          </w:p>
        </w:tc>
        <w:tc>
          <w:tcPr>
            <w:tcW w:w="1245" w:type="dxa"/>
          </w:tcPr>
          <w:p w14:paraId="388433D3" w14:textId="17B6C9AA" w:rsidR="00CB0A32" w:rsidRPr="009645C4" w:rsidRDefault="00CB0A32">
            <w:pPr>
              <w:rPr>
                <w:rFonts w:cstheme="minorHAnsi"/>
                <w:sz w:val="20"/>
                <w:szCs w:val="20"/>
              </w:rPr>
            </w:pPr>
          </w:p>
        </w:tc>
        <w:tc>
          <w:tcPr>
            <w:tcW w:w="1316" w:type="dxa"/>
          </w:tcPr>
          <w:p w14:paraId="4C88103A" w14:textId="77777777" w:rsidR="00CB0A32" w:rsidRPr="009645C4" w:rsidRDefault="00CB0A32">
            <w:pPr>
              <w:rPr>
                <w:rFonts w:cstheme="minorHAnsi"/>
                <w:sz w:val="20"/>
                <w:szCs w:val="20"/>
              </w:rPr>
            </w:pPr>
          </w:p>
        </w:tc>
      </w:tr>
      <w:tr w:rsidR="00CB0A32" w:rsidRPr="009645C4" w14:paraId="392C0C67" w14:textId="175FBAEB" w:rsidTr="00CB0A32">
        <w:trPr>
          <w:jc w:val="center"/>
        </w:trPr>
        <w:tc>
          <w:tcPr>
            <w:tcW w:w="914" w:type="dxa"/>
            <w:shd w:val="clear" w:color="auto" w:fill="F2F2F2" w:themeFill="background1" w:themeFillShade="F2"/>
          </w:tcPr>
          <w:p w14:paraId="584306A0" w14:textId="57C8480A" w:rsidR="00CB0A32" w:rsidRPr="009645C4" w:rsidRDefault="00CB0A32" w:rsidP="004D0222">
            <w:pPr>
              <w:jc w:val="center"/>
              <w:rPr>
                <w:rFonts w:cstheme="minorHAnsi"/>
                <w:sz w:val="20"/>
                <w:szCs w:val="20"/>
              </w:rPr>
            </w:pPr>
            <w:r>
              <w:rPr>
                <w:rFonts w:cstheme="minorHAnsi"/>
                <w:sz w:val="20"/>
                <w:szCs w:val="20"/>
              </w:rPr>
              <w:t>20</w:t>
            </w:r>
          </w:p>
        </w:tc>
        <w:tc>
          <w:tcPr>
            <w:tcW w:w="988" w:type="dxa"/>
          </w:tcPr>
          <w:p w14:paraId="6F8742CD" w14:textId="77777777" w:rsidR="00CB0A32" w:rsidRPr="009645C4" w:rsidRDefault="00CB0A32" w:rsidP="004D0222">
            <w:pPr>
              <w:jc w:val="center"/>
              <w:rPr>
                <w:rFonts w:cstheme="minorHAnsi"/>
                <w:sz w:val="20"/>
                <w:szCs w:val="20"/>
              </w:rPr>
            </w:pPr>
          </w:p>
        </w:tc>
        <w:tc>
          <w:tcPr>
            <w:tcW w:w="1004" w:type="dxa"/>
          </w:tcPr>
          <w:p w14:paraId="1E621EF7" w14:textId="486BED9C" w:rsidR="00CB0A32" w:rsidRPr="009645C4" w:rsidRDefault="00CB0A32" w:rsidP="005A3631">
            <w:pPr>
              <w:rPr>
                <w:rFonts w:cstheme="minorHAnsi"/>
                <w:sz w:val="20"/>
                <w:szCs w:val="20"/>
              </w:rPr>
            </w:pPr>
          </w:p>
        </w:tc>
        <w:tc>
          <w:tcPr>
            <w:tcW w:w="1200" w:type="dxa"/>
          </w:tcPr>
          <w:p w14:paraId="354AB75B" w14:textId="0F0AC7BF" w:rsidR="00CB0A32" w:rsidRPr="009645C4" w:rsidRDefault="00CB0A32" w:rsidP="004D0222">
            <w:pPr>
              <w:jc w:val="center"/>
              <w:rPr>
                <w:rFonts w:cstheme="minorHAnsi"/>
                <w:sz w:val="20"/>
                <w:szCs w:val="20"/>
              </w:rPr>
            </w:pPr>
            <w:r w:rsidRPr="004D0222">
              <w:rPr>
                <w:rFonts w:cstheme="minorHAnsi"/>
                <w:sz w:val="20"/>
                <w:szCs w:val="20"/>
              </w:rPr>
              <w:t>&gt;90.0</w:t>
            </w:r>
          </w:p>
        </w:tc>
        <w:tc>
          <w:tcPr>
            <w:tcW w:w="1211" w:type="dxa"/>
            <w:tcBorders>
              <w:right w:val="single" w:sz="4" w:space="0" w:color="auto"/>
            </w:tcBorders>
          </w:tcPr>
          <w:p w14:paraId="0E68FECB"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1AEACEA4" w14:textId="77777777" w:rsidR="00CB0A32" w:rsidRPr="009645C4" w:rsidRDefault="00CB0A32">
            <w:pPr>
              <w:rPr>
                <w:rFonts w:cstheme="minorHAnsi"/>
                <w:sz w:val="20"/>
                <w:szCs w:val="20"/>
              </w:rPr>
            </w:pPr>
          </w:p>
        </w:tc>
        <w:tc>
          <w:tcPr>
            <w:tcW w:w="1245" w:type="dxa"/>
          </w:tcPr>
          <w:p w14:paraId="4E9287A3" w14:textId="2A79BA3F" w:rsidR="00CB0A32" w:rsidRPr="009645C4" w:rsidRDefault="00CB0A32">
            <w:pPr>
              <w:rPr>
                <w:rFonts w:cstheme="minorHAnsi"/>
                <w:sz w:val="20"/>
                <w:szCs w:val="20"/>
              </w:rPr>
            </w:pPr>
          </w:p>
        </w:tc>
        <w:tc>
          <w:tcPr>
            <w:tcW w:w="1316" w:type="dxa"/>
          </w:tcPr>
          <w:p w14:paraId="1DB65EBE" w14:textId="77777777" w:rsidR="00CB0A32" w:rsidRPr="009645C4" w:rsidRDefault="00CB0A32">
            <w:pPr>
              <w:rPr>
                <w:rFonts w:cstheme="minorHAnsi"/>
                <w:sz w:val="20"/>
                <w:szCs w:val="20"/>
              </w:rPr>
            </w:pPr>
          </w:p>
        </w:tc>
      </w:tr>
      <w:tr w:rsidR="00CB0A32" w:rsidRPr="009645C4" w14:paraId="23B0D088" w14:textId="17875883" w:rsidTr="00CB0A32">
        <w:trPr>
          <w:jc w:val="center"/>
        </w:trPr>
        <w:tc>
          <w:tcPr>
            <w:tcW w:w="914" w:type="dxa"/>
            <w:shd w:val="clear" w:color="auto" w:fill="F2F2F2" w:themeFill="background1" w:themeFillShade="F2"/>
          </w:tcPr>
          <w:p w14:paraId="69E495D2" w14:textId="160741B0" w:rsidR="00CB0A32" w:rsidRPr="009645C4" w:rsidRDefault="00CB0A32" w:rsidP="004D0222">
            <w:pPr>
              <w:jc w:val="center"/>
              <w:rPr>
                <w:rFonts w:cstheme="minorHAnsi"/>
                <w:sz w:val="20"/>
                <w:szCs w:val="20"/>
              </w:rPr>
            </w:pPr>
            <w:r>
              <w:rPr>
                <w:rFonts w:cstheme="minorHAnsi"/>
                <w:sz w:val="20"/>
                <w:szCs w:val="20"/>
              </w:rPr>
              <w:t>21</w:t>
            </w:r>
          </w:p>
        </w:tc>
        <w:tc>
          <w:tcPr>
            <w:tcW w:w="988" w:type="dxa"/>
          </w:tcPr>
          <w:p w14:paraId="1E239830" w14:textId="77777777" w:rsidR="00CB0A32" w:rsidRPr="009645C4" w:rsidRDefault="00CB0A32" w:rsidP="004D0222">
            <w:pPr>
              <w:jc w:val="center"/>
              <w:rPr>
                <w:rFonts w:cstheme="minorHAnsi"/>
                <w:sz w:val="20"/>
                <w:szCs w:val="20"/>
              </w:rPr>
            </w:pPr>
          </w:p>
        </w:tc>
        <w:tc>
          <w:tcPr>
            <w:tcW w:w="1004" w:type="dxa"/>
          </w:tcPr>
          <w:p w14:paraId="0154814B" w14:textId="331A971A" w:rsidR="00CB0A32" w:rsidRPr="009645C4" w:rsidRDefault="00CB0A32" w:rsidP="005A3631">
            <w:pPr>
              <w:rPr>
                <w:rFonts w:cstheme="minorHAnsi"/>
                <w:sz w:val="20"/>
                <w:szCs w:val="20"/>
              </w:rPr>
            </w:pPr>
          </w:p>
        </w:tc>
        <w:tc>
          <w:tcPr>
            <w:tcW w:w="1200" w:type="dxa"/>
          </w:tcPr>
          <w:p w14:paraId="21F0D238" w14:textId="2B9DAE93" w:rsidR="00CB0A32" w:rsidRPr="009645C4" w:rsidRDefault="00CB0A32" w:rsidP="004D0222">
            <w:pPr>
              <w:jc w:val="center"/>
              <w:rPr>
                <w:rFonts w:cstheme="minorHAnsi"/>
                <w:sz w:val="20"/>
                <w:szCs w:val="20"/>
              </w:rPr>
            </w:pPr>
            <w:r w:rsidRPr="004D0222">
              <w:rPr>
                <w:rFonts w:cstheme="minorHAnsi"/>
                <w:sz w:val="20"/>
                <w:szCs w:val="20"/>
              </w:rPr>
              <w:t>&gt;94.0</w:t>
            </w:r>
          </w:p>
        </w:tc>
        <w:tc>
          <w:tcPr>
            <w:tcW w:w="1211" w:type="dxa"/>
            <w:tcBorders>
              <w:right w:val="single" w:sz="4" w:space="0" w:color="auto"/>
            </w:tcBorders>
          </w:tcPr>
          <w:p w14:paraId="2EBD7C1F"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32416978" w14:textId="77777777" w:rsidR="00CB0A32" w:rsidRPr="009645C4" w:rsidRDefault="00CB0A32">
            <w:pPr>
              <w:rPr>
                <w:rFonts w:cstheme="minorHAnsi"/>
                <w:sz w:val="20"/>
                <w:szCs w:val="20"/>
              </w:rPr>
            </w:pPr>
          </w:p>
        </w:tc>
        <w:tc>
          <w:tcPr>
            <w:tcW w:w="1245" w:type="dxa"/>
          </w:tcPr>
          <w:p w14:paraId="3E5B510A" w14:textId="3D06358E" w:rsidR="00CB0A32" w:rsidRPr="009645C4" w:rsidRDefault="00CB0A32">
            <w:pPr>
              <w:rPr>
                <w:rFonts w:cstheme="minorHAnsi"/>
                <w:sz w:val="20"/>
                <w:szCs w:val="20"/>
              </w:rPr>
            </w:pPr>
          </w:p>
        </w:tc>
        <w:tc>
          <w:tcPr>
            <w:tcW w:w="1316" w:type="dxa"/>
          </w:tcPr>
          <w:p w14:paraId="32D34067" w14:textId="77777777" w:rsidR="00CB0A32" w:rsidRPr="009645C4" w:rsidRDefault="00CB0A32">
            <w:pPr>
              <w:rPr>
                <w:rFonts w:cstheme="minorHAnsi"/>
                <w:sz w:val="20"/>
                <w:szCs w:val="20"/>
              </w:rPr>
            </w:pPr>
          </w:p>
        </w:tc>
      </w:tr>
      <w:tr w:rsidR="00CB0A32" w:rsidRPr="009645C4" w14:paraId="440C6F08" w14:textId="5CAC886D" w:rsidTr="00CB0A32">
        <w:trPr>
          <w:jc w:val="center"/>
        </w:trPr>
        <w:tc>
          <w:tcPr>
            <w:tcW w:w="914" w:type="dxa"/>
            <w:shd w:val="clear" w:color="auto" w:fill="F2F2F2" w:themeFill="background1" w:themeFillShade="F2"/>
          </w:tcPr>
          <w:p w14:paraId="12C29AC7" w14:textId="5AA78D36" w:rsidR="00CB0A32" w:rsidRPr="009645C4" w:rsidRDefault="00CB0A32" w:rsidP="004D0222">
            <w:pPr>
              <w:jc w:val="center"/>
              <w:rPr>
                <w:rFonts w:cstheme="minorHAnsi"/>
                <w:sz w:val="20"/>
                <w:szCs w:val="20"/>
              </w:rPr>
            </w:pPr>
            <w:r>
              <w:rPr>
                <w:rFonts w:cstheme="minorHAnsi"/>
                <w:sz w:val="20"/>
                <w:szCs w:val="20"/>
              </w:rPr>
              <w:t>22</w:t>
            </w:r>
          </w:p>
        </w:tc>
        <w:tc>
          <w:tcPr>
            <w:tcW w:w="988" w:type="dxa"/>
          </w:tcPr>
          <w:p w14:paraId="42740040" w14:textId="77777777" w:rsidR="00CB0A32" w:rsidRPr="009645C4" w:rsidRDefault="00CB0A32" w:rsidP="004D0222">
            <w:pPr>
              <w:jc w:val="center"/>
              <w:rPr>
                <w:rFonts w:cstheme="minorHAnsi"/>
                <w:sz w:val="20"/>
                <w:szCs w:val="20"/>
              </w:rPr>
            </w:pPr>
          </w:p>
        </w:tc>
        <w:tc>
          <w:tcPr>
            <w:tcW w:w="1004" w:type="dxa"/>
          </w:tcPr>
          <w:p w14:paraId="4EB88CF9" w14:textId="569237D0" w:rsidR="00CB0A32" w:rsidRPr="009645C4" w:rsidRDefault="00CB0A32" w:rsidP="005A3631">
            <w:pPr>
              <w:rPr>
                <w:rFonts w:cstheme="minorHAnsi"/>
                <w:sz w:val="20"/>
                <w:szCs w:val="20"/>
              </w:rPr>
            </w:pPr>
          </w:p>
        </w:tc>
        <w:tc>
          <w:tcPr>
            <w:tcW w:w="1200" w:type="dxa"/>
          </w:tcPr>
          <w:p w14:paraId="19050DA4" w14:textId="5B3EFC1E" w:rsidR="00CB0A32" w:rsidRPr="009645C4" w:rsidRDefault="00CB0A32" w:rsidP="004D0222">
            <w:pPr>
              <w:jc w:val="center"/>
              <w:rPr>
                <w:rFonts w:cstheme="minorHAnsi"/>
                <w:sz w:val="20"/>
                <w:szCs w:val="20"/>
              </w:rPr>
            </w:pPr>
            <w:r w:rsidRPr="004D0222">
              <w:rPr>
                <w:rFonts w:cstheme="minorHAnsi"/>
                <w:sz w:val="20"/>
                <w:szCs w:val="20"/>
              </w:rPr>
              <w:t>&gt;99.0</w:t>
            </w:r>
          </w:p>
        </w:tc>
        <w:tc>
          <w:tcPr>
            <w:tcW w:w="1211" w:type="dxa"/>
            <w:tcBorders>
              <w:right w:val="single" w:sz="4" w:space="0" w:color="auto"/>
            </w:tcBorders>
          </w:tcPr>
          <w:p w14:paraId="71E9169B" w14:textId="77777777" w:rsidR="00CB0A32" w:rsidRPr="009645C4" w:rsidRDefault="00CB0A32" w:rsidP="005A3631">
            <w:pPr>
              <w:rPr>
                <w:rFonts w:cstheme="minorHAnsi"/>
                <w:sz w:val="20"/>
                <w:szCs w:val="20"/>
              </w:rPr>
            </w:pPr>
          </w:p>
        </w:tc>
        <w:tc>
          <w:tcPr>
            <w:tcW w:w="1065" w:type="dxa"/>
            <w:tcBorders>
              <w:left w:val="single" w:sz="4" w:space="0" w:color="auto"/>
            </w:tcBorders>
            <w:shd w:val="clear" w:color="auto" w:fill="F2F2F2" w:themeFill="background1" w:themeFillShade="F2"/>
          </w:tcPr>
          <w:p w14:paraId="1F032F2E" w14:textId="77777777" w:rsidR="00CB0A32" w:rsidRPr="009645C4" w:rsidRDefault="00CB0A32">
            <w:pPr>
              <w:rPr>
                <w:rFonts w:cstheme="minorHAnsi"/>
                <w:sz w:val="20"/>
                <w:szCs w:val="20"/>
              </w:rPr>
            </w:pPr>
          </w:p>
        </w:tc>
        <w:tc>
          <w:tcPr>
            <w:tcW w:w="1245" w:type="dxa"/>
          </w:tcPr>
          <w:p w14:paraId="61FA9FAD" w14:textId="1277F51E" w:rsidR="00CB0A32" w:rsidRPr="009645C4" w:rsidRDefault="00CB0A32">
            <w:pPr>
              <w:rPr>
                <w:rFonts w:cstheme="minorHAnsi"/>
                <w:sz w:val="20"/>
                <w:szCs w:val="20"/>
              </w:rPr>
            </w:pPr>
          </w:p>
        </w:tc>
        <w:tc>
          <w:tcPr>
            <w:tcW w:w="1316" w:type="dxa"/>
          </w:tcPr>
          <w:p w14:paraId="413FE977" w14:textId="77777777" w:rsidR="00CB0A32" w:rsidRPr="009645C4" w:rsidRDefault="00CB0A32">
            <w:pPr>
              <w:rPr>
                <w:rFonts w:cstheme="minorHAnsi"/>
                <w:sz w:val="20"/>
                <w:szCs w:val="20"/>
              </w:rPr>
            </w:pPr>
          </w:p>
        </w:tc>
      </w:tr>
    </w:tbl>
    <w:p w14:paraId="6813393A" w14:textId="77777777" w:rsidR="000A3464" w:rsidRPr="00CC1ADD" w:rsidRDefault="000A3464">
      <w:pPr>
        <w:rPr>
          <w:rFonts w:cstheme="minorHAnsi"/>
        </w:rPr>
      </w:pPr>
    </w:p>
    <w:p w14:paraId="16D7EC96" w14:textId="77777777" w:rsidR="000A3464" w:rsidRPr="00CC1ADD" w:rsidRDefault="000A3464" w:rsidP="004D0222">
      <w:pPr>
        <w:pStyle w:val="mpcNormal"/>
        <w:keepNext w:val="0"/>
      </w:pPr>
    </w:p>
    <w:p w14:paraId="6805DC90" w14:textId="43416725" w:rsidR="004F658E" w:rsidRDefault="004F7D86" w:rsidP="005A25A2">
      <w:pPr>
        <w:pStyle w:val="mpcheading1"/>
      </w:pPr>
      <w:r w:rsidRPr="00CC1ADD">
        <w:br w:type="column"/>
      </w:r>
      <w:bookmarkStart w:id="191" w:name="AppendixF"/>
      <w:bookmarkStart w:id="192" w:name="_Toc523140421"/>
      <w:bookmarkStart w:id="193" w:name="_Toc1746532"/>
      <w:bookmarkEnd w:id="191"/>
      <w:r w:rsidRPr="00CC1ADD">
        <w:t xml:space="preserve">Appendix </w:t>
      </w:r>
      <w:r w:rsidR="009B0396">
        <w:t>F</w:t>
      </w:r>
      <w:r w:rsidRPr="00CC1ADD">
        <w:t xml:space="preserve">: </w:t>
      </w:r>
      <w:bookmarkEnd w:id="192"/>
      <w:r w:rsidR="00C05BF5">
        <w:t>N</w:t>
      </w:r>
      <w:r w:rsidR="004F658E">
        <w:t>on-dairy beverages</w:t>
      </w:r>
      <w:r w:rsidR="00C05BF5">
        <w:t xml:space="preserve"> – products and impacts</w:t>
      </w:r>
      <w:bookmarkEnd w:id="193"/>
    </w:p>
    <w:p w14:paraId="38B1A789" w14:textId="5AF23FD1" w:rsidR="004F658E" w:rsidRPr="00052B3F" w:rsidRDefault="004F658E" w:rsidP="004F658E">
      <w:pPr>
        <w:pStyle w:val="mpcNormal"/>
      </w:pPr>
      <w:r w:rsidRPr="00052B3F">
        <w:t xml:space="preserve">The below table illustrates the impact of Recommendation 5 on the HSRs of </w:t>
      </w:r>
      <w:r w:rsidR="004D0222" w:rsidRPr="00052B3F">
        <w:t xml:space="preserve">a selection of </w:t>
      </w:r>
      <w:r w:rsidRPr="00052B3F">
        <w:t>non-dairy beverages.</w:t>
      </w:r>
    </w:p>
    <w:p w14:paraId="42E59266" w14:textId="77777777" w:rsidR="004F658E" w:rsidRPr="00052B3F" w:rsidRDefault="004F658E" w:rsidP="0017608D">
      <w:pPr>
        <w:pStyle w:val="mpcNormal"/>
      </w:pPr>
    </w:p>
    <w:tbl>
      <w:tblPr>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00"/>
        <w:gridCol w:w="1268"/>
        <w:gridCol w:w="1000"/>
        <w:gridCol w:w="1540"/>
        <w:gridCol w:w="1540"/>
      </w:tblGrid>
      <w:tr w:rsidR="004F658E" w:rsidRPr="00052B3F" w14:paraId="4EB646AD" w14:textId="77777777" w:rsidTr="0017608D">
        <w:trPr>
          <w:trHeight w:val="520"/>
        </w:trPr>
        <w:tc>
          <w:tcPr>
            <w:tcW w:w="3114" w:type="dxa"/>
            <w:shd w:val="clear" w:color="auto" w:fill="516A8E"/>
            <w:vAlign w:val="center"/>
          </w:tcPr>
          <w:p w14:paraId="3F4CC83B" w14:textId="77777777" w:rsidR="004F658E" w:rsidRPr="0017608D" w:rsidRDefault="004F658E" w:rsidP="00114310">
            <w:pPr>
              <w:rPr>
                <w:rFonts w:eastAsia="Times New Roman" w:cstheme="minorHAnsi"/>
                <w:b/>
                <w:color w:val="FFFFFF" w:themeColor="background1"/>
                <w:sz w:val="20"/>
                <w:szCs w:val="20"/>
              </w:rPr>
            </w:pPr>
            <w:bookmarkStart w:id="194" w:name="Food"/>
            <w:bookmarkEnd w:id="194"/>
            <w:r w:rsidRPr="0017608D">
              <w:rPr>
                <w:rFonts w:eastAsia="Times New Roman" w:cstheme="minorHAnsi"/>
                <w:b/>
                <w:color w:val="FFFFFF" w:themeColor="background1"/>
                <w:sz w:val="20"/>
                <w:szCs w:val="20"/>
              </w:rPr>
              <w:t>Food</w:t>
            </w:r>
          </w:p>
        </w:tc>
        <w:tc>
          <w:tcPr>
            <w:tcW w:w="1000" w:type="dxa"/>
            <w:shd w:val="clear" w:color="auto" w:fill="516A8E"/>
            <w:vAlign w:val="center"/>
          </w:tcPr>
          <w:p w14:paraId="7FAA49AF" w14:textId="34249CE9" w:rsidR="004F658E" w:rsidRPr="0017608D" w:rsidRDefault="004F658E" w:rsidP="00114310">
            <w:pPr>
              <w:rPr>
                <w:rFonts w:eastAsia="Times New Roman" w:cstheme="minorHAnsi"/>
                <w:b/>
                <w:color w:val="FFFFFF" w:themeColor="background1"/>
                <w:sz w:val="20"/>
                <w:szCs w:val="20"/>
              </w:rPr>
            </w:pPr>
            <w:r w:rsidRPr="0017608D">
              <w:rPr>
                <w:rFonts w:eastAsia="Times New Roman" w:cstheme="minorHAnsi"/>
                <w:b/>
                <w:color w:val="FFFFFF" w:themeColor="background1"/>
                <w:sz w:val="20"/>
                <w:szCs w:val="20"/>
              </w:rPr>
              <w:t>Energy</w:t>
            </w:r>
            <w:r w:rsidR="004B07D2">
              <w:rPr>
                <w:rFonts w:eastAsia="Times New Roman" w:cstheme="minorHAnsi"/>
                <w:b/>
                <w:color w:val="FFFFFF" w:themeColor="background1"/>
                <w:sz w:val="20"/>
                <w:szCs w:val="20"/>
              </w:rPr>
              <w:t xml:space="preserve"> (kJ/100mL)</w:t>
            </w:r>
          </w:p>
        </w:tc>
        <w:tc>
          <w:tcPr>
            <w:tcW w:w="1268" w:type="dxa"/>
            <w:shd w:val="clear" w:color="auto" w:fill="516A8E"/>
            <w:vAlign w:val="center"/>
          </w:tcPr>
          <w:p w14:paraId="42D9BF00" w14:textId="3CF7DCA0" w:rsidR="004F658E" w:rsidRPr="0017608D" w:rsidRDefault="004F658E" w:rsidP="00114310">
            <w:pPr>
              <w:rPr>
                <w:rFonts w:eastAsia="Times New Roman" w:cstheme="minorHAnsi"/>
                <w:b/>
                <w:color w:val="FFFFFF" w:themeColor="background1"/>
                <w:sz w:val="20"/>
                <w:szCs w:val="20"/>
              </w:rPr>
            </w:pPr>
            <w:r w:rsidRPr="0017608D">
              <w:rPr>
                <w:rFonts w:eastAsia="Times New Roman" w:cstheme="minorHAnsi"/>
                <w:b/>
                <w:color w:val="FFFFFF" w:themeColor="background1"/>
                <w:sz w:val="20"/>
                <w:szCs w:val="20"/>
              </w:rPr>
              <w:t>Total Sugars</w:t>
            </w:r>
            <w:r w:rsidR="004B07D2">
              <w:rPr>
                <w:rFonts w:eastAsia="Times New Roman" w:cstheme="minorHAnsi"/>
                <w:b/>
                <w:color w:val="FFFFFF" w:themeColor="background1"/>
                <w:sz w:val="20"/>
                <w:szCs w:val="20"/>
              </w:rPr>
              <w:t xml:space="preserve"> (g/100mL)</w:t>
            </w:r>
          </w:p>
        </w:tc>
        <w:tc>
          <w:tcPr>
            <w:tcW w:w="1000" w:type="dxa"/>
            <w:shd w:val="clear" w:color="auto" w:fill="516A8E"/>
            <w:vAlign w:val="center"/>
          </w:tcPr>
          <w:p w14:paraId="368149BA" w14:textId="6E1781F8" w:rsidR="004F658E" w:rsidRPr="0017608D" w:rsidRDefault="004F658E" w:rsidP="00114310">
            <w:pPr>
              <w:rPr>
                <w:rFonts w:eastAsia="Times New Roman" w:cstheme="minorHAnsi"/>
                <w:b/>
                <w:color w:val="FFFFFF" w:themeColor="background1"/>
                <w:sz w:val="20"/>
                <w:szCs w:val="20"/>
              </w:rPr>
            </w:pPr>
            <w:r w:rsidRPr="0017608D">
              <w:rPr>
                <w:rFonts w:eastAsia="Times New Roman" w:cstheme="minorHAnsi"/>
                <w:b/>
                <w:color w:val="FFFFFF" w:themeColor="background1"/>
                <w:sz w:val="20"/>
                <w:szCs w:val="20"/>
              </w:rPr>
              <w:t xml:space="preserve">FVNL </w:t>
            </w:r>
            <w:r w:rsidR="004B07D2">
              <w:rPr>
                <w:rFonts w:eastAsia="Times New Roman" w:cstheme="minorHAnsi"/>
                <w:b/>
                <w:color w:val="FFFFFF" w:themeColor="background1"/>
                <w:sz w:val="20"/>
                <w:szCs w:val="20"/>
              </w:rPr>
              <w:t>(</w:t>
            </w:r>
            <w:r w:rsidRPr="0017608D">
              <w:rPr>
                <w:rFonts w:eastAsia="Times New Roman" w:cstheme="minorHAnsi"/>
                <w:b/>
                <w:color w:val="FFFFFF" w:themeColor="background1"/>
                <w:sz w:val="20"/>
                <w:szCs w:val="20"/>
              </w:rPr>
              <w:t>%</w:t>
            </w:r>
            <w:r w:rsidR="004B07D2">
              <w:rPr>
                <w:rFonts w:eastAsia="Times New Roman" w:cstheme="minorHAnsi"/>
                <w:b/>
                <w:color w:val="FFFFFF" w:themeColor="background1"/>
                <w:sz w:val="20"/>
                <w:szCs w:val="20"/>
              </w:rPr>
              <w:t>)</w:t>
            </w:r>
          </w:p>
        </w:tc>
        <w:tc>
          <w:tcPr>
            <w:tcW w:w="1540" w:type="dxa"/>
            <w:shd w:val="clear" w:color="auto" w:fill="516A8E"/>
            <w:vAlign w:val="center"/>
          </w:tcPr>
          <w:p w14:paraId="18F63F89" w14:textId="77777777" w:rsidR="004F658E" w:rsidRPr="0017608D" w:rsidRDefault="004F658E" w:rsidP="00114310">
            <w:pPr>
              <w:rPr>
                <w:rFonts w:eastAsia="Times New Roman" w:cstheme="minorHAnsi"/>
                <w:b/>
                <w:bCs/>
                <w:color w:val="FFFFFF" w:themeColor="background1"/>
                <w:sz w:val="20"/>
                <w:szCs w:val="20"/>
              </w:rPr>
            </w:pPr>
            <w:r w:rsidRPr="0017608D">
              <w:rPr>
                <w:rFonts w:eastAsia="Times New Roman" w:cstheme="minorHAnsi"/>
                <w:b/>
                <w:bCs/>
                <w:color w:val="FFFFFF" w:themeColor="background1"/>
                <w:sz w:val="20"/>
                <w:szCs w:val="20"/>
              </w:rPr>
              <w:t>Current HSR</w:t>
            </w:r>
          </w:p>
        </w:tc>
        <w:tc>
          <w:tcPr>
            <w:tcW w:w="1540" w:type="dxa"/>
            <w:shd w:val="clear" w:color="auto" w:fill="516A8E"/>
            <w:vAlign w:val="center"/>
          </w:tcPr>
          <w:p w14:paraId="39F031E1" w14:textId="77777777" w:rsidR="004F658E" w:rsidRPr="0017608D" w:rsidRDefault="004F658E" w:rsidP="00114310">
            <w:pPr>
              <w:rPr>
                <w:rFonts w:eastAsia="Times New Roman" w:cstheme="minorHAnsi"/>
                <w:b/>
                <w:bCs/>
                <w:color w:val="FFFFFF" w:themeColor="background1"/>
                <w:sz w:val="20"/>
                <w:szCs w:val="20"/>
              </w:rPr>
            </w:pPr>
            <w:r w:rsidRPr="0017608D">
              <w:rPr>
                <w:rFonts w:eastAsia="Times New Roman" w:cstheme="minorHAnsi"/>
                <w:b/>
                <w:bCs/>
                <w:color w:val="FFFFFF" w:themeColor="background1"/>
                <w:sz w:val="20"/>
                <w:szCs w:val="20"/>
              </w:rPr>
              <w:t>Proposed HSR</w:t>
            </w:r>
          </w:p>
        </w:tc>
      </w:tr>
      <w:tr w:rsidR="004F658E" w:rsidRPr="00052B3F" w14:paraId="0B9000F3" w14:textId="77777777" w:rsidTr="0017608D">
        <w:trPr>
          <w:trHeight w:val="320"/>
        </w:trPr>
        <w:tc>
          <w:tcPr>
            <w:tcW w:w="3114" w:type="dxa"/>
            <w:shd w:val="clear" w:color="auto" w:fill="auto"/>
            <w:noWrap/>
            <w:vAlign w:val="center"/>
            <w:hideMark/>
          </w:tcPr>
          <w:p w14:paraId="41C22EB1"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plain still/sparkly water</w:t>
            </w:r>
          </w:p>
        </w:tc>
        <w:tc>
          <w:tcPr>
            <w:tcW w:w="1000" w:type="dxa"/>
            <w:shd w:val="clear" w:color="auto" w:fill="auto"/>
            <w:noWrap/>
            <w:vAlign w:val="center"/>
            <w:hideMark/>
          </w:tcPr>
          <w:p w14:paraId="51861FF4"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w:t>
            </w:r>
          </w:p>
        </w:tc>
        <w:tc>
          <w:tcPr>
            <w:tcW w:w="1268" w:type="dxa"/>
            <w:shd w:val="clear" w:color="auto" w:fill="auto"/>
            <w:noWrap/>
            <w:vAlign w:val="center"/>
            <w:hideMark/>
          </w:tcPr>
          <w:p w14:paraId="2184C3C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000" w:type="dxa"/>
            <w:shd w:val="clear" w:color="auto" w:fill="auto"/>
            <w:noWrap/>
            <w:vAlign w:val="center"/>
            <w:hideMark/>
          </w:tcPr>
          <w:p w14:paraId="7D58B2D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vAlign w:val="center"/>
            <w:hideMark/>
          </w:tcPr>
          <w:p w14:paraId="4ED0D4DD" w14:textId="77777777" w:rsidR="004F658E" w:rsidRPr="0017608D" w:rsidRDefault="004F658E" w:rsidP="00114310">
            <w:r w:rsidRPr="0017608D">
              <w:rPr>
                <w:rFonts w:ascii="Segoe UI Symbol" w:hAnsi="Segoe UI Symbol" w:cs="Segoe UI Symbol"/>
                <w:b/>
                <w:bCs/>
                <w:color w:val="222222"/>
                <w:sz w:val="22"/>
              </w:rPr>
              <w:t>★★★★★</w:t>
            </w:r>
          </w:p>
        </w:tc>
        <w:tc>
          <w:tcPr>
            <w:tcW w:w="1540" w:type="dxa"/>
            <w:shd w:val="clear" w:color="auto" w:fill="auto"/>
            <w:noWrap/>
            <w:vAlign w:val="center"/>
            <w:hideMark/>
          </w:tcPr>
          <w:p w14:paraId="3C831381"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397E6579" w14:textId="77777777" w:rsidTr="0017608D">
        <w:trPr>
          <w:trHeight w:val="320"/>
        </w:trPr>
        <w:tc>
          <w:tcPr>
            <w:tcW w:w="3114" w:type="dxa"/>
            <w:shd w:val="clear" w:color="auto" w:fill="auto"/>
            <w:noWrap/>
            <w:vAlign w:val="center"/>
          </w:tcPr>
          <w:p w14:paraId="2E812FE3"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flavoured water</w:t>
            </w:r>
          </w:p>
        </w:tc>
        <w:tc>
          <w:tcPr>
            <w:tcW w:w="1000" w:type="dxa"/>
            <w:shd w:val="clear" w:color="auto" w:fill="auto"/>
            <w:noWrap/>
            <w:vAlign w:val="center"/>
          </w:tcPr>
          <w:p w14:paraId="2D16E77D"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2</w:t>
            </w:r>
          </w:p>
        </w:tc>
        <w:tc>
          <w:tcPr>
            <w:tcW w:w="1268" w:type="dxa"/>
            <w:shd w:val="clear" w:color="auto" w:fill="auto"/>
            <w:noWrap/>
            <w:vAlign w:val="center"/>
          </w:tcPr>
          <w:p w14:paraId="62BB7FF3"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000" w:type="dxa"/>
            <w:shd w:val="clear" w:color="auto" w:fill="auto"/>
            <w:noWrap/>
            <w:vAlign w:val="center"/>
          </w:tcPr>
          <w:p w14:paraId="4E28697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w:t>
            </w:r>
          </w:p>
        </w:tc>
        <w:tc>
          <w:tcPr>
            <w:tcW w:w="1540" w:type="dxa"/>
            <w:shd w:val="clear" w:color="auto" w:fill="auto"/>
            <w:noWrap/>
            <w:vAlign w:val="center"/>
          </w:tcPr>
          <w:p w14:paraId="7F61D78F" w14:textId="77777777" w:rsidR="004F658E" w:rsidRPr="0017608D" w:rsidRDefault="004F658E" w:rsidP="00114310">
            <w:pPr>
              <w:rPr>
                <w:rFonts w:ascii="Segoe UI Symbol" w:hAnsi="Segoe UI Symbol" w:cs="Segoe UI Symbol"/>
                <w:b/>
                <w:bCs/>
                <w:color w:val="222222"/>
                <w:sz w:val="22"/>
              </w:rPr>
            </w:pPr>
            <w:r w:rsidRPr="0017608D">
              <w:rPr>
                <w:rFonts w:ascii="Segoe UI Symbol" w:hAnsi="Segoe UI Symbol" w:cs="Segoe UI Symbol"/>
                <w:b/>
                <w:bCs/>
                <w:color w:val="222222"/>
                <w:sz w:val="22"/>
              </w:rPr>
              <w:t>★★</w:t>
            </w:r>
          </w:p>
        </w:tc>
        <w:tc>
          <w:tcPr>
            <w:tcW w:w="1540" w:type="dxa"/>
            <w:shd w:val="clear" w:color="auto" w:fill="auto"/>
            <w:noWrap/>
            <w:vAlign w:val="center"/>
          </w:tcPr>
          <w:p w14:paraId="67977C09" w14:textId="77777777" w:rsidR="004F658E" w:rsidRPr="0017608D" w:rsidRDefault="004F658E" w:rsidP="00114310">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301ED755" w14:textId="77777777" w:rsidTr="004F658E">
        <w:trPr>
          <w:trHeight w:val="320"/>
        </w:trPr>
        <w:tc>
          <w:tcPr>
            <w:tcW w:w="3114" w:type="dxa"/>
            <w:shd w:val="clear" w:color="auto" w:fill="auto"/>
            <w:noWrap/>
            <w:vAlign w:val="center"/>
            <w:hideMark/>
          </w:tcPr>
          <w:p w14:paraId="4107A4A1"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vegetable juice</w:t>
            </w:r>
          </w:p>
        </w:tc>
        <w:tc>
          <w:tcPr>
            <w:tcW w:w="1000" w:type="dxa"/>
            <w:shd w:val="clear" w:color="auto" w:fill="auto"/>
            <w:noWrap/>
            <w:vAlign w:val="center"/>
            <w:hideMark/>
          </w:tcPr>
          <w:p w14:paraId="5D438DE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90</w:t>
            </w:r>
          </w:p>
        </w:tc>
        <w:tc>
          <w:tcPr>
            <w:tcW w:w="1268" w:type="dxa"/>
            <w:shd w:val="clear" w:color="auto" w:fill="auto"/>
            <w:noWrap/>
            <w:vAlign w:val="center"/>
            <w:hideMark/>
          </w:tcPr>
          <w:p w14:paraId="03A6BEF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2.6</w:t>
            </w:r>
          </w:p>
        </w:tc>
        <w:tc>
          <w:tcPr>
            <w:tcW w:w="1000" w:type="dxa"/>
            <w:shd w:val="clear" w:color="auto" w:fill="auto"/>
            <w:noWrap/>
            <w:vAlign w:val="center"/>
            <w:hideMark/>
          </w:tcPr>
          <w:p w14:paraId="2EF8D57C" w14:textId="77E2C47E" w:rsidR="004F658E" w:rsidRPr="0017608D" w:rsidRDefault="004F658E" w:rsidP="00114310">
            <w:pPr>
              <w:rPr>
                <w:rFonts w:eastAsia="Times New Roman" w:cstheme="minorHAnsi"/>
                <w:sz w:val="20"/>
                <w:szCs w:val="20"/>
              </w:rPr>
            </w:pPr>
            <w:r w:rsidRPr="0017608D">
              <w:rPr>
                <w:rFonts w:eastAsia="Times New Roman" w:cstheme="minorHAnsi"/>
                <w:sz w:val="20"/>
                <w:szCs w:val="20"/>
              </w:rPr>
              <w:t>99</w:t>
            </w:r>
          </w:p>
        </w:tc>
        <w:tc>
          <w:tcPr>
            <w:tcW w:w="1540" w:type="dxa"/>
            <w:shd w:val="clear" w:color="auto" w:fill="auto"/>
            <w:noWrap/>
            <w:vAlign w:val="center"/>
            <w:hideMark/>
          </w:tcPr>
          <w:p w14:paraId="1B22C207"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hideMark/>
          </w:tcPr>
          <w:p w14:paraId="1F7A4110"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3B6DA91" w14:textId="77777777" w:rsidTr="004F658E">
        <w:trPr>
          <w:trHeight w:val="320"/>
        </w:trPr>
        <w:tc>
          <w:tcPr>
            <w:tcW w:w="3114" w:type="dxa"/>
            <w:shd w:val="clear" w:color="auto" w:fill="auto"/>
            <w:noWrap/>
            <w:vAlign w:val="center"/>
            <w:hideMark/>
          </w:tcPr>
          <w:p w14:paraId="2A37AD8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coconut water</w:t>
            </w:r>
          </w:p>
        </w:tc>
        <w:tc>
          <w:tcPr>
            <w:tcW w:w="1000" w:type="dxa"/>
            <w:shd w:val="clear" w:color="auto" w:fill="auto"/>
            <w:noWrap/>
            <w:vAlign w:val="center"/>
            <w:hideMark/>
          </w:tcPr>
          <w:p w14:paraId="3508B8C2"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136</w:t>
            </w:r>
          </w:p>
        </w:tc>
        <w:tc>
          <w:tcPr>
            <w:tcW w:w="1268" w:type="dxa"/>
            <w:shd w:val="clear" w:color="auto" w:fill="auto"/>
            <w:noWrap/>
            <w:vAlign w:val="center"/>
            <w:hideMark/>
          </w:tcPr>
          <w:p w14:paraId="2AA4C47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5.8</w:t>
            </w:r>
          </w:p>
        </w:tc>
        <w:tc>
          <w:tcPr>
            <w:tcW w:w="1000" w:type="dxa"/>
            <w:shd w:val="clear" w:color="auto" w:fill="auto"/>
            <w:noWrap/>
            <w:vAlign w:val="center"/>
            <w:hideMark/>
          </w:tcPr>
          <w:p w14:paraId="0E11E8D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100.0</w:t>
            </w:r>
          </w:p>
        </w:tc>
        <w:tc>
          <w:tcPr>
            <w:tcW w:w="1540" w:type="dxa"/>
            <w:shd w:val="clear" w:color="auto" w:fill="auto"/>
            <w:noWrap/>
            <w:vAlign w:val="center"/>
            <w:hideMark/>
          </w:tcPr>
          <w:p w14:paraId="601E5140"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hideMark/>
          </w:tcPr>
          <w:p w14:paraId="061FF997"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7A548B2" w14:textId="77777777" w:rsidTr="004F658E">
        <w:trPr>
          <w:trHeight w:val="320"/>
        </w:trPr>
        <w:tc>
          <w:tcPr>
            <w:tcW w:w="3114" w:type="dxa"/>
            <w:shd w:val="clear" w:color="auto" w:fill="auto"/>
            <w:noWrap/>
            <w:vAlign w:val="center"/>
            <w:hideMark/>
          </w:tcPr>
          <w:p w14:paraId="68EBB5CE"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fruit and vegetable juice</w:t>
            </w:r>
          </w:p>
        </w:tc>
        <w:tc>
          <w:tcPr>
            <w:tcW w:w="1000" w:type="dxa"/>
            <w:shd w:val="clear" w:color="auto" w:fill="auto"/>
            <w:noWrap/>
            <w:vAlign w:val="center"/>
            <w:hideMark/>
          </w:tcPr>
          <w:p w14:paraId="35AA8477"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136</w:t>
            </w:r>
          </w:p>
        </w:tc>
        <w:tc>
          <w:tcPr>
            <w:tcW w:w="1268" w:type="dxa"/>
            <w:shd w:val="clear" w:color="auto" w:fill="auto"/>
            <w:noWrap/>
            <w:vAlign w:val="center"/>
            <w:hideMark/>
          </w:tcPr>
          <w:p w14:paraId="69A8A0E5"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7.2</w:t>
            </w:r>
          </w:p>
        </w:tc>
        <w:tc>
          <w:tcPr>
            <w:tcW w:w="1000" w:type="dxa"/>
            <w:shd w:val="clear" w:color="auto" w:fill="auto"/>
            <w:noWrap/>
            <w:vAlign w:val="center"/>
            <w:hideMark/>
          </w:tcPr>
          <w:p w14:paraId="05315EF7"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100.0</w:t>
            </w:r>
          </w:p>
        </w:tc>
        <w:tc>
          <w:tcPr>
            <w:tcW w:w="1540" w:type="dxa"/>
            <w:shd w:val="clear" w:color="auto" w:fill="auto"/>
            <w:noWrap/>
            <w:vAlign w:val="center"/>
            <w:hideMark/>
          </w:tcPr>
          <w:p w14:paraId="5214E12D"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hideMark/>
          </w:tcPr>
          <w:p w14:paraId="060F6513"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24BAF889" w14:textId="77777777" w:rsidTr="0017608D">
        <w:trPr>
          <w:trHeight w:val="320"/>
        </w:trPr>
        <w:tc>
          <w:tcPr>
            <w:tcW w:w="3114" w:type="dxa"/>
            <w:shd w:val="clear" w:color="auto" w:fill="auto"/>
            <w:noWrap/>
            <w:vAlign w:val="center"/>
          </w:tcPr>
          <w:p w14:paraId="3AE29062"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fruit juice</w:t>
            </w:r>
          </w:p>
        </w:tc>
        <w:tc>
          <w:tcPr>
            <w:tcW w:w="1000" w:type="dxa"/>
            <w:shd w:val="clear" w:color="auto" w:fill="auto"/>
            <w:noWrap/>
            <w:vAlign w:val="center"/>
          </w:tcPr>
          <w:p w14:paraId="20C9D087"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180</w:t>
            </w:r>
          </w:p>
        </w:tc>
        <w:tc>
          <w:tcPr>
            <w:tcW w:w="1268" w:type="dxa"/>
            <w:shd w:val="clear" w:color="auto" w:fill="auto"/>
            <w:noWrap/>
            <w:vAlign w:val="center"/>
          </w:tcPr>
          <w:p w14:paraId="7951851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10.0</w:t>
            </w:r>
          </w:p>
        </w:tc>
        <w:tc>
          <w:tcPr>
            <w:tcW w:w="1000" w:type="dxa"/>
            <w:shd w:val="clear" w:color="auto" w:fill="auto"/>
            <w:noWrap/>
            <w:vAlign w:val="center"/>
          </w:tcPr>
          <w:p w14:paraId="476C7A9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100.0</w:t>
            </w:r>
          </w:p>
        </w:tc>
        <w:tc>
          <w:tcPr>
            <w:tcW w:w="1540" w:type="dxa"/>
            <w:shd w:val="clear" w:color="auto" w:fill="auto"/>
            <w:noWrap/>
            <w:vAlign w:val="center"/>
          </w:tcPr>
          <w:p w14:paraId="27A87AD4"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tcPr>
          <w:p w14:paraId="057CEDC9"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27193872" w14:textId="77777777" w:rsidTr="0017608D">
        <w:trPr>
          <w:trHeight w:val="320"/>
        </w:trPr>
        <w:tc>
          <w:tcPr>
            <w:tcW w:w="3114" w:type="dxa"/>
            <w:shd w:val="clear" w:color="auto" w:fill="auto"/>
            <w:noWrap/>
            <w:vAlign w:val="center"/>
          </w:tcPr>
          <w:p w14:paraId="33DD624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no sugar energy drink</w:t>
            </w:r>
          </w:p>
        </w:tc>
        <w:tc>
          <w:tcPr>
            <w:tcW w:w="1000" w:type="dxa"/>
            <w:shd w:val="clear" w:color="auto" w:fill="auto"/>
            <w:noWrap/>
            <w:vAlign w:val="center"/>
          </w:tcPr>
          <w:p w14:paraId="4F112F9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13</w:t>
            </w:r>
          </w:p>
        </w:tc>
        <w:tc>
          <w:tcPr>
            <w:tcW w:w="1268" w:type="dxa"/>
            <w:shd w:val="clear" w:color="auto" w:fill="auto"/>
            <w:noWrap/>
            <w:vAlign w:val="center"/>
          </w:tcPr>
          <w:p w14:paraId="615A905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000" w:type="dxa"/>
            <w:shd w:val="clear" w:color="auto" w:fill="auto"/>
            <w:noWrap/>
            <w:vAlign w:val="center"/>
          </w:tcPr>
          <w:p w14:paraId="6A610C9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tcPr>
          <w:p w14:paraId="282CB74D"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5680D286"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1F353E6A" w14:textId="77777777" w:rsidTr="0017608D">
        <w:trPr>
          <w:trHeight w:val="320"/>
        </w:trPr>
        <w:tc>
          <w:tcPr>
            <w:tcW w:w="3114" w:type="dxa"/>
            <w:shd w:val="clear" w:color="auto" w:fill="auto"/>
            <w:noWrap/>
            <w:vAlign w:val="center"/>
          </w:tcPr>
          <w:p w14:paraId="0D97381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no sugar soft drink</w:t>
            </w:r>
          </w:p>
        </w:tc>
        <w:tc>
          <w:tcPr>
            <w:tcW w:w="1000" w:type="dxa"/>
            <w:shd w:val="clear" w:color="auto" w:fill="auto"/>
            <w:noWrap/>
            <w:vAlign w:val="center"/>
          </w:tcPr>
          <w:p w14:paraId="7D50B46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6</w:t>
            </w:r>
          </w:p>
        </w:tc>
        <w:tc>
          <w:tcPr>
            <w:tcW w:w="1268" w:type="dxa"/>
            <w:shd w:val="clear" w:color="auto" w:fill="auto"/>
            <w:noWrap/>
            <w:vAlign w:val="center"/>
          </w:tcPr>
          <w:p w14:paraId="1C25EDF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000" w:type="dxa"/>
            <w:shd w:val="clear" w:color="auto" w:fill="auto"/>
            <w:noWrap/>
            <w:vAlign w:val="center"/>
          </w:tcPr>
          <w:p w14:paraId="76281EF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tcPr>
          <w:p w14:paraId="7C399118"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4780471F"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549FE789" w14:textId="77777777" w:rsidTr="0017608D">
        <w:trPr>
          <w:trHeight w:val="320"/>
        </w:trPr>
        <w:tc>
          <w:tcPr>
            <w:tcW w:w="3114" w:type="dxa"/>
            <w:shd w:val="clear" w:color="auto" w:fill="auto"/>
            <w:noWrap/>
            <w:vAlign w:val="center"/>
          </w:tcPr>
          <w:p w14:paraId="58A82D4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no sugar iced tea</w:t>
            </w:r>
          </w:p>
        </w:tc>
        <w:tc>
          <w:tcPr>
            <w:tcW w:w="1000" w:type="dxa"/>
            <w:shd w:val="clear" w:color="auto" w:fill="auto"/>
            <w:noWrap/>
            <w:vAlign w:val="center"/>
          </w:tcPr>
          <w:p w14:paraId="46DE665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3</w:t>
            </w:r>
          </w:p>
        </w:tc>
        <w:tc>
          <w:tcPr>
            <w:tcW w:w="1268" w:type="dxa"/>
            <w:shd w:val="clear" w:color="auto" w:fill="auto"/>
            <w:noWrap/>
            <w:vAlign w:val="center"/>
          </w:tcPr>
          <w:p w14:paraId="5D091E7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000" w:type="dxa"/>
            <w:shd w:val="clear" w:color="auto" w:fill="auto"/>
            <w:noWrap/>
            <w:vAlign w:val="center"/>
          </w:tcPr>
          <w:p w14:paraId="41E3065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0.1</w:t>
            </w:r>
          </w:p>
        </w:tc>
        <w:tc>
          <w:tcPr>
            <w:tcW w:w="1540" w:type="dxa"/>
            <w:shd w:val="clear" w:color="auto" w:fill="auto"/>
            <w:noWrap/>
          </w:tcPr>
          <w:p w14:paraId="3D77E1AC"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3B194CB1"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5E0B1673" w14:textId="77777777" w:rsidTr="0017608D">
        <w:trPr>
          <w:trHeight w:val="320"/>
        </w:trPr>
        <w:tc>
          <w:tcPr>
            <w:tcW w:w="3114" w:type="dxa"/>
            <w:shd w:val="clear" w:color="auto" w:fill="auto"/>
            <w:noWrap/>
            <w:vAlign w:val="center"/>
          </w:tcPr>
          <w:p w14:paraId="15824651"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diet cordial</w:t>
            </w:r>
          </w:p>
        </w:tc>
        <w:tc>
          <w:tcPr>
            <w:tcW w:w="1000" w:type="dxa"/>
            <w:shd w:val="clear" w:color="auto" w:fill="auto"/>
            <w:noWrap/>
            <w:vAlign w:val="center"/>
          </w:tcPr>
          <w:p w14:paraId="41D05935"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12</w:t>
            </w:r>
          </w:p>
        </w:tc>
        <w:tc>
          <w:tcPr>
            <w:tcW w:w="1268" w:type="dxa"/>
            <w:shd w:val="clear" w:color="auto" w:fill="auto"/>
            <w:noWrap/>
            <w:vAlign w:val="center"/>
          </w:tcPr>
          <w:p w14:paraId="70FB208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0.5</w:t>
            </w:r>
          </w:p>
        </w:tc>
        <w:tc>
          <w:tcPr>
            <w:tcW w:w="1000" w:type="dxa"/>
            <w:shd w:val="clear" w:color="auto" w:fill="auto"/>
            <w:noWrap/>
            <w:vAlign w:val="center"/>
          </w:tcPr>
          <w:p w14:paraId="6D1C499D"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25.0</w:t>
            </w:r>
          </w:p>
        </w:tc>
        <w:tc>
          <w:tcPr>
            <w:tcW w:w="1540" w:type="dxa"/>
            <w:shd w:val="clear" w:color="auto" w:fill="auto"/>
            <w:noWrap/>
          </w:tcPr>
          <w:p w14:paraId="7140F30F"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63B97D5C"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3674B972" w14:textId="77777777" w:rsidTr="0017608D">
        <w:trPr>
          <w:trHeight w:val="320"/>
        </w:trPr>
        <w:tc>
          <w:tcPr>
            <w:tcW w:w="3114" w:type="dxa"/>
            <w:shd w:val="clear" w:color="auto" w:fill="auto"/>
            <w:noWrap/>
            <w:vAlign w:val="center"/>
          </w:tcPr>
          <w:p w14:paraId="6A69266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reconstituted fruit juice</w:t>
            </w:r>
          </w:p>
        </w:tc>
        <w:tc>
          <w:tcPr>
            <w:tcW w:w="1000" w:type="dxa"/>
            <w:shd w:val="clear" w:color="auto" w:fill="auto"/>
            <w:noWrap/>
            <w:vAlign w:val="center"/>
          </w:tcPr>
          <w:p w14:paraId="5EF3E59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185</w:t>
            </w:r>
          </w:p>
        </w:tc>
        <w:tc>
          <w:tcPr>
            <w:tcW w:w="1268" w:type="dxa"/>
            <w:shd w:val="clear" w:color="auto" w:fill="auto"/>
            <w:noWrap/>
            <w:vAlign w:val="center"/>
          </w:tcPr>
          <w:p w14:paraId="4DBC6C7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9.5</w:t>
            </w:r>
          </w:p>
        </w:tc>
        <w:tc>
          <w:tcPr>
            <w:tcW w:w="1000" w:type="dxa"/>
            <w:shd w:val="clear" w:color="auto" w:fill="auto"/>
            <w:noWrap/>
            <w:vAlign w:val="center"/>
          </w:tcPr>
          <w:p w14:paraId="509AB094"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99.7</w:t>
            </w:r>
          </w:p>
        </w:tc>
        <w:tc>
          <w:tcPr>
            <w:tcW w:w="1540" w:type="dxa"/>
            <w:shd w:val="clear" w:color="auto" w:fill="auto"/>
            <w:noWrap/>
            <w:vAlign w:val="center"/>
          </w:tcPr>
          <w:p w14:paraId="59750E4F"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tcPr>
          <w:p w14:paraId="7AB2BFCB"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B4F4769" w14:textId="77777777" w:rsidTr="0017608D">
        <w:trPr>
          <w:trHeight w:val="320"/>
        </w:trPr>
        <w:tc>
          <w:tcPr>
            <w:tcW w:w="3114" w:type="dxa"/>
            <w:shd w:val="clear" w:color="auto" w:fill="auto"/>
            <w:noWrap/>
            <w:vAlign w:val="center"/>
          </w:tcPr>
          <w:p w14:paraId="36FB1711"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diluted fruit juice (65%)</w:t>
            </w:r>
          </w:p>
        </w:tc>
        <w:tc>
          <w:tcPr>
            <w:tcW w:w="1000" w:type="dxa"/>
            <w:shd w:val="clear" w:color="auto" w:fill="auto"/>
            <w:noWrap/>
            <w:vAlign w:val="center"/>
          </w:tcPr>
          <w:p w14:paraId="59B0BA0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152</w:t>
            </w:r>
          </w:p>
        </w:tc>
        <w:tc>
          <w:tcPr>
            <w:tcW w:w="1268" w:type="dxa"/>
            <w:shd w:val="clear" w:color="auto" w:fill="auto"/>
            <w:noWrap/>
            <w:vAlign w:val="center"/>
          </w:tcPr>
          <w:p w14:paraId="6BDE342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1.8</w:t>
            </w:r>
          </w:p>
        </w:tc>
        <w:tc>
          <w:tcPr>
            <w:tcW w:w="1000" w:type="dxa"/>
            <w:shd w:val="clear" w:color="auto" w:fill="auto"/>
            <w:noWrap/>
            <w:vAlign w:val="center"/>
          </w:tcPr>
          <w:p w14:paraId="4683952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65.0</w:t>
            </w:r>
          </w:p>
        </w:tc>
        <w:tc>
          <w:tcPr>
            <w:tcW w:w="1540" w:type="dxa"/>
            <w:shd w:val="clear" w:color="auto" w:fill="auto"/>
            <w:noWrap/>
          </w:tcPr>
          <w:p w14:paraId="40FEFDD2"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115C41A6"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7FFAE496" w14:textId="77777777" w:rsidTr="0017608D">
        <w:trPr>
          <w:trHeight w:val="320"/>
        </w:trPr>
        <w:tc>
          <w:tcPr>
            <w:tcW w:w="3114" w:type="dxa"/>
            <w:shd w:val="clear" w:color="auto" w:fill="auto"/>
            <w:noWrap/>
            <w:vAlign w:val="center"/>
          </w:tcPr>
          <w:p w14:paraId="4B735345"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diluted fruit juice (46%)</w:t>
            </w:r>
          </w:p>
        </w:tc>
        <w:tc>
          <w:tcPr>
            <w:tcW w:w="1000" w:type="dxa"/>
            <w:shd w:val="clear" w:color="auto" w:fill="auto"/>
            <w:noWrap/>
            <w:vAlign w:val="center"/>
          </w:tcPr>
          <w:p w14:paraId="224E6CE3"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95</w:t>
            </w:r>
          </w:p>
        </w:tc>
        <w:tc>
          <w:tcPr>
            <w:tcW w:w="1268" w:type="dxa"/>
            <w:shd w:val="clear" w:color="auto" w:fill="auto"/>
            <w:noWrap/>
            <w:vAlign w:val="center"/>
          </w:tcPr>
          <w:p w14:paraId="35B40CBE"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3.8</w:t>
            </w:r>
          </w:p>
        </w:tc>
        <w:tc>
          <w:tcPr>
            <w:tcW w:w="1000" w:type="dxa"/>
            <w:shd w:val="clear" w:color="auto" w:fill="auto"/>
            <w:noWrap/>
            <w:vAlign w:val="center"/>
          </w:tcPr>
          <w:p w14:paraId="5759AB6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46.0</w:t>
            </w:r>
          </w:p>
        </w:tc>
        <w:tc>
          <w:tcPr>
            <w:tcW w:w="1540" w:type="dxa"/>
            <w:shd w:val="clear" w:color="auto" w:fill="auto"/>
            <w:noWrap/>
          </w:tcPr>
          <w:p w14:paraId="2611EBE8"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c>
          <w:tcPr>
            <w:tcW w:w="1540" w:type="dxa"/>
            <w:shd w:val="clear" w:color="auto" w:fill="auto"/>
            <w:noWrap/>
          </w:tcPr>
          <w:p w14:paraId="1893FA6D"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5CD1CED8" w14:textId="77777777" w:rsidTr="0017608D">
        <w:trPr>
          <w:trHeight w:val="320"/>
        </w:trPr>
        <w:tc>
          <w:tcPr>
            <w:tcW w:w="3114" w:type="dxa"/>
            <w:shd w:val="clear" w:color="auto" w:fill="auto"/>
            <w:noWrap/>
            <w:vAlign w:val="center"/>
          </w:tcPr>
          <w:p w14:paraId="5720492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kombucha, lower sugar</w:t>
            </w:r>
          </w:p>
        </w:tc>
        <w:tc>
          <w:tcPr>
            <w:tcW w:w="1000" w:type="dxa"/>
            <w:shd w:val="clear" w:color="auto" w:fill="auto"/>
            <w:noWrap/>
            <w:vAlign w:val="center"/>
          </w:tcPr>
          <w:p w14:paraId="0CA31DF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48</w:t>
            </w:r>
          </w:p>
        </w:tc>
        <w:tc>
          <w:tcPr>
            <w:tcW w:w="1268" w:type="dxa"/>
            <w:shd w:val="clear" w:color="auto" w:fill="auto"/>
            <w:noWrap/>
            <w:vAlign w:val="center"/>
          </w:tcPr>
          <w:p w14:paraId="68C20497"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1.9</w:t>
            </w:r>
          </w:p>
        </w:tc>
        <w:tc>
          <w:tcPr>
            <w:tcW w:w="1000" w:type="dxa"/>
            <w:shd w:val="clear" w:color="auto" w:fill="auto"/>
            <w:noWrap/>
            <w:vAlign w:val="center"/>
          </w:tcPr>
          <w:p w14:paraId="76370FF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1.6</w:t>
            </w:r>
          </w:p>
        </w:tc>
        <w:tc>
          <w:tcPr>
            <w:tcW w:w="1540" w:type="dxa"/>
            <w:shd w:val="clear" w:color="auto" w:fill="auto"/>
            <w:noWrap/>
          </w:tcPr>
          <w:p w14:paraId="396C3AEA"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081D083D"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r>
      <w:tr w:rsidR="004F658E" w:rsidRPr="00052B3F" w14:paraId="2336522B" w14:textId="77777777" w:rsidTr="004F658E">
        <w:trPr>
          <w:trHeight w:val="320"/>
        </w:trPr>
        <w:tc>
          <w:tcPr>
            <w:tcW w:w="3114" w:type="dxa"/>
            <w:shd w:val="clear" w:color="auto" w:fill="auto"/>
            <w:noWrap/>
            <w:vAlign w:val="center"/>
          </w:tcPr>
          <w:p w14:paraId="77F927A1" w14:textId="4601AFB1" w:rsidR="004F658E" w:rsidRPr="0017608D" w:rsidRDefault="004F658E" w:rsidP="00114310">
            <w:pPr>
              <w:rPr>
                <w:rFonts w:eastAsia="Times New Roman" w:cstheme="minorHAnsi"/>
                <w:sz w:val="20"/>
                <w:szCs w:val="20"/>
              </w:rPr>
            </w:pPr>
            <w:r w:rsidRPr="0017608D">
              <w:rPr>
                <w:rFonts w:eastAsia="Times New Roman" w:cstheme="minorHAnsi"/>
                <w:sz w:val="20"/>
                <w:szCs w:val="20"/>
              </w:rPr>
              <w:t>coconut water</w:t>
            </w:r>
            <w:r w:rsidR="00C52B5B">
              <w:rPr>
                <w:rFonts w:eastAsia="Times New Roman" w:cstheme="minorHAnsi"/>
                <w:sz w:val="20"/>
                <w:szCs w:val="20"/>
              </w:rPr>
              <w:t xml:space="preserve"> (70%)</w:t>
            </w:r>
          </w:p>
        </w:tc>
        <w:tc>
          <w:tcPr>
            <w:tcW w:w="1000" w:type="dxa"/>
            <w:shd w:val="clear" w:color="auto" w:fill="auto"/>
            <w:noWrap/>
            <w:vAlign w:val="center"/>
          </w:tcPr>
          <w:p w14:paraId="2C7252A9"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141</w:t>
            </w:r>
          </w:p>
        </w:tc>
        <w:tc>
          <w:tcPr>
            <w:tcW w:w="1268" w:type="dxa"/>
            <w:shd w:val="clear" w:color="auto" w:fill="auto"/>
            <w:noWrap/>
            <w:vAlign w:val="center"/>
          </w:tcPr>
          <w:p w14:paraId="38D9EAF2"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7.0</w:t>
            </w:r>
          </w:p>
        </w:tc>
        <w:tc>
          <w:tcPr>
            <w:tcW w:w="1000" w:type="dxa"/>
            <w:shd w:val="clear" w:color="auto" w:fill="auto"/>
            <w:noWrap/>
            <w:vAlign w:val="center"/>
          </w:tcPr>
          <w:p w14:paraId="1B171FAE"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70.0</w:t>
            </w:r>
          </w:p>
        </w:tc>
        <w:tc>
          <w:tcPr>
            <w:tcW w:w="1540" w:type="dxa"/>
            <w:shd w:val="clear" w:color="auto" w:fill="auto"/>
            <w:noWrap/>
            <w:vAlign w:val="center"/>
          </w:tcPr>
          <w:p w14:paraId="612720EA"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vAlign w:val="center"/>
          </w:tcPr>
          <w:p w14:paraId="35268E85"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D49025D" w14:textId="77777777" w:rsidTr="004F658E">
        <w:trPr>
          <w:trHeight w:val="320"/>
        </w:trPr>
        <w:tc>
          <w:tcPr>
            <w:tcW w:w="3114" w:type="dxa"/>
            <w:shd w:val="clear" w:color="auto" w:fill="auto"/>
            <w:noWrap/>
            <w:vAlign w:val="center"/>
          </w:tcPr>
          <w:p w14:paraId="75FB0AE4"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iced tea, lower sugar</w:t>
            </w:r>
          </w:p>
        </w:tc>
        <w:tc>
          <w:tcPr>
            <w:tcW w:w="1000" w:type="dxa"/>
            <w:shd w:val="clear" w:color="auto" w:fill="auto"/>
            <w:noWrap/>
            <w:vAlign w:val="center"/>
          </w:tcPr>
          <w:p w14:paraId="3ADDD3C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77</w:t>
            </w:r>
          </w:p>
        </w:tc>
        <w:tc>
          <w:tcPr>
            <w:tcW w:w="1268" w:type="dxa"/>
            <w:shd w:val="clear" w:color="auto" w:fill="auto"/>
            <w:noWrap/>
            <w:vAlign w:val="center"/>
          </w:tcPr>
          <w:p w14:paraId="6B123203"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4.2</w:t>
            </w:r>
          </w:p>
        </w:tc>
        <w:tc>
          <w:tcPr>
            <w:tcW w:w="1000" w:type="dxa"/>
            <w:shd w:val="clear" w:color="auto" w:fill="auto"/>
            <w:noWrap/>
            <w:vAlign w:val="center"/>
          </w:tcPr>
          <w:p w14:paraId="34158A3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2.0</w:t>
            </w:r>
          </w:p>
        </w:tc>
        <w:tc>
          <w:tcPr>
            <w:tcW w:w="1540" w:type="dxa"/>
            <w:shd w:val="clear" w:color="auto" w:fill="auto"/>
            <w:noWrap/>
          </w:tcPr>
          <w:p w14:paraId="396318E6"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29BEF1A5"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3331571C" w14:textId="77777777" w:rsidTr="004F658E">
        <w:trPr>
          <w:trHeight w:val="320"/>
        </w:trPr>
        <w:tc>
          <w:tcPr>
            <w:tcW w:w="3114" w:type="dxa"/>
            <w:shd w:val="clear" w:color="auto" w:fill="auto"/>
            <w:vAlign w:val="center"/>
          </w:tcPr>
          <w:p w14:paraId="14EC5ED6"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kombucha, higher sugar</w:t>
            </w:r>
          </w:p>
        </w:tc>
        <w:tc>
          <w:tcPr>
            <w:tcW w:w="1000" w:type="dxa"/>
            <w:shd w:val="clear" w:color="auto" w:fill="auto"/>
            <w:noWrap/>
            <w:vAlign w:val="center"/>
          </w:tcPr>
          <w:p w14:paraId="4AFF024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100</w:t>
            </w:r>
          </w:p>
        </w:tc>
        <w:tc>
          <w:tcPr>
            <w:tcW w:w="1268" w:type="dxa"/>
            <w:shd w:val="clear" w:color="auto" w:fill="auto"/>
            <w:vAlign w:val="center"/>
          </w:tcPr>
          <w:p w14:paraId="3407ED2F"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3.2</w:t>
            </w:r>
          </w:p>
        </w:tc>
        <w:tc>
          <w:tcPr>
            <w:tcW w:w="1000" w:type="dxa"/>
            <w:shd w:val="clear" w:color="auto" w:fill="auto"/>
            <w:vAlign w:val="center"/>
          </w:tcPr>
          <w:p w14:paraId="2F22FA2B"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tcPr>
          <w:p w14:paraId="6BE41225"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2798FD12"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4FAD86F" w14:textId="77777777" w:rsidTr="004F658E">
        <w:trPr>
          <w:trHeight w:val="300"/>
        </w:trPr>
        <w:tc>
          <w:tcPr>
            <w:tcW w:w="3114" w:type="dxa"/>
            <w:shd w:val="clear" w:color="auto" w:fill="auto"/>
            <w:noWrap/>
            <w:vAlign w:val="center"/>
          </w:tcPr>
          <w:p w14:paraId="06E79029"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regular cordial</w:t>
            </w:r>
          </w:p>
        </w:tc>
        <w:tc>
          <w:tcPr>
            <w:tcW w:w="1000" w:type="dxa"/>
            <w:shd w:val="clear" w:color="auto" w:fill="auto"/>
            <w:noWrap/>
            <w:vAlign w:val="center"/>
          </w:tcPr>
          <w:p w14:paraId="7C923734"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133</w:t>
            </w:r>
          </w:p>
        </w:tc>
        <w:tc>
          <w:tcPr>
            <w:tcW w:w="1268" w:type="dxa"/>
            <w:shd w:val="clear" w:color="auto" w:fill="auto"/>
            <w:noWrap/>
            <w:vAlign w:val="center"/>
          </w:tcPr>
          <w:p w14:paraId="105CBC95"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7.2</w:t>
            </w:r>
          </w:p>
        </w:tc>
        <w:tc>
          <w:tcPr>
            <w:tcW w:w="1000" w:type="dxa"/>
            <w:shd w:val="clear" w:color="auto" w:fill="auto"/>
            <w:noWrap/>
            <w:vAlign w:val="center"/>
          </w:tcPr>
          <w:p w14:paraId="50BB48D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35.0</w:t>
            </w:r>
          </w:p>
        </w:tc>
        <w:tc>
          <w:tcPr>
            <w:tcW w:w="1540" w:type="dxa"/>
            <w:shd w:val="clear" w:color="auto" w:fill="auto"/>
            <w:noWrap/>
          </w:tcPr>
          <w:p w14:paraId="3BE5459B"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c>
          <w:tcPr>
            <w:tcW w:w="1540" w:type="dxa"/>
            <w:shd w:val="clear" w:color="auto" w:fill="auto"/>
            <w:noWrap/>
          </w:tcPr>
          <w:p w14:paraId="65AC1051"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17C9280C" w14:textId="77777777" w:rsidTr="004F658E">
        <w:trPr>
          <w:trHeight w:val="320"/>
        </w:trPr>
        <w:tc>
          <w:tcPr>
            <w:tcW w:w="3114" w:type="dxa"/>
            <w:shd w:val="clear" w:color="auto" w:fill="auto"/>
            <w:noWrap/>
            <w:vAlign w:val="center"/>
          </w:tcPr>
          <w:p w14:paraId="764DC81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iced tea, higher sugar</w:t>
            </w:r>
          </w:p>
        </w:tc>
        <w:tc>
          <w:tcPr>
            <w:tcW w:w="1000" w:type="dxa"/>
            <w:shd w:val="clear" w:color="auto" w:fill="auto"/>
            <w:noWrap/>
            <w:vAlign w:val="center"/>
          </w:tcPr>
          <w:p w14:paraId="21028CF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128</w:t>
            </w:r>
          </w:p>
        </w:tc>
        <w:tc>
          <w:tcPr>
            <w:tcW w:w="1268" w:type="dxa"/>
            <w:shd w:val="clear" w:color="auto" w:fill="auto"/>
            <w:noWrap/>
            <w:vAlign w:val="center"/>
          </w:tcPr>
          <w:p w14:paraId="79E70C49"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8.0</w:t>
            </w:r>
          </w:p>
        </w:tc>
        <w:tc>
          <w:tcPr>
            <w:tcW w:w="1000" w:type="dxa"/>
            <w:shd w:val="clear" w:color="auto" w:fill="auto"/>
            <w:noWrap/>
            <w:vAlign w:val="center"/>
          </w:tcPr>
          <w:p w14:paraId="2FCF58F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0.1</w:t>
            </w:r>
          </w:p>
        </w:tc>
        <w:tc>
          <w:tcPr>
            <w:tcW w:w="1540" w:type="dxa"/>
            <w:shd w:val="clear" w:color="auto" w:fill="auto"/>
            <w:noWrap/>
          </w:tcPr>
          <w:p w14:paraId="4093B1F3"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c>
          <w:tcPr>
            <w:tcW w:w="1540" w:type="dxa"/>
            <w:shd w:val="clear" w:color="auto" w:fill="auto"/>
            <w:noWrap/>
          </w:tcPr>
          <w:p w14:paraId="7D1E8B0B"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r>
      <w:tr w:rsidR="004F658E" w:rsidRPr="00052B3F" w14:paraId="2060421B" w14:textId="77777777" w:rsidTr="0017608D">
        <w:trPr>
          <w:trHeight w:val="340"/>
        </w:trPr>
        <w:tc>
          <w:tcPr>
            <w:tcW w:w="3114" w:type="dxa"/>
            <w:shd w:val="clear" w:color="auto" w:fill="auto"/>
            <w:noWrap/>
            <w:vAlign w:val="center"/>
          </w:tcPr>
          <w:p w14:paraId="1B12225D"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fruit drink</w:t>
            </w:r>
          </w:p>
        </w:tc>
        <w:tc>
          <w:tcPr>
            <w:tcW w:w="1000" w:type="dxa"/>
            <w:shd w:val="clear" w:color="auto" w:fill="auto"/>
            <w:noWrap/>
            <w:vAlign w:val="center"/>
          </w:tcPr>
          <w:p w14:paraId="21BD00A3"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153</w:t>
            </w:r>
          </w:p>
        </w:tc>
        <w:tc>
          <w:tcPr>
            <w:tcW w:w="1268" w:type="dxa"/>
            <w:shd w:val="clear" w:color="auto" w:fill="auto"/>
            <w:noWrap/>
            <w:vAlign w:val="center"/>
          </w:tcPr>
          <w:p w14:paraId="6ACE1F31"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8.7</w:t>
            </w:r>
          </w:p>
        </w:tc>
        <w:tc>
          <w:tcPr>
            <w:tcW w:w="1000" w:type="dxa"/>
            <w:shd w:val="clear" w:color="auto" w:fill="auto"/>
            <w:noWrap/>
            <w:vAlign w:val="center"/>
          </w:tcPr>
          <w:p w14:paraId="008F7A90"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25.0</w:t>
            </w:r>
          </w:p>
        </w:tc>
        <w:tc>
          <w:tcPr>
            <w:tcW w:w="1540" w:type="dxa"/>
            <w:shd w:val="clear" w:color="auto" w:fill="auto"/>
            <w:noWrap/>
          </w:tcPr>
          <w:p w14:paraId="1B5D9F30" w14:textId="77777777" w:rsidR="004F658E" w:rsidRPr="0017608D" w:rsidRDefault="004F658E" w:rsidP="00114310">
            <w:pPr>
              <w:rPr>
                <w:rFonts w:ascii="Segoe UI Symbol" w:hAnsi="Segoe UI Symbol" w:cs="Segoe UI Symbol"/>
                <w:b/>
                <w:bCs/>
                <w:color w:val="222222"/>
                <w:sz w:val="22"/>
              </w:rPr>
            </w:pPr>
            <w:r w:rsidRPr="0017608D">
              <w:rPr>
                <w:rFonts w:ascii="Segoe UI Symbol" w:hAnsi="Segoe UI Symbol" w:cs="Segoe UI Symbol"/>
                <w:b/>
                <w:bCs/>
                <w:color w:val="222222"/>
                <w:sz w:val="22"/>
              </w:rPr>
              <w:t>★</w:t>
            </w:r>
            <w:r w:rsidRPr="0017608D">
              <w:rPr>
                <w:rFonts w:ascii="Segoe UI Symbol" w:hAnsi="Segoe UI Symbol" w:cs="Segoe UI Symbol"/>
                <w:color w:val="222222"/>
                <w:sz w:val="22"/>
                <w:shd w:val="clear" w:color="auto" w:fill="FFFFFF"/>
              </w:rPr>
              <w:t>☆</w:t>
            </w:r>
          </w:p>
        </w:tc>
        <w:tc>
          <w:tcPr>
            <w:tcW w:w="1540" w:type="dxa"/>
            <w:shd w:val="clear" w:color="auto" w:fill="auto"/>
            <w:noWrap/>
          </w:tcPr>
          <w:p w14:paraId="71B0A2BE" w14:textId="77777777" w:rsidR="004F658E" w:rsidRPr="0017608D" w:rsidRDefault="004F658E" w:rsidP="00114310">
            <w:pPr>
              <w:rPr>
                <w:rFonts w:ascii="Segoe UI Symbol" w:hAnsi="Segoe UI Symbol" w:cs="Segoe UI Symbol"/>
                <w:color w:val="222222"/>
                <w:sz w:val="22"/>
                <w:shd w:val="clear" w:color="auto" w:fill="FFFFFF"/>
              </w:rPr>
            </w:pPr>
            <w:r w:rsidRPr="0017608D">
              <w:rPr>
                <w:rFonts w:ascii="Segoe UI Symbol" w:hAnsi="Segoe UI Symbol" w:cs="Segoe UI Symbol"/>
                <w:color w:val="222222"/>
                <w:sz w:val="22"/>
                <w:shd w:val="clear" w:color="auto" w:fill="FFFFFF"/>
              </w:rPr>
              <w:t>☆</w:t>
            </w:r>
          </w:p>
        </w:tc>
      </w:tr>
      <w:tr w:rsidR="004F658E" w:rsidRPr="00052B3F" w14:paraId="7834023F" w14:textId="77777777" w:rsidTr="004F658E">
        <w:trPr>
          <w:trHeight w:val="340"/>
        </w:trPr>
        <w:tc>
          <w:tcPr>
            <w:tcW w:w="3114" w:type="dxa"/>
            <w:shd w:val="clear" w:color="auto" w:fill="auto"/>
            <w:noWrap/>
            <w:vAlign w:val="center"/>
          </w:tcPr>
          <w:p w14:paraId="27D4D768"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regular soft drink</w:t>
            </w:r>
          </w:p>
        </w:tc>
        <w:tc>
          <w:tcPr>
            <w:tcW w:w="1000" w:type="dxa"/>
            <w:shd w:val="clear" w:color="auto" w:fill="auto"/>
            <w:noWrap/>
            <w:vAlign w:val="center"/>
          </w:tcPr>
          <w:p w14:paraId="2B588334"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180</w:t>
            </w:r>
          </w:p>
        </w:tc>
        <w:tc>
          <w:tcPr>
            <w:tcW w:w="1268" w:type="dxa"/>
            <w:shd w:val="clear" w:color="auto" w:fill="auto"/>
            <w:noWrap/>
            <w:vAlign w:val="center"/>
          </w:tcPr>
          <w:p w14:paraId="7DAE343C"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10.6</w:t>
            </w:r>
          </w:p>
        </w:tc>
        <w:tc>
          <w:tcPr>
            <w:tcW w:w="1000" w:type="dxa"/>
            <w:shd w:val="clear" w:color="auto" w:fill="auto"/>
            <w:noWrap/>
            <w:vAlign w:val="center"/>
          </w:tcPr>
          <w:p w14:paraId="1F16D38A"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tcPr>
          <w:p w14:paraId="49BE24C8"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1E95E9B8"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color w:val="222222"/>
                <w:sz w:val="22"/>
                <w:shd w:val="clear" w:color="auto" w:fill="FFFFFF"/>
              </w:rPr>
              <w:t>☆</w:t>
            </w:r>
          </w:p>
        </w:tc>
      </w:tr>
      <w:tr w:rsidR="004F658E" w:rsidRPr="00052B3F" w14:paraId="22BB26C2" w14:textId="77777777" w:rsidTr="004F658E">
        <w:trPr>
          <w:trHeight w:val="320"/>
        </w:trPr>
        <w:tc>
          <w:tcPr>
            <w:tcW w:w="3114" w:type="dxa"/>
            <w:shd w:val="clear" w:color="auto" w:fill="auto"/>
            <w:noWrap/>
            <w:vAlign w:val="center"/>
          </w:tcPr>
          <w:p w14:paraId="7E4712E2"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regular energy drink</w:t>
            </w:r>
          </w:p>
        </w:tc>
        <w:tc>
          <w:tcPr>
            <w:tcW w:w="1000" w:type="dxa"/>
            <w:shd w:val="clear" w:color="auto" w:fill="auto"/>
            <w:noWrap/>
            <w:vAlign w:val="center"/>
          </w:tcPr>
          <w:p w14:paraId="07AC6CCE"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194</w:t>
            </w:r>
          </w:p>
        </w:tc>
        <w:tc>
          <w:tcPr>
            <w:tcW w:w="1268" w:type="dxa"/>
            <w:shd w:val="clear" w:color="auto" w:fill="auto"/>
            <w:noWrap/>
            <w:vAlign w:val="center"/>
          </w:tcPr>
          <w:p w14:paraId="7CD6C252"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11.0</w:t>
            </w:r>
          </w:p>
        </w:tc>
        <w:tc>
          <w:tcPr>
            <w:tcW w:w="1000" w:type="dxa"/>
            <w:shd w:val="clear" w:color="auto" w:fill="auto"/>
            <w:noWrap/>
            <w:vAlign w:val="center"/>
          </w:tcPr>
          <w:p w14:paraId="55E9B96D" w14:textId="77777777" w:rsidR="004F658E" w:rsidRPr="0017608D" w:rsidRDefault="004F658E" w:rsidP="00114310">
            <w:pPr>
              <w:rPr>
                <w:rFonts w:eastAsia="Times New Roman" w:cstheme="minorHAnsi"/>
                <w:sz w:val="20"/>
                <w:szCs w:val="20"/>
              </w:rPr>
            </w:pPr>
            <w:r w:rsidRPr="0017608D">
              <w:rPr>
                <w:rFonts w:eastAsia="Times New Roman" w:cstheme="minorHAnsi"/>
                <w:sz w:val="20"/>
                <w:szCs w:val="20"/>
              </w:rPr>
              <w:t>0.0</w:t>
            </w:r>
          </w:p>
        </w:tc>
        <w:tc>
          <w:tcPr>
            <w:tcW w:w="1540" w:type="dxa"/>
            <w:shd w:val="clear" w:color="auto" w:fill="auto"/>
            <w:noWrap/>
          </w:tcPr>
          <w:p w14:paraId="027B6B56"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b/>
                <w:bCs/>
                <w:color w:val="222222"/>
                <w:sz w:val="22"/>
              </w:rPr>
              <w:t>★</w:t>
            </w:r>
          </w:p>
        </w:tc>
        <w:tc>
          <w:tcPr>
            <w:tcW w:w="1540" w:type="dxa"/>
            <w:shd w:val="clear" w:color="auto" w:fill="auto"/>
            <w:noWrap/>
          </w:tcPr>
          <w:p w14:paraId="53D16276" w14:textId="77777777" w:rsidR="004F658E" w:rsidRPr="0017608D" w:rsidRDefault="004F658E" w:rsidP="00114310">
            <w:pPr>
              <w:rPr>
                <w:rFonts w:eastAsia="Times New Roman" w:cstheme="minorHAnsi"/>
                <w:sz w:val="20"/>
                <w:szCs w:val="20"/>
              </w:rPr>
            </w:pPr>
            <w:r w:rsidRPr="0017608D">
              <w:rPr>
                <w:rFonts w:ascii="Segoe UI Symbol" w:hAnsi="Segoe UI Symbol" w:cs="Segoe UI Symbol"/>
                <w:color w:val="222222"/>
                <w:sz w:val="22"/>
                <w:shd w:val="clear" w:color="auto" w:fill="FFFFFF"/>
              </w:rPr>
              <w:t>☆</w:t>
            </w:r>
          </w:p>
        </w:tc>
      </w:tr>
    </w:tbl>
    <w:p w14:paraId="6D0B5E4D" w14:textId="77777777" w:rsidR="004F658E" w:rsidRDefault="004F658E" w:rsidP="0017608D">
      <w:pPr>
        <w:pStyle w:val="mpcNormal"/>
      </w:pPr>
    </w:p>
    <w:p w14:paraId="1DB5D9FC" w14:textId="5541B160" w:rsidR="009B0396" w:rsidRPr="004560A4" w:rsidRDefault="004F658E" w:rsidP="009B0396">
      <w:pPr>
        <w:pStyle w:val="mpcheading1"/>
      </w:pPr>
      <w:r>
        <w:br w:type="column"/>
      </w:r>
      <w:bookmarkStart w:id="195" w:name="AppendixG"/>
      <w:bookmarkStart w:id="196" w:name="_Toc1746533"/>
      <w:bookmarkEnd w:id="195"/>
      <w:r w:rsidR="009B0396" w:rsidRPr="004560A4">
        <w:t xml:space="preserve">Appendix </w:t>
      </w:r>
      <w:r w:rsidR="009B0396">
        <w:t>G</w:t>
      </w:r>
      <w:r w:rsidR="009B0396" w:rsidRPr="004560A4">
        <w:t>: Responses to other issues raised through consultations</w:t>
      </w:r>
      <w:bookmarkEnd w:id="196"/>
      <w:r w:rsidR="009B0396" w:rsidRPr="004560A4">
        <w:t xml:space="preserve">  </w:t>
      </w:r>
    </w:p>
    <w:p w14:paraId="64785251" w14:textId="77777777" w:rsidR="009B0396" w:rsidRPr="0013165D" w:rsidRDefault="009B0396" w:rsidP="009B0396">
      <w:pPr>
        <w:pStyle w:val="mpcNormal"/>
      </w:pPr>
      <w:r w:rsidRPr="004560A4">
        <w:t>Over the course of th</w:t>
      </w:r>
      <w:r w:rsidRPr="0013165D">
        <w:t>e Review</w:t>
      </w:r>
      <w:r>
        <w:t>,</w:t>
      </w:r>
      <w:r w:rsidRPr="004560A4">
        <w:t xml:space="preserve"> stak</w:t>
      </w:r>
      <w:r w:rsidRPr="0013165D">
        <w:t>eholders made a range of suggestions for improvements to the HSR</w:t>
      </w:r>
      <w:r>
        <w:t xml:space="preserve"> System</w:t>
      </w:r>
      <w:r w:rsidRPr="004560A4">
        <w:t>. Not all of th</w:t>
      </w:r>
      <w:r w:rsidRPr="0013165D">
        <w:t xml:space="preserve">ese suggestions have been addressed in the body of the Review Report. This Appendix summarises the Review response to some of the issues raised. </w:t>
      </w:r>
    </w:p>
    <w:p w14:paraId="76FAC8FC" w14:textId="77777777" w:rsidR="009B0396" w:rsidRPr="005D75D3" w:rsidRDefault="009B0396" w:rsidP="009B0396">
      <w:pPr>
        <w:pStyle w:val="mpcNormal"/>
      </w:pPr>
    </w:p>
    <w:p w14:paraId="0DFD6A67" w14:textId="77777777" w:rsidR="009B0396" w:rsidRPr="002F049C" w:rsidRDefault="009B0396" w:rsidP="009B0396">
      <w:pPr>
        <w:pStyle w:val="mpcheading2"/>
      </w:pPr>
      <w:bookmarkStart w:id="197" w:name="System"/>
      <w:bookmarkStart w:id="198" w:name="_Toc1746534"/>
      <w:bookmarkEnd w:id="197"/>
      <w:r w:rsidRPr="00C52B5B">
        <w:t>HSR</w:t>
      </w:r>
      <w:r w:rsidRPr="002F049C">
        <w:t xml:space="preserve"> System</w:t>
      </w:r>
      <w:bookmarkEnd w:id="198"/>
    </w:p>
    <w:p w14:paraId="4DE7B8D3" w14:textId="77777777" w:rsidR="009B0396" w:rsidRPr="006B533C" w:rsidRDefault="009B0396" w:rsidP="009B0396">
      <w:pPr>
        <w:rPr>
          <w:rFonts w:cstheme="minorHAnsi"/>
          <w:b/>
          <w:sz w:val="22"/>
          <w:szCs w:val="22"/>
        </w:rPr>
      </w:pPr>
      <w:r w:rsidRPr="006B533C">
        <w:rPr>
          <w:rFonts w:cstheme="minorHAnsi"/>
          <w:b/>
          <w:sz w:val="22"/>
          <w:szCs w:val="22"/>
        </w:rPr>
        <w:t>Why are we not adopting a traffic light system as per the UK?</w:t>
      </w:r>
    </w:p>
    <w:p w14:paraId="4DAA5476" w14:textId="77777777" w:rsidR="009B0396" w:rsidRDefault="009B0396" w:rsidP="009B0396">
      <w:pPr>
        <w:rPr>
          <w:rFonts w:cstheme="minorHAnsi"/>
          <w:sz w:val="22"/>
          <w:szCs w:val="22"/>
        </w:rPr>
      </w:pPr>
    </w:p>
    <w:p w14:paraId="1A771C98" w14:textId="77777777" w:rsidR="009B0396" w:rsidRDefault="009B0396" w:rsidP="009B0396">
      <w:pPr>
        <w:pStyle w:val="mpcNormal"/>
      </w:pPr>
      <w:r>
        <w:t xml:space="preserve">Prior to the introduction of the HSR, a range of FoPL systems were examined. After significant consultation (and review of the evidence), governments agreed the introduction of the HSR rather than a traffic light labelling system.  </w:t>
      </w:r>
    </w:p>
    <w:p w14:paraId="6690B202" w14:textId="77777777" w:rsidR="009B0396" w:rsidRDefault="009B0396" w:rsidP="009B0396">
      <w:pPr>
        <w:pStyle w:val="mpcNormal"/>
      </w:pPr>
    </w:p>
    <w:p w14:paraId="5809D8CE" w14:textId="77777777" w:rsidR="009B0396" w:rsidRDefault="009B0396" w:rsidP="009B0396">
      <w:pPr>
        <w:pStyle w:val="mpcNormal"/>
      </w:pPr>
      <w:r>
        <w:t>The Review does not propose re-visiting this decision. T</w:t>
      </w:r>
      <w:r w:rsidRPr="003E33CA">
        <w:t>he HSR System is generally performing well</w:t>
      </w:r>
      <w:r>
        <w:t xml:space="preserve"> such that </w:t>
      </w:r>
      <w:r w:rsidRPr="003E33CA">
        <w:t>large</w:t>
      </w:r>
      <w:r w:rsidRPr="003E33CA">
        <w:noBreakHyphen/>
        <w:t>scale changes that would fundamentally disrupt or replace the existing System</w:t>
      </w:r>
      <w:r>
        <w:t xml:space="preserve"> </w:t>
      </w:r>
      <w:r w:rsidRPr="003E33CA">
        <w:t xml:space="preserve">are not </w:t>
      </w:r>
      <w:r>
        <w:t>recommended.</w:t>
      </w:r>
    </w:p>
    <w:p w14:paraId="0CCF4E20" w14:textId="77777777" w:rsidR="009B0396" w:rsidRDefault="009B0396" w:rsidP="009B0396">
      <w:pPr>
        <w:pStyle w:val="mpcNormal"/>
      </w:pPr>
    </w:p>
    <w:p w14:paraId="07F4DBB3" w14:textId="77777777" w:rsidR="009B0396" w:rsidRDefault="009B0396" w:rsidP="009B0396">
      <w:pPr>
        <w:pStyle w:val="mpcNormal"/>
      </w:pPr>
      <w:r w:rsidRPr="00A107E7">
        <w:t>Research</w:t>
      </w:r>
      <w:r>
        <w:t xml:space="preserve"> also continues to be published indicating that:</w:t>
      </w:r>
    </w:p>
    <w:p w14:paraId="579D0CBC" w14:textId="77777777" w:rsidR="009B0396" w:rsidRDefault="009B0396" w:rsidP="009B0396">
      <w:pPr>
        <w:pStyle w:val="mpcNormal"/>
      </w:pPr>
    </w:p>
    <w:p w14:paraId="3EFE76AB" w14:textId="77777777" w:rsidR="009B0396" w:rsidRPr="005D75D3" w:rsidRDefault="009B0396" w:rsidP="009B0396">
      <w:pPr>
        <w:numPr>
          <w:ilvl w:val="0"/>
          <w:numId w:val="45"/>
        </w:numPr>
        <w:rPr>
          <w:sz w:val="22"/>
          <w:szCs w:val="22"/>
        </w:rPr>
      </w:pPr>
      <w:r w:rsidRPr="005D75D3">
        <w:rPr>
          <w:sz w:val="22"/>
          <w:szCs w:val="22"/>
        </w:rPr>
        <w:t>consumers find the HSR System easier to understand than traffic light labelling</w:t>
      </w:r>
      <w:r w:rsidRPr="005D75D3">
        <w:rPr>
          <w:rStyle w:val="FootnoteReference"/>
          <w:sz w:val="22"/>
          <w:szCs w:val="22"/>
        </w:rPr>
        <w:footnoteReference w:id="131"/>
      </w:r>
    </w:p>
    <w:p w14:paraId="431B46F4" w14:textId="77777777" w:rsidR="009B0396" w:rsidRPr="005D75D3" w:rsidRDefault="009B0396" w:rsidP="009B0396">
      <w:pPr>
        <w:numPr>
          <w:ilvl w:val="0"/>
          <w:numId w:val="45"/>
        </w:numPr>
        <w:rPr>
          <w:sz w:val="22"/>
          <w:szCs w:val="22"/>
        </w:rPr>
      </w:pPr>
      <w:r w:rsidRPr="005D75D3">
        <w:rPr>
          <w:sz w:val="22"/>
          <w:szCs w:val="22"/>
        </w:rPr>
        <w:t>the HSR System is preferred to traffic light labelling, better enabling consumers to determine healthier product options and resulting in healthier choices</w:t>
      </w:r>
      <w:r w:rsidRPr="005D75D3">
        <w:rPr>
          <w:rStyle w:val="FootnoteReference"/>
          <w:sz w:val="22"/>
          <w:szCs w:val="22"/>
        </w:rPr>
        <w:footnoteReference w:id="132"/>
      </w:r>
      <w:r w:rsidRPr="005D75D3">
        <w:rPr>
          <w:rStyle w:val="FootnoteReference"/>
          <w:sz w:val="22"/>
          <w:szCs w:val="22"/>
        </w:rPr>
        <w:t>,</w:t>
      </w:r>
      <w:r w:rsidRPr="005D75D3">
        <w:rPr>
          <w:rStyle w:val="FootnoteReference"/>
          <w:sz w:val="22"/>
          <w:szCs w:val="22"/>
        </w:rPr>
        <w:footnoteReference w:id="133"/>
      </w:r>
      <w:r w:rsidRPr="005D75D3">
        <w:rPr>
          <w:rStyle w:val="FootnoteReference"/>
          <w:sz w:val="22"/>
          <w:szCs w:val="22"/>
        </w:rPr>
        <w:t>,</w:t>
      </w:r>
      <w:r w:rsidRPr="005D75D3">
        <w:rPr>
          <w:rStyle w:val="FootnoteReference"/>
          <w:sz w:val="22"/>
          <w:szCs w:val="22"/>
        </w:rPr>
        <w:footnoteReference w:id="134"/>
      </w:r>
      <w:r w:rsidRPr="005D75D3">
        <w:rPr>
          <w:sz w:val="22"/>
          <w:szCs w:val="22"/>
        </w:rPr>
        <w:t>.</w:t>
      </w:r>
    </w:p>
    <w:p w14:paraId="087DC766" w14:textId="77777777" w:rsidR="009B0396" w:rsidRDefault="009B0396" w:rsidP="009B0396">
      <w:pPr>
        <w:rPr>
          <w:rFonts w:cstheme="minorHAnsi"/>
          <w:sz w:val="22"/>
          <w:szCs w:val="22"/>
        </w:rPr>
      </w:pPr>
    </w:p>
    <w:p w14:paraId="5C5755D7" w14:textId="77777777" w:rsidR="009B0396" w:rsidRPr="00EE0D83" w:rsidRDefault="009B0396" w:rsidP="009B0396">
      <w:pPr>
        <w:rPr>
          <w:rFonts w:cstheme="minorHAnsi"/>
          <w:b/>
          <w:sz w:val="22"/>
          <w:szCs w:val="22"/>
        </w:rPr>
      </w:pPr>
      <w:r w:rsidRPr="00EE0D83">
        <w:rPr>
          <w:rFonts w:cstheme="minorHAnsi"/>
          <w:b/>
          <w:sz w:val="22"/>
          <w:szCs w:val="22"/>
        </w:rPr>
        <w:t>Why doesn’t the HSR differentiate foods based on the level of processing?</w:t>
      </w:r>
    </w:p>
    <w:p w14:paraId="1D850561" w14:textId="77777777" w:rsidR="009B0396" w:rsidRDefault="009B0396" w:rsidP="009B0396">
      <w:pPr>
        <w:rPr>
          <w:rFonts w:cstheme="minorHAnsi"/>
          <w:sz w:val="22"/>
          <w:szCs w:val="22"/>
        </w:rPr>
      </w:pPr>
    </w:p>
    <w:p w14:paraId="132C1FC6" w14:textId="77777777" w:rsidR="009B0396" w:rsidRPr="00E01B4B" w:rsidRDefault="009B0396" w:rsidP="009B0396">
      <w:pPr>
        <w:pStyle w:val="mpcNormal"/>
      </w:pPr>
      <w:r>
        <w:t>The Review acknowledges that increasing attention is being paid to the role of food processing in global food supplies and dietary patterns. Some stakeholders have referenced the NOVA food classification system (that c</w:t>
      </w:r>
      <w:r w:rsidRPr="00E01B4B">
        <w:t>ategorises foods according to the extent and purpose of food processing, rather than in terms of nutrients) as a preferred basis for the HS</w:t>
      </w:r>
      <w:r>
        <w:t>R.</w:t>
      </w:r>
    </w:p>
    <w:p w14:paraId="1ECBB7FD" w14:textId="77777777" w:rsidR="009B0396" w:rsidRDefault="009B0396" w:rsidP="009B0396">
      <w:pPr>
        <w:pStyle w:val="mpcNormal"/>
      </w:pPr>
    </w:p>
    <w:p w14:paraId="085E1C36" w14:textId="77777777" w:rsidR="009B0396" w:rsidRDefault="009B0396" w:rsidP="009B0396">
      <w:pPr>
        <w:pStyle w:val="mpcNormal"/>
      </w:pPr>
      <w:r>
        <w:t>While NOVA has been used to assess the nutrient profile of diets and assist in the development of dietary guidelines in some countries, it has not been used as the basis for a FoPL system and would not readily enable consumers to choose between processed packaged foods (given that its focus is on limiting the consumption of processed foods and avoiding ultra-processed products).</w:t>
      </w:r>
    </w:p>
    <w:p w14:paraId="1D6CF90B" w14:textId="77777777" w:rsidR="009B0396" w:rsidRDefault="009B0396" w:rsidP="009B0396">
      <w:pPr>
        <w:pStyle w:val="mpcNormal"/>
      </w:pPr>
    </w:p>
    <w:p w14:paraId="789AE206" w14:textId="77777777" w:rsidR="009B0396" w:rsidRDefault="009B0396" w:rsidP="009B0396">
      <w:pPr>
        <w:pStyle w:val="mpcNormal"/>
      </w:pPr>
      <w:r>
        <w:t>Consistent with some of the underpinning tenets of NOVA, the Review recommends that Government communications about the HSR continue to be positioned in the context of broader healthy eating messages encouraging people to select FFG foods and to use the HSR when comparing like packaged foods.</w:t>
      </w:r>
    </w:p>
    <w:p w14:paraId="68DE07DF" w14:textId="77777777" w:rsidR="009B0396" w:rsidRPr="006B533C" w:rsidRDefault="009B0396" w:rsidP="009B0396">
      <w:pPr>
        <w:rPr>
          <w:rFonts w:cstheme="minorHAnsi"/>
          <w:sz w:val="22"/>
          <w:szCs w:val="22"/>
        </w:rPr>
      </w:pPr>
    </w:p>
    <w:p w14:paraId="28E0F46B" w14:textId="77777777" w:rsidR="009B0396" w:rsidRPr="002F049C" w:rsidRDefault="009B0396" w:rsidP="009B0396">
      <w:pPr>
        <w:pStyle w:val="mpcheading2"/>
        <w:spacing w:after="0"/>
      </w:pPr>
      <w:bookmarkStart w:id="199" w:name="Positive"/>
      <w:bookmarkStart w:id="200" w:name="_Toc1746535"/>
      <w:bookmarkEnd w:id="199"/>
      <w:r w:rsidRPr="002F049C">
        <w:t>Positive components</w:t>
      </w:r>
      <w:bookmarkEnd w:id="200"/>
    </w:p>
    <w:p w14:paraId="590D70C1" w14:textId="77777777" w:rsidR="009B0396" w:rsidRPr="006B533C" w:rsidRDefault="009B0396" w:rsidP="009B0396">
      <w:pPr>
        <w:rPr>
          <w:rFonts w:cstheme="minorHAnsi"/>
          <w:sz w:val="22"/>
          <w:szCs w:val="22"/>
        </w:rPr>
      </w:pPr>
    </w:p>
    <w:p w14:paraId="73AB8BAE" w14:textId="77777777" w:rsidR="009B0396" w:rsidRPr="002F049C" w:rsidRDefault="009B0396" w:rsidP="009B0396">
      <w:pPr>
        <w:rPr>
          <w:rFonts w:cstheme="minorHAnsi"/>
          <w:b/>
          <w:sz w:val="22"/>
          <w:szCs w:val="22"/>
        </w:rPr>
      </w:pPr>
      <w:r w:rsidRPr="002F049C">
        <w:rPr>
          <w:rFonts w:cstheme="minorHAnsi"/>
          <w:b/>
          <w:sz w:val="22"/>
          <w:szCs w:val="22"/>
        </w:rPr>
        <w:t>Why don’t all FFG foods receive an automatic HSR of 5?</w:t>
      </w:r>
    </w:p>
    <w:p w14:paraId="171A7DD0" w14:textId="77777777" w:rsidR="009B0396" w:rsidRDefault="009B0396" w:rsidP="009B0396">
      <w:pPr>
        <w:rPr>
          <w:rFonts w:cstheme="minorHAnsi"/>
          <w:sz w:val="22"/>
          <w:szCs w:val="22"/>
        </w:rPr>
      </w:pPr>
    </w:p>
    <w:p w14:paraId="6E5941BE" w14:textId="77777777" w:rsidR="009B0396" w:rsidRDefault="009B0396" w:rsidP="009B0396">
      <w:pPr>
        <w:rPr>
          <w:rFonts w:cstheme="minorHAnsi"/>
          <w:sz w:val="22"/>
          <w:szCs w:val="22"/>
        </w:rPr>
      </w:pPr>
      <w:r w:rsidRPr="002F049C">
        <w:rPr>
          <w:rFonts w:cstheme="minorHAnsi"/>
          <w:sz w:val="22"/>
          <w:szCs w:val="22"/>
        </w:rPr>
        <w:t>Some stakeholders have proposed that if an HSR of 5 is automatically a</w:t>
      </w:r>
      <w:r>
        <w:rPr>
          <w:rFonts w:cstheme="minorHAnsi"/>
          <w:sz w:val="22"/>
          <w:szCs w:val="22"/>
        </w:rPr>
        <w:t>pplied</w:t>
      </w:r>
      <w:r w:rsidRPr="002F049C">
        <w:rPr>
          <w:rFonts w:cstheme="minorHAnsi"/>
          <w:sz w:val="22"/>
          <w:szCs w:val="22"/>
        </w:rPr>
        <w:t xml:space="preserve"> to </w:t>
      </w:r>
      <w:r>
        <w:rPr>
          <w:rFonts w:cstheme="minorHAnsi"/>
          <w:sz w:val="22"/>
          <w:szCs w:val="22"/>
        </w:rPr>
        <w:t>eligible</w:t>
      </w:r>
      <w:r w:rsidRPr="002F049C">
        <w:rPr>
          <w:rFonts w:cstheme="minorHAnsi"/>
          <w:sz w:val="22"/>
          <w:szCs w:val="22"/>
        </w:rPr>
        <w:t xml:space="preserve"> fruits and vegetables, all FFG foods should similarly receive an automatic HSR of 5. </w:t>
      </w:r>
    </w:p>
    <w:p w14:paraId="713C042A" w14:textId="77777777" w:rsidR="009B0396" w:rsidRDefault="009B0396" w:rsidP="009B0396">
      <w:pPr>
        <w:rPr>
          <w:rFonts w:cstheme="minorHAnsi"/>
          <w:sz w:val="22"/>
          <w:szCs w:val="22"/>
        </w:rPr>
      </w:pPr>
    </w:p>
    <w:p w14:paraId="2678C010" w14:textId="77777777" w:rsidR="009B0396" w:rsidRDefault="009B0396" w:rsidP="009B0396">
      <w:pPr>
        <w:rPr>
          <w:rFonts w:cstheme="minorHAnsi"/>
          <w:sz w:val="22"/>
          <w:szCs w:val="22"/>
        </w:rPr>
      </w:pPr>
      <w:r>
        <w:rPr>
          <w:rFonts w:cstheme="minorHAnsi"/>
          <w:sz w:val="22"/>
          <w:szCs w:val="22"/>
        </w:rPr>
        <w:t>The key reasons the Review has not recommended this include:</w:t>
      </w:r>
    </w:p>
    <w:p w14:paraId="016CE295" w14:textId="77777777" w:rsidR="009B0396" w:rsidRPr="004560A4" w:rsidRDefault="009B0396" w:rsidP="009B0396">
      <w:pPr>
        <w:rPr>
          <w:rFonts w:cstheme="minorHAnsi"/>
          <w:sz w:val="22"/>
          <w:szCs w:val="22"/>
        </w:rPr>
      </w:pPr>
    </w:p>
    <w:p w14:paraId="493D2D85" w14:textId="77777777" w:rsidR="009B0396" w:rsidRPr="005D75D3" w:rsidRDefault="009B0396" w:rsidP="009B0396">
      <w:pPr>
        <w:pStyle w:val="ListParagraph"/>
        <w:numPr>
          <w:ilvl w:val="0"/>
          <w:numId w:val="43"/>
        </w:numPr>
        <w:rPr>
          <w:rFonts w:cstheme="minorHAnsi"/>
          <w:sz w:val="22"/>
          <w:szCs w:val="22"/>
        </w:rPr>
      </w:pPr>
      <w:r w:rsidRPr="005D75D3">
        <w:rPr>
          <w:rFonts w:cstheme="minorHAnsi"/>
          <w:sz w:val="22"/>
          <w:szCs w:val="22"/>
        </w:rPr>
        <w:t xml:space="preserve">Dietary Guidelines do not distinguish between different fruits and vegetables and instead encourage consumption of a variety of fruits and vegetables. This is in contrast to </w:t>
      </w:r>
      <w:r>
        <w:rPr>
          <w:rFonts w:cstheme="minorHAnsi"/>
          <w:sz w:val="22"/>
          <w:szCs w:val="22"/>
        </w:rPr>
        <w:t xml:space="preserve">most </w:t>
      </w:r>
      <w:r w:rsidRPr="005D75D3">
        <w:rPr>
          <w:rFonts w:cstheme="minorHAnsi"/>
          <w:sz w:val="22"/>
          <w:szCs w:val="22"/>
        </w:rPr>
        <w:t xml:space="preserve">other FFG foods, where Dietary Guidelines recommend consumption of </w:t>
      </w:r>
      <w:r w:rsidRPr="005D75D3">
        <w:rPr>
          <w:rFonts w:cstheme="minorHAnsi"/>
          <w:i/>
          <w:sz w:val="22"/>
          <w:szCs w:val="22"/>
        </w:rPr>
        <w:t>lean</w:t>
      </w:r>
      <w:r w:rsidRPr="005D75D3">
        <w:rPr>
          <w:rFonts w:cstheme="minorHAnsi"/>
          <w:sz w:val="22"/>
          <w:szCs w:val="22"/>
        </w:rPr>
        <w:t xml:space="preserve"> meats, </w:t>
      </w:r>
      <w:r w:rsidRPr="005D75D3">
        <w:rPr>
          <w:rFonts w:cstheme="minorHAnsi"/>
          <w:i/>
          <w:sz w:val="22"/>
          <w:szCs w:val="22"/>
        </w:rPr>
        <w:t>mostly reduced fat</w:t>
      </w:r>
      <w:r w:rsidRPr="005D75D3">
        <w:rPr>
          <w:rFonts w:cstheme="minorHAnsi"/>
          <w:sz w:val="22"/>
          <w:szCs w:val="22"/>
        </w:rPr>
        <w:t xml:space="preserve"> dairy and </w:t>
      </w:r>
      <w:r w:rsidRPr="005D75D3">
        <w:rPr>
          <w:rFonts w:cstheme="minorHAnsi"/>
          <w:i/>
          <w:sz w:val="22"/>
          <w:szCs w:val="22"/>
        </w:rPr>
        <w:t>mostly wholegrain or high fibre</w:t>
      </w:r>
      <w:r w:rsidRPr="005D75D3">
        <w:rPr>
          <w:rFonts w:cstheme="minorHAnsi"/>
          <w:sz w:val="22"/>
          <w:szCs w:val="22"/>
        </w:rPr>
        <w:t xml:space="preserve"> cereals.</w:t>
      </w:r>
    </w:p>
    <w:p w14:paraId="4B08146B" w14:textId="77777777" w:rsidR="009B0396" w:rsidRPr="005D75D3" w:rsidRDefault="009B0396" w:rsidP="009B0396">
      <w:pPr>
        <w:pStyle w:val="ListParagraph"/>
        <w:numPr>
          <w:ilvl w:val="0"/>
          <w:numId w:val="43"/>
        </w:numPr>
        <w:rPr>
          <w:rFonts w:cstheme="minorHAnsi"/>
          <w:sz w:val="22"/>
          <w:szCs w:val="22"/>
        </w:rPr>
      </w:pPr>
      <w:r w:rsidRPr="005D75D3">
        <w:rPr>
          <w:rFonts w:cstheme="minorHAnsi"/>
          <w:sz w:val="22"/>
          <w:szCs w:val="22"/>
        </w:rPr>
        <w:t>for some other FFG foods, the range of HSRs is wider than the range of HSRs for fruits and vegetables. For example, the range of HSRs for fruits and vegetables is 4 – 5 (with most scoring 4.5 or 5) whereas cheeses score a wide range of HSRs (with higher HSRs generally associated with lower sodium and saturated fat cheeses).</w:t>
      </w:r>
    </w:p>
    <w:p w14:paraId="10042EA8" w14:textId="77777777" w:rsidR="009B0396" w:rsidRPr="004560A4" w:rsidRDefault="009B0396" w:rsidP="009B0396">
      <w:pPr>
        <w:rPr>
          <w:rFonts w:cstheme="minorHAnsi"/>
          <w:b/>
          <w:sz w:val="22"/>
          <w:szCs w:val="22"/>
        </w:rPr>
      </w:pPr>
    </w:p>
    <w:p w14:paraId="0B7E9816" w14:textId="77777777" w:rsidR="009B0396" w:rsidRPr="006B533C" w:rsidRDefault="009B0396" w:rsidP="009B0396">
      <w:pPr>
        <w:rPr>
          <w:rFonts w:cstheme="minorHAnsi"/>
          <w:b/>
          <w:sz w:val="22"/>
          <w:szCs w:val="22"/>
        </w:rPr>
      </w:pPr>
      <w:r w:rsidRPr="006B533C">
        <w:rPr>
          <w:rFonts w:cstheme="minorHAnsi"/>
          <w:b/>
          <w:sz w:val="22"/>
          <w:szCs w:val="22"/>
        </w:rPr>
        <w:t>Why not remov</w:t>
      </w:r>
      <w:r>
        <w:rPr>
          <w:rFonts w:cstheme="minorHAnsi"/>
          <w:b/>
          <w:sz w:val="22"/>
          <w:szCs w:val="22"/>
        </w:rPr>
        <w:t>e</w:t>
      </w:r>
      <w:r w:rsidRPr="006B533C">
        <w:rPr>
          <w:rFonts w:cstheme="minorHAnsi"/>
          <w:b/>
          <w:sz w:val="22"/>
          <w:szCs w:val="22"/>
        </w:rPr>
        <w:t xml:space="preserve"> protein from the HSR Calculator?</w:t>
      </w:r>
    </w:p>
    <w:p w14:paraId="129D2830" w14:textId="77777777" w:rsidR="009B0396" w:rsidRDefault="009B0396" w:rsidP="009B0396">
      <w:pPr>
        <w:rPr>
          <w:rFonts w:cstheme="minorHAnsi"/>
          <w:b/>
          <w:sz w:val="22"/>
          <w:szCs w:val="22"/>
        </w:rPr>
      </w:pPr>
    </w:p>
    <w:p w14:paraId="321B62A6" w14:textId="77777777" w:rsidR="009B0396" w:rsidRPr="005D75D3" w:rsidRDefault="009B0396" w:rsidP="009B0396">
      <w:pPr>
        <w:rPr>
          <w:rFonts w:cstheme="minorHAnsi"/>
          <w:sz w:val="22"/>
          <w:szCs w:val="22"/>
        </w:rPr>
      </w:pPr>
      <w:r w:rsidRPr="005D75D3">
        <w:rPr>
          <w:rFonts w:cstheme="minorHAnsi"/>
          <w:sz w:val="22"/>
          <w:szCs w:val="22"/>
        </w:rPr>
        <w:t>Some stakeholders have questioned whether protein should be included as a positive nutrient in the HSR Calculator, as the majority of Australians and New Zealanders meet or exceed recommended intakes for protein.</w:t>
      </w:r>
    </w:p>
    <w:p w14:paraId="5FA45065" w14:textId="77777777" w:rsidR="009B0396" w:rsidRPr="005D75D3" w:rsidRDefault="009B0396" w:rsidP="009B0396">
      <w:pPr>
        <w:rPr>
          <w:rFonts w:cstheme="minorHAnsi"/>
          <w:sz w:val="22"/>
          <w:szCs w:val="22"/>
        </w:rPr>
      </w:pPr>
    </w:p>
    <w:p w14:paraId="3DAD2794" w14:textId="77777777" w:rsidR="009B0396" w:rsidRPr="007171BF" w:rsidRDefault="009B0396" w:rsidP="009B0396">
      <w:pPr>
        <w:rPr>
          <w:rFonts w:cstheme="minorHAnsi"/>
          <w:sz w:val="22"/>
          <w:szCs w:val="22"/>
        </w:rPr>
      </w:pPr>
      <w:r w:rsidRPr="005D75D3">
        <w:rPr>
          <w:rFonts w:cstheme="minorHAnsi"/>
          <w:sz w:val="22"/>
          <w:szCs w:val="22"/>
        </w:rPr>
        <w:t>Protein is included in the HSR Calculator as it is part of the NPSC and the UK NPM on which the NPSC is based. Evidence underpinning the UK NPM demonstrates that protein is a reasonable surrogate for iron and calcium content</w:t>
      </w:r>
      <w:r w:rsidRPr="005D75D3">
        <w:rPr>
          <w:rStyle w:val="FootnoteReference"/>
          <w:rFonts w:cstheme="minorHAnsi"/>
          <w:sz w:val="22"/>
          <w:szCs w:val="22"/>
        </w:rPr>
        <w:footnoteReference w:id="135"/>
      </w:r>
      <w:r w:rsidRPr="005D75D3">
        <w:rPr>
          <w:rFonts w:cstheme="minorHAnsi"/>
          <w:sz w:val="22"/>
          <w:szCs w:val="22"/>
        </w:rPr>
        <w:t>, which are both lacking in the Australian and New Zealander populations. As neither iron nor calcium content is mandated in the NIP, it is also more practical to use protein as a surrogate in the HSR Calculator. Many FFG products (nuts, legumes, breakfast cereals, lean meats) are being appropriately promoted through the consideration of protein content. Some stakeholders have also noted that protein may displace other negative nutrients in food such as sugars and saturated fats.</w:t>
      </w:r>
    </w:p>
    <w:p w14:paraId="36D44064" w14:textId="77777777" w:rsidR="009B0396" w:rsidRDefault="009B0396" w:rsidP="009B0396">
      <w:pPr>
        <w:rPr>
          <w:rFonts w:cstheme="minorHAnsi"/>
          <w:sz w:val="22"/>
          <w:szCs w:val="22"/>
        </w:rPr>
      </w:pPr>
    </w:p>
    <w:p w14:paraId="07B71E30" w14:textId="77777777" w:rsidR="009B0396" w:rsidRPr="00B93AB7" w:rsidRDefault="009B0396" w:rsidP="009B0396">
      <w:pPr>
        <w:rPr>
          <w:rFonts w:cstheme="minorHAnsi"/>
          <w:sz w:val="22"/>
          <w:szCs w:val="22"/>
        </w:rPr>
      </w:pPr>
      <w:r w:rsidRPr="006B533C">
        <w:rPr>
          <w:rFonts w:cstheme="minorHAnsi"/>
          <w:sz w:val="22"/>
          <w:szCs w:val="22"/>
        </w:rPr>
        <w:t xml:space="preserve">Stakeholders have also raised concerns that manufacturers may add protein (such as whey or casein) to products to offset risk nutrients to gain a higher HSR, without delivering health benefits. </w:t>
      </w:r>
      <w:r>
        <w:rPr>
          <w:rFonts w:cstheme="minorHAnsi"/>
          <w:sz w:val="22"/>
          <w:szCs w:val="22"/>
        </w:rPr>
        <w:t xml:space="preserve">However, there is insufficient evidence to indicate that this is occurring. </w:t>
      </w:r>
      <w:r w:rsidRPr="00B93AB7">
        <w:rPr>
          <w:rFonts w:cstheme="minorHAnsi"/>
          <w:sz w:val="22"/>
          <w:szCs w:val="22"/>
        </w:rPr>
        <w:t>A study published in August 2017</w:t>
      </w:r>
      <w:r w:rsidRPr="00B93AB7">
        <w:rPr>
          <w:rFonts w:cstheme="minorHAnsi"/>
          <w:vertAlign w:val="superscript"/>
        </w:rPr>
        <w:footnoteReference w:id="136"/>
      </w:r>
      <w:r w:rsidRPr="00B93AB7">
        <w:rPr>
          <w:rFonts w:cstheme="minorHAnsi"/>
          <w:sz w:val="22"/>
          <w:szCs w:val="22"/>
          <w:vertAlign w:val="superscript"/>
        </w:rPr>
        <w:t xml:space="preserve"> </w:t>
      </w:r>
      <w:r w:rsidRPr="00B93AB7">
        <w:rPr>
          <w:rFonts w:cstheme="minorHAnsi"/>
          <w:sz w:val="22"/>
          <w:szCs w:val="22"/>
        </w:rPr>
        <w:t>analysing the nutritional composition of foods from 2015 to 2016 found that the average protein content of products displaying the HSR was unchanged. Further, industry has advised that given the expense of protein as an ingredient, this would likely limit its use in large quantities to increase a product’s HSR.</w:t>
      </w:r>
    </w:p>
    <w:p w14:paraId="170DD375" w14:textId="77777777" w:rsidR="009B0396" w:rsidRDefault="009B0396" w:rsidP="009B0396">
      <w:pPr>
        <w:rPr>
          <w:rFonts w:cstheme="minorHAnsi"/>
          <w:sz w:val="22"/>
          <w:szCs w:val="22"/>
        </w:rPr>
      </w:pPr>
    </w:p>
    <w:p w14:paraId="0875F5F1" w14:textId="77777777" w:rsidR="009B0396" w:rsidRPr="006B533C" w:rsidRDefault="009B0396" w:rsidP="009B0396">
      <w:pPr>
        <w:pStyle w:val="mpcheading2"/>
        <w:spacing w:after="0"/>
      </w:pPr>
      <w:bookmarkStart w:id="201" w:name="Negative"/>
      <w:bookmarkStart w:id="202" w:name="_Toc1746536"/>
      <w:bookmarkEnd w:id="201"/>
      <w:r w:rsidRPr="006B533C">
        <w:t>Negative components</w:t>
      </w:r>
      <w:bookmarkEnd w:id="202"/>
    </w:p>
    <w:p w14:paraId="3068C823" w14:textId="77777777" w:rsidR="009B0396" w:rsidRDefault="009B0396" w:rsidP="009B0396">
      <w:pPr>
        <w:pStyle w:val="mpcbullets1"/>
        <w:numPr>
          <w:ilvl w:val="0"/>
          <w:numId w:val="0"/>
        </w:numPr>
        <w:ind w:left="360"/>
      </w:pPr>
    </w:p>
    <w:p w14:paraId="3ED2B949" w14:textId="77777777" w:rsidR="009B0396" w:rsidRPr="006B533C" w:rsidRDefault="009B0396" w:rsidP="009B0396">
      <w:pPr>
        <w:rPr>
          <w:rFonts w:cstheme="minorHAnsi"/>
          <w:b/>
          <w:sz w:val="22"/>
          <w:szCs w:val="22"/>
        </w:rPr>
      </w:pPr>
      <w:r w:rsidRPr="006B533C">
        <w:rPr>
          <w:rFonts w:cstheme="minorHAnsi"/>
          <w:b/>
          <w:sz w:val="22"/>
          <w:szCs w:val="22"/>
        </w:rPr>
        <w:t xml:space="preserve">Why </w:t>
      </w:r>
      <w:r>
        <w:rPr>
          <w:rFonts w:cstheme="minorHAnsi"/>
          <w:b/>
          <w:sz w:val="22"/>
          <w:szCs w:val="22"/>
        </w:rPr>
        <w:t xml:space="preserve">are there </w:t>
      </w:r>
      <w:r w:rsidRPr="006B533C">
        <w:rPr>
          <w:rFonts w:cstheme="minorHAnsi"/>
          <w:b/>
          <w:sz w:val="22"/>
          <w:szCs w:val="22"/>
        </w:rPr>
        <w:t xml:space="preserve">no </w:t>
      </w:r>
      <w:r>
        <w:rPr>
          <w:rFonts w:cstheme="minorHAnsi"/>
          <w:b/>
          <w:sz w:val="22"/>
          <w:szCs w:val="22"/>
        </w:rPr>
        <w:t>changes proposed to the treatment of saturated fa</w:t>
      </w:r>
      <w:r w:rsidRPr="006B533C">
        <w:rPr>
          <w:rFonts w:cstheme="minorHAnsi"/>
          <w:b/>
          <w:sz w:val="22"/>
          <w:szCs w:val="22"/>
        </w:rPr>
        <w:t>t</w:t>
      </w:r>
      <w:r>
        <w:rPr>
          <w:rFonts w:cstheme="minorHAnsi"/>
          <w:b/>
          <w:sz w:val="22"/>
          <w:szCs w:val="22"/>
        </w:rPr>
        <w:t xml:space="preserve"> in the HSR Calculator</w:t>
      </w:r>
      <w:r w:rsidRPr="006B533C">
        <w:rPr>
          <w:rFonts w:cstheme="minorHAnsi"/>
          <w:b/>
          <w:sz w:val="22"/>
          <w:szCs w:val="22"/>
        </w:rPr>
        <w:t>?</w:t>
      </w:r>
    </w:p>
    <w:p w14:paraId="351B05CE" w14:textId="77777777" w:rsidR="009B0396" w:rsidRDefault="009B0396" w:rsidP="009B0396">
      <w:pPr>
        <w:pStyle w:val="mpcbullets1"/>
        <w:numPr>
          <w:ilvl w:val="0"/>
          <w:numId w:val="0"/>
        </w:numPr>
        <w:ind w:left="360"/>
      </w:pPr>
    </w:p>
    <w:p w14:paraId="68BA72F8" w14:textId="77777777" w:rsidR="009B0396" w:rsidRDefault="009B0396" w:rsidP="009B0396">
      <w:pPr>
        <w:pStyle w:val="mpcbullets2"/>
        <w:numPr>
          <w:ilvl w:val="0"/>
          <w:numId w:val="0"/>
        </w:numPr>
      </w:pPr>
      <w:r w:rsidRPr="00330CE4">
        <w:t xml:space="preserve">The TAG tested if there were any issues </w:t>
      </w:r>
      <w:r w:rsidRPr="00A445C9">
        <w:t>with</w:t>
      </w:r>
      <w:r w:rsidRPr="004A331D">
        <w:t xml:space="preserve"> respect to the treatment of saturated fat in the HSR Calculator. Analysis of the data in the TAG database shows that the vast majority of foods have a saturated fat conten</w:t>
      </w:r>
      <w:r w:rsidRPr="000F5DD3">
        <w:t>t of 10% or less. If the HSR Calculator was</w:t>
      </w:r>
      <w:r w:rsidRPr="00B979DC">
        <w:t xml:space="preserve"> adjusted to more strongly penalise foods with a saturated fat content greater than this, it would have minimal impact because the foods that have such saturated fat levels (creams, ice creams and high fat cheeses) already obtain low HSR</w:t>
      </w:r>
      <w:r w:rsidRPr="00C3393C">
        <w:t xml:space="preserve">s. If the HSR Calculator was adjusted to increase sensitivity to the saturated fat content of </w:t>
      </w:r>
      <w:r w:rsidRPr="006E0849">
        <w:t xml:space="preserve">foods containing 10% saturated fat or less, this would remove alignment with the NPSC that underpins the HSR Calculator. Noting the desirability of maintaining alignment with the NPSC, and the absence of identified problems with respect to the treatment of saturated fat, </w:t>
      </w:r>
      <w:r>
        <w:t>the Review has not recommended changes to the treatment of</w:t>
      </w:r>
      <w:r w:rsidRPr="00B97E4C">
        <w:t xml:space="preserve"> saturated fat</w:t>
      </w:r>
      <w:r>
        <w:t xml:space="preserve"> in the HSR Calculator.</w:t>
      </w:r>
    </w:p>
    <w:p w14:paraId="53D98AB4" w14:textId="77777777" w:rsidR="009B0396" w:rsidRDefault="009B0396" w:rsidP="009B0396">
      <w:pPr>
        <w:pStyle w:val="mpcbullets1"/>
        <w:numPr>
          <w:ilvl w:val="0"/>
          <w:numId w:val="0"/>
        </w:numPr>
        <w:ind w:left="360"/>
      </w:pPr>
    </w:p>
    <w:p w14:paraId="5BAB09D5" w14:textId="77777777" w:rsidR="009B0396" w:rsidRDefault="009B0396" w:rsidP="009B0396">
      <w:pPr>
        <w:pStyle w:val="mpcheading4"/>
      </w:pPr>
      <w:r>
        <w:t>How are salty snacks being addressed?</w:t>
      </w:r>
    </w:p>
    <w:p w14:paraId="4BA5268A" w14:textId="77777777" w:rsidR="009B0396" w:rsidRPr="00B16A1B" w:rsidRDefault="009B0396" w:rsidP="009B0396">
      <w:pPr>
        <w:pStyle w:val="mpcbullets2"/>
        <w:numPr>
          <w:ilvl w:val="0"/>
          <w:numId w:val="0"/>
        </w:numPr>
      </w:pPr>
    </w:p>
    <w:p w14:paraId="19C46722" w14:textId="77777777" w:rsidR="009B0396" w:rsidRDefault="009B0396" w:rsidP="009B0396">
      <w:pPr>
        <w:rPr>
          <w:rFonts w:cstheme="minorHAnsi"/>
          <w:sz w:val="22"/>
        </w:rPr>
      </w:pPr>
      <w:r w:rsidRPr="00F12138">
        <w:rPr>
          <w:rFonts w:cstheme="minorHAnsi"/>
          <w:sz w:val="22"/>
        </w:rPr>
        <w:t>Conce</w:t>
      </w:r>
      <w:r>
        <w:rPr>
          <w:rFonts w:cstheme="minorHAnsi"/>
          <w:sz w:val="22"/>
        </w:rPr>
        <w:t xml:space="preserve">rn </w:t>
      </w:r>
      <w:r w:rsidRPr="00F12138">
        <w:rPr>
          <w:rFonts w:cstheme="minorHAnsi"/>
          <w:sz w:val="22"/>
        </w:rPr>
        <w:t>has be</w:t>
      </w:r>
      <w:r>
        <w:rPr>
          <w:rFonts w:cstheme="minorHAnsi"/>
          <w:sz w:val="22"/>
        </w:rPr>
        <w:t>e</w:t>
      </w:r>
      <w:r w:rsidRPr="00F12138">
        <w:rPr>
          <w:rFonts w:cstheme="minorHAnsi"/>
          <w:sz w:val="22"/>
        </w:rPr>
        <w:t>n rai</w:t>
      </w:r>
      <w:r>
        <w:rPr>
          <w:rFonts w:cstheme="minorHAnsi"/>
          <w:sz w:val="22"/>
        </w:rPr>
        <w:t>s</w:t>
      </w:r>
      <w:r w:rsidRPr="00F12138">
        <w:rPr>
          <w:rFonts w:cstheme="minorHAnsi"/>
          <w:sz w:val="22"/>
        </w:rPr>
        <w:t>ed that th</w:t>
      </w:r>
      <w:r>
        <w:rPr>
          <w:rFonts w:cstheme="minorHAnsi"/>
          <w:sz w:val="22"/>
        </w:rPr>
        <w:t>e</w:t>
      </w:r>
      <w:r w:rsidRPr="00F12138">
        <w:rPr>
          <w:rFonts w:cstheme="minorHAnsi"/>
          <w:sz w:val="22"/>
        </w:rPr>
        <w:t xml:space="preserve"> HSR award</w:t>
      </w:r>
      <w:r>
        <w:rPr>
          <w:rFonts w:cstheme="minorHAnsi"/>
          <w:sz w:val="22"/>
        </w:rPr>
        <w:t>s</w:t>
      </w:r>
      <w:r w:rsidRPr="00F12138">
        <w:rPr>
          <w:rFonts w:cstheme="minorHAnsi"/>
          <w:sz w:val="22"/>
        </w:rPr>
        <w:t xml:space="preserve"> relatively high HSRs to some salty snacks despite their poor nutritional profile and status (in Australia) as a discretionary food. </w:t>
      </w:r>
    </w:p>
    <w:p w14:paraId="1EB54584" w14:textId="77777777" w:rsidR="009B0396" w:rsidRPr="00E0764F" w:rsidRDefault="009B0396" w:rsidP="009B0396">
      <w:pPr>
        <w:rPr>
          <w:rFonts w:cstheme="minorHAnsi"/>
          <w:sz w:val="22"/>
        </w:rPr>
      </w:pPr>
    </w:p>
    <w:p w14:paraId="2B389B57" w14:textId="77777777" w:rsidR="009B0396" w:rsidRDefault="009B0396" w:rsidP="009B0396">
      <w:pPr>
        <w:pStyle w:val="mpcbullets2"/>
        <w:numPr>
          <w:ilvl w:val="0"/>
          <w:numId w:val="0"/>
        </w:numPr>
      </w:pPr>
      <w:r>
        <w:t>The Review does not recommend making adjustments to the HSR Calculator to specifically target salty snacks because:</w:t>
      </w:r>
    </w:p>
    <w:p w14:paraId="35AC2FE6" w14:textId="77777777" w:rsidR="009B0396" w:rsidRDefault="009B0396" w:rsidP="009B0396">
      <w:pPr>
        <w:pStyle w:val="mpcbullets2"/>
        <w:numPr>
          <w:ilvl w:val="0"/>
          <w:numId w:val="0"/>
        </w:numPr>
      </w:pPr>
    </w:p>
    <w:p w14:paraId="29B6557C" w14:textId="77777777" w:rsidR="009B0396" w:rsidRDefault="009B0396" w:rsidP="009B0396">
      <w:pPr>
        <w:pStyle w:val="mpcbullets2"/>
        <w:keepNext w:val="0"/>
        <w:numPr>
          <w:ilvl w:val="0"/>
          <w:numId w:val="42"/>
        </w:numPr>
        <w:contextualSpacing/>
      </w:pPr>
      <w:r>
        <w:t>TAG modelling shows that the HSR System currently discriminates well between more-healthy and less-healthy salty snacks, awarding higher HSRs to products with lower fat and/or salt, and higher protein, fibre and/or FVNL content. The salty snacks receiving a higher HSR (such as corn chips, wasabi peas, popcorn and some vegetable crisps) represent healthier versions within this category</w:t>
      </w:r>
    </w:p>
    <w:p w14:paraId="52FA4219" w14:textId="77777777" w:rsidR="009B0396" w:rsidRDefault="009B0396" w:rsidP="009B0396">
      <w:pPr>
        <w:pStyle w:val="mpcbullets2"/>
        <w:keepNext w:val="0"/>
        <w:numPr>
          <w:ilvl w:val="0"/>
          <w:numId w:val="42"/>
        </w:numPr>
        <w:contextualSpacing/>
      </w:pPr>
      <w:r>
        <w:t>changes specifically tailored to reducing the HSR of salty snacks would:</w:t>
      </w:r>
    </w:p>
    <w:p w14:paraId="65C6A0EE" w14:textId="77777777" w:rsidR="009B0396" w:rsidRDefault="009B0396" w:rsidP="009B0396">
      <w:pPr>
        <w:pStyle w:val="mpcbullets2"/>
        <w:keepNext w:val="0"/>
        <w:numPr>
          <w:ilvl w:val="0"/>
          <w:numId w:val="44"/>
        </w:numPr>
        <w:contextualSpacing/>
      </w:pPr>
      <w:r>
        <w:t xml:space="preserve">disadvantage products that may have nutritional value from </w:t>
      </w:r>
      <w:r w:rsidRPr="0018523D">
        <w:t>protein, fibre and/or FVNL</w:t>
      </w:r>
      <w:r>
        <w:t xml:space="preserve">, providing limited differentiation between like products </w:t>
      </w:r>
    </w:p>
    <w:p w14:paraId="1018C13A" w14:textId="77777777" w:rsidR="009B0396" w:rsidRDefault="009B0396" w:rsidP="009B0396">
      <w:pPr>
        <w:pStyle w:val="mpcbullets2"/>
        <w:keepNext w:val="0"/>
        <w:numPr>
          <w:ilvl w:val="0"/>
          <w:numId w:val="44"/>
        </w:numPr>
        <w:contextualSpacing/>
      </w:pPr>
      <w:r>
        <w:t>require a definition of ‘salty snacks’ within Category 2 which would be challenging</w:t>
      </w:r>
    </w:p>
    <w:p w14:paraId="20B97DBA" w14:textId="77777777" w:rsidR="009B0396" w:rsidRDefault="009B0396" w:rsidP="009B0396">
      <w:pPr>
        <w:pStyle w:val="mpcbullets2"/>
        <w:keepNext w:val="0"/>
        <w:numPr>
          <w:ilvl w:val="0"/>
          <w:numId w:val="44"/>
        </w:numPr>
        <w:contextualSpacing/>
      </w:pPr>
      <w:r>
        <w:t xml:space="preserve">impact on the logic of the HSR System, which aims to provide an overall </w:t>
      </w:r>
      <w:r w:rsidRPr="00E6379D">
        <w:t xml:space="preserve">view of a product based on a combination of </w:t>
      </w:r>
      <w:r>
        <w:t>components, rather than on one nutrient (salt).</w:t>
      </w:r>
    </w:p>
    <w:p w14:paraId="07191021" w14:textId="77777777" w:rsidR="009B0396" w:rsidRDefault="009B0396" w:rsidP="009B0396">
      <w:pPr>
        <w:pStyle w:val="mpcbullets2"/>
        <w:numPr>
          <w:ilvl w:val="0"/>
          <w:numId w:val="0"/>
        </w:numPr>
      </w:pPr>
    </w:p>
    <w:p w14:paraId="678C875F" w14:textId="77777777" w:rsidR="009B0396" w:rsidRPr="00EE0D83" w:rsidRDefault="009B0396" w:rsidP="009B0396">
      <w:pPr>
        <w:pStyle w:val="mpcbullets2"/>
        <w:numPr>
          <w:ilvl w:val="0"/>
          <w:numId w:val="0"/>
        </w:numPr>
      </w:pPr>
      <w:r>
        <w:t>Rather than propose changes specifically to address salty snacks, a change has been proposed to the upper sodium limit for all foods (which will impact some but not all salty snacks). Stakeholder advice is also sought on an additional proposal that would impact products with less than 900mg of sodium including salty snacks and processed meats. This is discussed in more detail in Chapter 5 of the Review Report.</w:t>
      </w:r>
    </w:p>
    <w:p w14:paraId="208D712D" w14:textId="5D8A336B" w:rsidR="004F7D86" w:rsidRPr="00CC1ADD" w:rsidRDefault="009B0396" w:rsidP="009B0396">
      <w:pPr>
        <w:pStyle w:val="mpcheading1"/>
        <w:rPr>
          <w:i/>
        </w:rPr>
      </w:pPr>
      <w:r>
        <w:br w:type="column"/>
      </w:r>
      <w:bookmarkStart w:id="203" w:name="Glossary"/>
      <w:bookmarkStart w:id="204" w:name="_Toc1746537"/>
      <w:bookmarkEnd w:id="203"/>
      <w:r w:rsidR="004F7D86" w:rsidRPr="00CC1ADD">
        <w:t>Glossary</w:t>
      </w:r>
      <w:bookmarkEnd w:id="204"/>
    </w:p>
    <w:tbl>
      <w:tblPr>
        <w:tblStyle w:val="TableGrid"/>
        <w:tblW w:w="5000" w:type="pct"/>
        <w:tblCellMar>
          <w:top w:w="57" w:type="dxa"/>
          <w:bottom w:w="57" w:type="dxa"/>
        </w:tblCellMar>
        <w:tblLook w:val="04A0" w:firstRow="1" w:lastRow="0" w:firstColumn="1" w:lastColumn="0" w:noHBand="0" w:noVBand="1"/>
        <w:tblCaption w:val="Table 1: Glossary"/>
        <w:tblDescription w:val="Table 1 provides a glossary of definitions for terms used in this Consultation Paper."/>
      </w:tblPr>
      <w:tblGrid>
        <w:gridCol w:w="1980"/>
        <w:gridCol w:w="7756"/>
      </w:tblGrid>
      <w:tr w:rsidR="004F7D86" w:rsidRPr="00CC1ADD" w14:paraId="6D8385E3" w14:textId="77777777" w:rsidTr="004F7D86">
        <w:trPr>
          <w:tblHeader/>
        </w:trPr>
        <w:tc>
          <w:tcPr>
            <w:tcW w:w="1017" w:type="pct"/>
            <w:shd w:val="clear" w:color="auto" w:fill="516A8E"/>
          </w:tcPr>
          <w:p w14:paraId="6D3B9081" w14:textId="77777777" w:rsidR="004F7D86" w:rsidRPr="00CC1ADD" w:rsidRDefault="004F7D86">
            <w:pPr>
              <w:rPr>
                <w:rFonts w:cstheme="minorHAnsi"/>
                <w:b/>
                <w:color w:val="FFFFFF" w:themeColor="background1"/>
                <w:sz w:val="20"/>
                <w:szCs w:val="20"/>
              </w:rPr>
            </w:pPr>
            <w:bookmarkStart w:id="205" w:name="Term"/>
            <w:bookmarkEnd w:id="205"/>
            <w:r w:rsidRPr="00CC1ADD">
              <w:rPr>
                <w:rFonts w:cstheme="minorHAnsi"/>
                <w:b/>
                <w:color w:val="FFFFFF" w:themeColor="background1"/>
                <w:sz w:val="20"/>
                <w:szCs w:val="20"/>
              </w:rPr>
              <w:t>Term</w:t>
            </w:r>
          </w:p>
        </w:tc>
        <w:tc>
          <w:tcPr>
            <w:tcW w:w="3983" w:type="pct"/>
            <w:shd w:val="clear" w:color="auto" w:fill="516A8E"/>
          </w:tcPr>
          <w:p w14:paraId="212397CE" w14:textId="77777777" w:rsidR="004F7D86" w:rsidRPr="00CC1ADD" w:rsidRDefault="004F7D86">
            <w:pPr>
              <w:rPr>
                <w:rFonts w:cstheme="minorHAnsi"/>
                <w:b/>
                <w:color w:val="FFFFFF" w:themeColor="background1"/>
                <w:sz w:val="20"/>
                <w:szCs w:val="20"/>
              </w:rPr>
            </w:pPr>
            <w:r w:rsidRPr="00CC1ADD">
              <w:rPr>
                <w:rFonts w:cstheme="minorHAnsi"/>
                <w:b/>
                <w:color w:val="FFFFFF" w:themeColor="background1"/>
                <w:sz w:val="20"/>
                <w:szCs w:val="20"/>
              </w:rPr>
              <w:t>Meaning</w:t>
            </w:r>
          </w:p>
        </w:tc>
      </w:tr>
      <w:tr w:rsidR="004F7D86" w:rsidRPr="00CC1ADD" w14:paraId="163C81D3" w14:textId="77777777" w:rsidTr="004F7D86">
        <w:tc>
          <w:tcPr>
            <w:tcW w:w="1017" w:type="pct"/>
          </w:tcPr>
          <w:p w14:paraId="69B43D50"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Australia and New Zealand Ministerial Forum on Food Regulation </w:t>
            </w:r>
          </w:p>
          <w:p w14:paraId="42A11CF9" w14:textId="77777777" w:rsidR="004F7D86" w:rsidRPr="00CC1ADD" w:rsidRDefault="004F7D86">
            <w:pPr>
              <w:pStyle w:val="mpctabletext"/>
              <w:spacing w:before="60" w:after="60"/>
              <w:rPr>
                <w:rFonts w:cstheme="minorHAnsi"/>
                <w:b/>
                <w:color w:val="000000" w:themeColor="text1"/>
                <w:szCs w:val="20"/>
              </w:rPr>
            </w:pPr>
            <w:r w:rsidRPr="00CC1ADD">
              <w:rPr>
                <w:rFonts w:cstheme="minorHAnsi"/>
                <w:b/>
                <w:color w:val="000000" w:themeColor="text1"/>
                <w:szCs w:val="20"/>
              </w:rPr>
              <w:t>(The Forum)</w:t>
            </w:r>
          </w:p>
        </w:tc>
        <w:tc>
          <w:tcPr>
            <w:tcW w:w="3983" w:type="pct"/>
          </w:tcPr>
          <w:p w14:paraId="39E16069" w14:textId="77777777" w:rsidR="004F7D86" w:rsidRPr="00CC1ADD" w:rsidRDefault="00276EB3">
            <w:pPr>
              <w:rPr>
                <w:rFonts w:cstheme="minorHAnsi"/>
                <w:color w:val="000000" w:themeColor="text1"/>
                <w:sz w:val="20"/>
                <w:szCs w:val="20"/>
              </w:rPr>
            </w:pPr>
            <w:hyperlink r:id="rId133" w:history="1">
              <w:r w:rsidR="004F7D86" w:rsidRPr="00CC1ADD">
                <w:rPr>
                  <w:rFonts w:cstheme="minorHAnsi"/>
                  <w:color w:val="000000" w:themeColor="text1"/>
                  <w:sz w:val="20"/>
                  <w:szCs w:val="20"/>
                </w:rPr>
                <w:t>The</w:t>
              </w:r>
            </w:hyperlink>
            <w:r w:rsidR="004F7D86" w:rsidRPr="00CC1ADD">
              <w:rPr>
                <w:rFonts w:cstheme="minorHAnsi"/>
                <w:color w:val="000000" w:themeColor="text1"/>
                <w:sz w:val="20"/>
                <w:szCs w:val="20"/>
              </w:rPr>
              <w:t xml:space="preserve"> Forum has general oversight of the implementation of food standards, develops policy guidelines and promotes harmonised standards between Australia and New Zealand. </w:t>
            </w:r>
            <w:hyperlink r:id="rId134" w:tgtFrame="_blank" w:history="1">
              <w:r w:rsidR="004F7D86" w:rsidRPr="00CC1ADD">
                <w:rPr>
                  <w:rFonts w:cstheme="minorHAnsi"/>
                  <w:color w:val="000000" w:themeColor="text1"/>
                  <w:sz w:val="20"/>
                  <w:szCs w:val="20"/>
                </w:rPr>
                <w:t>Forum membership</w:t>
              </w:r>
            </w:hyperlink>
            <w:r w:rsidR="004F7D86" w:rsidRPr="00CC1ADD">
              <w:rPr>
                <w:rFonts w:cstheme="minorHAnsi"/>
                <w:color w:val="000000" w:themeColor="text1"/>
                <w:sz w:val="20"/>
                <w:szCs w:val="20"/>
              </w:rPr>
              <w:t xml:space="preserve"> is made up of lead ministers (usually health ministers) from Australian state and territory governments and the Australian and New Zealand governments. </w:t>
            </w:r>
          </w:p>
        </w:tc>
      </w:tr>
      <w:tr w:rsidR="004F7D86" w:rsidRPr="00CC1ADD" w14:paraId="1955E990" w14:textId="77777777" w:rsidTr="004F7D86">
        <w:tc>
          <w:tcPr>
            <w:tcW w:w="1017" w:type="pct"/>
          </w:tcPr>
          <w:p w14:paraId="2A4D41C9" w14:textId="77777777" w:rsidR="004F7D86" w:rsidRPr="00CC1ADD" w:rsidRDefault="004F7D86" w:rsidP="005A3631">
            <w:pPr>
              <w:pStyle w:val="mpctabletext"/>
              <w:spacing w:before="60" w:after="60"/>
              <w:rPr>
                <w:rFonts w:cstheme="minorHAnsi"/>
                <w:b/>
                <w:szCs w:val="20"/>
              </w:rPr>
            </w:pPr>
            <w:r w:rsidRPr="00CC1ADD">
              <w:rPr>
                <w:rFonts w:cstheme="minorHAnsi"/>
                <w:b/>
                <w:szCs w:val="20"/>
              </w:rPr>
              <w:t>Australian Dietary Guidelines 2013 (ADG)</w:t>
            </w:r>
          </w:p>
        </w:tc>
        <w:tc>
          <w:tcPr>
            <w:tcW w:w="3983" w:type="pct"/>
          </w:tcPr>
          <w:p w14:paraId="70E19675" w14:textId="77777777" w:rsidR="004F7D86" w:rsidRPr="00CC1ADD" w:rsidRDefault="004F7D86">
            <w:pPr>
              <w:pStyle w:val="mpctabletext"/>
              <w:spacing w:before="60" w:after="60"/>
              <w:rPr>
                <w:rFonts w:cstheme="minorHAnsi"/>
                <w:b/>
                <w:szCs w:val="20"/>
              </w:rPr>
            </w:pPr>
            <w:r w:rsidRPr="00CC1ADD">
              <w:rPr>
                <w:rFonts w:cstheme="minorHAnsi"/>
                <w:color w:val="000000" w:themeColor="text1"/>
                <w:szCs w:val="20"/>
              </w:rPr>
              <w:t xml:space="preserve">The </w:t>
            </w:r>
            <w:hyperlink r:id="rId135" w:history="1">
              <w:r w:rsidRPr="00CC1ADD">
                <w:rPr>
                  <w:rStyle w:val="Hyperlink"/>
                  <w:rFonts w:cstheme="minorHAnsi"/>
                  <w:szCs w:val="20"/>
                </w:rPr>
                <w:t>ADG</w:t>
              </w:r>
            </w:hyperlink>
            <w:r w:rsidRPr="00CC1ADD">
              <w:rPr>
                <w:rFonts w:cstheme="minorHAnsi"/>
                <w:color w:val="000000" w:themeColor="text1"/>
                <w:szCs w:val="20"/>
              </w:rPr>
              <w:t xml:space="preserve"> provide advice about the amount and types of foods that should be eaten for health and wellbeing, with recommendations based on scientific evidence.</w:t>
            </w:r>
          </w:p>
        </w:tc>
      </w:tr>
      <w:tr w:rsidR="004F7D86" w:rsidRPr="00CC1ADD" w14:paraId="0993F956" w14:textId="77777777" w:rsidTr="00DD78A3">
        <w:trPr>
          <w:trHeight w:val="832"/>
        </w:trPr>
        <w:tc>
          <w:tcPr>
            <w:tcW w:w="1017" w:type="pct"/>
          </w:tcPr>
          <w:p w14:paraId="0FEDF1E3" w14:textId="77777777" w:rsidR="004F7D86" w:rsidRPr="00CC1ADD" w:rsidRDefault="004F7D86" w:rsidP="005A3631">
            <w:pPr>
              <w:pStyle w:val="mpctabletext"/>
              <w:spacing w:before="60" w:after="60"/>
              <w:rPr>
                <w:rFonts w:cstheme="minorHAnsi"/>
                <w:b/>
                <w:szCs w:val="20"/>
              </w:rPr>
            </w:pPr>
            <w:r w:rsidRPr="00CC1ADD">
              <w:rPr>
                <w:rFonts w:cstheme="minorHAnsi"/>
                <w:b/>
                <w:szCs w:val="20"/>
              </w:rPr>
              <w:t>Australian Guide to Healthy Eating (AGHE)</w:t>
            </w:r>
          </w:p>
        </w:tc>
        <w:tc>
          <w:tcPr>
            <w:tcW w:w="3983" w:type="pct"/>
          </w:tcPr>
          <w:p w14:paraId="66DEBA0A" w14:textId="7CDBA62F" w:rsidR="004F7D86" w:rsidRPr="00CC1ADD" w:rsidRDefault="004F7D86">
            <w:pPr>
              <w:rPr>
                <w:rFonts w:cstheme="minorHAnsi"/>
                <w:color w:val="000000" w:themeColor="text1"/>
                <w:sz w:val="20"/>
                <w:szCs w:val="20"/>
              </w:rPr>
            </w:pPr>
            <w:r w:rsidRPr="00CC1ADD">
              <w:rPr>
                <w:rFonts w:cstheme="minorHAnsi"/>
                <w:color w:val="000000" w:themeColor="text1"/>
                <w:sz w:val="20"/>
                <w:szCs w:val="20"/>
              </w:rPr>
              <w:t xml:space="preserve">The </w:t>
            </w:r>
            <w:hyperlink r:id="rId136" w:history="1">
              <w:r w:rsidRPr="00CC1ADD">
                <w:rPr>
                  <w:rStyle w:val="Hyperlink"/>
                  <w:rFonts w:cstheme="minorHAnsi"/>
                  <w:sz w:val="20"/>
                  <w:szCs w:val="20"/>
                </w:rPr>
                <w:t>AGHE</w:t>
              </w:r>
            </w:hyperlink>
            <w:r w:rsidRPr="00CC1ADD">
              <w:rPr>
                <w:rFonts w:cstheme="minorHAnsi"/>
                <w:color w:val="000000" w:themeColor="text1"/>
                <w:sz w:val="20"/>
                <w:szCs w:val="20"/>
              </w:rPr>
              <w:t xml:space="preserve"> is a food selection guide which visually represents the proportion of the five food groups recommended for consumption each day.</w:t>
            </w:r>
          </w:p>
        </w:tc>
      </w:tr>
      <w:tr w:rsidR="004F7D86" w:rsidRPr="00CC1ADD" w14:paraId="38E8527A" w14:textId="77777777" w:rsidTr="004F7D86">
        <w:tc>
          <w:tcPr>
            <w:tcW w:w="1017" w:type="pct"/>
          </w:tcPr>
          <w:p w14:paraId="0CD11AB5" w14:textId="77777777" w:rsidR="004F7D86" w:rsidRPr="00CC1ADD" w:rsidRDefault="004F7D86" w:rsidP="005A3631">
            <w:pPr>
              <w:pStyle w:val="mpctabletext"/>
              <w:spacing w:before="60" w:after="60"/>
              <w:rPr>
                <w:rFonts w:cstheme="minorHAnsi"/>
                <w:b/>
                <w:szCs w:val="20"/>
              </w:rPr>
            </w:pPr>
            <w:r w:rsidRPr="00CC1ADD">
              <w:rPr>
                <w:rFonts w:cstheme="minorHAnsi"/>
                <w:b/>
                <w:szCs w:val="20"/>
              </w:rPr>
              <w:t>Australian Health Survey 2011-13 (AHS)</w:t>
            </w:r>
          </w:p>
        </w:tc>
        <w:tc>
          <w:tcPr>
            <w:tcW w:w="3983" w:type="pct"/>
          </w:tcPr>
          <w:p w14:paraId="4CFA49A6"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The </w:t>
            </w:r>
            <w:hyperlink r:id="rId137" w:history="1">
              <w:r w:rsidRPr="00CC1ADD">
                <w:rPr>
                  <w:rStyle w:val="Hyperlink"/>
                  <w:rFonts w:cstheme="minorHAnsi"/>
                  <w:szCs w:val="20"/>
                </w:rPr>
                <w:t>AHS</w:t>
              </w:r>
            </w:hyperlink>
            <w:r w:rsidRPr="00CC1ADD">
              <w:rPr>
                <w:rFonts w:cstheme="minorHAnsi"/>
                <w:color w:val="000000" w:themeColor="text1"/>
                <w:szCs w:val="20"/>
              </w:rPr>
              <w:t xml:space="preserve"> is the largest and most comprehensive health survey conducted in Australia. The AHS was undertaken by the Australian Bureau of Statistics (ABS) and collected a range of information about health-related issues. </w:t>
            </w:r>
          </w:p>
        </w:tc>
      </w:tr>
      <w:tr w:rsidR="004F7D86" w:rsidRPr="00CC1ADD" w14:paraId="7E7333A2" w14:textId="77777777" w:rsidTr="004F7D86">
        <w:tc>
          <w:tcPr>
            <w:tcW w:w="1017" w:type="pct"/>
          </w:tcPr>
          <w:p w14:paraId="43B0DEBF"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szCs w:val="20"/>
              </w:rPr>
              <w:t>AHS Discretionary Foods List</w:t>
            </w:r>
          </w:p>
        </w:tc>
        <w:tc>
          <w:tcPr>
            <w:tcW w:w="3983" w:type="pct"/>
          </w:tcPr>
          <w:p w14:paraId="735E29B7"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The </w:t>
            </w:r>
            <w:hyperlink r:id="rId138" w:history="1">
              <w:r w:rsidRPr="00CC1ADD">
                <w:rPr>
                  <w:rStyle w:val="Hyperlink"/>
                  <w:rFonts w:cstheme="minorHAnsi"/>
                  <w:szCs w:val="20"/>
                </w:rPr>
                <w:t>AHS Discretionary Foods List</w:t>
              </w:r>
            </w:hyperlink>
            <w:r w:rsidRPr="00CC1ADD">
              <w:rPr>
                <w:rFonts w:cstheme="minorHAnsi"/>
                <w:color w:val="000000" w:themeColor="text1"/>
                <w:szCs w:val="20"/>
              </w:rPr>
              <w:t xml:space="preserve"> was developed by the ABS in 2014 for the purpose of the 2011-12 National Nutrition and Physical Activity Survey. It classifies foods as discretionary based on the ADG. </w:t>
            </w:r>
          </w:p>
        </w:tc>
      </w:tr>
      <w:tr w:rsidR="004F7D86" w:rsidRPr="00CC1ADD" w14:paraId="1F819E5D" w14:textId="77777777" w:rsidTr="004F7D86">
        <w:tc>
          <w:tcPr>
            <w:tcW w:w="1017" w:type="pct"/>
          </w:tcPr>
          <w:p w14:paraId="2490CC42" w14:textId="77777777" w:rsidR="004F7D86" w:rsidRPr="00CC1ADD" w:rsidRDefault="004F7D86" w:rsidP="005A3631">
            <w:pPr>
              <w:pStyle w:val="mpctabletext"/>
              <w:spacing w:before="60" w:after="60"/>
              <w:rPr>
                <w:rFonts w:cstheme="minorHAnsi"/>
                <w:b/>
                <w:szCs w:val="20"/>
              </w:rPr>
            </w:pPr>
            <w:r w:rsidRPr="00CC1ADD">
              <w:rPr>
                <w:rFonts w:cstheme="minorHAnsi"/>
                <w:b/>
                <w:szCs w:val="20"/>
              </w:rPr>
              <w:t>Australian Health Ministers’ Advisory Council (AHMAC)</w:t>
            </w:r>
          </w:p>
        </w:tc>
        <w:tc>
          <w:tcPr>
            <w:tcW w:w="3983" w:type="pct"/>
          </w:tcPr>
          <w:p w14:paraId="61F8C3EF"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Advisory and support body to the Council of Australian Governments (COAG) Health Council.</w:t>
            </w:r>
          </w:p>
        </w:tc>
      </w:tr>
      <w:tr w:rsidR="004F7D86" w:rsidRPr="00CC1ADD" w14:paraId="591CC6D0" w14:textId="77777777" w:rsidTr="004F7D86">
        <w:tc>
          <w:tcPr>
            <w:tcW w:w="1017" w:type="pct"/>
          </w:tcPr>
          <w:p w14:paraId="4AA516E6"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szCs w:val="20"/>
              </w:rPr>
              <w:t>Australia New Zealand Foods Standards Code (the Code)</w:t>
            </w:r>
          </w:p>
        </w:tc>
        <w:tc>
          <w:tcPr>
            <w:tcW w:w="3983" w:type="pct"/>
          </w:tcPr>
          <w:p w14:paraId="674B9194" w14:textId="1C4AE432"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The standards in </w:t>
            </w:r>
            <w:hyperlink r:id="rId139" w:history="1">
              <w:r w:rsidRPr="00CC1ADD">
                <w:rPr>
                  <w:rStyle w:val="Hyperlink"/>
                  <w:rFonts w:cstheme="minorHAnsi"/>
                  <w:szCs w:val="20"/>
                </w:rPr>
                <w:t>the Code</w:t>
              </w:r>
            </w:hyperlink>
            <w:r w:rsidRPr="00CC1ADD">
              <w:rPr>
                <w:rFonts w:cstheme="minorHAnsi"/>
                <w:color w:val="000000" w:themeColor="text1"/>
                <w:szCs w:val="20"/>
              </w:rPr>
              <w:t xml:space="preserve"> are legislative instruments and include standards for food safety, food composition and labelling and foods that need pre-approval such as genetically modified foods. The Code sets out regulatory requirements for food labelling and other information requirements on foods, plus food standards for: substances that can be added to or present in food; contaminants and resides; foods requiring pre-market clearance; microbiological limits; specific standards for food categories; food safety and primary production standards (Australia only).</w:t>
            </w:r>
          </w:p>
        </w:tc>
      </w:tr>
      <w:tr w:rsidR="004F7D86" w:rsidRPr="00CC1ADD" w14:paraId="20FA8CFC" w14:textId="77777777" w:rsidTr="004F7D86">
        <w:tc>
          <w:tcPr>
            <w:tcW w:w="1017" w:type="pct"/>
          </w:tcPr>
          <w:p w14:paraId="4003F08E"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szCs w:val="20"/>
              </w:rPr>
              <w:t xml:space="preserve">Baseline points </w:t>
            </w:r>
          </w:p>
        </w:tc>
        <w:tc>
          <w:tcPr>
            <w:tcW w:w="3983" w:type="pct"/>
          </w:tcPr>
          <w:p w14:paraId="72304D00"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In the NPSC system, b</w:t>
            </w:r>
            <w:r w:rsidRPr="00CC1ADD" w:rsidDel="00EE3546">
              <w:rPr>
                <w:rFonts w:cstheme="minorHAnsi"/>
                <w:color w:val="000000" w:themeColor="text1"/>
                <w:szCs w:val="20"/>
              </w:rPr>
              <w:t xml:space="preserve">aseline points are </w:t>
            </w:r>
            <w:r w:rsidRPr="00CC1ADD">
              <w:rPr>
                <w:rFonts w:cstheme="minorHAnsi"/>
                <w:color w:val="000000" w:themeColor="text1"/>
                <w:szCs w:val="20"/>
              </w:rPr>
              <w:t>allocated for the negative components considered in that system (energy, saturated fatty acids, total sugars and sodium).</w:t>
            </w:r>
          </w:p>
          <w:p w14:paraId="4206FBE6" w14:textId="77777777" w:rsidR="004F7D86" w:rsidRPr="00CC1ADD" w:rsidRDefault="004F7D86">
            <w:pPr>
              <w:pStyle w:val="mpctabletext"/>
              <w:spacing w:before="60" w:after="60"/>
              <w:rPr>
                <w:rFonts w:cstheme="minorHAnsi"/>
                <w:b/>
                <w:color w:val="000000" w:themeColor="text1"/>
                <w:szCs w:val="20"/>
              </w:rPr>
            </w:pPr>
            <w:r w:rsidRPr="00CC1ADD">
              <w:rPr>
                <w:rFonts w:cstheme="minorHAnsi"/>
                <w:color w:val="000000" w:themeColor="text1"/>
                <w:szCs w:val="20"/>
              </w:rPr>
              <w:t>In the HSR Calculator, baseline points are allocated to these same risk-associated components (energy, saturated fatty acids, total sugars and sodium). HSR baseline points contribute inversely to the final HSR.</w:t>
            </w:r>
          </w:p>
        </w:tc>
      </w:tr>
      <w:tr w:rsidR="004F7D86" w:rsidRPr="00CC1ADD" w14:paraId="68B447A3" w14:textId="77777777" w:rsidTr="004F7D86">
        <w:tc>
          <w:tcPr>
            <w:tcW w:w="1017" w:type="pct"/>
          </w:tcPr>
          <w:p w14:paraId="46FF5EA3"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Category 1 </w:t>
            </w:r>
          </w:p>
        </w:tc>
        <w:tc>
          <w:tcPr>
            <w:tcW w:w="3983" w:type="pct"/>
          </w:tcPr>
          <w:p w14:paraId="4DDE6ACE" w14:textId="7B2FADE1"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w:t>
            </w:r>
            <w:r w:rsidRPr="00CC1ADD">
              <w:rPr>
                <w:rFonts w:cstheme="minorHAnsi"/>
                <w:color w:val="000000" w:themeColor="text1"/>
                <w:szCs w:val="20"/>
              </w:rPr>
              <w:t>ategory that covers beverages other than dairy beverages and alcoholic beverages.</w:t>
            </w:r>
          </w:p>
        </w:tc>
      </w:tr>
      <w:tr w:rsidR="004F7D86" w:rsidRPr="00CC1ADD" w14:paraId="62B2BC0E" w14:textId="77777777" w:rsidTr="004F7D86">
        <w:tc>
          <w:tcPr>
            <w:tcW w:w="1017" w:type="pct"/>
          </w:tcPr>
          <w:p w14:paraId="672D1A25"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Category 1D</w:t>
            </w:r>
          </w:p>
        </w:tc>
        <w:tc>
          <w:tcPr>
            <w:tcW w:w="3983" w:type="pct"/>
          </w:tcPr>
          <w:p w14:paraId="4850E6CA" w14:textId="6F2E798F"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ca</w:t>
            </w:r>
            <w:r w:rsidR="00153CBD" w:rsidRPr="00CC1ADD">
              <w:rPr>
                <w:rFonts w:cstheme="minorHAnsi"/>
                <w:color w:val="000000" w:themeColor="text1"/>
                <w:szCs w:val="20"/>
              </w:rPr>
              <w:t xml:space="preserve">tegory </w:t>
            </w:r>
            <w:r w:rsidRPr="00CC1ADD">
              <w:rPr>
                <w:rFonts w:cstheme="minorHAnsi"/>
                <w:color w:val="000000" w:themeColor="text1"/>
                <w:szCs w:val="20"/>
              </w:rPr>
              <w:t>that covers dairy beverages that meet the calcium content requirements of Schedule 4 of Standard 1.2.7 of the Code. Category 1D may include milk and dairy beverage alternatives derived from legumes, cereals, nuts or seeds, providing they meet the criterion for calcium content.</w:t>
            </w:r>
          </w:p>
        </w:tc>
      </w:tr>
      <w:tr w:rsidR="004F7D86" w:rsidRPr="00CC1ADD" w14:paraId="5A002DEF" w14:textId="77777777" w:rsidTr="004F7D86">
        <w:tc>
          <w:tcPr>
            <w:tcW w:w="1017" w:type="pct"/>
          </w:tcPr>
          <w:p w14:paraId="7DE55BC5"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Category 2 </w:t>
            </w:r>
          </w:p>
        </w:tc>
        <w:tc>
          <w:tcPr>
            <w:tcW w:w="3983" w:type="pct"/>
          </w:tcPr>
          <w:p w14:paraId="62FE89FA" w14:textId="64FA67A5"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w:t>
            </w:r>
            <w:r w:rsidRPr="00CC1ADD">
              <w:rPr>
                <w:rFonts w:cstheme="minorHAnsi"/>
                <w:color w:val="000000" w:themeColor="text1"/>
                <w:szCs w:val="20"/>
              </w:rPr>
              <w:t>ategory that covers all foods other than those in Categories 1 and 1D, 2D, 3 and 3D.</w:t>
            </w:r>
          </w:p>
        </w:tc>
      </w:tr>
      <w:tr w:rsidR="004F7D86" w:rsidRPr="00CC1ADD" w14:paraId="1BFA319A" w14:textId="77777777" w:rsidTr="004F7D86">
        <w:tc>
          <w:tcPr>
            <w:tcW w:w="1017" w:type="pct"/>
          </w:tcPr>
          <w:p w14:paraId="53EF1C2A"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Category 2D </w:t>
            </w:r>
          </w:p>
        </w:tc>
        <w:tc>
          <w:tcPr>
            <w:tcW w:w="3983" w:type="pct"/>
          </w:tcPr>
          <w:p w14:paraId="17185825" w14:textId="75671927"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w:t>
            </w:r>
            <w:r w:rsidRPr="00CC1ADD">
              <w:rPr>
                <w:rFonts w:cstheme="minorHAnsi"/>
                <w:color w:val="000000" w:themeColor="text1"/>
                <w:szCs w:val="20"/>
              </w:rPr>
              <w:t>ategory that covers dairy foods other than those included in Categories 1D or 3D. This may include all cheeses with a calcium content ≤ 320mg/100g, yoghurt and other fermented milk products. Category 2D may include cheese and yoghurt alternatives derived from legumes providing the cheeses meet the criterion for 2D foods for calcium content.</w:t>
            </w:r>
          </w:p>
        </w:tc>
      </w:tr>
      <w:tr w:rsidR="004F7D86" w:rsidRPr="00CC1ADD" w14:paraId="62013AA6" w14:textId="77777777" w:rsidTr="004F7D86">
        <w:tc>
          <w:tcPr>
            <w:tcW w:w="1017" w:type="pct"/>
          </w:tcPr>
          <w:p w14:paraId="684D9039"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Category 3 </w:t>
            </w:r>
          </w:p>
        </w:tc>
        <w:tc>
          <w:tcPr>
            <w:tcW w:w="3983" w:type="pct"/>
          </w:tcPr>
          <w:p w14:paraId="02A2CC27" w14:textId="0F3CE2CF"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w:t>
            </w:r>
            <w:r w:rsidRPr="00CC1ADD">
              <w:rPr>
                <w:rFonts w:cstheme="minorHAnsi"/>
                <w:color w:val="000000" w:themeColor="text1"/>
                <w:szCs w:val="20"/>
              </w:rPr>
              <w:t>ategory that covers oils and spreads, defined as follows in the Code:</w:t>
            </w:r>
          </w:p>
          <w:p w14:paraId="3A7EA7CB" w14:textId="77777777" w:rsidR="004F7D86" w:rsidRPr="00CC1ADD" w:rsidRDefault="004F7D86" w:rsidP="00C3403E">
            <w:pPr>
              <w:pStyle w:val="FSBullet"/>
              <w:numPr>
                <w:ilvl w:val="0"/>
                <w:numId w:val="35"/>
              </w:numPr>
              <w:spacing w:before="0" w:after="0"/>
              <w:ind w:left="357" w:hanging="357"/>
              <w:rPr>
                <w:rFonts w:asciiTheme="minorHAnsi" w:eastAsiaTheme="minorHAnsi" w:hAnsiTheme="minorHAnsi" w:cstheme="minorHAnsi"/>
                <w:sz w:val="20"/>
                <w:szCs w:val="20"/>
                <w:lang w:val="en-AU"/>
              </w:rPr>
            </w:pPr>
            <w:r w:rsidRPr="00CC1ADD">
              <w:rPr>
                <w:rFonts w:asciiTheme="minorHAnsi" w:eastAsiaTheme="minorHAnsi" w:hAnsiTheme="minorHAnsi" w:cstheme="minorHAnsi"/>
                <w:sz w:val="20"/>
                <w:szCs w:val="20"/>
                <w:lang w:val="en-AU"/>
              </w:rPr>
              <w:t xml:space="preserve">edible oil as defined in Standard 2.4.1  </w:t>
            </w:r>
          </w:p>
          <w:p w14:paraId="27F7F65C" w14:textId="77777777" w:rsidR="004F7D86" w:rsidRPr="00CC1ADD" w:rsidRDefault="004F7D86" w:rsidP="00C3403E">
            <w:pPr>
              <w:pStyle w:val="FSBullet"/>
              <w:numPr>
                <w:ilvl w:val="0"/>
                <w:numId w:val="35"/>
              </w:numPr>
              <w:spacing w:before="0" w:after="0"/>
              <w:ind w:left="357" w:hanging="357"/>
              <w:rPr>
                <w:rFonts w:asciiTheme="minorHAnsi" w:eastAsiaTheme="minorHAnsi" w:hAnsiTheme="minorHAnsi" w:cstheme="minorHAnsi"/>
                <w:sz w:val="20"/>
                <w:szCs w:val="20"/>
                <w:lang w:val="en-AU"/>
              </w:rPr>
            </w:pPr>
            <w:r w:rsidRPr="00CC1ADD">
              <w:rPr>
                <w:rFonts w:asciiTheme="minorHAnsi" w:eastAsiaTheme="minorHAnsi" w:hAnsiTheme="minorHAnsi" w:cstheme="minorHAnsi"/>
                <w:sz w:val="20"/>
                <w:szCs w:val="20"/>
                <w:lang w:val="en-AU"/>
              </w:rPr>
              <w:t xml:space="preserve">edible oil spreads as defined in Standard 2.4.2 </w:t>
            </w:r>
          </w:p>
          <w:p w14:paraId="6EB2E935" w14:textId="77777777" w:rsidR="004F7D86" w:rsidRPr="00CC1ADD" w:rsidRDefault="004F7D86" w:rsidP="00C3403E">
            <w:pPr>
              <w:pStyle w:val="FSBullet"/>
              <w:numPr>
                <w:ilvl w:val="0"/>
                <w:numId w:val="35"/>
              </w:numPr>
              <w:spacing w:before="0" w:after="0"/>
              <w:ind w:left="357" w:hanging="357"/>
              <w:rPr>
                <w:rFonts w:asciiTheme="minorHAnsi" w:eastAsiaTheme="minorHAnsi" w:hAnsiTheme="minorHAnsi" w:cstheme="minorHAnsi"/>
                <w:sz w:val="20"/>
                <w:szCs w:val="20"/>
                <w:lang w:val="en-AU"/>
              </w:rPr>
            </w:pPr>
            <w:r w:rsidRPr="00CC1ADD">
              <w:rPr>
                <w:rFonts w:asciiTheme="minorHAnsi" w:eastAsiaTheme="minorHAnsi" w:hAnsiTheme="minorHAnsi" w:cstheme="minorHAnsi"/>
                <w:sz w:val="20"/>
                <w:szCs w:val="20"/>
                <w:lang w:val="en-AU"/>
              </w:rPr>
              <w:t xml:space="preserve">margarine as defined in Standard 2.4.2 </w:t>
            </w:r>
          </w:p>
          <w:p w14:paraId="60A98286" w14:textId="77777777" w:rsidR="004F7D86" w:rsidRPr="00CC1ADD" w:rsidRDefault="004F7D86" w:rsidP="00C3403E">
            <w:pPr>
              <w:pStyle w:val="FSBullet"/>
              <w:numPr>
                <w:ilvl w:val="0"/>
                <w:numId w:val="35"/>
              </w:numPr>
              <w:spacing w:before="0" w:after="0"/>
              <w:ind w:left="357" w:hanging="357"/>
              <w:rPr>
                <w:rFonts w:asciiTheme="minorHAnsi" w:hAnsiTheme="minorHAnsi" w:cstheme="minorHAnsi"/>
                <w:sz w:val="20"/>
                <w:szCs w:val="20"/>
                <w:lang w:val="en-AU"/>
              </w:rPr>
            </w:pPr>
            <w:r w:rsidRPr="00CC1ADD">
              <w:rPr>
                <w:rFonts w:asciiTheme="minorHAnsi" w:hAnsiTheme="minorHAnsi" w:cstheme="minorHAnsi"/>
                <w:sz w:val="20"/>
                <w:szCs w:val="20"/>
                <w:lang w:val="en-AU"/>
              </w:rPr>
              <w:t xml:space="preserve">butter as defined in </w:t>
            </w:r>
            <w:r w:rsidRPr="00CC1ADD">
              <w:rPr>
                <w:rFonts w:asciiTheme="minorHAnsi" w:eastAsiaTheme="minorHAnsi" w:hAnsiTheme="minorHAnsi" w:cstheme="minorHAnsi"/>
                <w:sz w:val="20"/>
                <w:szCs w:val="20"/>
                <w:lang w:val="en-AU" w:bidi="ar-SA"/>
              </w:rPr>
              <w:t>Standard</w:t>
            </w:r>
            <w:r w:rsidRPr="00CC1ADD">
              <w:rPr>
                <w:rFonts w:asciiTheme="minorHAnsi" w:hAnsiTheme="minorHAnsi" w:cstheme="minorHAnsi"/>
                <w:sz w:val="20"/>
                <w:szCs w:val="20"/>
                <w:lang w:val="en-AU"/>
              </w:rPr>
              <w:t xml:space="preserve"> 2.5.5</w:t>
            </w:r>
          </w:p>
        </w:tc>
      </w:tr>
      <w:tr w:rsidR="004F7D86" w:rsidRPr="00CC1ADD" w14:paraId="679DBF44" w14:textId="77777777" w:rsidTr="004F7D86">
        <w:tc>
          <w:tcPr>
            <w:tcW w:w="1017" w:type="pct"/>
          </w:tcPr>
          <w:p w14:paraId="6433E8B1"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Category 3D </w:t>
            </w:r>
          </w:p>
        </w:tc>
        <w:tc>
          <w:tcPr>
            <w:tcW w:w="3983" w:type="pct"/>
          </w:tcPr>
          <w:p w14:paraId="3672A7D7" w14:textId="2DD5D992" w:rsidR="004F7D86" w:rsidRPr="00CC1ADD" w:rsidRDefault="004F7D86" w:rsidP="005A3631">
            <w:pPr>
              <w:pStyle w:val="mpctabletext"/>
              <w:spacing w:before="60" w:after="60"/>
              <w:rPr>
                <w:rFonts w:cstheme="minorHAnsi"/>
                <w:color w:val="000000" w:themeColor="text1"/>
                <w:szCs w:val="20"/>
              </w:rPr>
            </w:pPr>
            <w:r w:rsidRPr="00CC1ADD">
              <w:rPr>
                <w:rFonts w:cstheme="minorHAnsi"/>
                <w:color w:val="000000" w:themeColor="text1"/>
                <w:szCs w:val="20"/>
              </w:rPr>
              <w:t xml:space="preserve">HSR </w:t>
            </w:r>
            <w:r w:rsidR="00153CBD">
              <w:rPr>
                <w:rFonts w:cstheme="minorHAnsi"/>
                <w:color w:val="000000" w:themeColor="text1"/>
                <w:szCs w:val="20"/>
              </w:rPr>
              <w:t>c</w:t>
            </w:r>
            <w:r w:rsidRPr="00CC1ADD">
              <w:rPr>
                <w:rFonts w:cstheme="minorHAnsi"/>
                <w:color w:val="000000" w:themeColor="text1"/>
                <w:szCs w:val="20"/>
              </w:rPr>
              <w:t>ategory that covers cheese and processed cheese as defined in Standard 2.5.4 of the Code (with calcium content &gt;320mg/100g). Category 3D may include cheese alternatives derived from legumes providing they meet the criterion for 3D foods for calcium content.</w:t>
            </w:r>
          </w:p>
        </w:tc>
      </w:tr>
      <w:tr w:rsidR="004F7D86" w:rsidRPr="00CC1ADD" w14:paraId="43DB02B5" w14:textId="77777777" w:rsidTr="004F7D86">
        <w:tc>
          <w:tcPr>
            <w:tcW w:w="1017" w:type="pct"/>
          </w:tcPr>
          <w:p w14:paraId="29BF7D94"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Codex Alimentarius Commission</w:t>
            </w:r>
          </w:p>
          <w:p w14:paraId="3241637E" w14:textId="77777777" w:rsidR="004F7D86" w:rsidRPr="00CC1ADD" w:rsidRDefault="004F7D86">
            <w:pPr>
              <w:pStyle w:val="mpctabletext"/>
              <w:spacing w:before="60" w:after="60"/>
              <w:rPr>
                <w:rFonts w:cstheme="minorHAnsi"/>
                <w:b/>
                <w:color w:val="000000" w:themeColor="text1"/>
                <w:szCs w:val="20"/>
              </w:rPr>
            </w:pPr>
            <w:r w:rsidRPr="00CC1ADD">
              <w:rPr>
                <w:rFonts w:cstheme="minorHAnsi"/>
                <w:b/>
                <w:color w:val="000000" w:themeColor="text1"/>
                <w:szCs w:val="20"/>
              </w:rPr>
              <w:t>(Codex)</w:t>
            </w:r>
          </w:p>
        </w:tc>
        <w:tc>
          <w:tcPr>
            <w:tcW w:w="3983" w:type="pct"/>
          </w:tcPr>
          <w:p w14:paraId="1192B29E" w14:textId="77777777" w:rsidR="004F7D86" w:rsidRPr="00CC1ADD" w:rsidRDefault="004F7D86">
            <w:pPr>
              <w:rPr>
                <w:rFonts w:cstheme="minorHAnsi"/>
                <w:color w:val="000000" w:themeColor="text1"/>
                <w:sz w:val="20"/>
                <w:szCs w:val="20"/>
              </w:rPr>
            </w:pPr>
            <w:r w:rsidRPr="00CC1ADD">
              <w:rPr>
                <w:rFonts w:cstheme="minorHAnsi"/>
                <w:color w:val="000000" w:themeColor="text1"/>
                <w:sz w:val="20"/>
                <w:szCs w:val="20"/>
              </w:rPr>
              <w:t>The international food standards setting body established by the </w:t>
            </w:r>
            <w:hyperlink r:id="rId140" w:tgtFrame="_blank" w:history="1">
              <w:r w:rsidRPr="00CC1ADD">
                <w:rPr>
                  <w:rFonts w:cstheme="minorHAnsi"/>
                  <w:color w:val="000000" w:themeColor="text1"/>
                  <w:sz w:val="20"/>
                  <w:szCs w:val="20"/>
                </w:rPr>
                <w:t>United Nation’s Food and Agriculture Organization</w:t>
              </w:r>
            </w:hyperlink>
            <w:r w:rsidRPr="00CC1ADD">
              <w:rPr>
                <w:rFonts w:cstheme="minorHAnsi"/>
                <w:color w:val="000000" w:themeColor="text1"/>
                <w:sz w:val="20"/>
                <w:szCs w:val="20"/>
              </w:rPr>
              <w:t> and the </w:t>
            </w:r>
            <w:hyperlink r:id="rId141" w:tgtFrame="_blank" w:history="1">
              <w:r w:rsidRPr="00CC1ADD">
                <w:rPr>
                  <w:rFonts w:cstheme="minorHAnsi"/>
                  <w:color w:val="000000" w:themeColor="text1"/>
                  <w:sz w:val="20"/>
                  <w:szCs w:val="20"/>
                </w:rPr>
                <w:t>World Health Organization</w:t>
              </w:r>
            </w:hyperlink>
            <w:r w:rsidRPr="00CC1ADD">
              <w:rPr>
                <w:rFonts w:cstheme="minorHAnsi"/>
                <w:color w:val="000000" w:themeColor="text1"/>
                <w:sz w:val="20"/>
                <w:szCs w:val="20"/>
              </w:rPr>
              <w:t>. Codex develops international food standards, guidelines and codes of practice for an international food code that contributes to the safety, quality and fairness of food trade.</w:t>
            </w:r>
          </w:p>
        </w:tc>
      </w:tr>
      <w:tr w:rsidR="004F7D86" w:rsidRPr="00CC1ADD" w14:paraId="59154BDF" w14:textId="77777777" w:rsidTr="004F7D86">
        <w:tc>
          <w:tcPr>
            <w:tcW w:w="1017" w:type="pct"/>
          </w:tcPr>
          <w:p w14:paraId="4403B325"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Component</w:t>
            </w:r>
          </w:p>
        </w:tc>
        <w:tc>
          <w:tcPr>
            <w:tcW w:w="3983" w:type="pct"/>
          </w:tcPr>
          <w:p w14:paraId="5CFC60AA"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In the context of the HSR System, components are the nutrients, ingredients and other parameters used to determine a product’s HSR, including the energy, saturated fat, total sugars, sodium, protein, fibre and FVNL content.</w:t>
            </w:r>
          </w:p>
        </w:tc>
      </w:tr>
      <w:tr w:rsidR="004F7D86" w:rsidRPr="00CC1ADD" w14:paraId="0397474A" w14:textId="77777777" w:rsidTr="004F7D86">
        <w:tc>
          <w:tcPr>
            <w:tcW w:w="1017" w:type="pct"/>
          </w:tcPr>
          <w:p w14:paraId="210C9C5B"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Dietary Guidelines</w:t>
            </w:r>
          </w:p>
        </w:tc>
        <w:tc>
          <w:tcPr>
            <w:tcW w:w="3983" w:type="pct"/>
          </w:tcPr>
          <w:p w14:paraId="7BD70993"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Collectively refers to the ADG and the NZEAG. </w:t>
            </w:r>
          </w:p>
        </w:tc>
      </w:tr>
      <w:tr w:rsidR="004F7D86" w:rsidRPr="00CC1ADD" w14:paraId="1991943C" w14:textId="77777777" w:rsidTr="004F7D86">
        <w:tc>
          <w:tcPr>
            <w:tcW w:w="1017" w:type="pct"/>
          </w:tcPr>
          <w:p w14:paraId="5D969129" w14:textId="77777777" w:rsidR="004F7D86" w:rsidRPr="00CC1ADD" w:rsidRDefault="004F7D86" w:rsidP="005A3631">
            <w:pPr>
              <w:pStyle w:val="mpctabletext"/>
              <w:spacing w:before="60" w:after="60"/>
              <w:rPr>
                <w:rFonts w:cstheme="minorHAnsi"/>
                <w:b/>
                <w:szCs w:val="20"/>
              </w:rPr>
            </w:pPr>
            <w:r w:rsidRPr="00CC1ADD">
              <w:rPr>
                <w:rFonts w:cstheme="minorHAnsi"/>
                <w:b/>
                <w:color w:val="000000" w:themeColor="text1"/>
                <w:szCs w:val="20"/>
              </w:rPr>
              <w:t>Discretionary foods</w:t>
            </w:r>
          </w:p>
        </w:tc>
        <w:tc>
          <w:tcPr>
            <w:tcW w:w="3983" w:type="pct"/>
          </w:tcPr>
          <w:p w14:paraId="744BC355"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Discretionary foods and drinks are those not necessary to provide the nutrients the body needs. Many of these are high in saturated fats, sugars, salt and/or alcohol. They can be included in the diet occasionally in small amounts by those who are physically active but are not a necessary part of the diet. This includes cakes, biscuits, confectionary, jellies, ice confections, dairy desserts, salty snacks and sugar-sweetened beverages.</w:t>
            </w:r>
          </w:p>
        </w:tc>
      </w:tr>
      <w:tr w:rsidR="004F7D86" w:rsidRPr="00CC1ADD" w14:paraId="0FE39250" w14:textId="77777777" w:rsidTr="004F7D86">
        <w:tc>
          <w:tcPr>
            <w:tcW w:w="1017" w:type="pct"/>
          </w:tcPr>
          <w:p w14:paraId="00F07B1F"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Energy icon</w:t>
            </w:r>
          </w:p>
        </w:tc>
        <w:tc>
          <w:tcPr>
            <w:tcW w:w="3983" w:type="pct"/>
          </w:tcPr>
          <w:p w14:paraId="24B00604"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An </w:t>
            </w:r>
            <w:r w:rsidRPr="007B4E8A">
              <w:rPr>
                <w:rFonts w:cstheme="minorHAnsi"/>
                <w:color w:val="000000" w:themeColor="text1"/>
                <w:szCs w:val="20"/>
              </w:rPr>
              <w:t>optional graphic in the HSR System</w:t>
            </w:r>
            <w:r w:rsidRPr="00CC1ADD">
              <w:rPr>
                <w:rFonts w:cstheme="minorHAnsi"/>
                <w:color w:val="000000" w:themeColor="text1"/>
                <w:szCs w:val="20"/>
              </w:rPr>
              <w:t xml:space="preserve"> that can be used with or without the HSR stars (e.g. for small pack sizes and some confectionery and beverage products). </w:t>
            </w:r>
          </w:p>
        </w:tc>
      </w:tr>
      <w:tr w:rsidR="004F7D86" w:rsidRPr="00CC1ADD" w14:paraId="1289FF42" w14:textId="77777777" w:rsidTr="004F7D86">
        <w:tc>
          <w:tcPr>
            <w:tcW w:w="1017" w:type="pct"/>
          </w:tcPr>
          <w:p w14:paraId="2870B149"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European Food Safety Authority (EFSA)</w:t>
            </w:r>
          </w:p>
        </w:tc>
        <w:tc>
          <w:tcPr>
            <w:tcW w:w="3983" w:type="pct"/>
          </w:tcPr>
          <w:p w14:paraId="7C0CCFBA" w14:textId="765D859C" w:rsidR="004F7D86" w:rsidRPr="00CC1ADD" w:rsidRDefault="004F7D86">
            <w:pPr>
              <w:rPr>
                <w:rFonts w:cstheme="minorHAnsi"/>
                <w:color w:val="000000" w:themeColor="text1"/>
                <w:sz w:val="20"/>
                <w:szCs w:val="20"/>
              </w:rPr>
            </w:pPr>
            <w:r w:rsidRPr="00CC1ADD">
              <w:rPr>
                <w:rFonts w:cstheme="minorHAnsi"/>
                <w:color w:val="000000" w:themeColor="text1"/>
                <w:sz w:val="20"/>
                <w:szCs w:val="20"/>
              </w:rPr>
              <w:t>The agency of the European Union that provides independent scientific advice and communicates on existing and emerging risks associated with the food chain.</w:t>
            </w:r>
          </w:p>
        </w:tc>
      </w:tr>
      <w:tr w:rsidR="004F7D86" w:rsidRPr="00CC1ADD" w14:paraId="5CFE4B7B" w14:textId="77777777" w:rsidTr="004F7D86">
        <w:tc>
          <w:tcPr>
            <w:tcW w:w="1017" w:type="pct"/>
          </w:tcPr>
          <w:p w14:paraId="53123967"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Fibre points (F points)</w:t>
            </w:r>
          </w:p>
        </w:tc>
        <w:tc>
          <w:tcPr>
            <w:tcW w:w="3983" w:type="pct"/>
          </w:tcPr>
          <w:p w14:paraId="7D31079F"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HSR Category 2 and 3 products score points for the proportion of fibre present. Category 1 products cannot score F points.</w:t>
            </w:r>
          </w:p>
        </w:tc>
      </w:tr>
      <w:tr w:rsidR="004F7D86" w:rsidRPr="00CC1ADD" w14:paraId="4FB00398" w14:textId="77777777" w:rsidTr="004F7D86">
        <w:tc>
          <w:tcPr>
            <w:tcW w:w="1017" w:type="pct"/>
          </w:tcPr>
          <w:p w14:paraId="22A29D1B"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Five/Four Food Group (FFG) foods</w:t>
            </w:r>
          </w:p>
        </w:tc>
        <w:tc>
          <w:tcPr>
            <w:tcW w:w="3983" w:type="pct"/>
          </w:tcPr>
          <w:p w14:paraId="5E1B3F3E" w14:textId="77777777" w:rsidR="004F7D86" w:rsidRDefault="004F7D86">
            <w:pPr>
              <w:pStyle w:val="mpctabletext"/>
              <w:spacing w:before="60" w:after="60"/>
              <w:rPr>
                <w:rFonts w:cstheme="minorHAnsi"/>
                <w:color w:val="000000" w:themeColor="text1"/>
                <w:szCs w:val="20"/>
              </w:rPr>
            </w:pPr>
            <w:r w:rsidRPr="00CC1ADD">
              <w:rPr>
                <w:rFonts w:cstheme="minorHAnsi"/>
                <w:color w:val="000000" w:themeColor="text1"/>
                <w:szCs w:val="20"/>
              </w:rPr>
              <w:t>FFG foods (also known as ‘core’ foods in Australia) are described by Dietary Guidelines as the basis of a healthy diet. This includes fruit and vegetables, grain foods (mostly wholegrain or high fibre varieties), dairy foods such as milk, cheese and yogurt (mostly reduced fat), legumes, nuts, seeds, lean meats, eggs, tofu, etc.</w:t>
            </w:r>
          </w:p>
          <w:p w14:paraId="5371CC1B" w14:textId="12C149C0" w:rsidR="00DE336D" w:rsidRPr="00CC1ADD" w:rsidRDefault="00DE336D">
            <w:pPr>
              <w:pStyle w:val="mpctabletext"/>
              <w:spacing w:before="60" w:after="60"/>
              <w:rPr>
                <w:rFonts w:cstheme="minorHAnsi"/>
                <w:color w:val="000000" w:themeColor="text1"/>
                <w:szCs w:val="20"/>
              </w:rPr>
            </w:pPr>
            <w:r>
              <w:rPr>
                <w:rFonts w:cstheme="minorHAnsi"/>
                <w:color w:val="000000" w:themeColor="text1"/>
                <w:szCs w:val="20"/>
              </w:rPr>
              <w:t>There are four food groups described in the NZEAG (fruit and vegetables, grain, meats, dairy) and five in the ADG (fruit, vegetables, grain, meats, dairy) and the ADG separate fruits and vegetables into separate groups.</w:t>
            </w:r>
          </w:p>
        </w:tc>
      </w:tr>
      <w:tr w:rsidR="004F7D86" w:rsidRPr="00CC1ADD" w14:paraId="43C550D1" w14:textId="77777777" w:rsidTr="004F7D86">
        <w:tc>
          <w:tcPr>
            <w:tcW w:w="1017" w:type="pct"/>
          </w:tcPr>
          <w:p w14:paraId="2E86CB9E"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Food and Agriculture Organisation of the United Nations (FAO)</w:t>
            </w:r>
          </w:p>
        </w:tc>
        <w:tc>
          <w:tcPr>
            <w:tcW w:w="3983" w:type="pct"/>
          </w:tcPr>
          <w:p w14:paraId="043E275F" w14:textId="77777777" w:rsidR="004F7D86" w:rsidRPr="00CC1ADD" w:rsidRDefault="004F7D86">
            <w:pPr>
              <w:rPr>
                <w:rFonts w:cstheme="minorHAnsi"/>
                <w:color w:val="000000" w:themeColor="text1"/>
                <w:sz w:val="20"/>
                <w:szCs w:val="20"/>
              </w:rPr>
            </w:pPr>
            <w:r w:rsidRPr="00CC1ADD">
              <w:rPr>
                <w:rFonts w:cstheme="minorHAnsi"/>
                <w:color w:val="000000" w:themeColor="text1"/>
                <w:sz w:val="20"/>
                <w:szCs w:val="20"/>
              </w:rPr>
              <w:t xml:space="preserve">A specialised agency of the United Nations that leads international efforts to defeat hunger. </w:t>
            </w:r>
          </w:p>
          <w:p w14:paraId="5F79191D" w14:textId="77777777" w:rsidR="004F7D86" w:rsidRPr="00CC1ADD" w:rsidRDefault="004F7D86">
            <w:pPr>
              <w:rPr>
                <w:rFonts w:cstheme="minorHAnsi"/>
                <w:color w:val="000000" w:themeColor="text1"/>
                <w:sz w:val="20"/>
                <w:szCs w:val="20"/>
              </w:rPr>
            </w:pPr>
          </w:p>
        </w:tc>
      </w:tr>
      <w:tr w:rsidR="004F7D86" w:rsidRPr="00CC1ADD" w14:paraId="33453491" w14:textId="77777777" w:rsidTr="004F7D86">
        <w:tc>
          <w:tcPr>
            <w:tcW w:w="1017" w:type="pct"/>
          </w:tcPr>
          <w:p w14:paraId="03BA2F41"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Food Regulation Standing Committee</w:t>
            </w:r>
          </w:p>
          <w:p w14:paraId="18B3957A" w14:textId="77777777" w:rsidR="004F7D86" w:rsidRPr="00CC1ADD" w:rsidRDefault="004F7D86">
            <w:pPr>
              <w:pStyle w:val="mpctabletext"/>
              <w:spacing w:before="60" w:after="60"/>
              <w:rPr>
                <w:rFonts w:cstheme="minorHAnsi"/>
                <w:b/>
                <w:color w:val="000000" w:themeColor="text1"/>
                <w:szCs w:val="20"/>
              </w:rPr>
            </w:pPr>
            <w:r w:rsidRPr="00CC1ADD">
              <w:rPr>
                <w:rFonts w:cstheme="minorHAnsi"/>
                <w:b/>
                <w:color w:val="000000" w:themeColor="text1"/>
                <w:szCs w:val="20"/>
              </w:rPr>
              <w:t>(FRSC)</w:t>
            </w:r>
          </w:p>
        </w:tc>
        <w:tc>
          <w:tcPr>
            <w:tcW w:w="3983" w:type="pct"/>
          </w:tcPr>
          <w:p w14:paraId="3C7A1A06" w14:textId="77777777" w:rsidR="004F7D86" w:rsidRPr="00CC1ADD" w:rsidRDefault="004F7D86">
            <w:pPr>
              <w:rPr>
                <w:rStyle w:val="Hyperlink"/>
                <w:rFonts w:cstheme="minorHAnsi"/>
                <w:sz w:val="20"/>
                <w:szCs w:val="20"/>
              </w:rPr>
            </w:pPr>
            <w:r w:rsidRPr="00CC1ADD">
              <w:rPr>
                <w:rFonts w:cstheme="minorHAnsi"/>
                <w:color w:val="000000" w:themeColor="text1"/>
                <w:sz w:val="20"/>
                <w:szCs w:val="20"/>
              </w:rPr>
              <w:t>Sub-committee of the Australia and New Zealand Ministerial Forum on Food Regulation (the Forum). The FRSC is responsible for coordinating policy advice to the Forum and ensuring a nationally consistent approach to the implementation and enforcement of food standards and its membership consists of senior Australian, State and Territory and New Zealand government officials.</w:t>
            </w:r>
          </w:p>
        </w:tc>
      </w:tr>
      <w:tr w:rsidR="004F7D86" w:rsidRPr="00CC1ADD" w14:paraId="4BDCC498" w14:textId="77777777" w:rsidTr="004F7D86">
        <w:tc>
          <w:tcPr>
            <w:tcW w:w="1017" w:type="pct"/>
          </w:tcPr>
          <w:p w14:paraId="00FE7718"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Food Standards Australia New Zealand (FSANZ)</w:t>
            </w:r>
          </w:p>
        </w:tc>
        <w:tc>
          <w:tcPr>
            <w:tcW w:w="3983" w:type="pct"/>
          </w:tcPr>
          <w:p w14:paraId="3D2B9415" w14:textId="77777777" w:rsidR="004F7D86" w:rsidRPr="00CC1ADD" w:rsidRDefault="00276EB3">
            <w:pPr>
              <w:pStyle w:val="mpctabletext"/>
              <w:spacing w:before="60" w:after="60"/>
              <w:rPr>
                <w:rFonts w:cstheme="minorHAnsi"/>
                <w:color w:val="000000" w:themeColor="text1"/>
                <w:szCs w:val="20"/>
              </w:rPr>
            </w:pPr>
            <w:hyperlink r:id="rId142" w:history="1">
              <w:r w:rsidR="004F7D86" w:rsidRPr="00CC1ADD">
                <w:rPr>
                  <w:rStyle w:val="Hyperlink"/>
                  <w:rFonts w:cstheme="minorHAnsi"/>
                  <w:szCs w:val="20"/>
                </w:rPr>
                <w:t>FSANZ</w:t>
              </w:r>
            </w:hyperlink>
            <w:r w:rsidR="004F7D86" w:rsidRPr="00CC1ADD">
              <w:rPr>
                <w:rFonts w:cstheme="minorHAnsi"/>
                <w:color w:val="000000" w:themeColor="text1"/>
                <w:szCs w:val="20"/>
              </w:rPr>
              <w:t xml:space="preserve"> is a statutory authority in the Australian Government Health portfolio which develops and administers the Code.</w:t>
            </w:r>
          </w:p>
        </w:tc>
      </w:tr>
      <w:tr w:rsidR="004F7D86" w:rsidRPr="00CC1ADD" w14:paraId="1FA8C956" w14:textId="77777777" w:rsidTr="004F7D86">
        <w:tc>
          <w:tcPr>
            <w:tcW w:w="1017" w:type="pct"/>
          </w:tcPr>
          <w:p w14:paraId="6F6ECDCA"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FoodSwitch</w:t>
            </w:r>
          </w:p>
        </w:tc>
        <w:tc>
          <w:tcPr>
            <w:tcW w:w="3983" w:type="pct"/>
          </w:tcPr>
          <w:p w14:paraId="08D99EAB" w14:textId="77777777" w:rsidR="004F7D86" w:rsidRPr="00CC1ADD" w:rsidRDefault="004F7D86">
            <w:pPr>
              <w:pStyle w:val="mpctabletext"/>
              <w:spacing w:before="60" w:after="60"/>
              <w:rPr>
                <w:rStyle w:val="Hyperlink"/>
                <w:rFonts w:cstheme="minorHAnsi"/>
                <w:szCs w:val="20"/>
              </w:rPr>
            </w:pPr>
            <w:r w:rsidRPr="00CC1ADD">
              <w:rPr>
                <w:rFonts w:cstheme="minorHAnsi"/>
                <w:color w:val="000000" w:themeColor="text1"/>
                <w:szCs w:val="20"/>
              </w:rPr>
              <w:t xml:space="preserve">An initiative of the George Institute for Global Health, </w:t>
            </w:r>
            <w:hyperlink r:id="rId143" w:anchor="/home" w:history="1">
              <w:r w:rsidRPr="00CC1ADD">
                <w:rPr>
                  <w:rStyle w:val="Hyperlink"/>
                  <w:rFonts w:cstheme="minorHAnsi"/>
                  <w:szCs w:val="20"/>
                </w:rPr>
                <w:t>FoodSwitch</w:t>
              </w:r>
            </w:hyperlink>
            <w:r w:rsidRPr="00CC1ADD">
              <w:rPr>
                <w:rFonts w:cstheme="minorHAnsi"/>
                <w:color w:val="000000" w:themeColor="text1"/>
                <w:szCs w:val="20"/>
              </w:rPr>
              <w:t xml:space="preserve"> is a smartphone application that allows barcodes of packaged foods to be scanned using the camera on the phone and provides the consumer with information about the product’s nutritional make-up, and a list of alternative, healthier choices.</w:t>
            </w:r>
          </w:p>
        </w:tc>
      </w:tr>
      <w:tr w:rsidR="004F7D86" w:rsidRPr="00CC1ADD" w14:paraId="1F2D2E2C" w14:textId="77777777" w:rsidTr="004F7D86">
        <w:tc>
          <w:tcPr>
            <w:tcW w:w="1017" w:type="pct"/>
          </w:tcPr>
          <w:p w14:paraId="29409919"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FoodTrack</w:t>
            </w:r>
          </w:p>
        </w:tc>
        <w:tc>
          <w:tcPr>
            <w:tcW w:w="3983" w:type="pct"/>
          </w:tcPr>
          <w:p w14:paraId="2E3E180B" w14:textId="77777777" w:rsidR="004F7D86" w:rsidRPr="00CC1ADD" w:rsidRDefault="004F7D86">
            <w:pPr>
              <w:rPr>
                <w:rStyle w:val="Hyperlink"/>
                <w:rFonts w:cstheme="minorHAnsi"/>
                <w:color w:val="000000" w:themeColor="text1"/>
                <w:sz w:val="20"/>
                <w:szCs w:val="20"/>
              </w:rPr>
            </w:pPr>
            <w:r w:rsidRPr="00CC1ADD">
              <w:rPr>
                <w:rFonts w:cstheme="minorHAnsi"/>
                <w:color w:val="000000" w:themeColor="text1"/>
                <w:sz w:val="20"/>
                <w:szCs w:val="20"/>
              </w:rPr>
              <w:t xml:space="preserve">A food and nutrient database that contains product data from fresh and packaged foods in major Australian supermarkets such as product descriptors, nutrition information panels, ingredient lists, front-of-pack labels, images of the product and other relevant information. </w:t>
            </w:r>
            <w:hyperlink r:id="rId144" w:history="1">
              <w:r w:rsidRPr="00CC1ADD">
                <w:rPr>
                  <w:rStyle w:val="Hyperlink"/>
                  <w:rFonts w:cstheme="minorHAnsi"/>
                  <w:sz w:val="20"/>
                  <w:szCs w:val="20"/>
                </w:rPr>
                <w:t>FoodTrack</w:t>
              </w:r>
            </w:hyperlink>
            <w:r w:rsidRPr="00CC1ADD">
              <w:rPr>
                <w:rFonts w:cstheme="minorHAnsi"/>
                <w:color w:val="000000" w:themeColor="text1"/>
                <w:sz w:val="20"/>
                <w:szCs w:val="20"/>
              </w:rPr>
              <w:t xml:space="preserve"> was developed by the Heart Foundation in conjunction with the CSIRO.</w:t>
            </w:r>
          </w:p>
        </w:tc>
      </w:tr>
      <w:tr w:rsidR="004F7D86" w:rsidRPr="00CC1ADD" w14:paraId="299C18A0" w14:textId="77777777" w:rsidTr="004F7D86">
        <w:tc>
          <w:tcPr>
            <w:tcW w:w="1017" w:type="pct"/>
          </w:tcPr>
          <w:p w14:paraId="23510F19"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Front-of-Pack Labelling (FoPL)</w:t>
            </w:r>
          </w:p>
        </w:tc>
        <w:tc>
          <w:tcPr>
            <w:tcW w:w="3983" w:type="pct"/>
          </w:tcPr>
          <w:p w14:paraId="77BD0600"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The concept of putting simplified nutritional information on the front of food or beverage product packages, either numerically or graphically.</w:t>
            </w:r>
          </w:p>
        </w:tc>
      </w:tr>
      <w:tr w:rsidR="004F7D86" w:rsidRPr="00CC1ADD" w14:paraId="679AF21C" w14:textId="77777777" w:rsidTr="004F7D86">
        <w:tc>
          <w:tcPr>
            <w:tcW w:w="1017" w:type="pct"/>
          </w:tcPr>
          <w:p w14:paraId="646977E2"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Fruit, vegetable, nut, legume (FVNL) content</w:t>
            </w:r>
          </w:p>
        </w:tc>
        <w:tc>
          <w:tcPr>
            <w:tcW w:w="3983" w:type="pct"/>
          </w:tcPr>
          <w:p w14:paraId="3D28F710"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Fruit, vegetable, nut, legume content as defined in Schedule 5 of the Code. This term is used in both the HSR System and the NPSC.</w:t>
            </w:r>
          </w:p>
        </w:tc>
      </w:tr>
      <w:tr w:rsidR="004F7D86" w:rsidRPr="00CC1ADD" w14:paraId="63AFE1BF" w14:textId="77777777" w:rsidTr="004F7D86">
        <w:tc>
          <w:tcPr>
            <w:tcW w:w="1017" w:type="pct"/>
          </w:tcPr>
          <w:p w14:paraId="3E46F915"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szCs w:val="20"/>
              </w:rPr>
              <w:t>FVNL points (V points)</w:t>
            </w:r>
          </w:p>
        </w:tc>
        <w:tc>
          <w:tcPr>
            <w:tcW w:w="3983" w:type="pct"/>
          </w:tcPr>
          <w:p w14:paraId="43CE7D76" w14:textId="77777777" w:rsidR="004F7D86" w:rsidRPr="00CC1ADD" w:rsidRDefault="004F7D86">
            <w:pPr>
              <w:pStyle w:val="mpctabletext"/>
              <w:spacing w:before="60" w:after="60"/>
              <w:rPr>
                <w:rFonts w:cstheme="minorHAnsi"/>
                <w:color w:val="000000" w:themeColor="text1"/>
                <w:szCs w:val="20"/>
              </w:rPr>
            </w:pPr>
            <w:r w:rsidRPr="00CC1ADD">
              <w:rPr>
                <w:rFonts w:cstheme="minorHAnsi"/>
                <w:szCs w:val="20"/>
              </w:rPr>
              <w:t>In the NPSC and the HSR System, products score V points for the proportion of their ingredients comprising of FVNL (fruits, vegetables, nuts and legumes including coconut, spices, herbs, fungi, seeds and algae). Note that V points have been expanded in the HSR Calculator compared to the table in the NPSC.</w:t>
            </w:r>
          </w:p>
        </w:tc>
      </w:tr>
      <w:tr w:rsidR="004F7D86" w:rsidRPr="00CC1ADD" w14:paraId="3322A0F2" w14:textId="77777777" w:rsidTr="004F7D86">
        <w:tc>
          <w:tcPr>
            <w:tcW w:w="1017" w:type="pct"/>
          </w:tcPr>
          <w:p w14:paraId="6D7439F8" w14:textId="77777777" w:rsidR="004F7D86" w:rsidRPr="00CC1ADD" w:rsidRDefault="004F7D86" w:rsidP="005A3631">
            <w:pPr>
              <w:pStyle w:val="mpctabletext"/>
              <w:spacing w:before="60" w:after="60"/>
              <w:rPr>
                <w:rFonts w:cstheme="minorHAnsi"/>
                <w:b/>
                <w:szCs w:val="20"/>
              </w:rPr>
            </w:pPr>
            <w:r w:rsidRPr="00CC1ADD">
              <w:rPr>
                <w:rFonts w:cstheme="minorHAnsi"/>
                <w:b/>
                <w:color w:val="000000" w:themeColor="text1"/>
                <w:szCs w:val="20"/>
              </w:rPr>
              <w:t>Guide for Industry</w:t>
            </w:r>
          </w:p>
        </w:tc>
        <w:tc>
          <w:tcPr>
            <w:tcW w:w="3983" w:type="pct"/>
          </w:tcPr>
          <w:p w14:paraId="1EE0DA47" w14:textId="77777777" w:rsidR="004F7D86" w:rsidRPr="00CC1ADD" w:rsidRDefault="004F7D86">
            <w:pPr>
              <w:pStyle w:val="mpctabletext"/>
              <w:spacing w:before="60" w:after="60"/>
              <w:rPr>
                <w:rFonts w:cstheme="minorHAnsi"/>
                <w:szCs w:val="20"/>
              </w:rPr>
            </w:pPr>
            <w:r w:rsidRPr="00CC1ADD">
              <w:rPr>
                <w:rFonts w:cstheme="minorHAnsi"/>
                <w:szCs w:val="20"/>
              </w:rPr>
              <w:t xml:space="preserve">The </w:t>
            </w:r>
            <w:hyperlink r:id="rId145" w:history="1">
              <w:r w:rsidRPr="00CC1ADD">
                <w:rPr>
                  <w:rStyle w:val="Hyperlink"/>
                  <w:rFonts w:cstheme="minorHAnsi"/>
                  <w:szCs w:val="20"/>
                </w:rPr>
                <w:t>Guide for Industry</w:t>
              </w:r>
            </w:hyperlink>
            <w:r w:rsidRPr="00CC1ADD">
              <w:rPr>
                <w:rFonts w:cstheme="minorHAnsi"/>
                <w:szCs w:val="20"/>
              </w:rPr>
              <w:t xml:space="preserve"> to the HSR Calculator provides detailed information about how the HSR is calculated, including example calculations. This document contains important information that allows industry to calculate the HSR.</w:t>
            </w:r>
          </w:p>
        </w:tc>
      </w:tr>
      <w:tr w:rsidR="004F7D86" w:rsidRPr="00CC1ADD" w14:paraId="4329D206" w14:textId="77777777" w:rsidTr="004F7D86">
        <w:tc>
          <w:tcPr>
            <w:tcW w:w="1017" w:type="pct"/>
          </w:tcPr>
          <w:p w14:paraId="528544DF"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Health Promotion Agency (HPA)</w:t>
            </w:r>
          </w:p>
        </w:tc>
        <w:tc>
          <w:tcPr>
            <w:tcW w:w="3983" w:type="pct"/>
          </w:tcPr>
          <w:p w14:paraId="5DAFFA7F" w14:textId="77777777" w:rsidR="004F7D86" w:rsidRPr="00CC1ADD" w:rsidRDefault="004F7D86">
            <w:pPr>
              <w:rPr>
                <w:rFonts w:cstheme="minorHAnsi"/>
                <w:color w:val="000000" w:themeColor="text1"/>
                <w:sz w:val="20"/>
                <w:szCs w:val="20"/>
              </w:rPr>
            </w:pPr>
            <w:r w:rsidRPr="00CC1ADD">
              <w:rPr>
                <w:rFonts w:cstheme="minorHAnsi"/>
                <w:sz w:val="20"/>
                <w:szCs w:val="20"/>
              </w:rPr>
              <w:t>The government health promotion organisation in New Zealand responsible for leading and supporting health promotion initiatives, across all sectors that contribute to health and wellbeing.</w:t>
            </w:r>
          </w:p>
        </w:tc>
      </w:tr>
      <w:tr w:rsidR="004F7D86" w:rsidRPr="00CC1ADD" w14:paraId="7430B0CA" w14:textId="77777777" w:rsidTr="004F7D86">
        <w:tc>
          <w:tcPr>
            <w:tcW w:w="1017" w:type="pct"/>
          </w:tcPr>
          <w:p w14:paraId="366AFBA2"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Health Star Rating Advisory Committee (HSRAC)</w:t>
            </w:r>
          </w:p>
        </w:tc>
        <w:tc>
          <w:tcPr>
            <w:tcW w:w="3983" w:type="pct"/>
          </w:tcPr>
          <w:p w14:paraId="41444C52" w14:textId="60A1BDA5"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The trans-Tasman body responsible for overseeing the voluntary implementation of the HSR </w:t>
            </w:r>
            <w:r w:rsidR="00BF11EE">
              <w:rPr>
                <w:rFonts w:cstheme="minorHAnsi"/>
                <w:color w:val="000000" w:themeColor="text1"/>
                <w:szCs w:val="20"/>
              </w:rPr>
              <w:t>S</w:t>
            </w:r>
            <w:r w:rsidRPr="00CC1ADD">
              <w:rPr>
                <w:rFonts w:cstheme="minorHAnsi"/>
                <w:color w:val="000000" w:themeColor="text1"/>
                <w:szCs w:val="20"/>
              </w:rPr>
              <w:t xml:space="preserve">ystem, including in particular the monitoring and evaluation component of the </w:t>
            </w:r>
            <w:r w:rsidR="00BF11EE">
              <w:rPr>
                <w:rFonts w:cstheme="minorHAnsi"/>
                <w:color w:val="000000" w:themeColor="text1"/>
                <w:szCs w:val="20"/>
              </w:rPr>
              <w:t>S</w:t>
            </w:r>
            <w:r w:rsidRPr="00CC1ADD">
              <w:rPr>
                <w:rFonts w:cstheme="minorHAnsi"/>
                <w:color w:val="000000" w:themeColor="text1"/>
                <w:szCs w:val="20"/>
              </w:rPr>
              <w:t>ystem in Australia and New Zealand and the social marketing campaign in Australia. HSRAC membership consists of government, industry, public health and consumer representatives.</w:t>
            </w:r>
          </w:p>
        </w:tc>
      </w:tr>
      <w:tr w:rsidR="004F7D86" w:rsidRPr="00CC1ADD" w14:paraId="2183B999" w14:textId="77777777" w:rsidTr="004F7D86">
        <w:tc>
          <w:tcPr>
            <w:tcW w:w="1017" w:type="pct"/>
          </w:tcPr>
          <w:p w14:paraId="0AFB2EC5"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szCs w:val="20"/>
              </w:rPr>
              <w:t>Health Star rating Style Guide</w:t>
            </w:r>
          </w:p>
        </w:tc>
        <w:tc>
          <w:tcPr>
            <w:tcW w:w="3983" w:type="pct"/>
          </w:tcPr>
          <w:p w14:paraId="613DF8EE" w14:textId="77777777" w:rsidR="004F7D86" w:rsidRPr="00CC1ADD" w:rsidRDefault="004F7D86">
            <w:pPr>
              <w:pStyle w:val="mpctabletext"/>
              <w:spacing w:before="60" w:after="60"/>
              <w:rPr>
                <w:rFonts w:cstheme="minorHAnsi"/>
                <w:color w:val="000000" w:themeColor="text1"/>
                <w:szCs w:val="20"/>
              </w:rPr>
            </w:pPr>
            <w:r w:rsidRPr="00CC1ADD">
              <w:rPr>
                <w:rFonts w:cstheme="minorHAnsi"/>
                <w:szCs w:val="20"/>
              </w:rPr>
              <w:t xml:space="preserve">The </w:t>
            </w:r>
            <w:hyperlink r:id="rId146" w:history="1">
              <w:r w:rsidRPr="00CC1ADD">
                <w:rPr>
                  <w:rStyle w:val="Hyperlink"/>
                  <w:rFonts w:cstheme="minorHAnsi"/>
                  <w:szCs w:val="20"/>
                </w:rPr>
                <w:t>HSR Style Guide</w:t>
              </w:r>
            </w:hyperlink>
            <w:r w:rsidRPr="00CC1ADD">
              <w:rPr>
                <w:rFonts w:cstheme="minorHAnsi"/>
                <w:szCs w:val="20"/>
              </w:rPr>
              <w:t xml:space="preserve"> provides guidance for the application of the HSR System on product packaging. </w:t>
            </w:r>
          </w:p>
        </w:tc>
      </w:tr>
      <w:tr w:rsidR="004F7D86" w:rsidRPr="00CC1ADD" w14:paraId="688264B5" w14:textId="77777777" w:rsidTr="004F7D86">
        <w:tc>
          <w:tcPr>
            <w:tcW w:w="1017" w:type="pct"/>
          </w:tcPr>
          <w:p w14:paraId="5573F514"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HSR Calculator</w:t>
            </w:r>
          </w:p>
        </w:tc>
        <w:tc>
          <w:tcPr>
            <w:tcW w:w="3983" w:type="pct"/>
          </w:tcPr>
          <w:p w14:paraId="5C8DD994"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The HSR Calculator calculates the HSR for products based on input of their nutrition information. The HSR Calculator considers four components of a food associated with increasing the risk factors of chronic diseases (energy, saturated fat, sodium and total sugars content). Certain ‘positive’ aspects of a food such as FVNL content, and in some instances, fibre and protein content are also considered. Points are allocated based on the nutritional composition of 100g or 100mL of the product, following the units used in the NIP of a packaged product. The points are converted to a star rating (from 0.5 to 5 stars). </w:t>
            </w:r>
          </w:p>
          <w:p w14:paraId="48E0F063"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The HSR Calculator is a modified version of the NPSC developed by FSANZ for the regulation of health claims in Australia and New Zealand and prescribed in Standard 1.2.7 – Nutrition, Health and Related Claims of the Code.</w:t>
            </w:r>
          </w:p>
          <w:p w14:paraId="7872D5D6" w14:textId="009A479C" w:rsidR="004F7D86" w:rsidRPr="00CC1ADD" w:rsidRDefault="004505FF">
            <w:pPr>
              <w:pStyle w:val="mpctabletext"/>
              <w:spacing w:before="60" w:after="60"/>
              <w:rPr>
                <w:rFonts w:cstheme="minorHAnsi"/>
                <w:color w:val="000000" w:themeColor="text1"/>
                <w:szCs w:val="20"/>
              </w:rPr>
            </w:pPr>
            <w:r w:rsidRPr="00CC1ADD">
              <w:rPr>
                <w:rFonts w:cstheme="minorHAnsi"/>
                <w:color w:val="000000" w:themeColor="text1"/>
                <w:szCs w:val="20"/>
              </w:rPr>
              <w:t>Refer</w:t>
            </w:r>
            <w:r w:rsidR="004F7D86" w:rsidRPr="00CC1ADD">
              <w:rPr>
                <w:rFonts w:cstheme="minorHAnsi"/>
                <w:color w:val="000000" w:themeColor="text1"/>
                <w:szCs w:val="20"/>
              </w:rPr>
              <w:t xml:space="preserve"> </w:t>
            </w:r>
            <w:r w:rsidR="004F7D86" w:rsidRPr="00CC1ADD">
              <w:rPr>
                <w:rFonts w:cstheme="minorHAnsi"/>
                <w:color w:val="000000" w:themeColor="text1"/>
                <w:szCs w:val="20"/>
                <w:u w:val="single"/>
              </w:rPr>
              <w:t xml:space="preserve">Appendix </w:t>
            </w:r>
            <w:r w:rsidR="009B0396">
              <w:rPr>
                <w:rFonts w:cstheme="minorHAnsi"/>
                <w:color w:val="000000" w:themeColor="text1"/>
                <w:szCs w:val="20"/>
                <w:u w:val="single"/>
              </w:rPr>
              <w:t>A</w:t>
            </w:r>
            <w:r w:rsidR="004F7D86" w:rsidRPr="00CC1ADD">
              <w:rPr>
                <w:rFonts w:cstheme="minorHAnsi"/>
                <w:color w:val="000000" w:themeColor="text1"/>
                <w:szCs w:val="20"/>
              </w:rPr>
              <w:t xml:space="preserve"> for a more detailed description of the HSR Calculator. </w:t>
            </w:r>
          </w:p>
        </w:tc>
      </w:tr>
      <w:tr w:rsidR="004F7D86" w:rsidRPr="00CC1ADD" w14:paraId="5B9F6DB1" w14:textId="77777777" w:rsidTr="004F7D86">
        <w:tc>
          <w:tcPr>
            <w:tcW w:w="1017" w:type="pct"/>
          </w:tcPr>
          <w:p w14:paraId="6D5E583B" w14:textId="37F553A3"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 xml:space="preserve">HSR </w:t>
            </w:r>
            <w:r w:rsidR="00153CBD">
              <w:rPr>
                <w:rFonts w:cstheme="minorHAnsi"/>
                <w:b/>
                <w:color w:val="000000" w:themeColor="text1"/>
                <w:szCs w:val="20"/>
              </w:rPr>
              <w:t>c</w:t>
            </w:r>
            <w:r w:rsidRPr="00CC1ADD">
              <w:rPr>
                <w:rFonts w:cstheme="minorHAnsi"/>
                <w:b/>
                <w:color w:val="000000" w:themeColor="text1"/>
                <w:szCs w:val="20"/>
              </w:rPr>
              <w:t>ategory</w:t>
            </w:r>
          </w:p>
        </w:tc>
        <w:tc>
          <w:tcPr>
            <w:tcW w:w="3983" w:type="pct"/>
          </w:tcPr>
          <w:p w14:paraId="576BBF86" w14:textId="77777777" w:rsidR="004F7D86" w:rsidRPr="00CC1ADD" w:rsidRDefault="004F7D86" w:rsidP="005A3631">
            <w:pPr>
              <w:rPr>
                <w:rFonts w:cstheme="minorHAnsi"/>
                <w:sz w:val="20"/>
                <w:szCs w:val="20"/>
              </w:rPr>
            </w:pPr>
            <w:r w:rsidRPr="00CC1ADD">
              <w:rPr>
                <w:rFonts w:cstheme="minorHAnsi"/>
                <w:sz w:val="20"/>
                <w:szCs w:val="20"/>
              </w:rPr>
              <w:t>The HSR System is based on six different product categories (1, 1D, 2, 2D, 3 and 3D).</w:t>
            </w:r>
          </w:p>
        </w:tc>
      </w:tr>
      <w:tr w:rsidR="004F7D86" w:rsidRPr="00CC1ADD" w14:paraId="5CAE8770" w14:textId="77777777" w:rsidTr="004F7D86">
        <w:tc>
          <w:tcPr>
            <w:tcW w:w="1017" w:type="pct"/>
          </w:tcPr>
          <w:p w14:paraId="0E3FFC5D" w14:textId="77777777" w:rsidR="004F7D86" w:rsidRPr="00CC1ADD" w:rsidDel="000D01DE"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Ministry for Primary Industries (MPI)</w:t>
            </w:r>
          </w:p>
        </w:tc>
        <w:tc>
          <w:tcPr>
            <w:tcW w:w="3983" w:type="pct"/>
          </w:tcPr>
          <w:p w14:paraId="47C14630" w14:textId="77777777" w:rsidR="004F7D86" w:rsidRPr="00CC1ADD" w:rsidRDefault="004F7D86">
            <w:pPr>
              <w:rPr>
                <w:rFonts w:cstheme="minorHAnsi"/>
                <w:color w:val="000000" w:themeColor="text1"/>
                <w:sz w:val="20"/>
                <w:szCs w:val="20"/>
              </w:rPr>
            </w:pPr>
            <w:r w:rsidRPr="00CC1ADD">
              <w:rPr>
                <w:rFonts w:cstheme="minorHAnsi"/>
                <w:color w:val="000000" w:themeColor="text1"/>
                <w:sz w:val="20"/>
                <w:szCs w:val="20"/>
              </w:rPr>
              <w:t>The Ministry for Primary Industries (MPI) (Māori: Manatū Ahu Matua) is the public service department of New Zealand charged with overseeing, managing and regulating the farming, fishing, food, animal welfare, biosecurity, and forestry sectors of New Zealand's primary industries.</w:t>
            </w:r>
          </w:p>
        </w:tc>
      </w:tr>
      <w:tr w:rsidR="004F7D86" w:rsidRPr="00CC1ADD" w14:paraId="56AFE367" w14:textId="77777777" w:rsidTr="004F7D86">
        <w:tc>
          <w:tcPr>
            <w:tcW w:w="1017" w:type="pct"/>
          </w:tcPr>
          <w:p w14:paraId="2E8EB206" w14:textId="77777777" w:rsidR="004F7D86" w:rsidRPr="00CC1ADD" w:rsidRDefault="004F7D86" w:rsidP="005A3631">
            <w:pPr>
              <w:pStyle w:val="mpctabletext"/>
              <w:spacing w:before="60" w:after="60"/>
              <w:rPr>
                <w:rFonts w:cstheme="minorHAnsi"/>
                <w:b/>
                <w:color w:val="000000" w:themeColor="text1"/>
                <w:szCs w:val="20"/>
              </w:rPr>
            </w:pPr>
            <w:r w:rsidRPr="00CC1ADD" w:rsidDel="000D01DE">
              <w:rPr>
                <w:rFonts w:cstheme="minorHAnsi"/>
                <w:b/>
                <w:color w:val="000000" w:themeColor="text1"/>
                <w:szCs w:val="20"/>
              </w:rPr>
              <w:t>Modifying points</w:t>
            </w:r>
            <w:r w:rsidRPr="00CC1ADD">
              <w:rPr>
                <w:rFonts w:cstheme="minorHAnsi"/>
                <w:b/>
                <w:color w:val="000000" w:themeColor="text1"/>
                <w:szCs w:val="20"/>
              </w:rPr>
              <w:t xml:space="preserve"> </w:t>
            </w:r>
          </w:p>
        </w:tc>
        <w:tc>
          <w:tcPr>
            <w:tcW w:w="3983" w:type="pct"/>
          </w:tcPr>
          <w:p w14:paraId="33505DF5"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In the NPSC, m</w:t>
            </w:r>
            <w:r w:rsidRPr="00CC1ADD" w:rsidDel="000D01DE">
              <w:rPr>
                <w:rFonts w:cstheme="minorHAnsi"/>
                <w:color w:val="000000" w:themeColor="text1"/>
                <w:szCs w:val="20"/>
              </w:rPr>
              <w:t xml:space="preserve">odifying points are calculated as part of the nutrient profiling score. Modifying points are allocated for the </w:t>
            </w:r>
            <w:r w:rsidRPr="00CC1ADD">
              <w:rPr>
                <w:rFonts w:cstheme="minorHAnsi"/>
                <w:color w:val="000000" w:themeColor="text1"/>
                <w:szCs w:val="20"/>
              </w:rPr>
              <w:t>positive components</w:t>
            </w:r>
            <w:r w:rsidRPr="00CC1ADD" w:rsidDel="000D01DE">
              <w:rPr>
                <w:rFonts w:cstheme="minorHAnsi"/>
                <w:color w:val="000000" w:themeColor="text1"/>
                <w:szCs w:val="20"/>
              </w:rPr>
              <w:t xml:space="preserve"> (%FVN</w:t>
            </w:r>
            <w:r w:rsidRPr="00CC1ADD">
              <w:rPr>
                <w:rFonts w:cstheme="minorHAnsi"/>
                <w:color w:val="000000" w:themeColor="text1"/>
                <w:szCs w:val="20"/>
              </w:rPr>
              <w:t>L and, in some instances</w:t>
            </w:r>
            <w:r w:rsidRPr="00CC1ADD" w:rsidDel="000D01DE">
              <w:rPr>
                <w:rFonts w:cstheme="minorHAnsi"/>
                <w:color w:val="000000" w:themeColor="text1"/>
                <w:szCs w:val="20"/>
              </w:rPr>
              <w:t>, protein, fibre) present in foods and beverages, in accordance with Schedule 5 of Standard 1.2.7</w:t>
            </w:r>
            <w:r w:rsidRPr="00CC1ADD">
              <w:rPr>
                <w:rFonts w:cstheme="minorHAnsi"/>
                <w:color w:val="000000" w:themeColor="text1"/>
                <w:szCs w:val="20"/>
              </w:rPr>
              <w:t xml:space="preserve"> of the Code. </w:t>
            </w:r>
          </w:p>
          <w:p w14:paraId="2D314850"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In the HSR Calculator, extended modifying points are allocated to the same positive components, increasing the final HSR for a product.</w:t>
            </w:r>
          </w:p>
        </w:tc>
      </w:tr>
      <w:tr w:rsidR="004F7D86" w:rsidRPr="00CC1ADD" w14:paraId="38BFB3B3" w14:textId="77777777" w:rsidTr="004F7D86">
        <w:tc>
          <w:tcPr>
            <w:tcW w:w="1017" w:type="pct"/>
          </w:tcPr>
          <w:p w14:paraId="34B3C50E"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New Zealand HSR Advisory Group (NZHSRAG)</w:t>
            </w:r>
          </w:p>
        </w:tc>
        <w:tc>
          <w:tcPr>
            <w:tcW w:w="3983" w:type="pct"/>
          </w:tcPr>
          <w:p w14:paraId="6F9B6D5E" w14:textId="77777777" w:rsidR="004F7D86" w:rsidRPr="00CC1ADD" w:rsidRDefault="004F7D86">
            <w:pPr>
              <w:rPr>
                <w:rFonts w:cstheme="minorHAnsi"/>
                <w:sz w:val="20"/>
                <w:szCs w:val="20"/>
              </w:rPr>
            </w:pPr>
            <w:r w:rsidRPr="00CC1ADD">
              <w:rPr>
                <w:rFonts w:cstheme="minorHAnsi"/>
                <w:color w:val="000000" w:themeColor="text1"/>
                <w:sz w:val="20"/>
                <w:szCs w:val="20"/>
              </w:rPr>
              <w:t>A Committee of government, industry, public health and consumer representatives with responsibility for considering implementation of the HSR in New Zealand.</w:t>
            </w:r>
          </w:p>
        </w:tc>
      </w:tr>
      <w:tr w:rsidR="004F7D86" w:rsidRPr="00CC1ADD" w14:paraId="1FA88E03" w14:textId="77777777" w:rsidTr="004F7D86">
        <w:tc>
          <w:tcPr>
            <w:tcW w:w="1017" w:type="pct"/>
          </w:tcPr>
          <w:p w14:paraId="2D5D99F1"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Nutrition Information Panel (NIP)</w:t>
            </w:r>
          </w:p>
        </w:tc>
        <w:tc>
          <w:tcPr>
            <w:tcW w:w="3983" w:type="pct"/>
          </w:tcPr>
          <w:p w14:paraId="7AE78A10" w14:textId="7A7BBD52" w:rsidR="004F7D86" w:rsidRPr="00CC1ADD" w:rsidRDefault="004F7D86">
            <w:pPr>
              <w:rPr>
                <w:rFonts w:cstheme="minorHAnsi"/>
                <w:sz w:val="20"/>
                <w:szCs w:val="20"/>
              </w:rPr>
            </w:pPr>
            <w:r w:rsidRPr="00CC1ADD">
              <w:rPr>
                <w:rFonts w:cstheme="minorHAnsi"/>
                <w:sz w:val="20"/>
                <w:szCs w:val="20"/>
              </w:rPr>
              <w:t xml:space="preserve">Nutrition </w:t>
            </w:r>
            <w:r w:rsidR="00DD78A3" w:rsidRPr="00CC1ADD">
              <w:rPr>
                <w:rFonts w:cstheme="minorHAnsi"/>
                <w:sz w:val="20"/>
                <w:szCs w:val="20"/>
              </w:rPr>
              <w:t>i</w:t>
            </w:r>
            <w:r w:rsidRPr="00CC1ADD">
              <w:rPr>
                <w:rFonts w:cstheme="minorHAnsi"/>
                <w:sz w:val="20"/>
                <w:szCs w:val="20"/>
              </w:rPr>
              <w:t xml:space="preserve">nformation </w:t>
            </w:r>
            <w:r w:rsidR="00DD78A3" w:rsidRPr="00CC1ADD">
              <w:rPr>
                <w:rFonts w:cstheme="minorHAnsi"/>
                <w:sz w:val="20"/>
                <w:szCs w:val="20"/>
              </w:rPr>
              <w:t>r</w:t>
            </w:r>
            <w:r w:rsidRPr="00CC1ADD">
              <w:rPr>
                <w:rFonts w:cstheme="minorHAnsi"/>
                <w:sz w:val="20"/>
                <w:szCs w:val="20"/>
              </w:rPr>
              <w:t xml:space="preserve">equirements in Standard 1.2.8 of the Code requires nutrition information on most food labels in the form of a </w:t>
            </w:r>
            <w:hyperlink r:id="rId147" w:history="1">
              <w:r w:rsidRPr="00CC1ADD">
                <w:rPr>
                  <w:rStyle w:val="Hyperlink"/>
                  <w:rFonts w:cstheme="minorHAnsi"/>
                  <w:sz w:val="20"/>
                  <w:szCs w:val="20"/>
                </w:rPr>
                <w:t>NIP</w:t>
              </w:r>
            </w:hyperlink>
            <w:r w:rsidRPr="00CC1ADD">
              <w:rPr>
                <w:rFonts w:cstheme="minorHAnsi"/>
                <w:sz w:val="20"/>
                <w:szCs w:val="20"/>
              </w:rPr>
              <w:t xml:space="preserve">. In the NIP, information on the amount of energy, protein, total fat, saturated fat, carbohydrate, total sugars and sodium must be displayed. Manufacturers can elect to sub-label protein, carbohydrates and fats. Total sugars declarations can declare sub groups as specific sugars, such as lactose, if desired. </w:t>
            </w:r>
          </w:p>
        </w:tc>
      </w:tr>
      <w:tr w:rsidR="004F7D86" w:rsidRPr="00CC1ADD" w14:paraId="60267DCA" w14:textId="77777777" w:rsidTr="004F7D86">
        <w:tc>
          <w:tcPr>
            <w:tcW w:w="1017" w:type="pct"/>
          </w:tcPr>
          <w:p w14:paraId="205CC8DB"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Nutrient Profiling Scoring Criterion (NPSC)</w:t>
            </w:r>
          </w:p>
        </w:tc>
        <w:tc>
          <w:tcPr>
            <w:tcW w:w="3983" w:type="pct"/>
          </w:tcPr>
          <w:p w14:paraId="22924324" w14:textId="77777777" w:rsidR="004F7D86" w:rsidRPr="00CC1ADD" w:rsidRDefault="004F7D86">
            <w:pPr>
              <w:rPr>
                <w:rFonts w:cstheme="minorHAnsi"/>
                <w:sz w:val="20"/>
                <w:szCs w:val="20"/>
              </w:rPr>
            </w:pPr>
            <w:r w:rsidRPr="00CC1ADD">
              <w:rPr>
                <w:rFonts w:cstheme="minorHAnsi"/>
                <w:sz w:val="20"/>
                <w:szCs w:val="20"/>
              </w:rPr>
              <w:t xml:space="preserve">The </w:t>
            </w:r>
            <w:hyperlink r:id="rId148" w:history="1">
              <w:r w:rsidRPr="00CC1ADD">
                <w:rPr>
                  <w:rStyle w:val="Hyperlink"/>
                  <w:rFonts w:cstheme="minorHAnsi"/>
                  <w:sz w:val="20"/>
                  <w:szCs w:val="20"/>
                </w:rPr>
                <w:t>NPSC</w:t>
              </w:r>
            </w:hyperlink>
            <w:r w:rsidRPr="00CC1ADD">
              <w:rPr>
                <w:rFonts w:cstheme="minorHAnsi"/>
                <w:sz w:val="20"/>
                <w:szCs w:val="20"/>
              </w:rPr>
              <w:t xml:space="preserve"> is a nutrient profiling system referred to in Standard 1.2.7 and detailed in Schedule 5 of The Code. The NPSC is used in Australia and New Zealand to determine whether a food is suitable to make a health claim, based on its nutrient profile. Only foods that meet a certain score will be allowed to have health claims made about them. The HSR algorithm is based on the NPSC with some modifications to better meet the needs of a scale rather than binary application.</w:t>
            </w:r>
          </w:p>
        </w:tc>
      </w:tr>
      <w:tr w:rsidR="004F7D86" w:rsidRPr="00CC1ADD" w14:paraId="0AB75BBE" w14:textId="77777777" w:rsidTr="004F7D86">
        <w:tc>
          <w:tcPr>
            <w:tcW w:w="1017" w:type="pct"/>
          </w:tcPr>
          <w:p w14:paraId="3FB493B0" w14:textId="4ED9A3C1"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Nutri</w:t>
            </w:r>
            <w:r w:rsidR="002862B6">
              <w:rPr>
                <w:rFonts w:cstheme="minorHAnsi"/>
                <w:b/>
                <w:color w:val="000000" w:themeColor="text1"/>
                <w:szCs w:val="20"/>
              </w:rPr>
              <w:t>-</w:t>
            </w:r>
            <w:r w:rsidRPr="00CC1ADD">
              <w:rPr>
                <w:rFonts w:cstheme="minorHAnsi"/>
                <w:b/>
                <w:color w:val="000000" w:themeColor="text1"/>
                <w:szCs w:val="20"/>
              </w:rPr>
              <w:t>Score</w:t>
            </w:r>
          </w:p>
        </w:tc>
        <w:tc>
          <w:tcPr>
            <w:tcW w:w="3983" w:type="pct"/>
          </w:tcPr>
          <w:p w14:paraId="4AC1DFE6" w14:textId="5EB23BDF" w:rsidR="004F7D86" w:rsidRPr="00CC1ADD" w:rsidRDefault="004F7D86">
            <w:pPr>
              <w:rPr>
                <w:rFonts w:cstheme="minorHAnsi"/>
                <w:sz w:val="20"/>
                <w:szCs w:val="20"/>
              </w:rPr>
            </w:pPr>
            <w:r w:rsidRPr="00CC1ADD">
              <w:rPr>
                <w:rFonts w:cstheme="minorHAnsi"/>
                <w:sz w:val="20"/>
                <w:szCs w:val="20"/>
              </w:rPr>
              <w:t>A voluntary front-of-pack labelling scheme adopted in France in 2017, based on a five-letter and five-colour visual that summarises food nutrition information. The Nutri</w:t>
            </w:r>
            <w:r w:rsidR="002862B6">
              <w:rPr>
                <w:rFonts w:cstheme="minorHAnsi"/>
                <w:sz w:val="20"/>
                <w:szCs w:val="20"/>
              </w:rPr>
              <w:t>-</w:t>
            </w:r>
            <w:r w:rsidRPr="00CC1ADD">
              <w:rPr>
                <w:rFonts w:cstheme="minorHAnsi"/>
                <w:sz w:val="20"/>
                <w:szCs w:val="20"/>
              </w:rPr>
              <w:t>Score gives a rating to any food (except single-ingredient foods and water) going from a dark green A (best) to a red E (worst), by weighing the prevalence of positive and negative nutrients.</w:t>
            </w:r>
          </w:p>
        </w:tc>
      </w:tr>
      <w:tr w:rsidR="004F7D86" w:rsidRPr="00CC1ADD" w14:paraId="63A74A51" w14:textId="77777777" w:rsidTr="004F7D86">
        <w:tc>
          <w:tcPr>
            <w:tcW w:w="1017" w:type="pct"/>
          </w:tcPr>
          <w:p w14:paraId="37472BB1" w14:textId="77777777" w:rsidR="004F7D86" w:rsidRPr="00CC1ADD" w:rsidRDefault="004F7D86" w:rsidP="005A3631">
            <w:pPr>
              <w:pStyle w:val="mpctabletext"/>
              <w:spacing w:before="60" w:after="60"/>
              <w:rPr>
                <w:rFonts w:cstheme="minorHAnsi"/>
                <w:b/>
                <w:color w:val="000000" w:themeColor="text1"/>
                <w:szCs w:val="20"/>
              </w:rPr>
            </w:pPr>
            <w:r w:rsidRPr="00CC1ADD">
              <w:rPr>
                <w:rFonts w:cstheme="minorHAnsi"/>
                <w:b/>
                <w:color w:val="000000" w:themeColor="text1"/>
                <w:szCs w:val="20"/>
              </w:rPr>
              <w:t>NutriTrack</w:t>
            </w:r>
          </w:p>
        </w:tc>
        <w:tc>
          <w:tcPr>
            <w:tcW w:w="3983" w:type="pct"/>
          </w:tcPr>
          <w:p w14:paraId="54267D71" w14:textId="5BDCACB3" w:rsidR="004F7D86" w:rsidRPr="00CC1ADD" w:rsidRDefault="004F7D86">
            <w:pPr>
              <w:rPr>
                <w:rFonts w:cstheme="minorHAnsi"/>
                <w:sz w:val="20"/>
                <w:szCs w:val="20"/>
              </w:rPr>
            </w:pPr>
            <w:r w:rsidRPr="00CC1ADD">
              <w:rPr>
                <w:rFonts w:cstheme="minorHAnsi"/>
                <w:sz w:val="20"/>
                <w:szCs w:val="20"/>
              </w:rPr>
              <w:t>Developed in 2011, NutriTrack is a database comprising information on the nutrient composition of processed foods on sale at New Zealand supermarkets and major fast food restaurants.</w:t>
            </w:r>
          </w:p>
        </w:tc>
      </w:tr>
      <w:tr w:rsidR="004F7D86" w:rsidRPr="00CC1ADD" w14:paraId="69857727" w14:textId="77777777" w:rsidTr="004F7D86">
        <w:tc>
          <w:tcPr>
            <w:tcW w:w="1017" w:type="pct"/>
          </w:tcPr>
          <w:p w14:paraId="23DADF57" w14:textId="77777777" w:rsidR="004F7D86" w:rsidRPr="00CC1ADD" w:rsidRDefault="004F7D86" w:rsidP="005A3631">
            <w:pPr>
              <w:rPr>
                <w:rFonts w:cstheme="minorHAnsi"/>
                <w:b/>
                <w:sz w:val="20"/>
                <w:szCs w:val="20"/>
              </w:rPr>
            </w:pPr>
            <w:r w:rsidRPr="00CC1ADD">
              <w:rPr>
                <w:rFonts w:cstheme="minorHAnsi"/>
                <w:b/>
                <w:sz w:val="20"/>
                <w:szCs w:val="20"/>
              </w:rPr>
              <w:t>New Zealand Eating and Activity Guidelines 2015 (NZEAG)</w:t>
            </w:r>
          </w:p>
        </w:tc>
        <w:tc>
          <w:tcPr>
            <w:tcW w:w="3983" w:type="pct"/>
          </w:tcPr>
          <w:p w14:paraId="1EB6E53F" w14:textId="77777777" w:rsidR="004F7D86" w:rsidRPr="00CC1ADD" w:rsidRDefault="004F7D86">
            <w:pPr>
              <w:rPr>
                <w:rFonts w:cstheme="minorHAnsi"/>
                <w:sz w:val="20"/>
                <w:szCs w:val="20"/>
              </w:rPr>
            </w:pPr>
            <w:r w:rsidRPr="00CC1ADD">
              <w:rPr>
                <w:rFonts w:cstheme="minorHAnsi"/>
                <w:sz w:val="20"/>
                <w:szCs w:val="20"/>
              </w:rPr>
              <w:t xml:space="preserve">The </w:t>
            </w:r>
            <w:hyperlink r:id="rId149" w:history="1">
              <w:r w:rsidRPr="00CC1ADD">
                <w:rPr>
                  <w:rStyle w:val="Hyperlink"/>
                  <w:rFonts w:cstheme="minorHAnsi"/>
                  <w:sz w:val="20"/>
                  <w:szCs w:val="20"/>
                </w:rPr>
                <w:t>NZEAG</w:t>
              </w:r>
            </w:hyperlink>
            <w:r w:rsidRPr="00CC1ADD">
              <w:rPr>
                <w:rFonts w:cstheme="minorHAnsi"/>
                <w:sz w:val="20"/>
                <w:szCs w:val="20"/>
              </w:rPr>
              <w:t xml:space="preserve"> provide evidence-based population health advice on healthy eating and being physically active. The document is written for health practitioners and others who provide advice on nutrition and physical activity for New Zealand adults. </w:t>
            </w:r>
          </w:p>
        </w:tc>
      </w:tr>
      <w:tr w:rsidR="004F7D86" w:rsidRPr="00CC1ADD" w14:paraId="1790D9DE" w14:textId="77777777" w:rsidTr="004F7D86">
        <w:tc>
          <w:tcPr>
            <w:tcW w:w="1017" w:type="pct"/>
          </w:tcPr>
          <w:p w14:paraId="40390822" w14:textId="77777777" w:rsidR="004F7D86" w:rsidRPr="00CC1ADD" w:rsidRDefault="004F7D86" w:rsidP="005A3631">
            <w:pPr>
              <w:rPr>
                <w:rFonts w:cstheme="minorHAnsi"/>
                <w:b/>
                <w:sz w:val="20"/>
                <w:szCs w:val="20"/>
              </w:rPr>
            </w:pPr>
            <w:r w:rsidRPr="00CC1ADD">
              <w:rPr>
                <w:rFonts w:cstheme="minorHAnsi"/>
                <w:b/>
                <w:sz w:val="20"/>
                <w:szCs w:val="20"/>
              </w:rPr>
              <w:t>Protein points (P points)</w:t>
            </w:r>
          </w:p>
        </w:tc>
        <w:tc>
          <w:tcPr>
            <w:tcW w:w="3983" w:type="pct"/>
          </w:tcPr>
          <w:p w14:paraId="66F9C895" w14:textId="77777777" w:rsidR="004F7D86" w:rsidRPr="00CC1ADD" w:rsidRDefault="004F7D86">
            <w:pPr>
              <w:rPr>
                <w:rFonts w:cstheme="minorHAnsi"/>
                <w:sz w:val="20"/>
                <w:szCs w:val="20"/>
              </w:rPr>
            </w:pPr>
            <w:r w:rsidRPr="00CC1ADD">
              <w:rPr>
                <w:rFonts w:cstheme="minorHAnsi"/>
                <w:sz w:val="20"/>
                <w:szCs w:val="20"/>
              </w:rPr>
              <w:t>In the HSR System, food products score P points for the amount of protein present in the food. Protein points contribute to modifying points and can be scored if a food product scores less than 13 baseline points in the HSR Calculator. A food product that scores more than or equal to 13 baseline points can only score protein points if the food scores 5 or more V points in the HSR Calculator.</w:t>
            </w:r>
          </w:p>
        </w:tc>
      </w:tr>
      <w:tr w:rsidR="004F7D86" w:rsidRPr="00CC1ADD" w14:paraId="7755855A" w14:textId="77777777" w:rsidTr="004F7D86">
        <w:tc>
          <w:tcPr>
            <w:tcW w:w="1017" w:type="pct"/>
          </w:tcPr>
          <w:p w14:paraId="2B02D60B" w14:textId="77777777" w:rsidR="004F7D86" w:rsidRPr="00CC1ADD" w:rsidRDefault="004F7D86" w:rsidP="005A3631">
            <w:pPr>
              <w:rPr>
                <w:rFonts w:cstheme="minorHAnsi"/>
                <w:b/>
                <w:sz w:val="20"/>
                <w:szCs w:val="20"/>
              </w:rPr>
            </w:pPr>
            <w:r w:rsidRPr="00CC1ADD">
              <w:rPr>
                <w:rFonts w:cstheme="minorHAnsi"/>
                <w:b/>
                <w:sz w:val="20"/>
                <w:szCs w:val="20"/>
              </w:rPr>
              <w:t>Rescaling</w:t>
            </w:r>
          </w:p>
        </w:tc>
        <w:tc>
          <w:tcPr>
            <w:tcW w:w="3983" w:type="pct"/>
          </w:tcPr>
          <w:p w14:paraId="26DA26E9"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Current scaling of each HSR category is based on the outputs produced by the HSR Calculator using the database used to develop and test the HSR System. The intention of scaling is to distribute products within each category across the range of HSRs available (i.e. from 0.5-5.0), thereby providing greater differentiation between rankings.</w:t>
            </w:r>
          </w:p>
          <w:p w14:paraId="1A1373FE" w14:textId="77777777" w:rsidR="004F7D86" w:rsidRPr="00CC1ADD" w:rsidRDefault="004F7D86">
            <w:pPr>
              <w:pStyle w:val="mpctabletext"/>
              <w:spacing w:before="60" w:after="60"/>
              <w:rPr>
                <w:rFonts w:cstheme="minorHAnsi"/>
                <w:color w:val="000000" w:themeColor="text1"/>
                <w:szCs w:val="20"/>
              </w:rPr>
            </w:pPr>
            <w:r w:rsidRPr="00CC1ADD">
              <w:rPr>
                <w:rFonts w:cstheme="minorHAnsi"/>
                <w:color w:val="000000" w:themeColor="text1"/>
                <w:szCs w:val="20"/>
              </w:rPr>
              <w:t xml:space="preserve">HSR categories could be rescaled to redistribute products according to their relative nutrient content if a new distribution of products displays less differentiation. </w:t>
            </w:r>
          </w:p>
        </w:tc>
      </w:tr>
      <w:tr w:rsidR="004F7D86" w:rsidRPr="00CC1ADD" w14:paraId="6E0E227D" w14:textId="77777777" w:rsidTr="004F7D86">
        <w:tc>
          <w:tcPr>
            <w:tcW w:w="1017" w:type="pct"/>
          </w:tcPr>
          <w:p w14:paraId="26E9C2BC" w14:textId="77777777" w:rsidR="004F7D86" w:rsidRPr="00CC1ADD" w:rsidRDefault="004F7D86" w:rsidP="005A3631">
            <w:pPr>
              <w:rPr>
                <w:rFonts w:cstheme="minorHAnsi"/>
                <w:b/>
                <w:sz w:val="20"/>
                <w:szCs w:val="20"/>
              </w:rPr>
            </w:pPr>
            <w:r w:rsidRPr="00CC1ADD">
              <w:rPr>
                <w:rFonts w:cstheme="minorHAnsi"/>
                <w:b/>
                <w:sz w:val="20"/>
                <w:szCs w:val="20"/>
              </w:rPr>
              <w:t>Social Marketing Advisory Group (SMAG)</w:t>
            </w:r>
          </w:p>
        </w:tc>
        <w:tc>
          <w:tcPr>
            <w:tcW w:w="3983" w:type="pct"/>
          </w:tcPr>
          <w:p w14:paraId="70E075A5" w14:textId="5024C47F" w:rsidR="004F7D86" w:rsidRPr="00CC1ADD" w:rsidRDefault="004F7D86">
            <w:pPr>
              <w:rPr>
                <w:rFonts w:cstheme="minorHAnsi"/>
                <w:color w:val="000000" w:themeColor="text1"/>
                <w:sz w:val="20"/>
                <w:szCs w:val="20"/>
              </w:rPr>
            </w:pPr>
            <w:r w:rsidRPr="00CC1ADD">
              <w:rPr>
                <w:rFonts w:cstheme="minorHAnsi"/>
                <w:color w:val="000000" w:themeColor="text1"/>
                <w:sz w:val="20"/>
                <w:szCs w:val="20"/>
              </w:rPr>
              <w:t xml:space="preserve">An advisory group that provides advice on communications on the HSR System, including campaigns and social marketing. </w:t>
            </w:r>
            <w:r w:rsidR="0086701F" w:rsidRPr="00CC1ADD">
              <w:rPr>
                <w:rFonts w:cstheme="minorHAnsi"/>
                <w:color w:val="000000" w:themeColor="text1"/>
                <w:sz w:val="20"/>
                <w:szCs w:val="20"/>
              </w:rPr>
              <w:t>C</w:t>
            </w:r>
            <w:r w:rsidRPr="00CC1ADD">
              <w:rPr>
                <w:rFonts w:cstheme="minorHAnsi"/>
                <w:color w:val="000000" w:themeColor="text1"/>
                <w:sz w:val="20"/>
                <w:szCs w:val="20"/>
              </w:rPr>
              <w:t xml:space="preserve">onsists of representatives from </w:t>
            </w:r>
            <w:r w:rsidR="0086701F" w:rsidRPr="00CC1ADD">
              <w:rPr>
                <w:rFonts w:cstheme="minorHAnsi"/>
                <w:color w:val="000000" w:themeColor="text1"/>
                <w:sz w:val="20"/>
                <w:szCs w:val="20"/>
              </w:rPr>
              <w:t xml:space="preserve">government, </w:t>
            </w:r>
            <w:r w:rsidRPr="00CC1ADD">
              <w:rPr>
                <w:rFonts w:cstheme="minorHAnsi"/>
                <w:color w:val="000000" w:themeColor="text1"/>
                <w:sz w:val="20"/>
                <w:szCs w:val="20"/>
              </w:rPr>
              <w:t>the food industry, public health and consumer representatives with expertise in social marketing.</w:t>
            </w:r>
          </w:p>
        </w:tc>
      </w:tr>
      <w:tr w:rsidR="004F7D86" w:rsidRPr="00CC1ADD" w14:paraId="35A4EC44" w14:textId="77777777" w:rsidTr="004F7D86">
        <w:tc>
          <w:tcPr>
            <w:tcW w:w="1017" w:type="pct"/>
          </w:tcPr>
          <w:p w14:paraId="2F4E16D0" w14:textId="77777777" w:rsidR="004F7D86" w:rsidRPr="00CC1ADD" w:rsidRDefault="004F7D86" w:rsidP="005A3631">
            <w:pPr>
              <w:rPr>
                <w:rFonts w:cstheme="minorHAnsi"/>
                <w:b/>
                <w:sz w:val="20"/>
                <w:szCs w:val="20"/>
              </w:rPr>
            </w:pPr>
            <w:r w:rsidRPr="00CC1ADD">
              <w:rPr>
                <w:rFonts w:cstheme="minorHAnsi"/>
                <w:b/>
                <w:sz w:val="20"/>
                <w:szCs w:val="20"/>
              </w:rPr>
              <w:t>Technical Advisory Group (TAG)</w:t>
            </w:r>
          </w:p>
        </w:tc>
        <w:tc>
          <w:tcPr>
            <w:tcW w:w="3983" w:type="pct"/>
          </w:tcPr>
          <w:p w14:paraId="61CDF7B6" w14:textId="236AACAD" w:rsidR="004F7D86" w:rsidRPr="00CC1ADD" w:rsidRDefault="004F7D86">
            <w:pPr>
              <w:rPr>
                <w:rFonts w:cstheme="minorHAnsi"/>
                <w:sz w:val="20"/>
                <w:szCs w:val="20"/>
              </w:rPr>
            </w:pPr>
            <w:r w:rsidRPr="00CC1ADD">
              <w:rPr>
                <w:rFonts w:cstheme="minorHAnsi"/>
                <w:sz w:val="20"/>
                <w:szCs w:val="20"/>
              </w:rPr>
              <w:t xml:space="preserve">The </w:t>
            </w:r>
            <w:hyperlink r:id="rId150" w:history="1">
              <w:r w:rsidRPr="00CC1ADD">
                <w:rPr>
                  <w:rStyle w:val="Hyperlink"/>
                  <w:rFonts w:cstheme="minorHAnsi"/>
                  <w:sz w:val="20"/>
                  <w:szCs w:val="20"/>
                </w:rPr>
                <w:t>TAG</w:t>
              </w:r>
            </w:hyperlink>
            <w:r w:rsidRPr="00CC1ADD">
              <w:rPr>
                <w:rFonts w:cstheme="minorHAnsi"/>
                <w:sz w:val="20"/>
                <w:szCs w:val="20"/>
              </w:rPr>
              <w:t xml:space="preserve"> </w:t>
            </w:r>
            <w:r w:rsidR="00DE336D">
              <w:rPr>
                <w:rFonts w:cstheme="minorHAnsi"/>
                <w:sz w:val="20"/>
                <w:szCs w:val="20"/>
              </w:rPr>
              <w:t>consisted</w:t>
            </w:r>
            <w:r w:rsidRPr="00CC1ADD">
              <w:rPr>
                <w:rFonts w:cstheme="minorHAnsi"/>
                <w:sz w:val="20"/>
                <w:szCs w:val="20"/>
              </w:rPr>
              <w:t xml:space="preserve"> of a tripartite (government, food industry, public health) group of experts with relevant technical skills. The TAG</w:t>
            </w:r>
            <w:r w:rsidR="00DE336D">
              <w:rPr>
                <w:rFonts w:cstheme="minorHAnsi"/>
                <w:sz w:val="20"/>
                <w:szCs w:val="20"/>
              </w:rPr>
              <w:t xml:space="preserve"> provided technical advice to the HSRAC regarding the HSR Calculator (mainly to inform the Review) and has now been disbanded.</w:t>
            </w:r>
          </w:p>
        </w:tc>
      </w:tr>
      <w:tr w:rsidR="004F7D86" w:rsidRPr="00CC1ADD" w14:paraId="1B40493A" w14:textId="77777777" w:rsidTr="004F7D86">
        <w:tc>
          <w:tcPr>
            <w:tcW w:w="1017" w:type="pct"/>
          </w:tcPr>
          <w:p w14:paraId="1308BCCE" w14:textId="77777777" w:rsidR="004F7D86" w:rsidRPr="00CC1ADD" w:rsidRDefault="004F7D86" w:rsidP="005A3631">
            <w:pPr>
              <w:rPr>
                <w:rFonts w:cstheme="minorHAnsi"/>
                <w:b/>
                <w:sz w:val="20"/>
                <w:szCs w:val="20"/>
              </w:rPr>
            </w:pPr>
            <w:r w:rsidRPr="00CC1ADD">
              <w:rPr>
                <w:rFonts w:cstheme="minorHAnsi"/>
                <w:b/>
                <w:sz w:val="20"/>
                <w:szCs w:val="20"/>
              </w:rPr>
              <w:t>UK Nutrient Profiling Model (NPM)</w:t>
            </w:r>
          </w:p>
        </w:tc>
        <w:tc>
          <w:tcPr>
            <w:tcW w:w="3983" w:type="pct"/>
          </w:tcPr>
          <w:p w14:paraId="513FE4FB" w14:textId="77777777" w:rsidR="004F7D86" w:rsidRPr="00CC1ADD" w:rsidRDefault="004F7D86">
            <w:pPr>
              <w:rPr>
                <w:rFonts w:cstheme="minorHAnsi"/>
                <w:sz w:val="20"/>
                <w:szCs w:val="20"/>
              </w:rPr>
            </w:pPr>
            <w:r w:rsidRPr="00CC1ADD">
              <w:rPr>
                <w:rFonts w:cstheme="minorHAnsi"/>
                <w:sz w:val="20"/>
                <w:szCs w:val="20"/>
              </w:rPr>
              <w:t>A tool developed in 2004 by the Food Standards Agency in the United Kingdom to enable the broadcast regulator to identify the ‘less healthy’ food and drinks subject to restrictions during children’s television programming.</w:t>
            </w:r>
          </w:p>
        </w:tc>
      </w:tr>
      <w:tr w:rsidR="004F7D86" w:rsidRPr="00CC1ADD" w14:paraId="67D5DDD9" w14:textId="77777777" w:rsidTr="004F7D86">
        <w:tc>
          <w:tcPr>
            <w:tcW w:w="1017" w:type="pct"/>
          </w:tcPr>
          <w:p w14:paraId="0C45F9F5" w14:textId="77777777" w:rsidR="004F7D86" w:rsidRPr="00CC1ADD" w:rsidRDefault="004F7D86" w:rsidP="005A3631">
            <w:pPr>
              <w:rPr>
                <w:rFonts w:cstheme="minorHAnsi"/>
                <w:b/>
                <w:sz w:val="20"/>
                <w:szCs w:val="20"/>
              </w:rPr>
            </w:pPr>
            <w:r w:rsidRPr="00CC1ADD">
              <w:rPr>
                <w:rFonts w:cstheme="minorHAnsi"/>
                <w:b/>
                <w:sz w:val="20"/>
                <w:szCs w:val="20"/>
              </w:rPr>
              <w:t>World Health Organization (WHO)</w:t>
            </w:r>
          </w:p>
        </w:tc>
        <w:tc>
          <w:tcPr>
            <w:tcW w:w="3983" w:type="pct"/>
          </w:tcPr>
          <w:p w14:paraId="7392F535" w14:textId="77777777" w:rsidR="004F7D86" w:rsidRPr="00CC1ADD" w:rsidRDefault="004F7D86">
            <w:pPr>
              <w:rPr>
                <w:rFonts w:cstheme="minorHAnsi"/>
                <w:sz w:val="20"/>
                <w:szCs w:val="20"/>
              </w:rPr>
            </w:pPr>
            <w:r w:rsidRPr="00CC1ADD">
              <w:rPr>
                <w:rFonts w:cstheme="minorHAnsi"/>
                <w:sz w:val="20"/>
                <w:szCs w:val="20"/>
              </w:rPr>
              <w:t>WHO is the directing and coordinating authority on international health within the United Nations’ system.</w:t>
            </w:r>
          </w:p>
        </w:tc>
      </w:tr>
    </w:tbl>
    <w:p w14:paraId="12ACC7BE" w14:textId="77777777" w:rsidR="004F7D86" w:rsidRPr="00CC1ADD" w:rsidRDefault="004F7D86" w:rsidP="005A3631">
      <w:pPr>
        <w:tabs>
          <w:tab w:val="left" w:pos="2960"/>
        </w:tabs>
      </w:pPr>
    </w:p>
    <w:p w14:paraId="64F1E09E" w14:textId="749C058A" w:rsidR="004F7D86" w:rsidRPr="00CC1ADD" w:rsidRDefault="004F7D86" w:rsidP="0017608D">
      <w:pPr>
        <w:pStyle w:val="mpcNormal"/>
        <w:keepNext w:val="0"/>
        <w:sectPr w:rsidR="004F7D86" w:rsidRPr="00CC1ADD" w:rsidSect="00B36208">
          <w:pgSz w:w="11900" w:h="16840"/>
          <w:pgMar w:top="1304" w:right="1077" w:bottom="1304" w:left="1077" w:header="709" w:footer="709" w:gutter="0"/>
          <w:cols w:space="708"/>
          <w:docGrid w:linePitch="360"/>
        </w:sectPr>
      </w:pPr>
    </w:p>
    <w:p w14:paraId="561B4711" w14:textId="58ED495B" w:rsidR="00C52B5B" w:rsidRPr="001D028A" w:rsidRDefault="00DB42F9" w:rsidP="00C52B5B">
      <w:pPr>
        <w:pStyle w:val="mpcheading1"/>
        <w:rPr>
          <w:rFonts w:cstheme="minorHAnsi"/>
          <w:sz w:val="20"/>
          <w:szCs w:val="20"/>
        </w:rPr>
      </w:pPr>
      <w:bookmarkStart w:id="206" w:name="Bibliography"/>
      <w:bookmarkStart w:id="207" w:name="_Toc1746538"/>
      <w:bookmarkEnd w:id="206"/>
      <w:r w:rsidRPr="00CC1ADD">
        <w:t>Bibliography</w:t>
      </w:r>
      <w:bookmarkEnd w:id="207"/>
    </w:p>
    <w:p w14:paraId="6F8247DE" w14:textId="77777777" w:rsidR="00C52B5B" w:rsidRPr="001D028A" w:rsidRDefault="00C52B5B" w:rsidP="00C52B5B">
      <w:pPr>
        <w:pStyle w:val="mpcheading4"/>
        <w:keepNext w:val="0"/>
        <w:rPr>
          <w:rFonts w:cstheme="minorHAnsi"/>
          <w:sz w:val="20"/>
          <w:szCs w:val="20"/>
        </w:rPr>
      </w:pPr>
      <w:r w:rsidRPr="001D028A">
        <w:rPr>
          <w:rFonts w:cstheme="minorHAnsi"/>
          <w:sz w:val="20"/>
          <w:szCs w:val="20"/>
        </w:rPr>
        <w:t>Technical Advisory Group technical papers, October 2018</w:t>
      </w:r>
    </w:p>
    <w:p w14:paraId="740BF0AD" w14:textId="77777777" w:rsidR="00C52B5B" w:rsidRPr="001D028A" w:rsidRDefault="00C52B5B" w:rsidP="00C52B5B">
      <w:pPr>
        <w:pStyle w:val="mpcNormal"/>
        <w:keepNext w:val="0"/>
        <w:rPr>
          <w:sz w:val="20"/>
          <w:szCs w:val="20"/>
        </w:rPr>
      </w:pPr>
    </w:p>
    <w:p w14:paraId="091D25BF"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Alignment of the HSR system with the Australian and New Zealand Dietary Guidelines: Analysis of alignment and identification of outliers</w:t>
      </w:r>
    </w:p>
    <w:p w14:paraId="3E3DBE78"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Calcium</w:t>
      </w:r>
    </w:p>
    <w:p w14:paraId="61C0D044"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Confectionery</w:t>
      </w:r>
    </w:p>
    <w:p w14:paraId="3D02B644"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Fats, oils and oil-based spreads</w:t>
      </w:r>
    </w:p>
    <w:p w14:paraId="2C172852"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Fibre</w:t>
      </w:r>
    </w:p>
    <w:p w14:paraId="0F728E8F"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Fruit, vegetable, nut and legume content</w:t>
      </w:r>
    </w:p>
    <w:p w14:paraId="38D3C357"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Glossary</w:t>
      </w:r>
    </w:p>
    <w:p w14:paraId="2EF9ADB5"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History and development of the HSR algorithm</w:t>
      </w:r>
    </w:p>
    <w:p w14:paraId="3B89CF12"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Ice confection, jelly and frozen milk products</w:t>
      </w:r>
    </w:p>
    <w:p w14:paraId="30D9C8F8"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Non-dairy beverages</w:t>
      </w:r>
    </w:p>
    <w:p w14:paraId="2DFFAD5C"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Protein</w:t>
      </w:r>
    </w:p>
    <w:p w14:paraId="44AA5F0A"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Salty snacks and hot potato products</w:t>
      </w:r>
    </w:p>
    <w:p w14:paraId="570CDA73"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Saturated fat</w:t>
      </w:r>
    </w:p>
    <w:p w14:paraId="2325431F"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Snack bars</w:t>
      </w:r>
    </w:p>
    <w:p w14:paraId="678CD1D4"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Sodium</w:t>
      </w:r>
    </w:p>
    <w:p w14:paraId="205A9C7E"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Sugars (added and total)</w:t>
      </w:r>
    </w:p>
    <w:p w14:paraId="4F324585"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Unprocessed fruits and vegetables</w:t>
      </w:r>
    </w:p>
    <w:p w14:paraId="56A1DE8D" w14:textId="77777777" w:rsidR="00C52B5B" w:rsidRPr="001D028A" w:rsidRDefault="00C52B5B" w:rsidP="00C52B5B">
      <w:pPr>
        <w:pStyle w:val="mpcNormal"/>
        <w:keepNext w:val="0"/>
        <w:numPr>
          <w:ilvl w:val="0"/>
          <w:numId w:val="38"/>
        </w:numPr>
        <w:rPr>
          <w:sz w:val="20"/>
          <w:szCs w:val="20"/>
          <w:lang w:val="en-GB"/>
        </w:rPr>
      </w:pPr>
      <w:r w:rsidRPr="001D028A">
        <w:rPr>
          <w:sz w:val="20"/>
          <w:szCs w:val="20"/>
          <w:lang w:val="en-GB"/>
        </w:rPr>
        <w:t>Wholegrain</w:t>
      </w:r>
    </w:p>
    <w:p w14:paraId="1AE39BE5" w14:textId="77777777" w:rsidR="00C52B5B" w:rsidRPr="001D028A" w:rsidRDefault="00C52B5B" w:rsidP="00C52B5B">
      <w:pPr>
        <w:pStyle w:val="mpcNormal"/>
        <w:keepNext w:val="0"/>
        <w:rPr>
          <w:sz w:val="20"/>
          <w:szCs w:val="20"/>
          <w:lang w:val="en-GB"/>
        </w:rPr>
      </w:pPr>
    </w:p>
    <w:p w14:paraId="28E05D69" w14:textId="77777777" w:rsidR="00C52B5B" w:rsidRPr="001D028A" w:rsidRDefault="00C52B5B" w:rsidP="00C52B5B">
      <w:pPr>
        <w:pStyle w:val="mpcNormal"/>
        <w:keepNext w:val="0"/>
        <w:rPr>
          <w:sz w:val="20"/>
          <w:szCs w:val="20"/>
          <w:lang w:val="en-GB"/>
        </w:rPr>
      </w:pPr>
      <w:r w:rsidRPr="001D028A">
        <w:rPr>
          <w:sz w:val="20"/>
          <w:szCs w:val="20"/>
          <w:lang w:val="en-GB"/>
        </w:rPr>
        <w:t>Additional modelling and data provided by the TAG as requested.</w:t>
      </w:r>
    </w:p>
    <w:p w14:paraId="426C47FB" w14:textId="77777777" w:rsidR="00C52B5B" w:rsidRPr="001D028A" w:rsidRDefault="00C52B5B" w:rsidP="00C52B5B">
      <w:pPr>
        <w:pStyle w:val="mpcNormal"/>
        <w:keepNext w:val="0"/>
        <w:rPr>
          <w:sz w:val="20"/>
          <w:szCs w:val="20"/>
        </w:rPr>
      </w:pPr>
    </w:p>
    <w:p w14:paraId="4F1242EC" w14:textId="77777777" w:rsidR="00C52B5B" w:rsidRPr="001D028A" w:rsidRDefault="00C52B5B" w:rsidP="00C52B5B">
      <w:pPr>
        <w:pStyle w:val="mpcheading4"/>
        <w:keepNext w:val="0"/>
        <w:rPr>
          <w:rFonts w:cstheme="minorHAnsi"/>
          <w:sz w:val="20"/>
          <w:szCs w:val="20"/>
        </w:rPr>
      </w:pPr>
      <w:r w:rsidRPr="001D028A">
        <w:rPr>
          <w:rFonts w:cstheme="minorHAnsi"/>
          <w:sz w:val="20"/>
          <w:szCs w:val="20"/>
        </w:rPr>
        <w:t>National data and statistics</w:t>
      </w:r>
    </w:p>
    <w:p w14:paraId="0A9E304E" w14:textId="77777777" w:rsidR="00C52B5B" w:rsidRPr="001D028A" w:rsidRDefault="00C52B5B" w:rsidP="00C52B5B">
      <w:pPr>
        <w:pStyle w:val="mpcNormal"/>
        <w:keepNext w:val="0"/>
        <w:rPr>
          <w:sz w:val="20"/>
          <w:szCs w:val="20"/>
        </w:rPr>
      </w:pPr>
    </w:p>
    <w:p w14:paraId="71AFC845" w14:textId="77777777" w:rsidR="00C52B5B" w:rsidRPr="001D028A" w:rsidRDefault="00C52B5B" w:rsidP="00C52B5B">
      <w:pPr>
        <w:pStyle w:val="FootnoteText"/>
        <w:rPr>
          <w:rFonts w:cstheme="minorHAnsi"/>
        </w:rPr>
      </w:pPr>
      <w:r w:rsidRPr="001D028A">
        <w:rPr>
          <w:rFonts w:cstheme="minorHAnsi"/>
        </w:rPr>
        <w:t xml:space="preserve">Australian Bureau of Statistics, </w:t>
      </w:r>
      <w:r w:rsidRPr="001D028A">
        <w:rPr>
          <w:rFonts w:cstheme="minorHAnsi"/>
          <w:i/>
        </w:rPr>
        <w:t>Australian Health Survey 2011-12.</w:t>
      </w:r>
    </w:p>
    <w:p w14:paraId="7FA2F826" w14:textId="77777777" w:rsidR="00C52B5B" w:rsidRPr="001D028A" w:rsidRDefault="00C52B5B" w:rsidP="00C52B5B">
      <w:pPr>
        <w:pStyle w:val="NoSpacing"/>
        <w:rPr>
          <w:rFonts w:cstheme="minorHAnsi"/>
          <w:sz w:val="20"/>
          <w:szCs w:val="20"/>
          <w:lang w:val="en-GB"/>
        </w:rPr>
      </w:pPr>
    </w:p>
    <w:p w14:paraId="2A16B807"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Bureau of Statistics, </w:t>
      </w:r>
      <w:r w:rsidRPr="001D028A">
        <w:rPr>
          <w:rFonts w:cstheme="minorHAnsi"/>
          <w:i/>
          <w:iCs/>
          <w:sz w:val="20"/>
          <w:szCs w:val="20"/>
          <w:lang w:val="en-GB"/>
        </w:rPr>
        <w:t>Australian Health Survey: Consumption of Added Sugars</w:t>
      </w:r>
      <w:r w:rsidRPr="001D028A">
        <w:rPr>
          <w:rFonts w:cstheme="minorHAnsi"/>
          <w:sz w:val="20"/>
          <w:szCs w:val="20"/>
          <w:lang w:val="en-GB"/>
        </w:rPr>
        <w:t>, 2011-12.</w:t>
      </w:r>
    </w:p>
    <w:p w14:paraId="449E9F83" w14:textId="77777777" w:rsidR="00C52B5B" w:rsidRPr="001D028A" w:rsidRDefault="00C52B5B" w:rsidP="00C52B5B">
      <w:pPr>
        <w:pStyle w:val="FootnoteText"/>
        <w:rPr>
          <w:rFonts w:cstheme="minorHAnsi"/>
        </w:rPr>
      </w:pPr>
    </w:p>
    <w:p w14:paraId="145A3C8F"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Bureau of Statistics, </w:t>
      </w:r>
      <w:r w:rsidRPr="001D028A">
        <w:rPr>
          <w:rFonts w:cstheme="minorHAnsi"/>
          <w:i/>
          <w:iCs/>
          <w:sz w:val="20"/>
          <w:szCs w:val="20"/>
          <w:lang w:val="en-GB"/>
        </w:rPr>
        <w:t>Australian Health Survey: Consumption of food groups from the Australian Dietary Guidelines Australia 2011-12.</w:t>
      </w:r>
    </w:p>
    <w:p w14:paraId="64D1F6DD" w14:textId="77777777" w:rsidR="00C52B5B" w:rsidRPr="001D028A" w:rsidRDefault="00C52B5B" w:rsidP="00C52B5B">
      <w:pPr>
        <w:pStyle w:val="NoSpacing"/>
        <w:rPr>
          <w:rFonts w:cstheme="minorHAnsi"/>
          <w:sz w:val="20"/>
          <w:szCs w:val="20"/>
          <w:lang w:val="en-GB"/>
        </w:rPr>
      </w:pPr>
    </w:p>
    <w:p w14:paraId="65F86FF9"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Australian Bureau of Statistics, </w:t>
      </w:r>
      <w:r w:rsidRPr="001D028A">
        <w:rPr>
          <w:rFonts w:cstheme="minorHAnsi"/>
          <w:i/>
          <w:sz w:val="20"/>
          <w:szCs w:val="20"/>
          <w:lang w:val="en-GB"/>
        </w:rPr>
        <w:t>National Health Survey: First Results, 2014-15.</w:t>
      </w:r>
    </w:p>
    <w:p w14:paraId="06EC8EAF" w14:textId="77777777" w:rsidR="00C52B5B" w:rsidRPr="001D028A" w:rsidRDefault="00C52B5B" w:rsidP="00C52B5B">
      <w:pPr>
        <w:pStyle w:val="NoSpacing"/>
        <w:rPr>
          <w:rFonts w:cstheme="minorHAnsi"/>
          <w:i/>
          <w:sz w:val="20"/>
          <w:szCs w:val="20"/>
          <w:lang w:val="en-GB"/>
        </w:rPr>
      </w:pPr>
    </w:p>
    <w:p w14:paraId="3C2A8047"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Bureau of Statistics, </w:t>
      </w:r>
      <w:r w:rsidRPr="001D028A">
        <w:rPr>
          <w:rFonts w:eastAsia="Times New Roman" w:cstheme="minorHAnsi"/>
          <w:bCs/>
          <w:i/>
          <w:color w:val="000000"/>
          <w:sz w:val="20"/>
          <w:szCs w:val="20"/>
          <w:shd w:val="clear" w:color="auto" w:fill="FFFFFF"/>
        </w:rPr>
        <w:t>National Health Survey: First Results, 2017-18, Fruit and vegetable consumption</w:t>
      </w:r>
    </w:p>
    <w:p w14:paraId="4588002E" w14:textId="77777777" w:rsidR="00C52B5B" w:rsidRPr="001D028A" w:rsidRDefault="00C52B5B" w:rsidP="00C52B5B">
      <w:pPr>
        <w:pStyle w:val="NoSpacing"/>
        <w:rPr>
          <w:rFonts w:cstheme="minorHAnsi"/>
          <w:sz w:val="20"/>
          <w:szCs w:val="20"/>
          <w:lang w:val="en-GB"/>
        </w:rPr>
      </w:pPr>
    </w:p>
    <w:p w14:paraId="0D7BBD21"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Australian Bureau of Statistics</w:t>
      </w:r>
      <w:r w:rsidRPr="001D028A">
        <w:rPr>
          <w:rFonts w:cstheme="minorHAnsi"/>
          <w:sz w:val="20"/>
          <w:szCs w:val="20"/>
        </w:rPr>
        <w:t xml:space="preserve">, </w:t>
      </w:r>
      <w:r w:rsidRPr="001D028A">
        <w:rPr>
          <w:rFonts w:cstheme="minorHAnsi"/>
          <w:i/>
          <w:sz w:val="20"/>
          <w:szCs w:val="20"/>
        </w:rPr>
        <w:t>Australian Health Survey: Users' Guide, 2011-13, Discretionary Foods.</w:t>
      </w:r>
    </w:p>
    <w:p w14:paraId="5F135B5A" w14:textId="77777777" w:rsidR="00C52B5B" w:rsidRPr="001D028A" w:rsidRDefault="00C52B5B" w:rsidP="00C52B5B">
      <w:pPr>
        <w:pStyle w:val="NoSpacing"/>
        <w:rPr>
          <w:rFonts w:cstheme="minorHAnsi"/>
          <w:b/>
          <w:bCs/>
          <w:sz w:val="20"/>
          <w:szCs w:val="20"/>
          <w:u w:val="single"/>
          <w:lang w:val="en-GB"/>
        </w:rPr>
      </w:pPr>
    </w:p>
    <w:p w14:paraId="04A466A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Bureau of Statistics, </w:t>
      </w:r>
      <w:r w:rsidRPr="001D028A">
        <w:rPr>
          <w:rFonts w:cstheme="minorHAnsi"/>
          <w:i/>
          <w:iCs/>
          <w:sz w:val="20"/>
          <w:szCs w:val="20"/>
          <w:lang w:val="en-GB"/>
        </w:rPr>
        <w:t>Australian Health Survey: Usual Nutrient Intakes</w:t>
      </w:r>
      <w:r w:rsidRPr="001D028A">
        <w:rPr>
          <w:rFonts w:cstheme="minorHAnsi"/>
          <w:i/>
          <w:sz w:val="20"/>
          <w:szCs w:val="20"/>
          <w:lang w:val="en-GB"/>
        </w:rPr>
        <w:t>, 2011-12</w:t>
      </w:r>
      <w:r w:rsidRPr="001D028A">
        <w:rPr>
          <w:rFonts w:cstheme="minorHAnsi"/>
          <w:sz w:val="20"/>
          <w:szCs w:val="20"/>
          <w:lang w:val="en-GB"/>
        </w:rPr>
        <w:t>.</w:t>
      </w:r>
    </w:p>
    <w:p w14:paraId="32032881" w14:textId="77777777" w:rsidR="00C52B5B" w:rsidRPr="001D028A" w:rsidRDefault="00C52B5B" w:rsidP="00C52B5B">
      <w:pPr>
        <w:pStyle w:val="FootnoteText"/>
        <w:rPr>
          <w:rFonts w:cstheme="minorHAnsi"/>
        </w:rPr>
      </w:pPr>
    </w:p>
    <w:p w14:paraId="3E359ECD"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Ministry of Health, </w:t>
      </w:r>
      <w:r w:rsidRPr="001D028A">
        <w:rPr>
          <w:rFonts w:cstheme="minorHAnsi"/>
          <w:i/>
          <w:sz w:val="20"/>
          <w:szCs w:val="20"/>
        </w:rPr>
        <w:t>A Focus on Nutrition: Key Findings of the 2008/09 New Zealand Adult Nutrition Survey.</w:t>
      </w:r>
    </w:p>
    <w:p w14:paraId="2A19F252" w14:textId="77777777" w:rsidR="00C52B5B" w:rsidRPr="001D028A" w:rsidRDefault="00C52B5B" w:rsidP="00C52B5B">
      <w:pPr>
        <w:pStyle w:val="NoSpacing"/>
        <w:rPr>
          <w:rFonts w:cstheme="minorHAnsi"/>
          <w:b/>
          <w:bCs/>
          <w:sz w:val="20"/>
          <w:szCs w:val="20"/>
          <w:u w:val="single"/>
          <w:lang w:val="en-GB"/>
        </w:rPr>
      </w:pPr>
    </w:p>
    <w:p w14:paraId="4071F115" w14:textId="77777777" w:rsidR="00C52B5B" w:rsidRPr="001D028A" w:rsidRDefault="00C52B5B" w:rsidP="00C52B5B">
      <w:pPr>
        <w:pStyle w:val="mpcheading4"/>
        <w:keepNext w:val="0"/>
        <w:rPr>
          <w:rFonts w:cstheme="minorHAnsi"/>
          <w:sz w:val="20"/>
          <w:szCs w:val="20"/>
        </w:rPr>
      </w:pPr>
      <w:r w:rsidRPr="001D028A">
        <w:rPr>
          <w:rFonts w:cstheme="minorHAnsi"/>
          <w:sz w:val="20"/>
          <w:szCs w:val="20"/>
        </w:rPr>
        <w:t>Dietary Guidelines</w:t>
      </w:r>
    </w:p>
    <w:p w14:paraId="6E3A7C6E" w14:textId="77777777" w:rsidR="00C52B5B" w:rsidRPr="001D028A" w:rsidRDefault="00C52B5B" w:rsidP="00C52B5B">
      <w:pPr>
        <w:pStyle w:val="mpcNormal"/>
        <w:keepNext w:val="0"/>
        <w:rPr>
          <w:sz w:val="20"/>
          <w:szCs w:val="20"/>
        </w:rPr>
      </w:pPr>
    </w:p>
    <w:p w14:paraId="54C484F1" w14:textId="77777777" w:rsidR="00C52B5B" w:rsidRPr="001D028A" w:rsidRDefault="00C52B5B" w:rsidP="00C52B5B">
      <w:pPr>
        <w:rPr>
          <w:rFonts w:cstheme="minorHAnsi"/>
          <w:sz w:val="20"/>
          <w:szCs w:val="20"/>
        </w:rPr>
      </w:pPr>
      <w:r w:rsidRPr="001D028A">
        <w:rPr>
          <w:rFonts w:cstheme="minorHAnsi"/>
          <w:sz w:val="20"/>
          <w:szCs w:val="20"/>
        </w:rPr>
        <w:t xml:space="preserve">Ministry of Health New Zealand, </w:t>
      </w:r>
      <w:hyperlink r:id="rId151" w:history="1">
        <w:r w:rsidRPr="001D028A">
          <w:rPr>
            <w:rStyle w:val="Hyperlink"/>
            <w:rFonts w:cstheme="minorHAnsi"/>
            <w:i/>
            <w:iCs/>
            <w:sz w:val="20"/>
            <w:szCs w:val="20"/>
          </w:rPr>
          <w:t>Eating and Activity Guidelines for New Zealand Adults</w:t>
        </w:r>
      </w:hyperlink>
    </w:p>
    <w:p w14:paraId="122CEA7E" w14:textId="77777777" w:rsidR="00C52B5B" w:rsidRPr="001D028A" w:rsidRDefault="00C52B5B" w:rsidP="00C52B5B">
      <w:pPr>
        <w:pStyle w:val="mpcNormal"/>
        <w:keepNext w:val="0"/>
        <w:rPr>
          <w:sz w:val="20"/>
          <w:szCs w:val="20"/>
        </w:rPr>
      </w:pPr>
    </w:p>
    <w:p w14:paraId="602CAE8D" w14:textId="77777777" w:rsidR="00C52B5B" w:rsidRPr="001D028A" w:rsidRDefault="00C52B5B" w:rsidP="00C52B5B">
      <w:pPr>
        <w:pStyle w:val="FootnoteText"/>
        <w:rPr>
          <w:rFonts w:cstheme="minorHAnsi"/>
        </w:rPr>
      </w:pPr>
      <w:r w:rsidRPr="001D028A">
        <w:rPr>
          <w:rFonts w:cstheme="minorHAnsi"/>
        </w:rPr>
        <w:t xml:space="preserve">National Health and Medical Research Council 2013, </w:t>
      </w:r>
      <w:hyperlink r:id="rId152" w:history="1">
        <w:r w:rsidRPr="001D028A">
          <w:rPr>
            <w:rStyle w:val="Hyperlink"/>
            <w:rFonts w:cstheme="minorHAnsi"/>
            <w:i/>
          </w:rPr>
          <w:t>Australian Dietary Guidelines – Providing the scientific evidence for healthier Australian diets</w:t>
        </w:r>
      </w:hyperlink>
      <w:r w:rsidRPr="001D028A">
        <w:rPr>
          <w:rFonts w:cstheme="minorHAnsi"/>
        </w:rPr>
        <w:t>, Canberra.</w:t>
      </w:r>
    </w:p>
    <w:p w14:paraId="2D313BB4" w14:textId="77777777" w:rsidR="00C52B5B" w:rsidRPr="001D028A" w:rsidRDefault="00C52B5B" w:rsidP="00C52B5B">
      <w:pPr>
        <w:pStyle w:val="FootnoteText"/>
        <w:rPr>
          <w:rFonts w:cstheme="minorHAnsi"/>
        </w:rPr>
      </w:pPr>
    </w:p>
    <w:p w14:paraId="54CC321E"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World Health Organization 2015, </w:t>
      </w:r>
      <w:hyperlink r:id="rId153" w:history="1">
        <w:r w:rsidRPr="001D028A">
          <w:rPr>
            <w:rStyle w:val="Hyperlink"/>
            <w:rFonts w:cstheme="minorHAnsi"/>
            <w:i/>
            <w:iCs/>
            <w:sz w:val="20"/>
            <w:szCs w:val="20"/>
          </w:rPr>
          <w:t>Guideline: Sugars intake for adults and children</w:t>
        </w:r>
      </w:hyperlink>
      <w:r w:rsidRPr="001D028A">
        <w:rPr>
          <w:rFonts w:cstheme="minorHAnsi"/>
          <w:sz w:val="20"/>
          <w:szCs w:val="20"/>
        </w:rPr>
        <w:t>, Geneva.</w:t>
      </w:r>
    </w:p>
    <w:p w14:paraId="38AB9EE9" w14:textId="77777777" w:rsidR="00C52B5B" w:rsidRPr="001D028A" w:rsidRDefault="00C52B5B" w:rsidP="00C52B5B">
      <w:pPr>
        <w:pStyle w:val="mpcNormal"/>
        <w:keepNext w:val="0"/>
        <w:rPr>
          <w:sz w:val="20"/>
          <w:szCs w:val="20"/>
        </w:rPr>
      </w:pPr>
    </w:p>
    <w:p w14:paraId="2AFC2DB5" w14:textId="77777777" w:rsidR="00C52B5B" w:rsidRPr="001D028A" w:rsidRDefault="00C52B5B" w:rsidP="00C52B5B">
      <w:pPr>
        <w:pStyle w:val="mpcheading4"/>
        <w:rPr>
          <w:rFonts w:cstheme="minorHAnsi"/>
          <w:sz w:val="20"/>
          <w:szCs w:val="20"/>
        </w:rPr>
      </w:pPr>
      <w:r w:rsidRPr="001D028A">
        <w:rPr>
          <w:rFonts w:cstheme="minorHAnsi"/>
          <w:sz w:val="20"/>
          <w:szCs w:val="20"/>
        </w:rPr>
        <w:t xml:space="preserve">Monitoring and evaluation </w:t>
      </w:r>
    </w:p>
    <w:p w14:paraId="27724329" w14:textId="77777777" w:rsidR="00C52B5B" w:rsidRPr="001D028A" w:rsidRDefault="00C52B5B" w:rsidP="00C52B5B">
      <w:pPr>
        <w:pStyle w:val="NoSpacing"/>
        <w:keepNext/>
        <w:rPr>
          <w:rFonts w:cstheme="minorHAnsi"/>
          <w:sz w:val="20"/>
          <w:szCs w:val="20"/>
          <w:lang w:val="en-GB"/>
        </w:rPr>
      </w:pPr>
    </w:p>
    <w:p w14:paraId="65873D88" w14:textId="77777777" w:rsidR="00C52B5B" w:rsidRPr="001D028A" w:rsidRDefault="00C52B5B" w:rsidP="00C52B5B">
      <w:pPr>
        <w:pStyle w:val="NoSpacing"/>
        <w:keepNext/>
        <w:rPr>
          <w:rFonts w:cstheme="minorHAnsi"/>
          <w:sz w:val="20"/>
          <w:szCs w:val="20"/>
          <w:lang w:val="en-GB"/>
        </w:rPr>
      </w:pPr>
      <w:r w:rsidRPr="001D028A">
        <w:rPr>
          <w:rFonts w:cstheme="minorHAnsi"/>
          <w:sz w:val="20"/>
          <w:szCs w:val="20"/>
        </w:rPr>
        <w:t xml:space="preserve">Brown, G 2017, </w:t>
      </w:r>
      <w:r w:rsidRPr="001D028A">
        <w:rPr>
          <w:rFonts w:cstheme="minorHAnsi"/>
          <w:i/>
          <w:sz w:val="20"/>
          <w:szCs w:val="20"/>
        </w:rPr>
        <w:t>Health Star Rating System: Campaign Evaluation Report June 2017,</w:t>
      </w:r>
      <w:r w:rsidRPr="001D028A">
        <w:rPr>
          <w:rFonts w:cstheme="minorHAnsi"/>
          <w:sz w:val="20"/>
          <w:szCs w:val="20"/>
        </w:rPr>
        <w:t xml:space="preserve"> Pollinate Research, NSW.</w:t>
      </w:r>
    </w:p>
    <w:p w14:paraId="105068BF" w14:textId="77777777" w:rsidR="00C52B5B" w:rsidRPr="001D028A" w:rsidRDefault="00C52B5B" w:rsidP="00C52B5B">
      <w:pPr>
        <w:pStyle w:val="NoSpacing"/>
        <w:keepNext/>
        <w:rPr>
          <w:rFonts w:cstheme="minorHAnsi"/>
          <w:sz w:val="20"/>
          <w:szCs w:val="20"/>
          <w:lang w:val="en-GB"/>
        </w:rPr>
      </w:pPr>
    </w:p>
    <w:p w14:paraId="77CF0ECC" w14:textId="77777777" w:rsidR="00C52B5B" w:rsidRPr="001D028A" w:rsidRDefault="00C52B5B" w:rsidP="00C52B5B">
      <w:pPr>
        <w:pStyle w:val="NoSpacing"/>
        <w:keepNext/>
        <w:rPr>
          <w:rFonts w:cstheme="minorHAnsi"/>
          <w:sz w:val="20"/>
          <w:szCs w:val="20"/>
          <w:lang w:val="en-GB"/>
        </w:rPr>
      </w:pPr>
      <w:r w:rsidRPr="001D028A">
        <w:rPr>
          <w:rFonts w:cstheme="minorHAnsi"/>
          <w:sz w:val="20"/>
          <w:szCs w:val="20"/>
          <w:lang w:val="en-GB"/>
        </w:rPr>
        <w:t xml:space="preserve">Colmar Brunton 2016, </w:t>
      </w:r>
      <w:r w:rsidRPr="001D028A">
        <w:rPr>
          <w:rFonts w:cstheme="minorHAnsi"/>
          <w:i/>
          <w:sz w:val="20"/>
          <w:szCs w:val="20"/>
          <w:lang w:val="en-GB"/>
        </w:rPr>
        <w:t xml:space="preserve">Health Star Rating Monitoring and Evaluation, </w:t>
      </w:r>
      <w:r w:rsidRPr="001D028A">
        <w:rPr>
          <w:rFonts w:cstheme="minorHAnsi"/>
          <w:sz w:val="20"/>
          <w:szCs w:val="20"/>
          <w:lang w:val="en-GB"/>
        </w:rPr>
        <w:t>Health Promotion Agency, Wellington.</w:t>
      </w:r>
    </w:p>
    <w:p w14:paraId="5D7796C7" w14:textId="77777777" w:rsidR="00C52B5B" w:rsidRPr="001D028A" w:rsidRDefault="00C52B5B" w:rsidP="00C52B5B">
      <w:pPr>
        <w:pStyle w:val="NoSpacing"/>
        <w:rPr>
          <w:rFonts w:cstheme="minorHAnsi"/>
          <w:sz w:val="20"/>
          <w:szCs w:val="20"/>
          <w:lang w:val="en-GB"/>
        </w:rPr>
      </w:pPr>
    </w:p>
    <w:p w14:paraId="4FE03512"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Colmar Brunton 2016</w:t>
      </w:r>
      <w:r w:rsidRPr="001D028A">
        <w:rPr>
          <w:rFonts w:cstheme="minorHAnsi"/>
          <w:i/>
          <w:sz w:val="20"/>
          <w:szCs w:val="20"/>
          <w:lang w:val="en-GB"/>
        </w:rPr>
        <w:t>, Health Star Rating Monitoring and Evaluation Year One Follow-up Research Report</w:t>
      </w:r>
      <w:r w:rsidRPr="001D028A">
        <w:rPr>
          <w:rFonts w:cstheme="minorHAnsi"/>
          <w:sz w:val="20"/>
          <w:szCs w:val="20"/>
          <w:lang w:val="en-GB"/>
        </w:rPr>
        <w:t>, Health Promotion Agency, Wellington.</w:t>
      </w:r>
    </w:p>
    <w:p w14:paraId="6760D924" w14:textId="77777777" w:rsidR="00C52B5B" w:rsidRPr="001D028A" w:rsidRDefault="00C52B5B" w:rsidP="00C52B5B">
      <w:pPr>
        <w:pStyle w:val="FootnoteText"/>
        <w:rPr>
          <w:rFonts w:cstheme="minorHAnsi"/>
        </w:rPr>
      </w:pPr>
    </w:p>
    <w:p w14:paraId="09771F9C" w14:textId="77777777" w:rsidR="00C52B5B" w:rsidRPr="001D028A" w:rsidRDefault="00C52B5B" w:rsidP="00C52B5B">
      <w:pPr>
        <w:pStyle w:val="FootnoteText"/>
        <w:rPr>
          <w:rFonts w:cstheme="minorHAnsi"/>
        </w:rPr>
      </w:pPr>
      <w:r w:rsidRPr="001D028A">
        <w:rPr>
          <w:rFonts w:cstheme="minorHAnsi"/>
        </w:rPr>
        <w:t xml:space="preserve">Colmar Brunton 2018, </w:t>
      </w:r>
      <w:r w:rsidRPr="001D028A">
        <w:rPr>
          <w:rFonts w:cstheme="minorHAnsi"/>
          <w:i/>
        </w:rPr>
        <w:t>2018 Health Star Rating monitoring and evaluation: Year 2 follow-up research report</w:t>
      </w:r>
      <w:r w:rsidRPr="001D028A">
        <w:rPr>
          <w:rFonts w:cstheme="minorHAnsi"/>
        </w:rPr>
        <w:t>, Health Promotion Agency, Wellington.</w:t>
      </w:r>
    </w:p>
    <w:p w14:paraId="3A045BDE" w14:textId="77777777" w:rsidR="00C52B5B" w:rsidRPr="001D028A" w:rsidRDefault="00C52B5B" w:rsidP="00C52B5B">
      <w:pPr>
        <w:pStyle w:val="NoSpacing"/>
        <w:rPr>
          <w:rFonts w:cstheme="minorHAnsi"/>
          <w:iCs/>
          <w:sz w:val="20"/>
          <w:szCs w:val="20"/>
          <w:lang w:val="en-GB"/>
        </w:rPr>
      </w:pPr>
    </w:p>
    <w:p w14:paraId="54453654" w14:textId="77777777" w:rsidR="00C52B5B" w:rsidRPr="001D028A" w:rsidRDefault="00C52B5B" w:rsidP="00C52B5B">
      <w:pPr>
        <w:pStyle w:val="NoSpacing"/>
        <w:rPr>
          <w:rFonts w:cstheme="minorHAnsi"/>
          <w:i/>
          <w:sz w:val="20"/>
          <w:szCs w:val="20"/>
          <w:lang w:val="en-GB"/>
        </w:rPr>
      </w:pPr>
      <w:r w:rsidRPr="001D028A">
        <w:rPr>
          <w:rFonts w:cstheme="minorHAnsi"/>
          <w:iCs/>
          <w:sz w:val="20"/>
          <w:szCs w:val="20"/>
          <w:lang w:val="en-GB"/>
        </w:rPr>
        <w:t xml:space="preserve">Health Star Rating Advisory Committee 2017, </w:t>
      </w:r>
      <w:r w:rsidRPr="001D028A">
        <w:rPr>
          <w:rFonts w:cstheme="minorHAnsi"/>
          <w:i/>
          <w:iCs/>
          <w:sz w:val="20"/>
          <w:szCs w:val="20"/>
          <w:lang w:val="en-GB"/>
        </w:rPr>
        <w:t>Two year progress review report on the implementation of the Health Star Rating system</w:t>
      </w:r>
      <w:r w:rsidRPr="001D028A">
        <w:rPr>
          <w:rFonts w:cstheme="minorHAnsi"/>
          <w:sz w:val="20"/>
          <w:szCs w:val="20"/>
          <w:lang w:val="en-GB"/>
        </w:rPr>
        <w:t xml:space="preserve"> </w:t>
      </w:r>
      <w:r w:rsidRPr="001D028A">
        <w:rPr>
          <w:rFonts w:cstheme="minorHAnsi"/>
          <w:i/>
          <w:sz w:val="20"/>
          <w:szCs w:val="20"/>
          <w:lang w:val="en-GB"/>
        </w:rPr>
        <w:t>June 2014 – June 2016.</w:t>
      </w:r>
    </w:p>
    <w:p w14:paraId="7E4216D1" w14:textId="77777777" w:rsidR="00C52B5B" w:rsidRPr="001D028A" w:rsidRDefault="00C52B5B" w:rsidP="00C52B5B">
      <w:pPr>
        <w:pStyle w:val="FootnoteText"/>
        <w:rPr>
          <w:rFonts w:cstheme="minorHAnsi"/>
        </w:rPr>
      </w:pPr>
    </w:p>
    <w:p w14:paraId="48725C1E"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Ministry for Primary Industries 2017, </w:t>
      </w:r>
      <w:r w:rsidRPr="001D028A">
        <w:rPr>
          <w:rFonts w:cstheme="minorHAnsi"/>
          <w:i/>
          <w:sz w:val="20"/>
          <w:szCs w:val="20"/>
          <w:lang w:val="en-GB"/>
        </w:rPr>
        <w:t>Health Star Rating – Monitoring implementation at Year Two</w:t>
      </w:r>
      <w:r w:rsidRPr="001D028A">
        <w:rPr>
          <w:rFonts w:cstheme="minorHAnsi"/>
          <w:sz w:val="20"/>
          <w:szCs w:val="20"/>
          <w:lang w:val="en-GB"/>
        </w:rPr>
        <w:t>, New Zealand Government.</w:t>
      </w:r>
    </w:p>
    <w:p w14:paraId="6644BF0A" w14:textId="77777777" w:rsidR="00C52B5B" w:rsidRPr="001D028A" w:rsidRDefault="00C52B5B" w:rsidP="00C52B5B">
      <w:pPr>
        <w:pStyle w:val="NoSpacing"/>
        <w:rPr>
          <w:rFonts w:cstheme="minorHAnsi"/>
          <w:sz w:val="20"/>
          <w:szCs w:val="20"/>
          <w:lang w:val="en-GB"/>
        </w:rPr>
      </w:pPr>
    </w:p>
    <w:p w14:paraId="7661E228"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Ministry for Primary Industries 2016</w:t>
      </w:r>
      <w:r w:rsidRPr="001D028A">
        <w:rPr>
          <w:rFonts w:cstheme="minorHAnsi"/>
          <w:i/>
          <w:sz w:val="20"/>
          <w:szCs w:val="20"/>
          <w:lang w:val="en-GB"/>
        </w:rPr>
        <w:t>, Industry uptake of the Health Star Rating system</w:t>
      </w:r>
      <w:r w:rsidRPr="001D028A">
        <w:rPr>
          <w:rFonts w:cstheme="minorHAnsi"/>
          <w:sz w:val="20"/>
          <w:szCs w:val="20"/>
          <w:lang w:val="en-GB"/>
        </w:rPr>
        <w:t>, New Zealand Government.</w:t>
      </w:r>
    </w:p>
    <w:p w14:paraId="242E1E94" w14:textId="77777777" w:rsidR="00C52B5B" w:rsidRPr="001D028A" w:rsidRDefault="00C52B5B" w:rsidP="00C52B5B">
      <w:pPr>
        <w:pStyle w:val="NoSpacing"/>
        <w:rPr>
          <w:rFonts w:cstheme="minorHAnsi"/>
          <w:sz w:val="20"/>
          <w:szCs w:val="20"/>
          <w:lang w:val="en-GB"/>
        </w:rPr>
      </w:pPr>
    </w:p>
    <w:p w14:paraId="1857EBF5"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Ministry for Primary Industries 2013, </w:t>
      </w:r>
      <w:r w:rsidRPr="001D028A">
        <w:rPr>
          <w:rFonts w:cstheme="minorHAnsi"/>
          <w:i/>
          <w:sz w:val="20"/>
          <w:szCs w:val="20"/>
          <w:lang w:val="en-GB"/>
        </w:rPr>
        <w:t xml:space="preserve">Research report: The ability of New Zealand consumers to use the Health Star Rating System, </w:t>
      </w:r>
      <w:r w:rsidRPr="001D028A">
        <w:rPr>
          <w:rFonts w:cstheme="minorHAnsi"/>
          <w:sz w:val="20"/>
          <w:szCs w:val="20"/>
          <w:lang w:val="en-GB"/>
        </w:rPr>
        <w:t>New Zealand Government.</w:t>
      </w:r>
    </w:p>
    <w:p w14:paraId="0003E7D4" w14:textId="77777777" w:rsidR="00C52B5B" w:rsidRPr="001D028A" w:rsidRDefault="00C52B5B" w:rsidP="00C52B5B">
      <w:pPr>
        <w:pStyle w:val="FootnoteText"/>
        <w:rPr>
          <w:rFonts w:cstheme="minorHAnsi"/>
        </w:rPr>
      </w:pPr>
    </w:p>
    <w:p w14:paraId="30E170FB"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National Heart Foundation 2016, </w:t>
      </w:r>
      <w:r w:rsidRPr="001D028A">
        <w:rPr>
          <w:rFonts w:cstheme="minorHAnsi"/>
          <w:i/>
          <w:iCs/>
          <w:sz w:val="20"/>
          <w:szCs w:val="20"/>
          <w:lang w:val="en-GB"/>
        </w:rPr>
        <w:t xml:space="preserve">Health Star Rating System - Program Logic Model, </w:t>
      </w:r>
      <w:r w:rsidRPr="001D028A">
        <w:rPr>
          <w:rFonts w:cstheme="minorHAnsi"/>
          <w:iCs/>
          <w:sz w:val="20"/>
          <w:szCs w:val="20"/>
          <w:lang w:val="en-GB"/>
        </w:rPr>
        <w:t>version 3.</w:t>
      </w:r>
    </w:p>
    <w:p w14:paraId="53B8132B" w14:textId="77777777" w:rsidR="00C52B5B" w:rsidRPr="001D028A" w:rsidRDefault="00C52B5B" w:rsidP="00C52B5B">
      <w:pPr>
        <w:pStyle w:val="FootnoteText"/>
        <w:rPr>
          <w:rFonts w:cstheme="minorHAnsi"/>
        </w:rPr>
      </w:pPr>
    </w:p>
    <w:p w14:paraId="57C432F2" w14:textId="77777777" w:rsidR="00C52B5B" w:rsidRPr="001D028A" w:rsidRDefault="00C52B5B" w:rsidP="00C52B5B">
      <w:pPr>
        <w:pStyle w:val="NoSpacing"/>
        <w:rPr>
          <w:rFonts w:cstheme="minorHAnsi"/>
          <w:iCs/>
          <w:sz w:val="20"/>
          <w:szCs w:val="20"/>
          <w:lang w:val="en-GB"/>
        </w:rPr>
      </w:pPr>
      <w:r w:rsidRPr="001D028A">
        <w:rPr>
          <w:rFonts w:cstheme="minorHAnsi"/>
          <w:iCs/>
          <w:sz w:val="20"/>
          <w:szCs w:val="20"/>
          <w:lang w:val="en-GB"/>
        </w:rPr>
        <w:t xml:space="preserve">National Heart Foundation, </w:t>
      </w:r>
      <w:r w:rsidRPr="001D028A">
        <w:rPr>
          <w:rFonts w:cstheme="minorHAnsi"/>
          <w:i/>
          <w:sz w:val="20"/>
          <w:szCs w:val="20"/>
          <w:lang w:val="en-GB"/>
        </w:rPr>
        <w:t>Program Logic Framework for the Monitoring and Evaluation of the Health-Star Rating (HSR) System.</w:t>
      </w:r>
    </w:p>
    <w:p w14:paraId="1CE359AA" w14:textId="77777777" w:rsidR="00C52B5B" w:rsidRPr="001D028A" w:rsidRDefault="00C52B5B" w:rsidP="00C52B5B">
      <w:pPr>
        <w:pStyle w:val="FootnoteText"/>
        <w:rPr>
          <w:rFonts w:cstheme="minorHAnsi"/>
        </w:rPr>
      </w:pPr>
    </w:p>
    <w:p w14:paraId="58F389E0" w14:textId="77777777" w:rsidR="00C52B5B" w:rsidRPr="001D028A" w:rsidRDefault="00C52B5B" w:rsidP="00C52B5B">
      <w:pPr>
        <w:pStyle w:val="FootnoteText"/>
        <w:rPr>
          <w:rFonts w:cstheme="minorHAnsi"/>
        </w:rPr>
      </w:pPr>
      <w:r w:rsidRPr="001D028A">
        <w:rPr>
          <w:rFonts w:cstheme="minorHAnsi"/>
        </w:rPr>
        <w:t xml:space="preserve">National Heart Foundation, April 2018, </w:t>
      </w:r>
      <w:r w:rsidRPr="001D028A">
        <w:rPr>
          <w:rFonts w:cstheme="minorHAnsi"/>
          <w:i/>
        </w:rPr>
        <w:t>Report for Wave 7 of additional (point-in-time) update monitoring of the Health Star Rating (HSR) System</w:t>
      </w:r>
      <w:r w:rsidRPr="001D028A">
        <w:rPr>
          <w:rFonts w:cstheme="minorHAnsi"/>
        </w:rPr>
        <w:t>, in Australia. February-March 2018, prepared for the Department of Health.</w:t>
      </w:r>
    </w:p>
    <w:p w14:paraId="11FD3C48" w14:textId="77777777" w:rsidR="00C52B5B" w:rsidRPr="001D028A" w:rsidRDefault="00C52B5B" w:rsidP="00C52B5B">
      <w:pPr>
        <w:pStyle w:val="mpcNormal"/>
        <w:keepNext w:val="0"/>
        <w:rPr>
          <w:sz w:val="20"/>
          <w:szCs w:val="20"/>
        </w:rPr>
      </w:pPr>
    </w:p>
    <w:p w14:paraId="3AFE4AD5" w14:textId="77777777" w:rsidR="00C52B5B" w:rsidRPr="001D028A" w:rsidRDefault="00C52B5B" w:rsidP="00C52B5B">
      <w:pPr>
        <w:pStyle w:val="FootnoteText"/>
        <w:rPr>
          <w:rFonts w:cstheme="minorHAnsi"/>
        </w:rPr>
      </w:pPr>
      <w:r w:rsidRPr="001D028A">
        <w:rPr>
          <w:rFonts w:cstheme="minorHAnsi"/>
        </w:rPr>
        <w:t xml:space="preserve">National Heart Foundation, April 2018, </w:t>
      </w:r>
      <w:r w:rsidRPr="001D028A">
        <w:rPr>
          <w:rFonts w:cstheme="minorHAnsi"/>
          <w:i/>
        </w:rPr>
        <w:t>Report on the monitoring of the implementation of the Health Star Rating system: Area of Enquiry 2 – Consumer awareness and ability to use the Health Star Rating system correctly</w:t>
      </w:r>
      <w:r w:rsidRPr="001D028A">
        <w:rPr>
          <w:rFonts w:cstheme="minorHAnsi"/>
        </w:rPr>
        <w:t>, prepared for the Department of Health.</w:t>
      </w:r>
    </w:p>
    <w:p w14:paraId="48899B74" w14:textId="77777777" w:rsidR="00C52B5B" w:rsidRPr="001D028A" w:rsidRDefault="00C52B5B" w:rsidP="00C52B5B">
      <w:pPr>
        <w:pStyle w:val="FootnoteText"/>
        <w:rPr>
          <w:rFonts w:cstheme="minorHAnsi"/>
        </w:rPr>
      </w:pPr>
    </w:p>
    <w:p w14:paraId="621D9551" w14:textId="77777777" w:rsidR="00C52B5B" w:rsidRPr="001D028A" w:rsidRDefault="00C52B5B" w:rsidP="00C52B5B">
      <w:pPr>
        <w:pStyle w:val="FootnoteText"/>
        <w:rPr>
          <w:rFonts w:cstheme="minorHAnsi"/>
        </w:rPr>
      </w:pPr>
      <w:r w:rsidRPr="001D028A">
        <w:rPr>
          <w:rFonts w:cstheme="minorHAnsi"/>
        </w:rPr>
        <w:t xml:space="preserve">National Heart Foundation, August 2017, </w:t>
      </w:r>
      <w:r w:rsidRPr="001D028A">
        <w:rPr>
          <w:rFonts w:cstheme="minorHAnsi"/>
          <w:i/>
        </w:rPr>
        <w:t>Report on the monitoring of the implementation of the Health Star Rating system: Area of Enquiry 2 – Consumer awareness and ability to use the Health Star Rating system correctly</w:t>
      </w:r>
      <w:r w:rsidRPr="001D028A">
        <w:rPr>
          <w:rFonts w:cstheme="minorHAnsi"/>
        </w:rPr>
        <w:t>, prepared for the Department of Health.</w:t>
      </w:r>
    </w:p>
    <w:p w14:paraId="23F63F03" w14:textId="77777777" w:rsidR="00C52B5B" w:rsidRPr="001D028A" w:rsidRDefault="00C52B5B" w:rsidP="00C52B5B">
      <w:pPr>
        <w:pStyle w:val="FootnoteText"/>
        <w:rPr>
          <w:rFonts w:cstheme="minorHAnsi"/>
        </w:rPr>
      </w:pPr>
    </w:p>
    <w:p w14:paraId="38DC0FDC" w14:textId="77777777" w:rsidR="00C52B5B" w:rsidRPr="001D028A" w:rsidRDefault="00C52B5B" w:rsidP="00C52B5B">
      <w:pPr>
        <w:pStyle w:val="FootnoteText"/>
        <w:rPr>
          <w:rFonts w:cstheme="minorHAnsi"/>
        </w:rPr>
      </w:pPr>
      <w:r w:rsidRPr="001D028A">
        <w:rPr>
          <w:rFonts w:cstheme="minorHAnsi"/>
        </w:rPr>
        <w:t xml:space="preserve">National Heart Foundation, August 2018, </w:t>
      </w:r>
      <w:r w:rsidRPr="001D028A">
        <w:rPr>
          <w:rFonts w:cstheme="minorHAnsi"/>
          <w:i/>
        </w:rPr>
        <w:t>Report on the monitoring of the implementation of the Health Star Rating system: Area of Enquiry 2 – Consumer awareness and ability to use the Health Star Rating system correctly</w:t>
      </w:r>
      <w:r w:rsidRPr="001D028A">
        <w:rPr>
          <w:rFonts w:cstheme="minorHAnsi"/>
        </w:rPr>
        <w:t>, prepared for the Department of Health.</w:t>
      </w:r>
    </w:p>
    <w:p w14:paraId="6D59467B" w14:textId="77777777" w:rsidR="00C52B5B" w:rsidRPr="001D028A" w:rsidRDefault="00C52B5B" w:rsidP="00C52B5B">
      <w:pPr>
        <w:pStyle w:val="NoSpacing"/>
        <w:rPr>
          <w:rFonts w:cstheme="minorHAnsi"/>
          <w:iCs/>
          <w:sz w:val="20"/>
          <w:szCs w:val="20"/>
          <w:lang w:val="en-GB"/>
        </w:rPr>
      </w:pPr>
    </w:p>
    <w:p w14:paraId="14F1DB8A"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National Heart Foundation 2016, </w:t>
      </w:r>
      <w:r w:rsidRPr="001D028A">
        <w:rPr>
          <w:rFonts w:cstheme="minorHAnsi"/>
          <w:i/>
          <w:sz w:val="20"/>
          <w:szCs w:val="20"/>
          <w:lang w:val="en-GB"/>
        </w:rPr>
        <w:t xml:space="preserve">Progress Report on monitoring the Implementation of the Health Star Rating system – Area of Enquiry 2: consumer awareness and ability to use the HSR system correctly, </w:t>
      </w:r>
      <w:r w:rsidRPr="001D028A">
        <w:rPr>
          <w:rFonts w:cstheme="minorHAnsi"/>
          <w:sz w:val="20"/>
          <w:szCs w:val="20"/>
        </w:rPr>
        <w:t>prepared for the Department of Health.</w:t>
      </w:r>
    </w:p>
    <w:p w14:paraId="1D80048B" w14:textId="77777777" w:rsidR="00C52B5B" w:rsidRPr="001D028A" w:rsidRDefault="00C52B5B" w:rsidP="00C52B5B">
      <w:pPr>
        <w:pStyle w:val="NoSpacing"/>
        <w:rPr>
          <w:rFonts w:cstheme="minorHAnsi"/>
          <w:i/>
          <w:sz w:val="20"/>
          <w:szCs w:val="20"/>
          <w:lang w:val="en-GB"/>
        </w:rPr>
      </w:pPr>
    </w:p>
    <w:p w14:paraId="533AFFF1"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 xml:space="preserve">National Heart Foundation 2016, </w:t>
      </w:r>
      <w:r w:rsidRPr="001D028A">
        <w:rPr>
          <w:rFonts w:cstheme="minorHAnsi"/>
          <w:i/>
          <w:iCs/>
          <w:sz w:val="20"/>
          <w:szCs w:val="20"/>
          <w:lang w:val="en-GB"/>
        </w:rPr>
        <w:t xml:space="preserve">Report on the monitoring of the Implementation of the Health Star Rating system – Year 1, </w:t>
      </w:r>
      <w:r w:rsidRPr="001D028A">
        <w:rPr>
          <w:rFonts w:cstheme="minorHAnsi"/>
          <w:sz w:val="20"/>
          <w:szCs w:val="20"/>
        </w:rPr>
        <w:t>prepared for the Department of Health.</w:t>
      </w:r>
    </w:p>
    <w:p w14:paraId="1979AA47" w14:textId="77777777" w:rsidR="00C52B5B" w:rsidRPr="001D028A" w:rsidRDefault="00C52B5B" w:rsidP="00C52B5B">
      <w:pPr>
        <w:pStyle w:val="NoSpacing"/>
        <w:rPr>
          <w:rFonts w:cstheme="minorHAnsi"/>
          <w:sz w:val="20"/>
          <w:szCs w:val="20"/>
          <w:lang w:val="en-GB"/>
        </w:rPr>
      </w:pPr>
    </w:p>
    <w:p w14:paraId="6B86249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National Heart Foundation 2017, </w:t>
      </w:r>
      <w:r w:rsidRPr="001D028A">
        <w:rPr>
          <w:rFonts w:cstheme="minorHAnsi"/>
          <w:i/>
          <w:sz w:val="20"/>
          <w:szCs w:val="20"/>
          <w:lang w:val="en-GB"/>
        </w:rPr>
        <w:t>Report on the monitoring of the implementation of the Health Star Rating system in the first two years of implementation: June 2014 to June 2016</w:t>
      </w:r>
      <w:r w:rsidRPr="001D028A">
        <w:rPr>
          <w:rFonts w:cstheme="minorHAnsi"/>
          <w:sz w:val="20"/>
          <w:szCs w:val="20"/>
          <w:lang w:val="en-GB"/>
        </w:rPr>
        <w:t>, prepared for the Department of Health.</w:t>
      </w:r>
    </w:p>
    <w:p w14:paraId="14364A37" w14:textId="77777777" w:rsidR="00C52B5B" w:rsidRPr="001D028A" w:rsidRDefault="00C52B5B" w:rsidP="00C52B5B">
      <w:pPr>
        <w:pStyle w:val="NoSpacing"/>
        <w:rPr>
          <w:rFonts w:cstheme="minorHAnsi"/>
          <w:sz w:val="20"/>
          <w:szCs w:val="20"/>
          <w:lang w:val="en-GB"/>
        </w:rPr>
      </w:pPr>
    </w:p>
    <w:p w14:paraId="01C9CA9E"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National Heart Foundation 2019, </w:t>
      </w:r>
      <w:r w:rsidRPr="001D028A">
        <w:rPr>
          <w:rFonts w:cstheme="minorHAnsi"/>
          <w:i/>
          <w:sz w:val="20"/>
          <w:szCs w:val="20"/>
        </w:rPr>
        <w:t xml:space="preserve">Report on the monitoring of the implementation of the </w:t>
      </w:r>
      <w:r w:rsidRPr="001D028A">
        <w:rPr>
          <w:rFonts w:cstheme="minorHAnsi"/>
          <w:i/>
          <w:sz w:val="20"/>
          <w:szCs w:val="20"/>
          <w:lang w:val="en-GB"/>
        </w:rPr>
        <w:t xml:space="preserve">Health Star Rating system </w:t>
      </w:r>
      <w:r w:rsidRPr="001D028A">
        <w:rPr>
          <w:rFonts w:cstheme="minorHAnsi"/>
          <w:i/>
          <w:sz w:val="20"/>
          <w:szCs w:val="20"/>
        </w:rPr>
        <w:t>in the first four years of implementation: June 2014 to June 2018</w:t>
      </w:r>
      <w:r w:rsidRPr="001D028A">
        <w:rPr>
          <w:rFonts w:cstheme="minorHAnsi"/>
          <w:sz w:val="20"/>
          <w:szCs w:val="20"/>
          <w:lang w:val="en-GB"/>
        </w:rPr>
        <w:t>, prepared for the Department of Health.</w:t>
      </w:r>
    </w:p>
    <w:p w14:paraId="356ED070" w14:textId="77777777" w:rsidR="00C52B5B" w:rsidRPr="001D028A" w:rsidRDefault="00C52B5B" w:rsidP="00C52B5B">
      <w:pPr>
        <w:pStyle w:val="NoSpacing"/>
        <w:rPr>
          <w:rFonts w:cstheme="minorHAnsi"/>
          <w:sz w:val="20"/>
          <w:szCs w:val="20"/>
          <w:lang w:val="en-GB"/>
        </w:rPr>
      </w:pPr>
    </w:p>
    <w:p w14:paraId="773F25A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New Zealand Food Safety 2018, </w:t>
      </w:r>
      <w:r w:rsidRPr="001D028A">
        <w:rPr>
          <w:rFonts w:cstheme="minorHAnsi"/>
          <w:i/>
          <w:sz w:val="20"/>
          <w:szCs w:val="20"/>
          <w:lang w:val="en-GB"/>
        </w:rPr>
        <w:t xml:space="preserve">Health Star Rating – Monitoring implementation for the Five Year Review, </w:t>
      </w:r>
      <w:r w:rsidRPr="001D028A">
        <w:rPr>
          <w:rFonts w:cstheme="minorHAnsi"/>
          <w:sz w:val="20"/>
          <w:szCs w:val="20"/>
          <w:lang w:val="en-GB"/>
        </w:rPr>
        <w:t xml:space="preserve">New Zealand Ministry for Primary Industries. </w:t>
      </w:r>
    </w:p>
    <w:p w14:paraId="4C93E3F6" w14:textId="77777777" w:rsidR="00C52B5B" w:rsidRPr="001D028A" w:rsidRDefault="00C52B5B" w:rsidP="00C52B5B">
      <w:pPr>
        <w:pStyle w:val="NoSpacing"/>
        <w:rPr>
          <w:rFonts w:cstheme="minorHAnsi"/>
          <w:sz w:val="20"/>
          <w:szCs w:val="20"/>
          <w:lang w:val="en-GB"/>
        </w:rPr>
      </w:pPr>
    </w:p>
    <w:p w14:paraId="609D370C"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New Zealand Front of pack labelling Advisory Group 2012, </w:t>
      </w:r>
      <w:r w:rsidRPr="001D028A">
        <w:rPr>
          <w:rFonts w:cstheme="minorHAnsi"/>
          <w:i/>
          <w:sz w:val="20"/>
          <w:szCs w:val="20"/>
          <w:lang w:val="en-GB"/>
        </w:rPr>
        <w:t>Final Report to the Minister for Food Safety.</w:t>
      </w:r>
    </w:p>
    <w:p w14:paraId="0A55A9AB" w14:textId="77777777" w:rsidR="00C52B5B" w:rsidRPr="001D028A" w:rsidRDefault="00C52B5B" w:rsidP="00C52B5B">
      <w:pPr>
        <w:pStyle w:val="NoSpacing"/>
        <w:rPr>
          <w:rFonts w:cstheme="minorHAnsi"/>
          <w:sz w:val="20"/>
          <w:szCs w:val="20"/>
          <w:lang w:val="en-GB"/>
        </w:rPr>
      </w:pPr>
    </w:p>
    <w:p w14:paraId="135AC497"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New Zealand Ministry for Primary Industries 2015, </w:t>
      </w:r>
      <w:r w:rsidRPr="001D028A">
        <w:rPr>
          <w:rFonts w:cstheme="minorHAnsi"/>
          <w:i/>
          <w:sz w:val="20"/>
          <w:szCs w:val="20"/>
          <w:lang w:val="en-GB"/>
        </w:rPr>
        <w:t>Health Star Rating (HSR) Industry Kit</w:t>
      </w:r>
      <w:r w:rsidRPr="001D028A">
        <w:rPr>
          <w:rFonts w:cstheme="minorHAnsi"/>
          <w:sz w:val="20"/>
          <w:szCs w:val="20"/>
          <w:lang w:val="en-GB"/>
        </w:rPr>
        <w:t>, New Zealand Government.</w:t>
      </w:r>
    </w:p>
    <w:p w14:paraId="1C348290" w14:textId="77777777" w:rsidR="00C52B5B" w:rsidRPr="001D028A" w:rsidRDefault="00C52B5B" w:rsidP="00C52B5B">
      <w:pPr>
        <w:pStyle w:val="NoSpacing"/>
        <w:rPr>
          <w:rFonts w:cstheme="minorHAnsi"/>
          <w:sz w:val="20"/>
          <w:szCs w:val="20"/>
          <w:lang w:val="en-GB"/>
        </w:rPr>
      </w:pPr>
    </w:p>
    <w:p w14:paraId="2581A08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Parker, G &amp; Frith, R 2015, </w:t>
      </w:r>
      <w:r w:rsidRPr="001D028A">
        <w:rPr>
          <w:rFonts w:cstheme="minorHAnsi"/>
          <w:i/>
          <w:sz w:val="20"/>
          <w:szCs w:val="20"/>
          <w:lang w:val="en-GB"/>
        </w:rPr>
        <w:t>Health Star Rating System: Campaign Evaluation Report</w:t>
      </w:r>
      <w:r w:rsidRPr="001D028A">
        <w:rPr>
          <w:rFonts w:cstheme="minorHAnsi"/>
          <w:sz w:val="20"/>
          <w:szCs w:val="20"/>
          <w:lang w:val="en-GB"/>
        </w:rPr>
        <w:t xml:space="preserve">, </w:t>
      </w:r>
      <w:r w:rsidRPr="001D028A">
        <w:rPr>
          <w:rFonts w:cstheme="minorHAnsi"/>
          <w:sz w:val="20"/>
          <w:szCs w:val="20"/>
        </w:rPr>
        <w:t>prepared by Pollinate Research for the Department of Health</w:t>
      </w:r>
      <w:r w:rsidRPr="001D028A">
        <w:rPr>
          <w:rFonts w:cstheme="minorHAnsi"/>
          <w:sz w:val="20"/>
          <w:szCs w:val="20"/>
          <w:lang w:val="en-GB"/>
        </w:rPr>
        <w:t>, Sydney.</w:t>
      </w:r>
    </w:p>
    <w:p w14:paraId="78F77F07" w14:textId="77777777" w:rsidR="00C52B5B" w:rsidRPr="001D028A" w:rsidRDefault="00C52B5B" w:rsidP="00C52B5B">
      <w:pPr>
        <w:pStyle w:val="NoSpacing"/>
        <w:rPr>
          <w:rFonts w:cstheme="minorHAnsi"/>
          <w:sz w:val="20"/>
          <w:szCs w:val="20"/>
          <w:lang w:val="en-GB"/>
        </w:rPr>
      </w:pPr>
    </w:p>
    <w:p w14:paraId="49D12DA6" w14:textId="77777777" w:rsidR="00C52B5B" w:rsidRPr="001D028A" w:rsidRDefault="00C52B5B" w:rsidP="00C52B5B">
      <w:pPr>
        <w:pStyle w:val="NoSpacing"/>
        <w:rPr>
          <w:rFonts w:cstheme="minorHAnsi"/>
          <w:sz w:val="20"/>
          <w:szCs w:val="20"/>
          <w:lang w:val="en-GB"/>
        </w:rPr>
      </w:pPr>
      <w:r w:rsidRPr="001D028A">
        <w:rPr>
          <w:rFonts w:cstheme="minorHAnsi"/>
          <w:sz w:val="20"/>
          <w:szCs w:val="20"/>
        </w:rPr>
        <w:t xml:space="preserve">Parker, G, Souvlis, P, Parry-Husbands, H 2015 </w:t>
      </w:r>
      <w:r w:rsidRPr="001D028A">
        <w:rPr>
          <w:rFonts w:cstheme="minorHAnsi"/>
          <w:i/>
          <w:sz w:val="20"/>
          <w:szCs w:val="20"/>
        </w:rPr>
        <w:t>Health Star Rating System: Consumer use and understanding</w:t>
      </w:r>
      <w:r w:rsidRPr="001D028A">
        <w:rPr>
          <w:rFonts w:cstheme="minorHAnsi"/>
          <w:sz w:val="20"/>
          <w:szCs w:val="20"/>
        </w:rPr>
        <w:t>, prepared by Pollinate Research for the Department of Health, Sydney.</w:t>
      </w:r>
    </w:p>
    <w:p w14:paraId="78D107C0" w14:textId="77777777" w:rsidR="00C52B5B" w:rsidRPr="001D028A" w:rsidRDefault="00C52B5B" w:rsidP="00C52B5B">
      <w:pPr>
        <w:pStyle w:val="NoSpacing"/>
        <w:rPr>
          <w:rFonts w:cstheme="minorHAnsi"/>
          <w:sz w:val="20"/>
          <w:szCs w:val="20"/>
          <w:lang w:val="en-GB"/>
        </w:rPr>
      </w:pPr>
    </w:p>
    <w:p w14:paraId="062357C6"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Parker, G &amp; Frith, R 2016, </w:t>
      </w:r>
      <w:r w:rsidRPr="001D028A">
        <w:rPr>
          <w:rFonts w:cstheme="minorHAnsi"/>
          <w:i/>
          <w:sz w:val="20"/>
          <w:szCs w:val="20"/>
          <w:lang w:val="en-GB"/>
        </w:rPr>
        <w:t>Health Star Rating System: Campaign Evaluation Report</w:t>
      </w:r>
      <w:r w:rsidRPr="001D028A">
        <w:rPr>
          <w:rFonts w:cstheme="minorHAnsi"/>
          <w:sz w:val="20"/>
          <w:szCs w:val="20"/>
          <w:lang w:val="en-GB"/>
        </w:rPr>
        <w:t xml:space="preserve">, </w:t>
      </w:r>
      <w:r w:rsidRPr="001D028A">
        <w:rPr>
          <w:rFonts w:cstheme="minorHAnsi"/>
          <w:sz w:val="20"/>
          <w:szCs w:val="20"/>
        </w:rPr>
        <w:t>prepared by Pollinate Research for the Department of Health</w:t>
      </w:r>
      <w:r w:rsidRPr="001D028A">
        <w:rPr>
          <w:rFonts w:cstheme="minorHAnsi"/>
          <w:sz w:val="20"/>
          <w:szCs w:val="20"/>
          <w:lang w:val="en-GB"/>
        </w:rPr>
        <w:t>, Sydney.</w:t>
      </w:r>
    </w:p>
    <w:p w14:paraId="14EB06B2" w14:textId="77777777" w:rsidR="00C52B5B" w:rsidRPr="001D028A" w:rsidRDefault="00C52B5B" w:rsidP="00C52B5B">
      <w:pPr>
        <w:pStyle w:val="mpcNormal"/>
        <w:keepNext w:val="0"/>
        <w:rPr>
          <w:sz w:val="20"/>
          <w:szCs w:val="20"/>
        </w:rPr>
      </w:pPr>
    </w:p>
    <w:p w14:paraId="176CA43F" w14:textId="77777777" w:rsidR="00C52B5B" w:rsidRPr="001D028A" w:rsidRDefault="00C52B5B" w:rsidP="00C52B5B">
      <w:pPr>
        <w:pStyle w:val="mpcheading4"/>
        <w:keepNext w:val="0"/>
        <w:rPr>
          <w:rFonts w:cstheme="minorHAnsi"/>
          <w:sz w:val="20"/>
          <w:szCs w:val="20"/>
        </w:rPr>
      </w:pPr>
      <w:r w:rsidRPr="001D028A">
        <w:rPr>
          <w:rFonts w:cstheme="minorHAnsi"/>
          <w:sz w:val="20"/>
          <w:szCs w:val="20"/>
        </w:rPr>
        <w:t>Health Star Rating System resources</w:t>
      </w:r>
    </w:p>
    <w:p w14:paraId="3DE5C699" w14:textId="77777777" w:rsidR="00C52B5B" w:rsidRPr="001D028A" w:rsidRDefault="00C52B5B" w:rsidP="00C52B5B">
      <w:pPr>
        <w:pStyle w:val="mpcNormal"/>
        <w:keepNext w:val="0"/>
        <w:rPr>
          <w:sz w:val="20"/>
          <w:szCs w:val="20"/>
        </w:rPr>
      </w:pPr>
    </w:p>
    <w:p w14:paraId="3300C0E3" w14:textId="77777777" w:rsidR="00C52B5B" w:rsidRPr="001D028A" w:rsidRDefault="00276EB3" w:rsidP="00C52B5B">
      <w:pPr>
        <w:pStyle w:val="mpcNormal"/>
        <w:keepNext w:val="0"/>
        <w:rPr>
          <w:sz w:val="20"/>
          <w:szCs w:val="20"/>
        </w:rPr>
      </w:pPr>
      <w:hyperlink r:id="rId154" w:history="1">
        <w:r w:rsidR="00C52B5B" w:rsidRPr="001D028A">
          <w:rPr>
            <w:rStyle w:val="Hyperlink"/>
            <w:i/>
            <w:sz w:val="20"/>
            <w:szCs w:val="20"/>
          </w:rPr>
          <w:t>Guide for Industry to the Health Star Rating Calculator (HSRC) version 6</w:t>
        </w:r>
      </w:hyperlink>
      <w:r w:rsidR="00C52B5B" w:rsidRPr="001D028A">
        <w:rPr>
          <w:sz w:val="20"/>
          <w:szCs w:val="20"/>
        </w:rPr>
        <w:t xml:space="preserve">, February 2018. </w:t>
      </w:r>
    </w:p>
    <w:p w14:paraId="3EF48E1F" w14:textId="77777777" w:rsidR="00C52B5B" w:rsidRPr="001D028A" w:rsidRDefault="00C52B5B" w:rsidP="00C52B5B">
      <w:pPr>
        <w:pStyle w:val="mpcNormal"/>
        <w:keepNext w:val="0"/>
        <w:rPr>
          <w:sz w:val="20"/>
          <w:szCs w:val="20"/>
        </w:rPr>
      </w:pPr>
    </w:p>
    <w:p w14:paraId="46FD03F1" w14:textId="77777777" w:rsidR="00C52B5B" w:rsidRPr="001D028A" w:rsidRDefault="00276EB3" w:rsidP="00C52B5B">
      <w:pPr>
        <w:pStyle w:val="mpcNormal"/>
        <w:keepNext w:val="0"/>
        <w:rPr>
          <w:sz w:val="20"/>
          <w:szCs w:val="20"/>
        </w:rPr>
      </w:pPr>
      <w:hyperlink r:id="rId155" w:history="1">
        <w:r w:rsidR="00C52B5B" w:rsidRPr="001D028A">
          <w:rPr>
            <w:rStyle w:val="Hyperlink"/>
            <w:i/>
            <w:sz w:val="20"/>
            <w:szCs w:val="20"/>
          </w:rPr>
          <w:t>Health Star Rating System Style Guide</w:t>
        </w:r>
      </w:hyperlink>
      <w:r w:rsidR="00C52B5B" w:rsidRPr="001D028A">
        <w:rPr>
          <w:sz w:val="20"/>
          <w:szCs w:val="20"/>
        </w:rPr>
        <w:t>, version 5, December 2017.</w:t>
      </w:r>
    </w:p>
    <w:p w14:paraId="738D15BB" w14:textId="77777777" w:rsidR="00C52B5B" w:rsidRPr="001D028A" w:rsidRDefault="00C52B5B" w:rsidP="00C52B5B">
      <w:pPr>
        <w:pStyle w:val="mpcNormal"/>
        <w:keepNext w:val="0"/>
        <w:rPr>
          <w:sz w:val="20"/>
          <w:szCs w:val="20"/>
        </w:rPr>
      </w:pPr>
    </w:p>
    <w:p w14:paraId="06879754" w14:textId="77777777" w:rsidR="00C52B5B" w:rsidRPr="001D028A" w:rsidRDefault="00C52B5B" w:rsidP="00C52B5B">
      <w:pPr>
        <w:pStyle w:val="NoSpacing"/>
        <w:rPr>
          <w:rFonts w:cstheme="minorHAnsi"/>
          <w:sz w:val="20"/>
          <w:szCs w:val="20"/>
          <w:lang w:val="en-GB"/>
        </w:rPr>
      </w:pPr>
      <w:r w:rsidRPr="001D028A">
        <w:rPr>
          <w:rFonts w:cstheme="minorHAnsi"/>
          <w:i/>
          <w:iCs/>
          <w:sz w:val="20"/>
          <w:szCs w:val="20"/>
          <w:lang w:val="en-GB"/>
        </w:rPr>
        <w:t>The form of the food (‘as prepared’) rules for the Health Star Rating (HSR) system</w:t>
      </w:r>
      <w:r w:rsidRPr="001D028A">
        <w:rPr>
          <w:rFonts w:cstheme="minorHAnsi"/>
          <w:sz w:val="20"/>
          <w:szCs w:val="20"/>
          <w:lang w:val="en-GB"/>
        </w:rPr>
        <w:t>, October 2017, Discussion paper for face to face consultation.</w:t>
      </w:r>
    </w:p>
    <w:p w14:paraId="1AC536AD" w14:textId="77777777" w:rsidR="00C52B5B" w:rsidRPr="001D028A" w:rsidRDefault="00C52B5B" w:rsidP="00C52B5B">
      <w:pPr>
        <w:pStyle w:val="mpcNormal"/>
        <w:keepNext w:val="0"/>
        <w:rPr>
          <w:sz w:val="20"/>
          <w:szCs w:val="20"/>
        </w:rPr>
      </w:pPr>
    </w:p>
    <w:p w14:paraId="1ACF576D" w14:textId="77777777" w:rsidR="00C52B5B" w:rsidRPr="001D028A" w:rsidRDefault="00C52B5B" w:rsidP="00C52B5B">
      <w:pPr>
        <w:pStyle w:val="NoSpacing"/>
        <w:rPr>
          <w:rFonts w:cstheme="minorHAnsi"/>
          <w:b/>
          <w:bCs/>
          <w:sz w:val="20"/>
          <w:szCs w:val="20"/>
          <w:lang w:val="en-GB"/>
        </w:rPr>
      </w:pPr>
      <w:r w:rsidRPr="001D028A">
        <w:rPr>
          <w:rFonts w:cstheme="minorHAnsi"/>
          <w:b/>
          <w:bCs/>
          <w:sz w:val="20"/>
          <w:szCs w:val="20"/>
          <w:lang w:val="en-GB"/>
        </w:rPr>
        <w:t>Journal articles</w:t>
      </w:r>
    </w:p>
    <w:p w14:paraId="1F59BC81" w14:textId="77777777" w:rsidR="00C52B5B" w:rsidRPr="001D028A" w:rsidRDefault="00C52B5B" w:rsidP="00C52B5B">
      <w:pPr>
        <w:pStyle w:val="NoSpacing"/>
        <w:rPr>
          <w:rFonts w:cstheme="minorHAnsi"/>
          <w:sz w:val="20"/>
          <w:szCs w:val="20"/>
          <w:lang w:val="en-GB"/>
        </w:rPr>
      </w:pPr>
    </w:p>
    <w:p w14:paraId="50A1546A"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Arambepola, C, Scarborough, P &amp; Rayner, M 2008 ‘Validating a nutrient profile model’, </w:t>
      </w:r>
      <w:r w:rsidRPr="001D028A">
        <w:rPr>
          <w:rFonts w:eastAsia="Times New Roman" w:cstheme="minorHAnsi"/>
          <w:i/>
          <w:sz w:val="20"/>
          <w:szCs w:val="20"/>
        </w:rPr>
        <w:t>Public Health Nutrition</w:t>
      </w:r>
      <w:r w:rsidRPr="001D028A">
        <w:rPr>
          <w:rFonts w:eastAsia="Times New Roman" w:cstheme="minorHAnsi"/>
          <w:sz w:val="20"/>
          <w:szCs w:val="20"/>
        </w:rPr>
        <w:t>, vol. 11, no. 4, pp.371-378.</w:t>
      </w:r>
    </w:p>
    <w:p w14:paraId="58303F26" w14:textId="77777777" w:rsidR="00C52B5B" w:rsidRPr="001D028A" w:rsidRDefault="00C52B5B" w:rsidP="00C52B5B">
      <w:pPr>
        <w:pStyle w:val="NoSpacing"/>
        <w:rPr>
          <w:rFonts w:cstheme="minorHAnsi"/>
          <w:sz w:val="20"/>
          <w:szCs w:val="20"/>
          <w:lang w:val="en-GB"/>
        </w:rPr>
      </w:pPr>
    </w:p>
    <w:p w14:paraId="4DF36A1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Barclay, A &amp; Brand-Miller, J 2011, ‘The Australian paradox: a substantial decline in sugars intake over the same timeframe that overweight and obesity have increased,</w:t>
      </w:r>
      <w:r w:rsidRPr="001D028A">
        <w:rPr>
          <w:rFonts w:cstheme="minorHAnsi"/>
          <w:i/>
          <w:iCs/>
          <w:sz w:val="20"/>
          <w:szCs w:val="20"/>
          <w:lang w:val="en-GB"/>
        </w:rPr>
        <w:t xml:space="preserve"> Nutrients, </w:t>
      </w:r>
      <w:r w:rsidRPr="001D028A">
        <w:rPr>
          <w:rFonts w:cstheme="minorHAnsi"/>
          <w:iCs/>
          <w:sz w:val="20"/>
          <w:szCs w:val="20"/>
          <w:lang w:val="en-GB"/>
        </w:rPr>
        <w:t xml:space="preserve">vol. </w:t>
      </w:r>
      <w:r w:rsidRPr="001D028A">
        <w:rPr>
          <w:rFonts w:cstheme="minorHAnsi"/>
          <w:sz w:val="20"/>
          <w:szCs w:val="20"/>
          <w:lang w:val="en-GB"/>
        </w:rPr>
        <w:t>3, pp. 491-504.</w:t>
      </w:r>
    </w:p>
    <w:p w14:paraId="0E392981" w14:textId="77777777" w:rsidR="00C52B5B" w:rsidRPr="001D028A" w:rsidRDefault="00C52B5B" w:rsidP="00C52B5B">
      <w:pPr>
        <w:pStyle w:val="NoSpacing"/>
        <w:rPr>
          <w:rFonts w:cstheme="minorHAnsi"/>
          <w:sz w:val="20"/>
          <w:szCs w:val="20"/>
          <w:lang w:val="en-GB"/>
        </w:rPr>
      </w:pPr>
    </w:p>
    <w:p w14:paraId="41FA0218"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Beck, A, Heyman, M, Chao, C &amp; Wojcicki, J 2018, ‘Full fat milk consumption protects against severe childhood obesity in Latinos’, </w:t>
      </w:r>
      <w:r w:rsidRPr="001D028A">
        <w:rPr>
          <w:rFonts w:cstheme="minorHAnsi"/>
          <w:i/>
          <w:iCs/>
          <w:sz w:val="20"/>
          <w:szCs w:val="20"/>
          <w:lang w:val="en-GB"/>
        </w:rPr>
        <w:t xml:space="preserve">Preventive Medicine Reports </w:t>
      </w:r>
      <w:r w:rsidRPr="001D028A">
        <w:rPr>
          <w:rFonts w:cstheme="minorHAnsi"/>
          <w:iCs/>
          <w:sz w:val="20"/>
          <w:szCs w:val="20"/>
          <w:lang w:val="en-GB"/>
        </w:rPr>
        <w:t xml:space="preserve">vol. </w:t>
      </w:r>
      <w:r w:rsidRPr="001D028A">
        <w:rPr>
          <w:rFonts w:cstheme="minorHAnsi"/>
          <w:sz w:val="20"/>
          <w:szCs w:val="20"/>
          <w:lang w:val="en-GB"/>
        </w:rPr>
        <w:t>8, pp. 1-5.</w:t>
      </w:r>
    </w:p>
    <w:p w14:paraId="2F2F3075" w14:textId="77777777" w:rsidR="00C52B5B" w:rsidRPr="001D028A" w:rsidRDefault="00C52B5B" w:rsidP="00C52B5B">
      <w:pPr>
        <w:pStyle w:val="NoSpacing"/>
        <w:rPr>
          <w:rFonts w:cstheme="minorHAnsi"/>
          <w:sz w:val="20"/>
          <w:szCs w:val="20"/>
          <w:lang w:val="en-GB"/>
        </w:rPr>
      </w:pPr>
    </w:p>
    <w:p w14:paraId="4062B4E5"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Brand-Miller, J &amp; Barclay, A 2017, ‘Declining consumption of added sugars and sugar-sweetened beverages in Australia: a challenge for obesity prevention’, </w:t>
      </w:r>
      <w:r w:rsidRPr="001D028A">
        <w:rPr>
          <w:rFonts w:eastAsia="Times New Roman" w:cstheme="minorHAnsi"/>
          <w:i/>
          <w:sz w:val="20"/>
          <w:szCs w:val="20"/>
        </w:rPr>
        <w:t>The American Journal of Clinical Nutrition</w:t>
      </w:r>
      <w:r w:rsidRPr="001D028A">
        <w:rPr>
          <w:rFonts w:eastAsia="Times New Roman" w:cstheme="minorHAnsi"/>
          <w:sz w:val="20"/>
          <w:szCs w:val="20"/>
        </w:rPr>
        <w:t>, vol. 105, no. 4, pp. 854-863.</w:t>
      </w:r>
    </w:p>
    <w:p w14:paraId="25C29E78" w14:textId="77777777" w:rsidR="00C52B5B" w:rsidRPr="001D028A" w:rsidRDefault="00C52B5B" w:rsidP="00C52B5B">
      <w:pPr>
        <w:rPr>
          <w:rFonts w:eastAsia="Times New Roman" w:cstheme="minorHAnsi"/>
          <w:sz w:val="20"/>
          <w:szCs w:val="20"/>
        </w:rPr>
      </w:pPr>
    </w:p>
    <w:p w14:paraId="36461CF0" w14:textId="77777777" w:rsidR="00C52B5B" w:rsidRPr="001D028A" w:rsidRDefault="00C52B5B" w:rsidP="00C52B5B">
      <w:pPr>
        <w:pStyle w:val="NoSpacing"/>
        <w:rPr>
          <w:rFonts w:cstheme="minorHAnsi"/>
          <w:bCs/>
          <w:sz w:val="20"/>
          <w:szCs w:val="20"/>
          <w:lang w:val="en-GB"/>
        </w:rPr>
      </w:pPr>
      <w:r w:rsidRPr="001D028A">
        <w:rPr>
          <w:rFonts w:cstheme="minorHAnsi"/>
          <w:bCs/>
          <w:sz w:val="20"/>
          <w:szCs w:val="20"/>
          <w:lang w:val="en-GB"/>
        </w:rPr>
        <w:t xml:space="preserve">Brownbill, A, Braunack-Meye, A &amp; Miller, C 2018, ‘Health Star Ratings: What’s on the labels of Australian beverages?’, </w:t>
      </w:r>
      <w:r w:rsidRPr="001D028A">
        <w:rPr>
          <w:rFonts w:cstheme="minorHAnsi"/>
          <w:bCs/>
          <w:i/>
          <w:iCs/>
          <w:sz w:val="20"/>
          <w:szCs w:val="20"/>
          <w:lang w:val="en-GB"/>
        </w:rPr>
        <w:t xml:space="preserve">Health Promotion Journal of Australia, </w:t>
      </w:r>
      <w:r w:rsidRPr="001D028A">
        <w:rPr>
          <w:rFonts w:cstheme="minorHAnsi"/>
          <w:bCs/>
          <w:iCs/>
          <w:sz w:val="20"/>
          <w:szCs w:val="20"/>
          <w:lang w:val="en-GB"/>
        </w:rPr>
        <w:t>vol. 29,</w:t>
      </w:r>
      <w:r w:rsidRPr="001D028A">
        <w:rPr>
          <w:rFonts w:cstheme="minorHAnsi"/>
          <w:bCs/>
          <w:sz w:val="20"/>
          <w:szCs w:val="20"/>
          <w:lang w:val="en-GB"/>
        </w:rPr>
        <w:t xml:space="preserve"> pp. 1-5.</w:t>
      </w:r>
    </w:p>
    <w:p w14:paraId="3AD0F7A2" w14:textId="77777777" w:rsidR="00C52B5B" w:rsidRPr="001D028A" w:rsidRDefault="00C52B5B" w:rsidP="00C52B5B">
      <w:pPr>
        <w:pStyle w:val="NoSpacing"/>
        <w:rPr>
          <w:rFonts w:cstheme="minorHAnsi"/>
          <w:b/>
          <w:bCs/>
          <w:sz w:val="20"/>
          <w:szCs w:val="20"/>
          <w:u w:val="single"/>
          <w:lang w:val="en-GB"/>
        </w:rPr>
      </w:pPr>
    </w:p>
    <w:p w14:paraId="7DB8D086" w14:textId="77777777" w:rsidR="00C52B5B" w:rsidRPr="001D028A" w:rsidRDefault="00C52B5B" w:rsidP="00C52B5B">
      <w:pPr>
        <w:pStyle w:val="Default"/>
        <w:rPr>
          <w:rFonts w:asciiTheme="minorHAnsi" w:hAnsiTheme="minorHAnsi" w:cstheme="minorHAnsi"/>
          <w:color w:val="auto"/>
          <w:sz w:val="20"/>
          <w:szCs w:val="20"/>
          <w:lang w:val="en-GB"/>
        </w:rPr>
      </w:pPr>
      <w:r w:rsidRPr="001D028A">
        <w:rPr>
          <w:rFonts w:asciiTheme="minorHAnsi" w:hAnsiTheme="minorHAnsi" w:cstheme="minorHAnsi"/>
          <w:color w:val="auto"/>
          <w:sz w:val="20"/>
          <w:szCs w:val="20"/>
          <w:lang w:val="en-GB"/>
        </w:rPr>
        <w:t xml:space="preserve">Carrad, A, Louie, JCY, Yeatman, HR, Dunford, EK, Neal, BC &amp; Flood, VM 2016 ‘A nutrient profiling assessment of packaged foods using two star-based front-of-pack labels’, </w:t>
      </w:r>
      <w:r w:rsidRPr="001D028A">
        <w:rPr>
          <w:rFonts w:asciiTheme="minorHAnsi" w:hAnsiTheme="minorHAnsi" w:cstheme="minorHAnsi"/>
          <w:i/>
          <w:iCs/>
          <w:color w:val="auto"/>
          <w:sz w:val="20"/>
          <w:szCs w:val="20"/>
          <w:lang w:val="en-GB"/>
        </w:rPr>
        <w:t>Public Health Nutrition</w:t>
      </w:r>
      <w:r w:rsidRPr="001D028A">
        <w:rPr>
          <w:rFonts w:asciiTheme="minorHAnsi" w:hAnsiTheme="minorHAnsi" w:cstheme="minorHAnsi"/>
          <w:color w:val="auto"/>
          <w:sz w:val="20"/>
          <w:szCs w:val="20"/>
          <w:lang w:val="en-GB"/>
        </w:rPr>
        <w:t>, vol. 19, no. 12, pp. 2165-2174.</w:t>
      </w:r>
    </w:p>
    <w:p w14:paraId="36249A3E" w14:textId="77777777" w:rsidR="00C52B5B" w:rsidRPr="001D028A" w:rsidRDefault="00C52B5B" w:rsidP="00C52B5B">
      <w:pPr>
        <w:rPr>
          <w:rFonts w:eastAsia="Times New Roman" w:cstheme="minorHAnsi"/>
          <w:i/>
          <w:sz w:val="20"/>
          <w:szCs w:val="20"/>
        </w:rPr>
      </w:pPr>
    </w:p>
    <w:p w14:paraId="353E1637"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sz w:val="20"/>
          <w:szCs w:val="20"/>
        </w:rPr>
        <w:t>Chantal, J, Blanchet, O, Mejean, C, Fezeu, L,  Touvier, M, Peneau, S, Ducrot, P, Alles, B, Singler, E &amp; Kesse-Guyot, E 2016, ‘Impact of the front-of-pack 5-colour nutrition label (5-CNL) on the nutritional quality of purchases: an experimental study’</w:t>
      </w:r>
      <w:r w:rsidRPr="001D028A">
        <w:rPr>
          <w:rFonts w:eastAsia="Times New Roman" w:cstheme="minorHAnsi"/>
          <w:i/>
          <w:sz w:val="20"/>
          <w:szCs w:val="20"/>
        </w:rPr>
        <w:t xml:space="preserve">, International Journal of Behavioural Nutrition and Physical Activity, </w:t>
      </w:r>
      <w:r w:rsidRPr="001D028A">
        <w:rPr>
          <w:rFonts w:eastAsia="Times New Roman" w:cstheme="minorHAnsi"/>
          <w:sz w:val="20"/>
          <w:szCs w:val="20"/>
        </w:rPr>
        <w:t>vol. 13 no. 101</w:t>
      </w:r>
      <w:r w:rsidRPr="001D028A">
        <w:rPr>
          <w:rFonts w:eastAsia="Times New Roman" w:cstheme="minorHAnsi"/>
          <w:i/>
          <w:sz w:val="20"/>
          <w:szCs w:val="20"/>
        </w:rPr>
        <w:t>.</w:t>
      </w:r>
    </w:p>
    <w:p w14:paraId="29E6FFB8" w14:textId="77777777" w:rsidR="00C52B5B" w:rsidRPr="001D028A" w:rsidRDefault="00C52B5B" w:rsidP="00C52B5B">
      <w:pPr>
        <w:rPr>
          <w:rFonts w:eastAsia="Times New Roman" w:cstheme="minorHAnsi"/>
          <w:i/>
          <w:sz w:val="20"/>
          <w:szCs w:val="20"/>
        </w:rPr>
      </w:pPr>
    </w:p>
    <w:p w14:paraId="1DECF11D"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sz w:val="20"/>
          <w:szCs w:val="20"/>
        </w:rPr>
        <w:t>Chantal, J, Ducrot, P, Peneau, S, Deschamps, V, Mejean, C, Fezeu, L, Touvier, M, Hercberg, S &amp; Kesse-Guyot, E 2015, ‘Discriminating nutritional quality of foods using the 5-Color nutrition label in the French food market: consistency with nutritional recommendations’</w:t>
      </w:r>
      <w:r w:rsidRPr="001D028A">
        <w:rPr>
          <w:rFonts w:eastAsia="Times New Roman" w:cstheme="minorHAnsi"/>
          <w:i/>
          <w:sz w:val="20"/>
          <w:szCs w:val="20"/>
        </w:rPr>
        <w:t>, Nutrition Journal</w:t>
      </w:r>
      <w:r w:rsidRPr="001D028A">
        <w:rPr>
          <w:rFonts w:eastAsia="Times New Roman" w:cstheme="minorHAnsi"/>
          <w:sz w:val="20"/>
          <w:szCs w:val="20"/>
        </w:rPr>
        <w:t>, vol. 14, no. 100, pp. 1-12.</w:t>
      </w:r>
    </w:p>
    <w:p w14:paraId="25EAB303" w14:textId="77777777" w:rsidR="00C52B5B" w:rsidRPr="001D028A" w:rsidRDefault="00C52B5B" w:rsidP="00C52B5B">
      <w:pPr>
        <w:pStyle w:val="NoSpacing"/>
        <w:rPr>
          <w:rFonts w:cstheme="minorHAnsi"/>
          <w:sz w:val="20"/>
          <w:szCs w:val="20"/>
          <w:lang w:val="en-GB"/>
        </w:rPr>
      </w:pPr>
    </w:p>
    <w:p w14:paraId="37E24CE3"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sz w:val="20"/>
          <w:szCs w:val="20"/>
        </w:rPr>
        <w:t xml:space="preserve">Chantal, J, Kesse-Guyot, E, Touvier, M, Mejean, C, Fezeu, L &amp; Hercberg, S 2014, ‘Application of the British Food Standards Agency nutrient profiling system in a French food composition database’, </w:t>
      </w:r>
      <w:r w:rsidRPr="001D028A">
        <w:rPr>
          <w:rFonts w:eastAsia="Times New Roman" w:cstheme="minorHAnsi"/>
          <w:i/>
          <w:sz w:val="20"/>
          <w:szCs w:val="20"/>
        </w:rPr>
        <w:t>British Journal of Nutrition</w:t>
      </w:r>
      <w:r w:rsidRPr="001D028A">
        <w:rPr>
          <w:rFonts w:eastAsia="Times New Roman" w:cstheme="minorHAnsi"/>
          <w:sz w:val="20"/>
          <w:szCs w:val="20"/>
        </w:rPr>
        <w:t>, vol. 112, pp. 1699-1705.</w:t>
      </w:r>
    </w:p>
    <w:p w14:paraId="7FAC6F49" w14:textId="77777777" w:rsidR="00C52B5B" w:rsidRPr="001D028A" w:rsidRDefault="00C52B5B" w:rsidP="00C52B5B">
      <w:pPr>
        <w:pStyle w:val="NoSpacing"/>
        <w:rPr>
          <w:rFonts w:cstheme="minorHAnsi"/>
          <w:sz w:val="20"/>
          <w:szCs w:val="20"/>
        </w:rPr>
      </w:pPr>
    </w:p>
    <w:p w14:paraId="15364706"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Chantal, J, Mejean, C, Touvier, M, Peneau, S, Lassale, C, Ducrot, P, Hereberg, S &amp; Kesse-Guyot, E 2016, ‘Validation of the FSA nutrient profiling system dietary index in French adults – findings from SUVIMAX study’, </w:t>
      </w:r>
      <w:r w:rsidRPr="001D028A">
        <w:rPr>
          <w:rFonts w:eastAsia="Times New Roman" w:cstheme="minorHAnsi"/>
          <w:i/>
          <w:sz w:val="20"/>
          <w:szCs w:val="20"/>
        </w:rPr>
        <w:t>European Journal of Nutrition</w:t>
      </w:r>
      <w:r w:rsidRPr="001D028A">
        <w:rPr>
          <w:rFonts w:eastAsia="Times New Roman" w:cstheme="minorHAnsi"/>
          <w:sz w:val="20"/>
          <w:szCs w:val="20"/>
        </w:rPr>
        <w:t>, vol. 55, pp. 1901-1910.</w:t>
      </w:r>
    </w:p>
    <w:p w14:paraId="5E4F5C43" w14:textId="77777777" w:rsidR="00C52B5B" w:rsidRPr="001D028A" w:rsidRDefault="00C52B5B" w:rsidP="00C52B5B">
      <w:pPr>
        <w:rPr>
          <w:rFonts w:eastAsia="Times New Roman" w:cstheme="minorHAnsi"/>
          <w:sz w:val="20"/>
          <w:szCs w:val="20"/>
        </w:rPr>
      </w:pPr>
    </w:p>
    <w:p w14:paraId="25936131"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Chantal, J, Peneau, S, Buscail, C, Gonzalez, R, Touvier, M, Hercberg, S &amp; Kesse-Guyot, E 2017, ‘Perception of different formats of front-of-pack nutrition labels according to sociodemographic, lifestyle and dietary factors in a French population: cross-sectional study among the MutriNet-Sante cohort participants’, </w:t>
      </w:r>
      <w:r w:rsidRPr="001D028A">
        <w:rPr>
          <w:rFonts w:eastAsia="Times New Roman" w:cstheme="minorHAnsi"/>
          <w:i/>
          <w:sz w:val="20"/>
          <w:szCs w:val="20"/>
        </w:rPr>
        <w:t>BMJ Open Access Research</w:t>
      </w:r>
      <w:r w:rsidRPr="001D028A">
        <w:rPr>
          <w:rFonts w:eastAsia="Times New Roman" w:cstheme="minorHAnsi"/>
          <w:sz w:val="20"/>
          <w:szCs w:val="20"/>
        </w:rPr>
        <w:t>, published by group.bmj.com.</w:t>
      </w:r>
    </w:p>
    <w:p w14:paraId="22044907" w14:textId="77777777" w:rsidR="00C52B5B" w:rsidRPr="001D028A" w:rsidRDefault="00C52B5B" w:rsidP="00C52B5B">
      <w:pPr>
        <w:pStyle w:val="NoSpacing"/>
        <w:rPr>
          <w:rFonts w:cstheme="minorHAnsi"/>
          <w:sz w:val="20"/>
          <w:szCs w:val="20"/>
          <w:lang w:val="en-GB"/>
        </w:rPr>
      </w:pPr>
    </w:p>
    <w:p w14:paraId="19725C2D" w14:textId="77777777" w:rsidR="00C52B5B" w:rsidRPr="001D028A" w:rsidRDefault="00C52B5B" w:rsidP="00C52B5B">
      <w:pPr>
        <w:pStyle w:val="NoSpacing"/>
        <w:rPr>
          <w:rFonts w:cstheme="minorHAnsi"/>
          <w:sz w:val="20"/>
          <w:szCs w:val="20"/>
        </w:rPr>
      </w:pPr>
      <w:r w:rsidRPr="001D028A">
        <w:rPr>
          <w:rFonts w:cstheme="minorHAnsi"/>
          <w:sz w:val="20"/>
          <w:szCs w:val="20"/>
        </w:rPr>
        <w:t>Cowburn, G, &amp; Stockley, L 2005 ‘Consumer understanding and use of nutrition labelling: A systematic review’ </w:t>
      </w:r>
      <w:r w:rsidRPr="001D028A">
        <w:rPr>
          <w:rFonts w:cstheme="minorHAnsi"/>
          <w:i/>
          <w:sz w:val="20"/>
          <w:szCs w:val="20"/>
        </w:rPr>
        <w:t>Public Health Nutrition</w:t>
      </w:r>
      <w:r w:rsidRPr="001D028A">
        <w:rPr>
          <w:rFonts w:cstheme="minorHAnsi"/>
          <w:sz w:val="20"/>
          <w:szCs w:val="20"/>
        </w:rPr>
        <w:t>, vol. 8, no.1, pp. 21-28. </w:t>
      </w:r>
    </w:p>
    <w:p w14:paraId="5346DA87" w14:textId="77777777" w:rsidR="00C52B5B" w:rsidRPr="001D028A" w:rsidRDefault="00C52B5B" w:rsidP="00C52B5B">
      <w:pPr>
        <w:pStyle w:val="NoSpacing"/>
        <w:rPr>
          <w:rFonts w:cstheme="minorHAnsi"/>
          <w:sz w:val="20"/>
          <w:szCs w:val="20"/>
          <w:lang w:val="en-GB"/>
        </w:rPr>
      </w:pPr>
    </w:p>
    <w:p w14:paraId="603A3F0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Crino, M, Sacks, G, Dunford, E, Trieu, K, Webster, J, Vandevijvere, S, Swinburn, B, Wu, JY &amp; Neal, B 2018 ‘Measuring the healthiness of the packaged food supply in Australia’, </w:t>
      </w:r>
      <w:r w:rsidRPr="001D028A">
        <w:rPr>
          <w:rFonts w:cstheme="minorHAnsi"/>
          <w:i/>
          <w:iCs/>
          <w:sz w:val="20"/>
          <w:szCs w:val="20"/>
          <w:lang w:val="en-GB"/>
        </w:rPr>
        <w:t>Nutrients</w:t>
      </w:r>
      <w:r w:rsidRPr="001D028A">
        <w:rPr>
          <w:rFonts w:cstheme="minorHAnsi"/>
          <w:sz w:val="20"/>
          <w:szCs w:val="20"/>
          <w:lang w:val="en-GB"/>
        </w:rPr>
        <w:t>, vol. 10, no. 6, p.702.</w:t>
      </w:r>
    </w:p>
    <w:p w14:paraId="35904B5B" w14:textId="77777777" w:rsidR="00C52B5B" w:rsidRPr="001D028A" w:rsidRDefault="00C52B5B" w:rsidP="00C52B5B">
      <w:pPr>
        <w:pStyle w:val="NoSpacing"/>
        <w:rPr>
          <w:rFonts w:cstheme="minorHAnsi"/>
          <w:bCs/>
          <w:sz w:val="20"/>
          <w:szCs w:val="20"/>
          <w:lang w:val="en-GB"/>
        </w:rPr>
      </w:pPr>
    </w:p>
    <w:p w14:paraId="7BA79FCC"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Dhingra, D, Michael, M, Rajput, H &amp; Patil, R 2012, ‘Dietary fibre in foods: a review’, </w:t>
      </w:r>
      <w:r w:rsidRPr="001D028A">
        <w:rPr>
          <w:rFonts w:cstheme="minorHAnsi"/>
          <w:i/>
          <w:iCs/>
          <w:sz w:val="20"/>
          <w:szCs w:val="20"/>
          <w:lang w:val="en-GB"/>
        </w:rPr>
        <w:t>Journal of Food Science Technology</w:t>
      </w:r>
      <w:r w:rsidRPr="001D028A">
        <w:rPr>
          <w:rFonts w:cstheme="minorHAnsi"/>
          <w:sz w:val="20"/>
          <w:szCs w:val="20"/>
          <w:lang w:val="en-GB"/>
        </w:rPr>
        <w:t>, vol. 49 no.3, pp. 255-266.</w:t>
      </w:r>
    </w:p>
    <w:p w14:paraId="68AA48B9" w14:textId="77777777" w:rsidR="00C52B5B" w:rsidRPr="001D028A" w:rsidRDefault="00C52B5B" w:rsidP="00C52B5B">
      <w:pPr>
        <w:pStyle w:val="NoSpacing"/>
        <w:rPr>
          <w:rFonts w:cstheme="minorHAnsi"/>
          <w:sz w:val="20"/>
          <w:szCs w:val="20"/>
          <w:lang w:val="en-GB"/>
        </w:rPr>
      </w:pPr>
    </w:p>
    <w:p w14:paraId="67B4C589" w14:textId="77777777" w:rsidR="00C52B5B" w:rsidRPr="001D028A" w:rsidRDefault="00C52B5B" w:rsidP="00C52B5B">
      <w:pPr>
        <w:autoSpaceDE w:val="0"/>
        <w:autoSpaceDN w:val="0"/>
        <w:adjustRightInd w:val="0"/>
        <w:rPr>
          <w:rFonts w:cstheme="minorHAnsi"/>
          <w:color w:val="000000"/>
          <w:sz w:val="20"/>
          <w:szCs w:val="20"/>
          <w:lang w:val="en-US"/>
        </w:rPr>
      </w:pPr>
      <w:r w:rsidRPr="001D028A">
        <w:rPr>
          <w:rFonts w:cstheme="minorHAnsi"/>
          <w:color w:val="000000"/>
          <w:sz w:val="20"/>
          <w:szCs w:val="20"/>
          <w:lang w:val="en-US"/>
        </w:rPr>
        <w:t xml:space="preserve">Dunford, EK, Huang, L, Peters, SAE, Crino, M, Neal, BC &amp; Ni Mhurchu, C 2018, ‘Evaluation of alignment between the Health Claims Nutrient Profiling Scoring Criterion (NPSC) and the Health Star Rating (HSR) Nutrient Profiling Models’, </w:t>
      </w:r>
      <w:r w:rsidRPr="001D028A">
        <w:rPr>
          <w:rFonts w:cstheme="minorHAnsi"/>
          <w:i/>
          <w:iCs/>
          <w:color w:val="000000"/>
          <w:sz w:val="20"/>
          <w:szCs w:val="20"/>
          <w:lang w:val="en-US"/>
        </w:rPr>
        <w:t>Nutrients</w:t>
      </w:r>
      <w:r w:rsidRPr="001D028A">
        <w:rPr>
          <w:rFonts w:cstheme="minorHAnsi"/>
          <w:color w:val="000000"/>
          <w:sz w:val="20"/>
          <w:szCs w:val="20"/>
          <w:lang w:val="en-US"/>
        </w:rPr>
        <w:t>, vol. 10, no. 8, p. 1065.</w:t>
      </w:r>
    </w:p>
    <w:p w14:paraId="1D0AFAEE" w14:textId="77777777" w:rsidR="00C52B5B" w:rsidRPr="001D028A" w:rsidRDefault="00C52B5B" w:rsidP="00C52B5B">
      <w:pPr>
        <w:autoSpaceDE w:val="0"/>
        <w:autoSpaceDN w:val="0"/>
        <w:adjustRightInd w:val="0"/>
        <w:rPr>
          <w:rFonts w:cstheme="minorHAnsi"/>
          <w:color w:val="000000"/>
          <w:sz w:val="20"/>
          <w:szCs w:val="20"/>
        </w:rPr>
      </w:pPr>
    </w:p>
    <w:p w14:paraId="49492DFD"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Egnell, M, Talati, Z, Hercberg, S, Pettigrew, S &amp; Chantal, J 2018, ‘Objective understanding of front-of-package nutrition labels: an international comparative experimental study across 12 countries’, </w:t>
      </w:r>
      <w:r w:rsidRPr="001D028A">
        <w:rPr>
          <w:rFonts w:cstheme="minorHAnsi"/>
          <w:i/>
          <w:iCs/>
          <w:sz w:val="20"/>
          <w:szCs w:val="20"/>
        </w:rPr>
        <w:t>Nutrients</w:t>
      </w:r>
      <w:r w:rsidRPr="001D028A">
        <w:rPr>
          <w:rFonts w:cstheme="minorHAnsi"/>
          <w:sz w:val="20"/>
          <w:szCs w:val="20"/>
        </w:rPr>
        <w:t xml:space="preserve">, vol. 10, no. 1542. </w:t>
      </w:r>
    </w:p>
    <w:p w14:paraId="17761F3A" w14:textId="77777777" w:rsidR="00C52B5B" w:rsidRPr="001D028A" w:rsidRDefault="00C52B5B" w:rsidP="00C52B5B">
      <w:pPr>
        <w:pStyle w:val="NoSpacing"/>
        <w:rPr>
          <w:rFonts w:cstheme="minorHAnsi"/>
          <w:sz w:val="20"/>
          <w:szCs w:val="20"/>
        </w:rPr>
      </w:pPr>
    </w:p>
    <w:p w14:paraId="29989F28"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Elia, M &amp; Cummings, J.H 2007, ‘Physiological aspects of energy metabolism and gastrointestinal effects of carbohydrates’, </w:t>
      </w:r>
      <w:r w:rsidRPr="001D028A">
        <w:rPr>
          <w:rFonts w:eastAsia="Times New Roman" w:cstheme="minorHAnsi"/>
          <w:i/>
          <w:iCs/>
          <w:sz w:val="20"/>
          <w:szCs w:val="20"/>
        </w:rPr>
        <w:t>European Journal of Clinical Nutrition</w:t>
      </w:r>
      <w:r w:rsidRPr="001D028A">
        <w:rPr>
          <w:rFonts w:eastAsia="Times New Roman" w:cstheme="minorHAnsi"/>
          <w:sz w:val="20"/>
          <w:szCs w:val="20"/>
        </w:rPr>
        <w:t>, vol. 61 (Suppl 1), S40-S74.</w:t>
      </w:r>
    </w:p>
    <w:p w14:paraId="5F1E8604" w14:textId="77777777" w:rsidR="00C52B5B" w:rsidRPr="001D028A" w:rsidRDefault="00C52B5B" w:rsidP="00C52B5B">
      <w:pPr>
        <w:rPr>
          <w:rFonts w:eastAsia="Times New Roman" w:cstheme="minorHAnsi"/>
          <w:sz w:val="20"/>
          <w:szCs w:val="20"/>
        </w:rPr>
      </w:pPr>
    </w:p>
    <w:p w14:paraId="3108220B"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Emrich, T, Qi, Y, Lou, W &amp; L’Abbe, M February 2017, ‘Traffic-light labels could reduce population intakes of calories, total fat, saturated fat, and sodium’, </w:t>
      </w:r>
      <w:r w:rsidRPr="001D028A">
        <w:rPr>
          <w:rFonts w:cstheme="minorHAnsi"/>
          <w:i/>
          <w:sz w:val="20"/>
          <w:szCs w:val="20"/>
        </w:rPr>
        <w:t>PLoS One,</w:t>
      </w:r>
      <w:r w:rsidRPr="001D028A">
        <w:rPr>
          <w:rFonts w:cstheme="minorHAnsi"/>
          <w:sz w:val="20"/>
          <w:szCs w:val="20"/>
        </w:rPr>
        <w:t xml:space="preserve"> vol. 12, no. 2.</w:t>
      </w:r>
    </w:p>
    <w:p w14:paraId="200ECAA0" w14:textId="77777777" w:rsidR="00C52B5B" w:rsidRPr="001D028A" w:rsidRDefault="00C52B5B" w:rsidP="00C52B5B">
      <w:pPr>
        <w:pStyle w:val="NoSpacing"/>
        <w:rPr>
          <w:rFonts w:cstheme="minorHAnsi"/>
          <w:sz w:val="20"/>
          <w:szCs w:val="20"/>
          <w:lang w:val="en-GB"/>
        </w:rPr>
      </w:pPr>
    </w:p>
    <w:p w14:paraId="728032AA" w14:textId="77777777" w:rsidR="00C52B5B" w:rsidRPr="001D028A" w:rsidRDefault="00C52B5B" w:rsidP="00C52B5B">
      <w:pPr>
        <w:pStyle w:val="mpcNormal"/>
        <w:keepNext w:val="0"/>
        <w:rPr>
          <w:sz w:val="20"/>
          <w:szCs w:val="20"/>
          <w:lang w:val="en-GB"/>
        </w:rPr>
      </w:pPr>
      <w:r w:rsidRPr="001D028A">
        <w:rPr>
          <w:sz w:val="20"/>
          <w:szCs w:val="20"/>
          <w:lang w:val="en-GB"/>
        </w:rPr>
        <w:t xml:space="preserve">Fayet-Moore, F, McConnell, A, Tuck, K &amp; Petocz, P 2017, ‘Breakfast and Breakfast Cereal Choice and its impact on nutrient and sugar intakes and anthropometric measures among a nationally representative sample of Australian children and adolescents’, </w:t>
      </w:r>
      <w:r w:rsidRPr="001D028A">
        <w:rPr>
          <w:i/>
          <w:iCs/>
          <w:sz w:val="20"/>
          <w:szCs w:val="20"/>
          <w:lang w:val="en-GB"/>
        </w:rPr>
        <w:t>Nutrients</w:t>
      </w:r>
      <w:r w:rsidRPr="001D028A">
        <w:rPr>
          <w:sz w:val="20"/>
          <w:szCs w:val="20"/>
          <w:lang w:val="en-GB"/>
        </w:rPr>
        <w:t>, vol. 9, no. 1045.</w:t>
      </w:r>
    </w:p>
    <w:p w14:paraId="3B249C18" w14:textId="77777777" w:rsidR="00C52B5B" w:rsidRPr="001D028A" w:rsidRDefault="00C52B5B" w:rsidP="00C52B5B">
      <w:pPr>
        <w:pStyle w:val="NoSpacing"/>
        <w:rPr>
          <w:rFonts w:cstheme="minorHAnsi"/>
          <w:b/>
          <w:bCs/>
          <w:sz w:val="20"/>
          <w:szCs w:val="20"/>
          <w:u w:val="single"/>
          <w:lang w:val="en-GB"/>
        </w:rPr>
      </w:pPr>
    </w:p>
    <w:p w14:paraId="068513C6" w14:textId="77777777" w:rsidR="00C52B5B" w:rsidRPr="001D028A" w:rsidRDefault="00C52B5B" w:rsidP="00C52B5B">
      <w:pPr>
        <w:autoSpaceDE w:val="0"/>
        <w:autoSpaceDN w:val="0"/>
        <w:adjustRightInd w:val="0"/>
        <w:rPr>
          <w:rFonts w:cstheme="minorHAnsi"/>
          <w:sz w:val="20"/>
          <w:szCs w:val="20"/>
          <w:lang w:val="en-GB"/>
        </w:rPr>
      </w:pPr>
      <w:r w:rsidRPr="001D028A">
        <w:rPr>
          <w:rFonts w:cstheme="minorHAnsi"/>
          <w:sz w:val="20"/>
          <w:szCs w:val="20"/>
          <w:lang w:val="en-GB"/>
        </w:rPr>
        <w:t xml:space="preserve">Galea, L.M, Dalton, S.M.C, Beck, E.J, Cashman, C. J &amp; Probst, Y.C 2016, ‘Update of a database for estimation of whole grain content of foods in Australia’, </w:t>
      </w:r>
      <w:r w:rsidRPr="001D028A">
        <w:rPr>
          <w:rFonts w:cstheme="minorHAnsi"/>
          <w:i/>
          <w:iCs/>
          <w:sz w:val="20"/>
          <w:szCs w:val="20"/>
          <w:lang w:val="en-GB"/>
        </w:rPr>
        <w:t>Journal of Food Composition and Analysis,</w:t>
      </w:r>
      <w:r w:rsidRPr="001D028A">
        <w:rPr>
          <w:rFonts w:cstheme="minorHAnsi"/>
          <w:sz w:val="20"/>
          <w:szCs w:val="20"/>
          <w:lang w:val="en-GB"/>
        </w:rPr>
        <w:t xml:space="preserve"> vol. 50, pp. 23-29.</w:t>
      </w:r>
    </w:p>
    <w:p w14:paraId="3A54383F" w14:textId="77777777" w:rsidR="00C52B5B" w:rsidRPr="001D028A" w:rsidRDefault="00C52B5B" w:rsidP="00C52B5B">
      <w:pPr>
        <w:pStyle w:val="NoSpacing"/>
        <w:rPr>
          <w:rFonts w:cstheme="minorHAnsi"/>
          <w:color w:val="000000"/>
          <w:sz w:val="20"/>
          <w:szCs w:val="20"/>
        </w:rPr>
      </w:pPr>
    </w:p>
    <w:p w14:paraId="4BFE8DE5" w14:textId="77777777" w:rsidR="00C52B5B" w:rsidRPr="001D028A" w:rsidRDefault="00C52B5B" w:rsidP="00C52B5B">
      <w:pPr>
        <w:pStyle w:val="NoSpacing"/>
        <w:rPr>
          <w:rFonts w:cstheme="minorHAnsi"/>
          <w:color w:val="000000"/>
          <w:sz w:val="20"/>
          <w:szCs w:val="20"/>
        </w:rPr>
      </w:pPr>
      <w:r w:rsidRPr="001D028A">
        <w:rPr>
          <w:rFonts w:cstheme="minorHAnsi"/>
          <w:color w:val="000000"/>
          <w:sz w:val="20"/>
          <w:szCs w:val="20"/>
        </w:rPr>
        <w:t xml:space="preserve">Grunert, K, Wills, J, Fernandez-Celemin, L 2010 ‘Nutrition knowledge, and use and understanding of nutrition information on food labels among consumers in the UK’, </w:t>
      </w:r>
      <w:r w:rsidRPr="001D028A">
        <w:rPr>
          <w:rFonts w:cstheme="minorHAnsi"/>
          <w:i/>
          <w:iCs/>
          <w:color w:val="000000"/>
          <w:sz w:val="20"/>
          <w:szCs w:val="20"/>
        </w:rPr>
        <w:t>Appetite</w:t>
      </w:r>
      <w:r w:rsidRPr="001D028A">
        <w:rPr>
          <w:rFonts w:cstheme="minorHAnsi"/>
          <w:color w:val="000000"/>
          <w:sz w:val="20"/>
          <w:szCs w:val="20"/>
        </w:rPr>
        <w:t>, vol. 55, no. 2,</w:t>
      </w:r>
      <w:r w:rsidRPr="001D028A">
        <w:rPr>
          <w:rStyle w:val="apple-converted-space"/>
          <w:rFonts w:cstheme="minorHAnsi"/>
          <w:color w:val="000000"/>
          <w:sz w:val="20"/>
          <w:szCs w:val="20"/>
        </w:rPr>
        <w:t> </w:t>
      </w:r>
      <w:r w:rsidRPr="001D028A">
        <w:rPr>
          <w:rFonts w:cstheme="minorHAnsi"/>
          <w:color w:val="000000"/>
          <w:sz w:val="20"/>
          <w:szCs w:val="20"/>
        </w:rPr>
        <w:t>pp. 177-189.</w:t>
      </w:r>
    </w:p>
    <w:p w14:paraId="7F966F31" w14:textId="77777777" w:rsidR="00C52B5B" w:rsidRPr="001D028A" w:rsidRDefault="00C52B5B" w:rsidP="00C52B5B">
      <w:pPr>
        <w:pStyle w:val="NoSpacing"/>
        <w:rPr>
          <w:rFonts w:cstheme="minorHAnsi"/>
          <w:sz w:val="20"/>
          <w:szCs w:val="20"/>
        </w:rPr>
      </w:pPr>
    </w:p>
    <w:p w14:paraId="4934A54F"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Hamlin, R &amp; McNeill, L 2016 ‘Does the Australasian “Health Star Rating” Front of Pack Nutritional Label System Work?’, </w:t>
      </w:r>
      <w:r w:rsidRPr="001D028A">
        <w:rPr>
          <w:rFonts w:cstheme="minorHAnsi"/>
          <w:i/>
          <w:iCs/>
          <w:sz w:val="20"/>
          <w:szCs w:val="20"/>
        </w:rPr>
        <w:t>Nutrients</w:t>
      </w:r>
      <w:r w:rsidRPr="001D028A">
        <w:rPr>
          <w:rFonts w:cstheme="minorHAnsi"/>
          <w:sz w:val="20"/>
          <w:szCs w:val="20"/>
        </w:rPr>
        <w:t>, vol. 8, no. 6.</w:t>
      </w:r>
    </w:p>
    <w:p w14:paraId="03B6A0F1" w14:textId="77777777" w:rsidR="00C52B5B" w:rsidRPr="001D028A" w:rsidRDefault="00C52B5B" w:rsidP="00C52B5B">
      <w:pPr>
        <w:pStyle w:val="NoSpacing"/>
        <w:rPr>
          <w:rFonts w:cstheme="minorHAnsi"/>
          <w:sz w:val="20"/>
          <w:szCs w:val="20"/>
        </w:rPr>
      </w:pPr>
    </w:p>
    <w:p w14:paraId="1048FDD8"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Hamlin, R &amp; McNeill, L 2018 ‘The impact of the Australasian ‘Health Star rating’, front-of-pack nutritional label, on consumer choice: a longitudinal study’, </w:t>
      </w:r>
      <w:r w:rsidRPr="001D028A">
        <w:rPr>
          <w:rFonts w:cstheme="minorHAnsi"/>
          <w:i/>
          <w:iCs/>
          <w:sz w:val="20"/>
          <w:szCs w:val="20"/>
          <w:lang w:val="en-GB"/>
        </w:rPr>
        <w:t>Nutrients</w:t>
      </w:r>
      <w:r w:rsidRPr="001D028A">
        <w:rPr>
          <w:rFonts w:cstheme="minorHAnsi"/>
          <w:sz w:val="20"/>
          <w:szCs w:val="20"/>
          <w:lang w:val="en-GB"/>
        </w:rPr>
        <w:t>, vol. 10, no. 7, p. 906.</w:t>
      </w:r>
    </w:p>
    <w:p w14:paraId="5B3EF519" w14:textId="77777777" w:rsidR="00C52B5B" w:rsidRPr="001D028A" w:rsidRDefault="00C52B5B" w:rsidP="00C52B5B">
      <w:pPr>
        <w:pStyle w:val="NoSpacing"/>
        <w:rPr>
          <w:rFonts w:cstheme="minorHAnsi"/>
          <w:sz w:val="20"/>
          <w:szCs w:val="20"/>
          <w:lang w:val="en-GB"/>
        </w:rPr>
      </w:pPr>
    </w:p>
    <w:p w14:paraId="194DB1AD"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Hawkes, C 2010 ‘Government and voluntary policies on nutrition labelling: a global overview’, in Albert, J (ed) </w:t>
      </w:r>
      <w:r w:rsidRPr="001D028A">
        <w:rPr>
          <w:rFonts w:eastAsia="Times New Roman" w:cstheme="minorHAnsi"/>
          <w:i/>
          <w:sz w:val="20"/>
          <w:szCs w:val="20"/>
        </w:rPr>
        <w:t>Innovations in Food Labelling</w:t>
      </w:r>
      <w:r w:rsidRPr="001D028A">
        <w:rPr>
          <w:rFonts w:eastAsia="Times New Roman" w:cstheme="minorHAnsi"/>
          <w:sz w:val="20"/>
          <w:szCs w:val="20"/>
        </w:rPr>
        <w:t>, a volume in Woodhead Publishing Series on Food Science, Technology and Nutrition.</w:t>
      </w:r>
    </w:p>
    <w:p w14:paraId="54A5FB69" w14:textId="77777777" w:rsidR="00C52B5B" w:rsidRPr="001D028A" w:rsidRDefault="00C52B5B" w:rsidP="00C52B5B">
      <w:pPr>
        <w:pStyle w:val="NoSpacing"/>
        <w:rPr>
          <w:rFonts w:cstheme="minorHAnsi"/>
          <w:sz w:val="20"/>
          <w:szCs w:val="20"/>
        </w:rPr>
      </w:pPr>
    </w:p>
    <w:p w14:paraId="7EAAC282"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Hess, J, Latulippe, M, Ayoob, K, Slavin, J, 2012 ‘The confusing world of dietary sugars: Definitions, intakes, food sources and international dietary recommendations’ </w:t>
      </w:r>
      <w:r w:rsidRPr="001D028A">
        <w:rPr>
          <w:rFonts w:cstheme="minorHAnsi"/>
          <w:i/>
          <w:sz w:val="20"/>
          <w:szCs w:val="20"/>
        </w:rPr>
        <w:t>Food Funct</w:t>
      </w:r>
      <w:r w:rsidRPr="001D028A">
        <w:rPr>
          <w:rFonts w:cstheme="minorHAnsi"/>
          <w:sz w:val="20"/>
          <w:szCs w:val="20"/>
        </w:rPr>
        <w:t>., vol 3, pp. 477–486.</w:t>
      </w:r>
    </w:p>
    <w:p w14:paraId="77F4ED7C" w14:textId="77777777" w:rsidR="00C52B5B" w:rsidRPr="001D028A" w:rsidRDefault="00C52B5B" w:rsidP="00C52B5B">
      <w:pPr>
        <w:pStyle w:val="NoSpacing"/>
        <w:rPr>
          <w:rFonts w:cstheme="minorHAnsi"/>
          <w:sz w:val="20"/>
          <w:szCs w:val="20"/>
        </w:rPr>
      </w:pPr>
    </w:p>
    <w:p w14:paraId="0A479C6B"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Hieke, S, Palascha, A, Jola, C, Wills, J, Raats, M 2016 ‘The pack size effect: influence on consumer perceptions of potion sizes’ </w:t>
      </w:r>
      <w:r w:rsidRPr="001D028A">
        <w:rPr>
          <w:rFonts w:cstheme="minorHAnsi"/>
          <w:i/>
          <w:sz w:val="20"/>
          <w:szCs w:val="20"/>
        </w:rPr>
        <w:t>Appetite</w:t>
      </w:r>
      <w:r w:rsidRPr="001D028A">
        <w:rPr>
          <w:rFonts w:cstheme="minorHAnsi"/>
          <w:sz w:val="20"/>
          <w:szCs w:val="20"/>
        </w:rPr>
        <w:t>, vol. 96, pp. 225-238</w:t>
      </w:r>
    </w:p>
    <w:p w14:paraId="78487DC6" w14:textId="77777777" w:rsidR="00C52B5B" w:rsidRPr="001D028A" w:rsidRDefault="00C52B5B" w:rsidP="00C52B5B">
      <w:pPr>
        <w:pStyle w:val="NoSpacing"/>
        <w:rPr>
          <w:rFonts w:cstheme="minorHAnsi"/>
          <w:sz w:val="20"/>
          <w:szCs w:val="20"/>
        </w:rPr>
      </w:pPr>
    </w:p>
    <w:p w14:paraId="100E0B0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Holmberg, S &amp; Thelin, A 2013, ‘High dairy fat intake related to less central obesity: A male cohort study with 12 years’ follow-up’, </w:t>
      </w:r>
      <w:r w:rsidRPr="001D028A">
        <w:rPr>
          <w:rFonts w:cstheme="minorHAnsi"/>
          <w:i/>
          <w:iCs/>
          <w:sz w:val="20"/>
          <w:szCs w:val="20"/>
          <w:lang w:val="en-GB"/>
        </w:rPr>
        <w:t>Scandinavian Journal of Primary Health Care</w:t>
      </w:r>
      <w:r w:rsidRPr="001D028A">
        <w:rPr>
          <w:rFonts w:cstheme="minorHAnsi"/>
          <w:sz w:val="20"/>
          <w:szCs w:val="20"/>
          <w:lang w:val="en-GB"/>
        </w:rPr>
        <w:t>, vol. 31, pp. 89-94.</w:t>
      </w:r>
    </w:p>
    <w:p w14:paraId="05C97C7C" w14:textId="77777777" w:rsidR="00C52B5B" w:rsidRPr="001D028A" w:rsidRDefault="00C52B5B" w:rsidP="00C52B5B">
      <w:pPr>
        <w:autoSpaceDE w:val="0"/>
        <w:autoSpaceDN w:val="0"/>
        <w:adjustRightInd w:val="0"/>
        <w:rPr>
          <w:rFonts w:cstheme="minorHAnsi"/>
          <w:color w:val="000000"/>
          <w:sz w:val="20"/>
          <w:szCs w:val="20"/>
          <w:lang w:val="en-US"/>
        </w:rPr>
      </w:pPr>
    </w:p>
    <w:p w14:paraId="1DB9675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Jones, A, Radholm, K &amp; Neal, B </w:t>
      </w:r>
      <w:r w:rsidRPr="001D028A">
        <w:rPr>
          <w:rFonts w:cstheme="minorHAnsi"/>
          <w:iCs/>
          <w:sz w:val="20"/>
          <w:szCs w:val="20"/>
          <w:lang w:val="en-GB"/>
        </w:rPr>
        <w:t>2018,</w:t>
      </w:r>
      <w:r w:rsidRPr="001D028A">
        <w:rPr>
          <w:rFonts w:cstheme="minorHAnsi"/>
          <w:sz w:val="20"/>
          <w:szCs w:val="20"/>
          <w:lang w:val="en-GB"/>
        </w:rPr>
        <w:t xml:space="preserve"> ‘Defining ‘Unhealthy’: a systematic analysis of alignment between the Australian Dietary Guidelines and the Health Star Rating System’, </w:t>
      </w:r>
      <w:r w:rsidRPr="001D028A">
        <w:rPr>
          <w:rFonts w:cstheme="minorHAnsi"/>
          <w:i/>
          <w:iCs/>
          <w:sz w:val="20"/>
          <w:szCs w:val="20"/>
          <w:lang w:val="en-GB"/>
        </w:rPr>
        <w:t xml:space="preserve">Nutrients, </w:t>
      </w:r>
      <w:r w:rsidRPr="001D028A">
        <w:rPr>
          <w:rFonts w:cstheme="minorHAnsi"/>
          <w:iCs/>
          <w:sz w:val="20"/>
          <w:szCs w:val="20"/>
          <w:lang w:val="en-GB"/>
        </w:rPr>
        <w:t>vol.</w:t>
      </w:r>
      <w:r w:rsidRPr="001D028A">
        <w:rPr>
          <w:rFonts w:cstheme="minorHAnsi"/>
          <w:sz w:val="20"/>
          <w:szCs w:val="20"/>
          <w:lang w:val="en-GB"/>
        </w:rPr>
        <w:t xml:space="preserve"> 10, no. 501.</w:t>
      </w:r>
    </w:p>
    <w:p w14:paraId="6CBDE9E3" w14:textId="77777777" w:rsidR="00C52B5B" w:rsidRPr="001D028A" w:rsidRDefault="00C52B5B" w:rsidP="00C52B5B">
      <w:pPr>
        <w:pStyle w:val="NoSpacing"/>
        <w:rPr>
          <w:rFonts w:cstheme="minorHAnsi"/>
          <w:sz w:val="20"/>
          <w:szCs w:val="20"/>
          <w:lang w:val="en-GB"/>
        </w:rPr>
      </w:pPr>
    </w:p>
    <w:p w14:paraId="4CC2AAA4" w14:textId="77777777" w:rsidR="00C52B5B" w:rsidRPr="001D028A" w:rsidRDefault="00C52B5B" w:rsidP="00C52B5B">
      <w:pPr>
        <w:autoSpaceDE w:val="0"/>
        <w:autoSpaceDN w:val="0"/>
        <w:adjustRightInd w:val="0"/>
        <w:rPr>
          <w:rFonts w:cstheme="minorHAnsi"/>
          <w:sz w:val="20"/>
          <w:szCs w:val="20"/>
          <w:lang w:val="en-GB"/>
        </w:rPr>
      </w:pPr>
      <w:r w:rsidRPr="001D028A">
        <w:rPr>
          <w:rFonts w:cstheme="minorHAnsi"/>
          <w:sz w:val="20"/>
          <w:szCs w:val="20"/>
          <w:lang w:val="en-GB"/>
        </w:rPr>
        <w:t>Jones, A, Shahid, M &amp; Neal, B 2018</w:t>
      </w:r>
      <w:r w:rsidRPr="001D028A">
        <w:rPr>
          <w:rFonts w:cstheme="minorHAnsi"/>
          <w:i/>
          <w:iCs/>
          <w:sz w:val="20"/>
          <w:szCs w:val="20"/>
          <w:lang w:val="en-GB"/>
        </w:rPr>
        <w:t xml:space="preserve"> ‘</w:t>
      </w:r>
      <w:r w:rsidRPr="001D028A">
        <w:rPr>
          <w:rFonts w:cstheme="minorHAnsi"/>
          <w:sz w:val="20"/>
          <w:szCs w:val="20"/>
          <w:lang w:val="en-GB"/>
        </w:rPr>
        <w:t xml:space="preserve">Uptake of Australia’s Health Star Rating System’, </w:t>
      </w:r>
      <w:r w:rsidRPr="001D028A">
        <w:rPr>
          <w:rFonts w:cstheme="minorHAnsi"/>
          <w:i/>
          <w:iCs/>
          <w:sz w:val="20"/>
          <w:szCs w:val="20"/>
          <w:lang w:val="en-GB"/>
        </w:rPr>
        <w:t>Nutrients</w:t>
      </w:r>
      <w:r w:rsidRPr="001D028A">
        <w:rPr>
          <w:rFonts w:cstheme="minorHAnsi"/>
          <w:sz w:val="20"/>
          <w:szCs w:val="20"/>
          <w:lang w:val="en-GB"/>
        </w:rPr>
        <w:t>, vol. 10, no. 8, 997, pp. 1-13.</w:t>
      </w:r>
    </w:p>
    <w:p w14:paraId="6319351C" w14:textId="77777777" w:rsidR="00C52B5B" w:rsidRPr="001D028A" w:rsidRDefault="00C52B5B" w:rsidP="00C52B5B">
      <w:pPr>
        <w:rPr>
          <w:rFonts w:eastAsia="Times New Roman" w:cstheme="minorHAnsi"/>
          <w:sz w:val="20"/>
          <w:szCs w:val="20"/>
        </w:rPr>
      </w:pPr>
    </w:p>
    <w:p w14:paraId="591763B7"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Kanter, R, Vanderlee, L &amp; Vandevijvere, S 2018, ‘Editorial: Front-of-package nutrition labelling policy: global progress and future directions’, </w:t>
      </w:r>
      <w:r w:rsidRPr="001D028A">
        <w:rPr>
          <w:rFonts w:eastAsia="Times New Roman" w:cstheme="minorHAnsi"/>
          <w:i/>
          <w:sz w:val="20"/>
          <w:szCs w:val="20"/>
        </w:rPr>
        <w:t>Public Health Nutrition</w:t>
      </w:r>
      <w:r w:rsidRPr="001D028A">
        <w:rPr>
          <w:rFonts w:eastAsia="Times New Roman" w:cstheme="minorHAnsi"/>
          <w:sz w:val="20"/>
          <w:szCs w:val="20"/>
        </w:rPr>
        <w:t xml:space="preserve">, vol. 21, no. 8, pp. 1399-1408. </w:t>
      </w:r>
    </w:p>
    <w:p w14:paraId="71593693" w14:textId="77777777" w:rsidR="00C52B5B" w:rsidRPr="001D028A" w:rsidRDefault="00C52B5B" w:rsidP="00C52B5B">
      <w:pPr>
        <w:pStyle w:val="NoSpacing"/>
        <w:rPr>
          <w:rFonts w:cstheme="minorHAnsi"/>
          <w:sz w:val="20"/>
          <w:szCs w:val="20"/>
          <w:lang w:val="en-GB"/>
        </w:rPr>
      </w:pPr>
    </w:p>
    <w:p w14:paraId="068F901B"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Kelly, B, Hughes, C, Chapman, K, Louie, J, Dixon, H, Crawford, J, King, L, Daube, M &amp; Slevin, T 2009, ‘Consumer testing of the acceptability and effectiveness of front-of-pack food labelling systems for the Australian grocery market’, </w:t>
      </w:r>
      <w:r w:rsidRPr="001D028A">
        <w:rPr>
          <w:rFonts w:cstheme="minorHAnsi"/>
          <w:i/>
          <w:iCs/>
          <w:sz w:val="20"/>
          <w:szCs w:val="20"/>
          <w:lang w:val="en-GB"/>
        </w:rPr>
        <w:t>Health Promotion International</w:t>
      </w:r>
      <w:r w:rsidRPr="001D028A">
        <w:rPr>
          <w:rFonts w:cstheme="minorHAnsi"/>
          <w:sz w:val="20"/>
          <w:szCs w:val="20"/>
          <w:lang w:val="en-GB"/>
        </w:rPr>
        <w:t>, vol. 24, no.2, pp.120-129.</w:t>
      </w:r>
    </w:p>
    <w:p w14:paraId="4C980219" w14:textId="77777777" w:rsidR="00C52B5B" w:rsidRPr="001D028A" w:rsidRDefault="00C52B5B" w:rsidP="00C52B5B">
      <w:pPr>
        <w:pStyle w:val="NoSpacing"/>
        <w:rPr>
          <w:rFonts w:cstheme="minorHAnsi"/>
          <w:sz w:val="20"/>
          <w:szCs w:val="20"/>
          <w:lang w:val="en-GB"/>
        </w:rPr>
      </w:pPr>
    </w:p>
    <w:p w14:paraId="7E954BF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Kloss, L, Meyer, J, Graeve, L &amp; Vetter, W 2015, ‘Sodium intake and its reduction by food reformulation in the European Union – a review’, </w:t>
      </w:r>
      <w:r w:rsidRPr="001D028A">
        <w:rPr>
          <w:rFonts w:cstheme="minorHAnsi"/>
          <w:i/>
          <w:sz w:val="20"/>
          <w:szCs w:val="20"/>
          <w:lang w:val="en-GB"/>
        </w:rPr>
        <w:t>NFS Journal,</w:t>
      </w:r>
      <w:r w:rsidRPr="001D028A">
        <w:rPr>
          <w:rFonts w:cstheme="minorHAnsi"/>
          <w:sz w:val="20"/>
          <w:szCs w:val="20"/>
          <w:lang w:val="en-GB"/>
        </w:rPr>
        <w:t xml:space="preserve"> vol. 1, pp.9-19.</w:t>
      </w:r>
    </w:p>
    <w:p w14:paraId="408FA56F" w14:textId="77777777" w:rsidR="00C52B5B" w:rsidRPr="001D028A" w:rsidRDefault="00C52B5B" w:rsidP="00C52B5B">
      <w:pPr>
        <w:pStyle w:val="NoSpacing"/>
        <w:rPr>
          <w:rFonts w:cstheme="minorHAnsi"/>
          <w:sz w:val="20"/>
          <w:szCs w:val="20"/>
          <w:lang w:val="en-GB"/>
        </w:rPr>
      </w:pPr>
    </w:p>
    <w:p w14:paraId="61CA6C6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Lawrence, M, Dickie, S &amp; Woods, J 2018, ‘Do nutrient-based front-of-pack labelling schemes support or undermine food-based dietary guideline recommendations? Lessons from the Australian Health Star Rating System’,</w:t>
      </w:r>
      <w:r w:rsidRPr="001D028A">
        <w:rPr>
          <w:rFonts w:cstheme="minorHAnsi"/>
          <w:i/>
          <w:iCs/>
          <w:sz w:val="20"/>
          <w:szCs w:val="20"/>
          <w:lang w:val="en-GB"/>
        </w:rPr>
        <w:t xml:space="preserve"> Nutrients</w:t>
      </w:r>
      <w:r w:rsidRPr="001D028A">
        <w:rPr>
          <w:rFonts w:cstheme="minorHAnsi"/>
          <w:sz w:val="20"/>
          <w:szCs w:val="20"/>
          <w:lang w:val="en-GB"/>
        </w:rPr>
        <w:t xml:space="preserve">, vol. 5. </w:t>
      </w:r>
    </w:p>
    <w:p w14:paraId="2DADF739" w14:textId="77777777" w:rsidR="00C52B5B" w:rsidRPr="001D028A" w:rsidRDefault="00C52B5B" w:rsidP="00C52B5B">
      <w:pPr>
        <w:pStyle w:val="Default"/>
        <w:rPr>
          <w:rFonts w:asciiTheme="minorHAnsi" w:hAnsiTheme="minorHAnsi" w:cstheme="minorHAnsi"/>
          <w:bCs/>
          <w:color w:val="auto"/>
          <w:sz w:val="20"/>
          <w:szCs w:val="20"/>
          <w:lang w:val="en-GB"/>
        </w:rPr>
      </w:pPr>
    </w:p>
    <w:p w14:paraId="05F221F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Lei, L, Rangan, A, Flood, V &amp; Louie, J 2016 ‘Dietary intake and food sources of added sugar in the Australian population’, </w:t>
      </w:r>
      <w:r w:rsidRPr="001D028A">
        <w:rPr>
          <w:rFonts w:cstheme="minorHAnsi"/>
          <w:i/>
          <w:iCs/>
          <w:sz w:val="20"/>
          <w:szCs w:val="20"/>
          <w:lang w:val="en-GB"/>
        </w:rPr>
        <w:t>British Journal of Nutrition</w:t>
      </w:r>
      <w:r w:rsidRPr="001D028A">
        <w:rPr>
          <w:rFonts w:cstheme="minorHAnsi"/>
          <w:sz w:val="20"/>
          <w:szCs w:val="20"/>
          <w:lang w:val="en-GB"/>
        </w:rPr>
        <w:t>, vol. 115, pp. 868-877.</w:t>
      </w:r>
    </w:p>
    <w:p w14:paraId="350D0B65" w14:textId="77777777" w:rsidR="00C52B5B" w:rsidRPr="001D028A" w:rsidRDefault="00C52B5B" w:rsidP="00C52B5B">
      <w:pPr>
        <w:pStyle w:val="NoSpacing"/>
        <w:rPr>
          <w:rFonts w:cstheme="minorHAnsi"/>
          <w:sz w:val="20"/>
          <w:szCs w:val="20"/>
          <w:lang w:val="en-GB"/>
        </w:rPr>
      </w:pPr>
    </w:p>
    <w:p w14:paraId="507AEA4C"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Mantilla Herrera, A, Crino, M, Erskin, H, Sacks, G, Anathapavan, J, Ni Mhurchu, C &amp; Lee, Y 2018 ‘Cost-effectiveness of product reformulation in response to the Health Start Rating food labelling system in Australia’, </w:t>
      </w:r>
      <w:r w:rsidRPr="001D028A">
        <w:rPr>
          <w:rFonts w:cstheme="minorHAnsi"/>
          <w:i/>
          <w:iCs/>
          <w:sz w:val="20"/>
          <w:szCs w:val="20"/>
        </w:rPr>
        <w:t>Nutrients</w:t>
      </w:r>
      <w:r w:rsidRPr="001D028A">
        <w:rPr>
          <w:rFonts w:cstheme="minorHAnsi"/>
          <w:sz w:val="20"/>
          <w:szCs w:val="20"/>
        </w:rPr>
        <w:t>, vol. 10, no. 614, pp. 2-16.</w:t>
      </w:r>
    </w:p>
    <w:p w14:paraId="167B3FD3" w14:textId="77777777" w:rsidR="00C52B5B" w:rsidRPr="001D028A" w:rsidRDefault="00C52B5B" w:rsidP="00C52B5B">
      <w:pPr>
        <w:pStyle w:val="NoSpacing"/>
        <w:rPr>
          <w:rFonts w:cstheme="minorHAnsi"/>
          <w:sz w:val="20"/>
          <w:szCs w:val="20"/>
          <w:lang w:val="en-GB"/>
        </w:rPr>
      </w:pPr>
    </w:p>
    <w:p w14:paraId="114C4FCE"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Menday, H, Neal, B, Wu, J, Crino, M, Baines, S &amp; Peterson, K 2017, ‘Use of added sugars instead of total sugars may improve the capacity of the Health Star Rating system to discriminate between core and discretionary foods’, </w:t>
      </w:r>
      <w:r w:rsidRPr="001D028A">
        <w:rPr>
          <w:rFonts w:cstheme="minorHAnsi"/>
          <w:i/>
          <w:iCs/>
          <w:sz w:val="20"/>
          <w:szCs w:val="20"/>
        </w:rPr>
        <w:t>Journal of the Academy of Nutrition and Dietetics</w:t>
      </w:r>
      <w:r w:rsidRPr="001D028A">
        <w:rPr>
          <w:rFonts w:cstheme="minorHAnsi"/>
          <w:sz w:val="20"/>
          <w:szCs w:val="20"/>
        </w:rPr>
        <w:t>, vol. 117, no. 12.</w:t>
      </w:r>
    </w:p>
    <w:p w14:paraId="379E569F" w14:textId="77777777" w:rsidR="00C52B5B" w:rsidRPr="001D028A" w:rsidRDefault="00C52B5B" w:rsidP="00C52B5B">
      <w:pPr>
        <w:pStyle w:val="NoSpacing"/>
        <w:rPr>
          <w:rFonts w:cstheme="minorHAnsi"/>
          <w:sz w:val="20"/>
          <w:szCs w:val="20"/>
        </w:rPr>
      </w:pPr>
    </w:p>
    <w:p w14:paraId="506DE1DC"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Mok, A, Ahmad, R, Rangan, A &amp; Louie, J 2018, ‘Intake of free sugars and micronutrient dilution in Australian adults’, </w:t>
      </w:r>
      <w:r w:rsidRPr="001D028A">
        <w:rPr>
          <w:rFonts w:cstheme="minorHAnsi"/>
          <w:i/>
          <w:iCs/>
          <w:sz w:val="20"/>
          <w:szCs w:val="20"/>
        </w:rPr>
        <w:t>American Journal of Clinical Nutrition</w:t>
      </w:r>
      <w:r w:rsidRPr="001D028A">
        <w:rPr>
          <w:rFonts w:cstheme="minorHAnsi"/>
          <w:sz w:val="20"/>
          <w:szCs w:val="20"/>
        </w:rPr>
        <w:t>, vol. 107, pp.94-104.</w:t>
      </w:r>
    </w:p>
    <w:p w14:paraId="227E956F" w14:textId="77777777" w:rsidR="00C52B5B" w:rsidRPr="001D028A" w:rsidRDefault="00C52B5B" w:rsidP="00C52B5B">
      <w:pPr>
        <w:pStyle w:val="NoSpacing"/>
        <w:rPr>
          <w:rFonts w:cstheme="minorHAnsi"/>
          <w:sz w:val="20"/>
          <w:szCs w:val="20"/>
        </w:rPr>
      </w:pPr>
    </w:p>
    <w:p w14:paraId="6D377500"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Moore-Fayet, F, McConnell, A, Tuck, K &amp; Petocz, P 2017, ‘Breakfast and breakfast cereal choice and its impact on nutrient and sugar intakes and anthropometric measures among a nationally representative sample of Australian children and adolescents’, </w:t>
      </w:r>
      <w:r w:rsidRPr="001D028A">
        <w:rPr>
          <w:rFonts w:cstheme="minorHAnsi"/>
          <w:i/>
          <w:sz w:val="20"/>
          <w:szCs w:val="20"/>
        </w:rPr>
        <w:t>Nutrients</w:t>
      </w:r>
      <w:r w:rsidRPr="001D028A">
        <w:rPr>
          <w:rFonts w:cstheme="minorHAnsi"/>
          <w:sz w:val="20"/>
          <w:szCs w:val="20"/>
        </w:rPr>
        <w:t>, vol. 9, no. 10, p. 1045.</w:t>
      </w:r>
    </w:p>
    <w:p w14:paraId="03906B41" w14:textId="77777777" w:rsidR="00C52B5B" w:rsidRPr="001D028A" w:rsidRDefault="00C52B5B" w:rsidP="00C52B5B">
      <w:pPr>
        <w:rPr>
          <w:rFonts w:eastAsia="Times New Roman" w:cstheme="minorHAnsi"/>
          <w:sz w:val="20"/>
          <w:szCs w:val="20"/>
        </w:rPr>
      </w:pPr>
    </w:p>
    <w:p w14:paraId="566F3F9B"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Moynihan, P.J 1998, ‘Update on the nomenclature of carbohydrates and their dental effects’, </w:t>
      </w:r>
      <w:r w:rsidRPr="001D028A">
        <w:rPr>
          <w:rFonts w:eastAsia="Times New Roman" w:cstheme="minorHAnsi"/>
          <w:i/>
          <w:iCs/>
          <w:sz w:val="20"/>
          <w:szCs w:val="20"/>
        </w:rPr>
        <w:t>Journal of Dentistry</w:t>
      </w:r>
      <w:r w:rsidRPr="001D028A">
        <w:rPr>
          <w:rFonts w:eastAsia="Times New Roman" w:cstheme="minorHAnsi"/>
          <w:sz w:val="20"/>
          <w:szCs w:val="20"/>
        </w:rPr>
        <w:t>, vol. 26, no. 3, pp. 209-218.</w:t>
      </w:r>
    </w:p>
    <w:p w14:paraId="04E7F07C" w14:textId="77777777" w:rsidR="00C52B5B" w:rsidRPr="001D028A" w:rsidRDefault="00C52B5B" w:rsidP="00C52B5B">
      <w:pPr>
        <w:rPr>
          <w:rFonts w:eastAsia="Times New Roman" w:cstheme="minorHAnsi"/>
          <w:sz w:val="20"/>
          <w:szCs w:val="20"/>
        </w:rPr>
      </w:pPr>
    </w:p>
    <w:p w14:paraId="510169FC"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Moynihan, P.J &amp; Kelly, S 2014, ‘Effect on Caries of Restricting Sugars Intake: Systematic Review to Inform WHO Guidelines, </w:t>
      </w:r>
      <w:r w:rsidRPr="001D028A">
        <w:rPr>
          <w:rFonts w:eastAsia="Times New Roman" w:cstheme="minorHAnsi"/>
          <w:i/>
          <w:iCs/>
          <w:sz w:val="20"/>
          <w:szCs w:val="20"/>
        </w:rPr>
        <w:t>Journal of Dental Research</w:t>
      </w:r>
      <w:r w:rsidRPr="001D028A">
        <w:rPr>
          <w:rFonts w:eastAsia="Times New Roman" w:cstheme="minorHAnsi"/>
          <w:sz w:val="20"/>
          <w:szCs w:val="20"/>
        </w:rPr>
        <w:t>, vol. 93, no. 1, pp. 8-18.</w:t>
      </w:r>
    </w:p>
    <w:p w14:paraId="3E4BD771" w14:textId="77777777" w:rsidR="00C52B5B" w:rsidRPr="001D028A" w:rsidRDefault="00C52B5B" w:rsidP="00C52B5B">
      <w:pPr>
        <w:pStyle w:val="Default"/>
        <w:rPr>
          <w:rFonts w:asciiTheme="minorHAnsi" w:hAnsiTheme="minorHAnsi" w:cstheme="minorHAnsi"/>
          <w:bCs/>
          <w:color w:val="auto"/>
          <w:sz w:val="20"/>
          <w:szCs w:val="20"/>
          <w:lang w:val="en-GB"/>
        </w:rPr>
      </w:pPr>
    </w:p>
    <w:p w14:paraId="7E94DD4B" w14:textId="77777777" w:rsidR="00C52B5B" w:rsidRPr="001D028A" w:rsidRDefault="00C52B5B" w:rsidP="00C52B5B">
      <w:pPr>
        <w:autoSpaceDE w:val="0"/>
        <w:autoSpaceDN w:val="0"/>
        <w:adjustRightInd w:val="0"/>
        <w:rPr>
          <w:rFonts w:cstheme="minorHAnsi"/>
          <w:color w:val="000000"/>
          <w:sz w:val="20"/>
          <w:szCs w:val="20"/>
          <w:lang w:val="en-US"/>
        </w:rPr>
      </w:pPr>
      <w:r w:rsidRPr="001D028A">
        <w:rPr>
          <w:rFonts w:cstheme="minorHAnsi"/>
          <w:color w:val="000000"/>
          <w:sz w:val="20"/>
          <w:szCs w:val="20"/>
          <w:lang w:val="en-US"/>
        </w:rPr>
        <w:t>Neal, B, Crino, M, Dunford, E, Gao, A, Greenland, R, Li, N, Ngai, J, Ni Mhurchu, C, Pettigrew, S, Sacks, G, Webster, J &amp; Wu JHY 2017, ‘Effects of different types of Front-of-Pack Labelling information on the healthiness of food purchases – a Randomised Controlled Trial’,</w:t>
      </w:r>
      <w:r w:rsidRPr="001D028A">
        <w:rPr>
          <w:rFonts w:cstheme="minorHAnsi"/>
          <w:i/>
          <w:iCs/>
          <w:color w:val="000000"/>
          <w:sz w:val="20"/>
          <w:szCs w:val="20"/>
          <w:lang w:val="en-US"/>
        </w:rPr>
        <w:t xml:space="preserve"> Nutrients</w:t>
      </w:r>
      <w:r w:rsidRPr="001D028A">
        <w:rPr>
          <w:rFonts w:cstheme="minorHAnsi"/>
          <w:color w:val="000000"/>
          <w:sz w:val="20"/>
          <w:szCs w:val="20"/>
          <w:lang w:val="en-US"/>
        </w:rPr>
        <w:t>, vol. 9, no. 12, p. 1284.</w:t>
      </w:r>
    </w:p>
    <w:p w14:paraId="2FFA7EE2" w14:textId="77777777" w:rsidR="00C52B5B" w:rsidRPr="001D028A" w:rsidRDefault="00C52B5B" w:rsidP="00C52B5B">
      <w:pPr>
        <w:rPr>
          <w:rFonts w:cstheme="minorHAnsi"/>
          <w:sz w:val="20"/>
          <w:szCs w:val="20"/>
        </w:rPr>
      </w:pPr>
    </w:p>
    <w:p w14:paraId="37E268A9"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Ni Mhurchu, C, Eyles, H &amp; Choi, Y, 2017 ‘Effects of a Voluntary Front-of-Pack Nutrition Labelling System on packaged food reformulation: the Health Star Rating system in New Zealand’, </w:t>
      </w:r>
      <w:r w:rsidRPr="001D028A">
        <w:rPr>
          <w:rFonts w:cstheme="minorHAnsi"/>
          <w:i/>
          <w:iCs/>
          <w:sz w:val="20"/>
          <w:szCs w:val="20"/>
          <w:lang w:val="en-GB"/>
        </w:rPr>
        <w:t>Nutrients</w:t>
      </w:r>
      <w:r w:rsidRPr="001D028A">
        <w:rPr>
          <w:rFonts w:cstheme="minorHAnsi"/>
          <w:sz w:val="20"/>
          <w:szCs w:val="20"/>
          <w:lang w:val="en-GB"/>
        </w:rPr>
        <w:t>, vol. 9, no. 918.</w:t>
      </w:r>
    </w:p>
    <w:p w14:paraId="03D5FCF5" w14:textId="77777777" w:rsidR="00C52B5B" w:rsidRPr="001D028A" w:rsidRDefault="00C52B5B" w:rsidP="00C52B5B">
      <w:pPr>
        <w:pStyle w:val="NoSpacing"/>
        <w:rPr>
          <w:rFonts w:cstheme="minorHAnsi"/>
          <w:sz w:val="20"/>
          <w:szCs w:val="20"/>
          <w:lang w:val="en-GB"/>
        </w:rPr>
      </w:pPr>
    </w:p>
    <w:p w14:paraId="4355E326"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Ni Mhurchu, C, Eyles, H, Jiang, Y &amp; Blakely, T 2018, ‘Do nutrition labels influence healthier food choices? Analysis of label viewing behaviour and subsequent food purchases in a labelling intervention trial’, </w:t>
      </w:r>
      <w:r w:rsidRPr="001D028A">
        <w:rPr>
          <w:rFonts w:cstheme="minorHAnsi"/>
          <w:i/>
          <w:iCs/>
          <w:sz w:val="20"/>
          <w:szCs w:val="20"/>
          <w:lang w:val="en-GB"/>
        </w:rPr>
        <w:t>Appetite</w:t>
      </w:r>
      <w:r w:rsidRPr="001D028A">
        <w:rPr>
          <w:rFonts w:cstheme="minorHAnsi"/>
          <w:sz w:val="20"/>
          <w:szCs w:val="20"/>
          <w:lang w:val="en-GB"/>
        </w:rPr>
        <w:t>, vol. 121, pp 360-365.</w:t>
      </w:r>
    </w:p>
    <w:p w14:paraId="50F7FFB9" w14:textId="77777777" w:rsidR="00C52B5B" w:rsidRPr="001D028A" w:rsidRDefault="00C52B5B" w:rsidP="00C52B5B">
      <w:pPr>
        <w:pStyle w:val="NoSpacing"/>
        <w:rPr>
          <w:rFonts w:cstheme="minorHAnsi"/>
          <w:sz w:val="20"/>
          <w:szCs w:val="20"/>
          <w:lang w:val="en-GB"/>
        </w:rPr>
      </w:pPr>
    </w:p>
    <w:p w14:paraId="551A2AA8"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Ni Mhurchu, C, Mackenzie, T &amp; Vandevijere, S 2016, ‘Protecting New Zealand children from exposure to the marketing of unhealthy foods and drinks: a comparison of three nutrient profiling systems to classify foods’, </w:t>
      </w:r>
      <w:r w:rsidRPr="001D028A">
        <w:rPr>
          <w:rFonts w:cstheme="minorHAnsi"/>
          <w:i/>
          <w:iCs/>
          <w:sz w:val="20"/>
          <w:szCs w:val="20"/>
          <w:lang w:val="en-GB"/>
        </w:rPr>
        <w:t>The New Zealand Medical Journal</w:t>
      </w:r>
      <w:r w:rsidRPr="001D028A">
        <w:rPr>
          <w:rFonts w:cstheme="minorHAnsi"/>
          <w:sz w:val="20"/>
          <w:szCs w:val="20"/>
          <w:lang w:val="en-GB"/>
        </w:rPr>
        <w:t>, vol. 129, no. 1441.</w:t>
      </w:r>
    </w:p>
    <w:p w14:paraId="67E34FB0" w14:textId="77777777" w:rsidR="00C52B5B" w:rsidRPr="001D028A" w:rsidRDefault="00C52B5B" w:rsidP="00C52B5B">
      <w:pPr>
        <w:pStyle w:val="NoSpacing"/>
        <w:rPr>
          <w:rFonts w:cstheme="minorHAnsi"/>
          <w:sz w:val="20"/>
          <w:szCs w:val="20"/>
          <w:lang w:val="en-GB"/>
        </w:rPr>
      </w:pPr>
    </w:p>
    <w:p w14:paraId="1674F8EB"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Ni Mhurchu, C, Volkova, K, Jiang, Y, Eyles, H, Michie, J, Neal, B, Blakely, T, Swinburn, B &amp; Rayner, M ‘Effects of interpretive nutrition labels on consumer food purchases: the Starlight randomized controlled trial’, </w:t>
      </w:r>
      <w:r w:rsidRPr="001D028A">
        <w:rPr>
          <w:rFonts w:cstheme="minorHAnsi"/>
          <w:i/>
          <w:sz w:val="20"/>
          <w:szCs w:val="20"/>
          <w:lang w:val="en-GB"/>
        </w:rPr>
        <w:t>The American Journal of Clinical Nutrition</w:t>
      </w:r>
      <w:r w:rsidRPr="001D028A">
        <w:rPr>
          <w:rFonts w:cstheme="minorHAnsi"/>
          <w:sz w:val="20"/>
          <w:szCs w:val="20"/>
          <w:lang w:val="en-GB"/>
        </w:rPr>
        <w:t>, vol. 105, pp. 695-704.</w:t>
      </w:r>
    </w:p>
    <w:p w14:paraId="207E0B04" w14:textId="77777777" w:rsidR="00C52B5B" w:rsidRPr="001D028A" w:rsidRDefault="00C52B5B" w:rsidP="00C52B5B">
      <w:pPr>
        <w:pStyle w:val="NormalWeb"/>
        <w:spacing w:before="0" w:beforeAutospacing="0" w:after="0" w:afterAutospacing="0"/>
        <w:rPr>
          <w:rFonts w:asciiTheme="minorHAnsi" w:eastAsia="Times New Roman" w:hAnsiTheme="minorHAnsi" w:cstheme="minorHAnsi"/>
          <w:sz w:val="20"/>
          <w:szCs w:val="20"/>
        </w:rPr>
      </w:pPr>
    </w:p>
    <w:p w14:paraId="1E796269" w14:textId="77777777" w:rsidR="00C52B5B" w:rsidRPr="001D028A" w:rsidRDefault="00C52B5B" w:rsidP="00C52B5B">
      <w:pPr>
        <w:pStyle w:val="NormalWeb"/>
        <w:spacing w:before="0" w:beforeAutospacing="0" w:after="0" w:afterAutospacing="0"/>
        <w:rPr>
          <w:rFonts w:asciiTheme="minorHAnsi" w:eastAsia="Times New Roman" w:hAnsiTheme="minorHAnsi" w:cstheme="minorHAnsi"/>
          <w:sz w:val="20"/>
          <w:szCs w:val="20"/>
        </w:rPr>
      </w:pPr>
      <w:r w:rsidRPr="001D028A">
        <w:rPr>
          <w:rFonts w:asciiTheme="minorHAnsi" w:eastAsia="Times New Roman" w:hAnsiTheme="minorHAnsi" w:cstheme="minorHAnsi"/>
          <w:sz w:val="20"/>
          <w:szCs w:val="20"/>
        </w:rPr>
        <w:t xml:space="preserve">Panjwani, C &amp; Caraher, M ‘The Public Health Responsibility Deal: brokering a deal for public health, but on whose terms?’, </w:t>
      </w:r>
      <w:r w:rsidRPr="001D028A">
        <w:rPr>
          <w:rFonts w:asciiTheme="minorHAnsi" w:eastAsia="Times New Roman" w:hAnsiTheme="minorHAnsi" w:cstheme="minorHAnsi"/>
          <w:i/>
          <w:sz w:val="20"/>
          <w:szCs w:val="20"/>
        </w:rPr>
        <w:t>Health Policy</w:t>
      </w:r>
      <w:r w:rsidRPr="001D028A">
        <w:rPr>
          <w:rFonts w:asciiTheme="minorHAnsi" w:eastAsia="Times New Roman" w:hAnsiTheme="minorHAnsi" w:cstheme="minorHAnsi"/>
          <w:sz w:val="20"/>
          <w:szCs w:val="20"/>
        </w:rPr>
        <w:t xml:space="preserve">, vol. 114, no. 2, pp. 163-173. </w:t>
      </w:r>
    </w:p>
    <w:p w14:paraId="31C11456" w14:textId="77777777" w:rsidR="00C52B5B" w:rsidRPr="001D028A" w:rsidRDefault="00C52B5B" w:rsidP="00C52B5B">
      <w:pPr>
        <w:pStyle w:val="NormalWeb"/>
        <w:spacing w:before="0" w:beforeAutospacing="0" w:after="0" w:afterAutospacing="0"/>
        <w:rPr>
          <w:rFonts w:asciiTheme="minorHAnsi" w:hAnsiTheme="minorHAnsi" w:cstheme="minorHAnsi"/>
          <w:sz w:val="20"/>
          <w:szCs w:val="20"/>
        </w:rPr>
      </w:pPr>
    </w:p>
    <w:p w14:paraId="5735F7F0" w14:textId="77777777" w:rsidR="00C52B5B" w:rsidRPr="001D028A" w:rsidRDefault="00C52B5B" w:rsidP="00C52B5B">
      <w:pPr>
        <w:autoSpaceDE w:val="0"/>
        <w:autoSpaceDN w:val="0"/>
        <w:adjustRightInd w:val="0"/>
        <w:rPr>
          <w:rFonts w:cstheme="minorHAnsi"/>
          <w:color w:val="000000" w:themeColor="text1"/>
          <w:sz w:val="20"/>
          <w:szCs w:val="20"/>
        </w:rPr>
      </w:pPr>
      <w:r w:rsidRPr="001D028A">
        <w:rPr>
          <w:rFonts w:cstheme="minorHAnsi"/>
          <w:color w:val="000000" w:themeColor="text1"/>
          <w:sz w:val="20"/>
          <w:szCs w:val="20"/>
        </w:rPr>
        <w:t xml:space="preserve">Pepino, Y 2015 ‘Metabolic effects of non-nutritive sweeteners’ </w:t>
      </w:r>
      <w:r w:rsidRPr="001D028A">
        <w:rPr>
          <w:rFonts w:cstheme="minorHAnsi"/>
          <w:i/>
          <w:color w:val="000000" w:themeColor="text1"/>
          <w:sz w:val="20"/>
          <w:szCs w:val="20"/>
        </w:rPr>
        <w:t xml:space="preserve">Physiol Behav. </w:t>
      </w:r>
      <w:r w:rsidRPr="001D028A">
        <w:rPr>
          <w:rFonts w:cstheme="minorHAnsi"/>
          <w:color w:val="000000" w:themeColor="text1"/>
          <w:sz w:val="20"/>
          <w:szCs w:val="20"/>
        </w:rPr>
        <w:t>vol. 152, pp. 450-455.</w:t>
      </w:r>
    </w:p>
    <w:p w14:paraId="4C75A414" w14:textId="77777777" w:rsidR="00C52B5B" w:rsidRPr="001D028A" w:rsidRDefault="00C52B5B" w:rsidP="00C52B5B">
      <w:pPr>
        <w:pStyle w:val="NoSpacing"/>
        <w:rPr>
          <w:rFonts w:cstheme="minorHAnsi"/>
          <w:sz w:val="20"/>
          <w:szCs w:val="20"/>
          <w:lang w:val="en-GB"/>
        </w:rPr>
      </w:pPr>
    </w:p>
    <w:p w14:paraId="582470B3"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Peters, S, Dunford, E, Jones, A, Ni Mhurchi, C, Crino, M, Taylor, F, Woodward, M &amp; Neal, B 2017, ‘Incorporating added sugar improves the performance of the Health Star Rating front-of-pack labelling system in Australia’, </w:t>
      </w:r>
      <w:r w:rsidRPr="001D028A">
        <w:rPr>
          <w:rFonts w:cstheme="minorHAnsi"/>
          <w:i/>
          <w:iCs/>
          <w:sz w:val="20"/>
          <w:szCs w:val="20"/>
        </w:rPr>
        <w:t>Nutrients</w:t>
      </w:r>
      <w:r w:rsidRPr="001D028A">
        <w:rPr>
          <w:rFonts w:cstheme="minorHAnsi"/>
          <w:sz w:val="20"/>
          <w:szCs w:val="20"/>
        </w:rPr>
        <w:t>, vol. 9, no. 701, pp. 1-12.</w:t>
      </w:r>
    </w:p>
    <w:p w14:paraId="09047047" w14:textId="77777777" w:rsidR="00C52B5B" w:rsidRPr="001D028A" w:rsidRDefault="00C52B5B" w:rsidP="00C52B5B">
      <w:pPr>
        <w:pStyle w:val="mpcNormal"/>
        <w:keepNext w:val="0"/>
        <w:rPr>
          <w:sz w:val="20"/>
          <w:szCs w:val="20"/>
          <w:lang w:val="en-GB"/>
        </w:rPr>
      </w:pPr>
    </w:p>
    <w:p w14:paraId="0A5400D4" w14:textId="77777777" w:rsidR="00C52B5B" w:rsidRPr="001D028A" w:rsidRDefault="00C52B5B" w:rsidP="00C52B5B">
      <w:pPr>
        <w:pStyle w:val="mpcNormal"/>
        <w:keepNext w:val="0"/>
        <w:rPr>
          <w:sz w:val="20"/>
          <w:szCs w:val="20"/>
          <w:lang w:val="en-GB"/>
        </w:rPr>
      </w:pPr>
      <w:r w:rsidRPr="001D028A">
        <w:rPr>
          <w:sz w:val="20"/>
          <w:szCs w:val="20"/>
          <w:lang w:val="en-GB"/>
        </w:rPr>
        <w:t xml:space="preserve">Pettigrew, S, Talati, Z, Miller, C, Dixon, H, Kelly, B, &amp; Ball, K 2017 ‘The types and aspects of front-of-pack food labelling schemes preferred by adults and children’, </w:t>
      </w:r>
      <w:r w:rsidRPr="001D028A">
        <w:rPr>
          <w:i/>
          <w:iCs/>
          <w:sz w:val="20"/>
          <w:szCs w:val="20"/>
          <w:lang w:val="en-GB"/>
        </w:rPr>
        <w:t>Appetite</w:t>
      </w:r>
      <w:r w:rsidRPr="001D028A">
        <w:rPr>
          <w:sz w:val="20"/>
          <w:szCs w:val="20"/>
          <w:lang w:val="en-GB"/>
        </w:rPr>
        <w:t>, vol. 109, pp. 115-123</w:t>
      </w:r>
    </w:p>
    <w:p w14:paraId="53B07EDC" w14:textId="77777777" w:rsidR="00C52B5B" w:rsidRPr="001D028A" w:rsidRDefault="00C52B5B" w:rsidP="00C52B5B">
      <w:pPr>
        <w:autoSpaceDE w:val="0"/>
        <w:autoSpaceDN w:val="0"/>
        <w:adjustRightInd w:val="0"/>
        <w:rPr>
          <w:rFonts w:cstheme="minorHAnsi"/>
          <w:color w:val="000000"/>
          <w:sz w:val="20"/>
          <w:szCs w:val="20"/>
        </w:rPr>
      </w:pPr>
    </w:p>
    <w:p w14:paraId="34FFA074" w14:textId="77777777" w:rsidR="00C52B5B" w:rsidRPr="001D028A" w:rsidRDefault="00C52B5B" w:rsidP="00C52B5B">
      <w:pPr>
        <w:autoSpaceDE w:val="0"/>
        <w:autoSpaceDN w:val="0"/>
        <w:adjustRightInd w:val="0"/>
        <w:rPr>
          <w:rFonts w:cstheme="minorHAnsi"/>
          <w:color w:val="000000"/>
          <w:sz w:val="20"/>
          <w:szCs w:val="20"/>
        </w:rPr>
      </w:pPr>
      <w:r w:rsidRPr="001D028A">
        <w:rPr>
          <w:rFonts w:cstheme="minorHAnsi"/>
          <w:color w:val="000000"/>
          <w:sz w:val="20"/>
          <w:szCs w:val="20"/>
        </w:rPr>
        <w:t xml:space="preserve">Pulker, CE, Trapp, GSA, Scott, JA &amp; Pollard, CM October 2018, ‘Alignment of supermarket own brand foods front-of-pack nutrition labelling with measures of nutritional quality: an Australian Perspective’, </w:t>
      </w:r>
      <w:r w:rsidRPr="001D028A">
        <w:rPr>
          <w:rFonts w:cstheme="minorHAnsi"/>
          <w:i/>
          <w:iCs/>
          <w:color w:val="000000"/>
          <w:sz w:val="20"/>
          <w:szCs w:val="20"/>
        </w:rPr>
        <w:t>Nutrients</w:t>
      </w:r>
      <w:r w:rsidRPr="001D028A">
        <w:rPr>
          <w:rFonts w:cstheme="minorHAnsi"/>
          <w:color w:val="000000"/>
          <w:sz w:val="20"/>
          <w:szCs w:val="20"/>
        </w:rPr>
        <w:t>, vol. 10, no. 10, p. 1465.</w:t>
      </w:r>
    </w:p>
    <w:p w14:paraId="4DBB5682" w14:textId="77777777" w:rsidR="00C52B5B" w:rsidRPr="001D028A" w:rsidRDefault="00C52B5B" w:rsidP="00C52B5B">
      <w:pPr>
        <w:pStyle w:val="NoSpacing"/>
        <w:rPr>
          <w:rFonts w:cstheme="minorHAnsi"/>
          <w:sz w:val="20"/>
          <w:szCs w:val="20"/>
          <w:lang w:val="en-GB"/>
        </w:rPr>
      </w:pPr>
    </w:p>
    <w:p w14:paraId="26F2A74C"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Rangan, AM, Schindeler, S, Hector, DJ, Gill, TP &amp; Webb, KL 2009, ‘Consumption of ‘extra’ foods by Australian adults: types, quantities and contribution to energy and nutrient intakes, </w:t>
      </w:r>
      <w:r w:rsidRPr="001D028A">
        <w:rPr>
          <w:rFonts w:cstheme="minorHAnsi"/>
          <w:i/>
          <w:iCs/>
          <w:sz w:val="20"/>
          <w:szCs w:val="20"/>
          <w:lang w:val="en-GB"/>
        </w:rPr>
        <w:t>European Journal of Clinical Nutrition</w:t>
      </w:r>
      <w:r w:rsidRPr="001D028A">
        <w:rPr>
          <w:rFonts w:cstheme="minorHAnsi"/>
          <w:iCs/>
          <w:sz w:val="20"/>
          <w:szCs w:val="20"/>
          <w:lang w:val="en-GB"/>
        </w:rPr>
        <w:t>, vol.</w:t>
      </w:r>
      <w:r w:rsidRPr="001D028A">
        <w:rPr>
          <w:rFonts w:cstheme="minorHAnsi"/>
          <w:sz w:val="20"/>
          <w:szCs w:val="20"/>
          <w:lang w:val="en-GB"/>
        </w:rPr>
        <w:t xml:space="preserve"> 63, pp. 865-871.</w:t>
      </w:r>
    </w:p>
    <w:p w14:paraId="4608E1EE" w14:textId="77777777" w:rsidR="00C52B5B" w:rsidRPr="001D028A" w:rsidRDefault="00C52B5B" w:rsidP="00C52B5B">
      <w:pPr>
        <w:pStyle w:val="NoSpacing"/>
        <w:rPr>
          <w:rFonts w:cstheme="minorHAnsi"/>
          <w:sz w:val="20"/>
          <w:szCs w:val="20"/>
          <w:lang w:val="en-GB"/>
        </w:rPr>
      </w:pPr>
    </w:p>
    <w:p w14:paraId="5DD040B3" w14:textId="71B888C8" w:rsidR="00C52B5B" w:rsidRPr="001D028A" w:rsidRDefault="00C52B5B" w:rsidP="00C52B5B">
      <w:pPr>
        <w:autoSpaceDE w:val="0"/>
        <w:autoSpaceDN w:val="0"/>
        <w:adjustRightInd w:val="0"/>
        <w:rPr>
          <w:rFonts w:cstheme="minorHAnsi"/>
          <w:sz w:val="20"/>
          <w:szCs w:val="20"/>
        </w:rPr>
      </w:pPr>
      <w:r w:rsidRPr="001D028A">
        <w:rPr>
          <w:rFonts w:cstheme="minorHAnsi"/>
          <w:sz w:val="20"/>
          <w:szCs w:val="20"/>
        </w:rPr>
        <w:t xml:space="preserve">Rippe, J &amp; Angelopoulos, T 2016, ‘Relationship between added sugars consumption and chronic disease risk factors: Current understanding’, </w:t>
      </w:r>
      <w:r w:rsidRPr="001D028A">
        <w:rPr>
          <w:rFonts w:cstheme="minorHAnsi"/>
          <w:i/>
          <w:iCs/>
          <w:sz w:val="20"/>
          <w:szCs w:val="20"/>
        </w:rPr>
        <w:t>Nutrients</w:t>
      </w:r>
      <w:r w:rsidRPr="001D028A">
        <w:rPr>
          <w:rFonts w:cstheme="minorHAnsi"/>
          <w:sz w:val="20"/>
          <w:szCs w:val="20"/>
        </w:rPr>
        <w:t>, vol. 8, no. 696, pp.</w:t>
      </w:r>
      <w:r>
        <w:rPr>
          <w:rFonts w:cstheme="minorHAnsi"/>
          <w:sz w:val="20"/>
          <w:szCs w:val="20"/>
        </w:rPr>
        <w:t xml:space="preserve"> </w:t>
      </w:r>
      <w:r w:rsidRPr="001D028A">
        <w:rPr>
          <w:rFonts w:cstheme="minorHAnsi"/>
          <w:sz w:val="20"/>
          <w:szCs w:val="20"/>
        </w:rPr>
        <w:t>1-19.</w:t>
      </w:r>
    </w:p>
    <w:p w14:paraId="194EF9AF" w14:textId="77777777" w:rsidR="00C52B5B" w:rsidRPr="001D028A" w:rsidRDefault="00C52B5B" w:rsidP="00C52B5B">
      <w:pPr>
        <w:pStyle w:val="NoSpacing"/>
        <w:rPr>
          <w:rFonts w:cstheme="minorHAnsi"/>
          <w:sz w:val="20"/>
          <w:szCs w:val="20"/>
          <w:lang w:val="en-GB"/>
        </w:rPr>
      </w:pPr>
    </w:p>
    <w:p w14:paraId="05CD5C36" w14:textId="77777777" w:rsidR="00C52B5B" w:rsidRPr="001D028A" w:rsidRDefault="00C52B5B" w:rsidP="00C52B5B">
      <w:pPr>
        <w:autoSpaceDE w:val="0"/>
        <w:autoSpaceDN w:val="0"/>
        <w:adjustRightInd w:val="0"/>
        <w:rPr>
          <w:rFonts w:cstheme="minorHAnsi"/>
          <w:sz w:val="20"/>
          <w:szCs w:val="20"/>
        </w:rPr>
      </w:pPr>
      <w:r w:rsidRPr="001D028A">
        <w:rPr>
          <w:rFonts w:cstheme="minorHAnsi"/>
          <w:sz w:val="20"/>
          <w:szCs w:val="20"/>
        </w:rPr>
        <w:t xml:space="preserve">Russell C, Burke PF, Waller DS &amp; Wei E 2017 ‘The impact of front-of-pack marketing attributes versus nutrition and health information on parents‘ food choices’, </w:t>
      </w:r>
      <w:r w:rsidRPr="001D028A">
        <w:rPr>
          <w:rFonts w:cstheme="minorHAnsi"/>
          <w:i/>
          <w:iCs/>
          <w:sz w:val="20"/>
          <w:szCs w:val="20"/>
        </w:rPr>
        <w:t>Appetite</w:t>
      </w:r>
      <w:r w:rsidRPr="001D028A">
        <w:rPr>
          <w:rFonts w:cstheme="minorHAnsi"/>
          <w:sz w:val="20"/>
          <w:szCs w:val="20"/>
        </w:rPr>
        <w:t>, vol. 116, pp. 323-338.</w:t>
      </w:r>
    </w:p>
    <w:p w14:paraId="3257287C" w14:textId="77777777" w:rsidR="00C52B5B" w:rsidRPr="001D028A" w:rsidRDefault="00C52B5B" w:rsidP="00C52B5B">
      <w:pPr>
        <w:autoSpaceDE w:val="0"/>
        <w:autoSpaceDN w:val="0"/>
        <w:adjustRightInd w:val="0"/>
        <w:rPr>
          <w:rFonts w:cstheme="minorHAnsi"/>
          <w:color w:val="000000"/>
          <w:sz w:val="20"/>
          <w:szCs w:val="20"/>
        </w:rPr>
      </w:pPr>
    </w:p>
    <w:p w14:paraId="54B8DE9C"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iCs/>
          <w:sz w:val="20"/>
          <w:szCs w:val="20"/>
        </w:rPr>
        <w:t>Sacks, G, Rayner, M &amp; Swinburn, B October 2009, ‘Impact of front-pf-pack ‘traffic-light’ nutrition labelling on consumer food purchases in the UK</w:t>
      </w:r>
      <w:r w:rsidRPr="001D028A">
        <w:rPr>
          <w:rFonts w:eastAsia="Times New Roman" w:cstheme="minorHAnsi"/>
          <w:i/>
          <w:sz w:val="20"/>
          <w:szCs w:val="20"/>
        </w:rPr>
        <w:t>, Health Promotion International, v</w:t>
      </w:r>
      <w:r w:rsidRPr="001D028A">
        <w:rPr>
          <w:rFonts w:eastAsia="Times New Roman" w:cstheme="minorHAnsi"/>
          <w:iCs/>
          <w:sz w:val="20"/>
          <w:szCs w:val="20"/>
        </w:rPr>
        <w:t xml:space="preserve">ol. 24, no.4. </w:t>
      </w:r>
    </w:p>
    <w:p w14:paraId="5340DE0A" w14:textId="77777777" w:rsidR="00C52B5B" w:rsidRPr="001D028A" w:rsidRDefault="00C52B5B" w:rsidP="00C52B5B">
      <w:pPr>
        <w:autoSpaceDE w:val="0"/>
        <w:autoSpaceDN w:val="0"/>
        <w:adjustRightInd w:val="0"/>
        <w:rPr>
          <w:rFonts w:cstheme="minorHAnsi"/>
          <w:color w:val="000000"/>
          <w:sz w:val="20"/>
          <w:szCs w:val="20"/>
        </w:rPr>
      </w:pPr>
    </w:p>
    <w:p w14:paraId="7A92F787" w14:textId="77777777" w:rsidR="00C52B5B" w:rsidRPr="001D028A" w:rsidRDefault="00C52B5B" w:rsidP="00C52B5B">
      <w:pPr>
        <w:rPr>
          <w:rFonts w:eastAsia="Times New Roman" w:cstheme="minorHAnsi"/>
          <w:i/>
          <w:sz w:val="20"/>
          <w:szCs w:val="20"/>
        </w:rPr>
      </w:pPr>
      <w:r w:rsidRPr="001D028A">
        <w:rPr>
          <w:rFonts w:eastAsia="Times New Roman" w:cstheme="minorHAnsi"/>
          <w:sz w:val="20"/>
          <w:szCs w:val="20"/>
        </w:rPr>
        <w:t xml:space="preserve">Scarborough, P, Rayner, M &amp; Stockley, L </w:t>
      </w:r>
      <w:r w:rsidRPr="001D028A">
        <w:rPr>
          <w:rFonts w:eastAsia="Times New Roman" w:cstheme="minorHAnsi"/>
          <w:iCs/>
          <w:sz w:val="20"/>
          <w:szCs w:val="20"/>
        </w:rPr>
        <w:t xml:space="preserve">2006, </w:t>
      </w:r>
      <w:r w:rsidRPr="001D028A">
        <w:rPr>
          <w:rFonts w:eastAsia="Times New Roman" w:cstheme="minorHAnsi"/>
          <w:sz w:val="20"/>
          <w:szCs w:val="20"/>
        </w:rPr>
        <w:t>‘</w:t>
      </w:r>
      <w:r w:rsidRPr="001D028A">
        <w:rPr>
          <w:rFonts w:eastAsia="Times New Roman" w:cstheme="minorHAnsi"/>
          <w:iCs/>
          <w:sz w:val="20"/>
          <w:szCs w:val="20"/>
        </w:rPr>
        <w:t>Developing nutrient profile models: a systematic approach’,</w:t>
      </w:r>
      <w:r w:rsidRPr="001D028A">
        <w:rPr>
          <w:rFonts w:eastAsia="Times New Roman" w:cstheme="minorHAnsi"/>
          <w:i/>
          <w:sz w:val="20"/>
          <w:szCs w:val="20"/>
        </w:rPr>
        <w:t xml:space="preserve"> Public Health Nutrition, </w:t>
      </w:r>
      <w:r w:rsidRPr="001D028A">
        <w:rPr>
          <w:rFonts w:eastAsia="Times New Roman" w:cstheme="minorHAnsi"/>
          <w:sz w:val="20"/>
          <w:szCs w:val="20"/>
        </w:rPr>
        <w:t xml:space="preserve">vol. </w:t>
      </w:r>
      <w:r w:rsidRPr="001D028A">
        <w:rPr>
          <w:rFonts w:eastAsia="Times New Roman" w:cstheme="minorHAnsi"/>
          <w:iCs/>
          <w:sz w:val="20"/>
          <w:szCs w:val="20"/>
        </w:rPr>
        <w:t>10, no. 4, pp. 330-336.</w:t>
      </w:r>
    </w:p>
    <w:p w14:paraId="732EE456" w14:textId="77777777" w:rsidR="00C52B5B" w:rsidRPr="001D028A" w:rsidRDefault="00C52B5B" w:rsidP="00C52B5B">
      <w:pPr>
        <w:rPr>
          <w:rFonts w:eastAsia="Times New Roman" w:cstheme="minorHAnsi"/>
          <w:i/>
          <w:sz w:val="20"/>
          <w:szCs w:val="20"/>
        </w:rPr>
      </w:pPr>
    </w:p>
    <w:p w14:paraId="68FA9F77"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sz w:val="20"/>
          <w:szCs w:val="20"/>
        </w:rPr>
        <w:t>Scarborough, P, Arambepola, C, Kaur, A, Bhatnagar, P &amp; Rayner, M</w:t>
      </w:r>
      <w:r w:rsidRPr="001D028A">
        <w:rPr>
          <w:rFonts w:eastAsia="Times New Roman" w:cstheme="minorHAnsi"/>
          <w:i/>
          <w:sz w:val="20"/>
          <w:szCs w:val="20"/>
        </w:rPr>
        <w:t xml:space="preserve"> </w:t>
      </w:r>
      <w:r w:rsidRPr="001D028A">
        <w:rPr>
          <w:rFonts w:eastAsia="Times New Roman" w:cstheme="minorHAnsi"/>
          <w:iCs/>
          <w:sz w:val="20"/>
          <w:szCs w:val="20"/>
        </w:rPr>
        <w:t>2010, ‘Should nutrient profile models be ‘category specific’ or ‘across-the-board’? A comparison of the two systems using diets of British adults’</w:t>
      </w:r>
      <w:r w:rsidRPr="001D028A">
        <w:rPr>
          <w:rFonts w:eastAsia="Times New Roman" w:cstheme="minorHAnsi"/>
          <w:i/>
          <w:sz w:val="20"/>
          <w:szCs w:val="20"/>
        </w:rPr>
        <w:t>, European Journal of Clinical Nutrition</w:t>
      </w:r>
      <w:r w:rsidRPr="001D028A">
        <w:rPr>
          <w:rFonts w:eastAsia="Times New Roman" w:cstheme="minorHAnsi"/>
          <w:iCs/>
          <w:sz w:val="20"/>
          <w:szCs w:val="20"/>
        </w:rPr>
        <w:t>, vol. 64, pp. 553-560.</w:t>
      </w:r>
    </w:p>
    <w:p w14:paraId="71C48B8B" w14:textId="77777777" w:rsidR="00C52B5B" w:rsidRPr="001D028A" w:rsidRDefault="00C52B5B" w:rsidP="00C52B5B">
      <w:pPr>
        <w:rPr>
          <w:rFonts w:cstheme="minorHAnsi"/>
          <w:sz w:val="20"/>
          <w:szCs w:val="20"/>
          <w:lang w:val="en-US"/>
        </w:rPr>
      </w:pPr>
    </w:p>
    <w:p w14:paraId="1C2A423E" w14:textId="77777777" w:rsidR="00C52B5B" w:rsidRPr="001D028A" w:rsidRDefault="00C52B5B" w:rsidP="00C52B5B">
      <w:pPr>
        <w:widowControl w:val="0"/>
        <w:autoSpaceDE w:val="0"/>
        <w:autoSpaceDN w:val="0"/>
        <w:adjustRightInd w:val="0"/>
        <w:rPr>
          <w:rFonts w:eastAsia="Times New Roman" w:cstheme="minorHAnsi"/>
          <w:i/>
          <w:sz w:val="20"/>
          <w:szCs w:val="20"/>
        </w:rPr>
      </w:pPr>
      <w:r w:rsidRPr="001D028A">
        <w:rPr>
          <w:rFonts w:eastAsia="Times New Roman" w:cstheme="minorHAnsi"/>
          <w:sz w:val="20"/>
          <w:szCs w:val="20"/>
        </w:rPr>
        <w:t xml:space="preserve">Scarborough, P, Matthews, A, Eyles, H, Kaur, A, Hodgkins, C, Raats, M &amp; Rayner, M </w:t>
      </w:r>
      <w:r w:rsidRPr="001D028A">
        <w:rPr>
          <w:rFonts w:eastAsia="Times New Roman" w:cstheme="minorHAnsi"/>
          <w:iCs/>
          <w:sz w:val="20"/>
          <w:szCs w:val="20"/>
        </w:rPr>
        <w:t>2015, ‘</w:t>
      </w:r>
      <w:r w:rsidRPr="001D028A">
        <w:rPr>
          <w:rFonts w:eastAsia="Times New Roman" w:cstheme="minorHAnsi"/>
          <w:sz w:val="20"/>
          <w:szCs w:val="20"/>
        </w:rPr>
        <w:t>Reds are more important than greens: how UK supermarket shoppers use the different information on a traffic light nutrition label in a choice experiment’,</w:t>
      </w:r>
      <w:r w:rsidRPr="001D028A">
        <w:rPr>
          <w:rFonts w:eastAsia="Times New Roman" w:cstheme="minorHAnsi"/>
          <w:iCs/>
          <w:sz w:val="20"/>
          <w:szCs w:val="20"/>
        </w:rPr>
        <w:t xml:space="preserve"> Int</w:t>
      </w:r>
      <w:r w:rsidRPr="001D028A">
        <w:rPr>
          <w:rFonts w:eastAsia="Times New Roman" w:cstheme="minorHAnsi"/>
          <w:i/>
          <w:iCs/>
          <w:sz w:val="20"/>
          <w:szCs w:val="20"/>
        </w:rPr>
        <w:t>ernational Journal of Behavioural Nutrition and Physical Activity</w:t>
      </w:r>
      <w:r w:rsidRPr="001D028A">
        <w:rPr>
          <w:rFonts w:eastAsia="Times New Roman" w:cstheme="minorHAnsi"/>
          <w:iCs/>
          <w:sz w:val="20"/>
          <w:szCs w:val="20"/>
        </w:rPr>
        <w:t>, vol. 12, no. 151.</w:t>
      </w:r>
    </w:p>
    <w:p w14:paraId="1C3C09FC" w14:textId="77777777" w:rsidR="00C52B5B" w:rsidRPr="001D028A" w:rsidRDefault="00C52B5B" w:rsidP="00C52B5B">
      <w:pPr>
        <w:autoSpaceDE w:val="0"/>
        <w:autoSpaceDN w:val="0"/>
        <w:adjustRightInd w:val="0"/>
        <w:rPr>
          <w:rFonts w:cstheme="minorHAnsi"/>
          <w:color w:val="000000"/>
          <w:sz w:val="20"/>
          <w:szCs w:val="20"/>
        </w:rPr>
      </w:pPr>
    </w:p>
    <w:p w14:paraId="4657CAA2"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Shrapnel, B 2013, ‘Amount of sugar in Australian breakfast cereals is not associated with energy density </w:t>
      </w:r>
    </w:p>
    <w:p w14:paraId="31058AA2"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or glycaemic index: Results of a systematic survey, </w:t>
      </w:r>
      <w:r w:rsidRPr="001D028A">
        <w:rPr>
          <w:rFonts w:cstheme="minorHAnsi"/>
          <w:i/>
          <w:sz w:val="20"/>
          <w:szCs w:val="20"/>
        </w:rPr>
        <w:t>Nutrition &amp; Dietetics,</w:t>
      </w:r>
      <w:r w:rsidRPr="001D028A">
        <w:rPr>
          <w:rFonts w:cstheme="minorHAnsi"/>
          <w:sz w:val="20"/>
          <w:szCs w:val="20"/>
        </w:rPr>
        <w:t xml:space="preserve"> vol. 70, pp. 236-240.</w:t>
      </w:r>
    </w:p>
    <w:p w14:paraId="3CA44444" w14:textId="77777777" w:rsidR="00C52B5B" w:rsidRPr="001D028A" w:rsidRDefault="00C52B5B" w:rsidP="00C52B5B">
      <w:pPr>
        <w:autoSpaceDE w:val="0"/>
        <w:autoSpaceDN w:val="0"/>
        <w:adjustRightInd w:val="0"/>
        <w:rPr>
          <w:rFonts w:cstheme="minorHAnsi"/>
          <w:color w:val="000000"/>
          <w:sz w:val="20"/>
          <w:szCs w:val="20"/>
        </w:rPr>
      </w:pPr>
    </w:p>
    <w:p w14:paraId="04DBAF43"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Slavin, J 2013, ‘Fiber and Prebiotics: Mechanisms and Health benefits’, </w:t>
      </w:r>
      <w:r w:rsidRPr="001D028A">
        <w:rPr>
          <w:rFonts w:cstheme="minorHAnsi"/>
          <w:i/>
          <w:iCs/>
          <w:sz w:val="20"/>
          <w:szCs w:val="20"/>
          <w:lang w:val="en-GB"/>
        </w:rPr>
        <w:t>Nutrients,</w:t>
      </w:r>
      <w:r w:rsidRPr="001D028A">
        <w:rPr>
          <w:rFonts w:cstheme="minorHAnsi"/>
          <w:sz w:val="20"/>
          <w:szCs w:val="20"/>
          <w:lang w:val="en-GB"/>
        </w:rPr>
        <w:t xml:space="preserve"> vol. 5, no. 4. </w:t>
      </w:r>
    </w:p>
    <w:p w14:paraId="7ADF468C" w14:textId="77777777" w:rsidR="00C52B5B" w:rsidRPr="001D028A" w:rsidRDefault="00C52B5B" w:rsidP="00C52B5B">
      <w:pPr>
        <w:pStyle w:val="NoSpacing"/>
        <w:rPr>
          <w:rFonts w:cstheme="minorHAnsi"/>
          <w:sz w:val="20"/>
          <w:szCs w:val="20"/>
        </w:rPr>
      </w:pPr>
    </w:p>
    <w:p w14:paraId="62A26550"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Talati, Z, Pettigrew, S, Kelly, B &amp; Ball, K 2018 ‘Can front-of-pack labels influence portion size judgements for unhealthy foods?’, </w:t>
      </w:r>
      <w:r w:rsidRPr="001D028A">
        <w:rPr>
          <w:rFonts w:cstheme="minorHAnsi"/>
          <w:i/>
          <w:iCs/>
          <w:sz w:val="20"/>
          <w:szCs w:val="20"/>
        </w:rPr>
        <w:t>Public Health Nutrition</w:t>
      </w:r>
      <w:r w:rsidRPr="001D028A">
        <w:rPr>
          <w:rFonts w:cstheme="minorHAnsi"/>
          <w:sz w:val="20"/>
          <w:szCs w:val="20"/>
        </w:rPr>
        <w:t>, vol. 21, no. 15, pp. 2776-2781.</w:t>
      </w:r>
    </w:p>
    <w:p w14:paraId="0B15A307" w14:textId="77777777" w:rsidR="00C52B5B" w:rsidRPr="001D028A" w:rsidRDefault="00C52B5B" w:rsidP="00C52B5B">
      <w:pPr>
        <w:pStyle w:val="NoSpacing"/>
        <w:rPr>
          <w:rFonts w:cstheme="minorHAnsi"/>
          <w:sz w:val="20"/>
          <w:szCs w:val="20"/>
        </w:rPr>
      </w:pPr>
    </w:p>
    <w:p w14:paraId="581C0BC6"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Talati, Z, Pettigrew, S, Dixon, H, Neal, B, Ball, K &amp; Hughes, C 2016 ‘Do health claims and front-of-pack labels lead to a positivity bias in unhealthy foods?’, </w:t>
      </w:r>
      <w:r w:rsidRPr="001D028A">
        <w:rPr>
          <w:rFonts w:cstheme="minorHAnsi"/>
          <w:i/>
          <w:iCs/>
          <w:sz w:val="20"/>
          <w:szCs w:val="20"/>
        </w:rPr>
        <w:t>Nutrients</w:t>
      </w:r>
      <w:r w:rsidRPr="001D028A">
        <w:rPr>
          <w:rFonts w:cstheme="minorHAnsi"/>
          <w:sz w:val="20"/>
          <w:szCs w:val="20"/>
        </w:rPr>
        <w:t>, vol. 8, no. 12.</w:t>
      </w:r>
    </w:p>
    <w:p w14:paraId="46FC88AA" w14:textId="77777777" w:rsidR="00C52B5B" w:rsidRPr="001D028A" w:rsidRDefault="00C52B5B" w:rsidP="00C52B5B">
      <w:pPr>
        <w:pStyle w:val="NoSpacing"/>
        <w:rPr>
          <w:rFonts w:cstheme="minorHAnsi"/>
          <w:sz w:val="20"/>
          <w:szCs w:val="20"/>
        </w:rPr>
      </w:pPr>
    </w:p>
    <w:p w14:paraId="6113C483"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Talati, Z, Pettigrew, S, Hughes, C, Dixon, H, Kelly, B, Ball, K &amp; Miller, C 2016 ‘The combined effect of front-of-pack nutrition labels and health claims on consumers’ evaluation of food products’, </w:t>
      </w:r>
      <w:r w:rsidRPr="001D028A">
        <w:rPr>
          <w:rFonts w:cstheme="minorHAnsi"/>
          <w:i/>
          <w:iCs/>
          <w:sz w:val="20"/>
          <w:szCs w:val="20"/>
        </w:rPr>
        <w:t>Food Quality and Preference</w:t>
      </w:r>
      <w:r w:rsidRPr="001D028A">
        <w:rPr>
          <w:rFonts w:cstheme="minorHAnsi"/>
          <w:sz w:val="20"/>
          <w:szCs w:val="20"/>
        </w:rPr>
        <w:t>, vol. 53, pp. 57-65.</w:t>
      </w:r>
    </w:p>
    <w:p w14:paraId="4E66BEDD" w14:textId="77777777" w:rsidR="00C52B5B" w:rsidRPr="001D028A" w:rsidRDefault="00C52B5B" w:rsidP="00C52B5B">
      <w:pPr>
        <w:pStyle w:val="mpcNormal"/>
        <w:keepNext w:val="0"/>
        <w:rPr>
          <w:sz w:val="20"/>
          <w:szCs w:val="20"/>
          <w:lang w:val="en-GB"/>
        </w:rPr>
      </w:pPr>
    </w:p>
    <w:p w14:paraId="56B505FE" w14:textId="77777777" w:rsidR="00C52B5B" w:rsidRPr="001D028A" w:rsidRDefault="00C52B5B" w:rsidP="00C52B5B">
      <w:pPr>
        <w:pStyle w:val="mpcNormal"/>
        <w:keepNext w:val="0"/>
        <w:rPr>
          <w:sz w:val="20"/>
          <w:szCs w:val="20"/>
          <w:lang w:val="en-GB"/>
        </w:rPr>
      </w:pPr>
      <w:r w:rsidRPr="001D028A">
        <w:rPr>
          <w:sz w:val="20"/>
          <w:szCs w:val="20"/>
          <w:lang w:val="en-GB"/>
        </w:rPr>
        <w:t xml:space="preserve">Talati, Z, Pettigrew, S, Kelly, B &amp; Ball, K, 2016 ‘Consumers’ responses to front-of-pack labels that vary by interpretive content’, </w:t>
      </w:r>
      <w:r w:rsidRPr="001D028A">
        <w:rPr>
          <w:i/>
          <w:iCs/>
          <w:sz w:val="20"/>
          <w:szCs w:val="20"/>
          <w:lang w:val="en-GB"/>
        </w:rPr>
        <w:t>Appetite</w:t>
      </w:r>
      <w:r w:rsidRPr="001D028A">
        <w:rPr>
          <w:sz w:val="20"/>
          <w:szCs w:val="20"/>
          <w:lang w:val="en-GB"/>
        </w:rPr>
        <w:t>, vol. 101, pp. 205-213.</w:t>
      </w:r>
    </w:p>
    <w:p w14:paraId="79B3B5B7" w14:textId="77777777" w:rsidR="00C52B5B" w:rsidRPr="001D028A" w:rsidRDefault="00C52B5B" w:rsidP="00C52B5B">
      <w:pPr>
        <w:pStyle w:val="mpcNormal"/>
        <w:keepNext w:val="0"/>
        <w:rPr>
          <w:sz w:val="20"/>
          <w:szCs w:val="20"/>
          <w:lang w:val="en-GB"/>
        </w:rPr>
      </w:pPr>
    </w:p>
    <w:p w14:paraId="7E4F2284" w14:textId="4360C028"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Talati, Z, Pettigrew, S, Kelly, B, Ball, K, Hughes, C, Kelly, B, Neal, B, &amp; Dixon, H, 2017 ‘The relative ability of different front-of-pack labels to assist consumers discriminate between healthy, moderately healthy, and unhealthy foods’, </w:t>
      </w:r>
      <w:r w:rsidRPr="001D028A">
        <w:rPr>
          <w:rFonts w:cstheme="minorHAnsi"/>
          <w:i/>
          <w:iCs/>
          <w:sz w:val="20"/>
          <w:szCs w:val="20"/>
          <w:lang w:val="en-GB"/>
        </w:rPr>
        <w:t>Food quality and preference</w:t>
      </w:r>
      <w:r w:rsidRPr="001D028A">
        <w:rPr>
          <w:rFonts w:cstheme="minorHAnsi"/>
          <w:sz w:val="20"/>
          <w:szCs w:val="20"/>
          <w:lang w:val="en-GB"/>
        </w:rPr>
        <w:t>, vol. 59, pp. 109-113</w:t>
      </w:r>
      <w:r>
        <w:rPr>
          <w:rFonts w:cstheme="minorHAnsi"/>
          <w:sz w:val="20"/>
          <w:szCs w:val="20"/>
          <w:lang w:val="en-GB"/>
        </w:rPr>
        <w:t>.</w:t>
      </w:r>
    </w:p>
    <w:p w14:paraId="3CEC17AA" w14:textId="77777777" w:rsidR="00C52B5B" w:rsidRPr="001D028A" w:rsidRDefault="00C52B5B" w:rsidP="00C52B5B">
      <w:pPr>
        <w:pStyle w:val="NoSpacing"/>
        <w:rPr>
          <w:rFonts w:cstheme="minorHAnsi"/>
          <w:sz w:val="20"/>
          <w:szCs w:val="20"/>
          <w:lang w:val="en-GB"/>
        </w:rPr>
      </w:pPr>
    </w:p>
    <w:p w14:paraId="4854BC62"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Talati, Z, Norman, R, Pettigrew, S, Neal, B, Kelly, B, Dixon, H, Ball, K, Miller, C &amp; Shilton, T 2017 ‘The impact of interpretive and reductive front-of-pack labels on food choice and willingness to pay, </w:t>
      </w:r>
      <w:r w:rsidRPr="001D028A">
        <w:rPr>
          <w:rFonts w:cstheme="minorHAnsi"/>
          <w:i/>
          <w:iCs/>
          <w:sz w:val="20"/>
          <w:szCs w:val="20"/>
        </w:rPr>
        <w:t>International Journal of Behavioural Nutrition and Physical Activity</w:t>
      </w:r>
      <w:r w:rsidRPr="001D028A">
        <w:rPr>
          <w:rFonts w:cstheme="minorHAnsi"/>
          <w:sz w:val="20"/>
          <w:szCs w:val="20"/>
        </w:rPr>
        <w:t>, vol. 14, pp. 2-10.</w:t>
      </w:r>
    </w:p>
    <w:p w14:paraId="75CBDD74" w14:textId="77777777" w:rsidR="00C52B5B" w:rsidRPr="001D028A" w:rsidRDefault="00C52B5B" w:rsidP="00C52B5B">
      <w:pPr>
        <w:pStyle w:val="NoSpacing"/>
        <w:rPr>
          <w:rFonts w:cstheme="minorHAnsi"/>
          <w:sz w:val="20"/>
          <w:szCs w:val="20"/>
          <w:lang w:val="en-GB"/>
        </w:rPr>
      </w:pPr>
    </w:p>
    <w:p w14:paraId="28FBB3E3" w14:textId="77777777" w:rsidR="00C52B5B" w:rsidRPr="001D028A" w:rsidRDefault="00C52B5B" w:rsidP="00C52B5B">
      <w:pPr>
        <w:rPr>
          <w:rFonts w:cstheme="minorHAnsi"/>
          <w:sz w:val="20"/>
          <w:szCs w:val="20"/>
        </w:rPr>
      </w:pPr>
      <w:r w:rsidRPr="001D028A">
        <w:rPr>
          <w:rFonts w:eastAsia="Times New Roman" w:cstheme="minorHAnsi"/>
          <w:sz w:val="20"/>
          <w:szCs w:val="20"/>
        </w:rPr>
        <w:t>Te Morenga, L, Mallard, S &amp; Mann</w:t>
      </w:r>
      <w:r w:rsidRPr="001D028A">
        <w:rPr>
          <w:rFonts w:eastAsia="Times New Roman" w:cstheme="minorHAnsi"/>
          <w:i/>
          <w:sz w:val="20"/>
          <w:szCs w:val="20"/>
        </w:rPr>
        <w:t>,</w:t>
      </w:r>
      <w:r w:rsidRPr="001D028A">
        <w:rPr>
          <w:rFonts w:eastAsia="Times New Roman" w:cstheme="minorHAnsi"/>
          <w:sz w:val="20"/>
          <w:szCs w:val="20"/>
        </w:rPr>
        <w:t xml:space="preserve"> J 2013</w:t>
      </w:r>
      <w:r w:rsidRPr="001D028A">
        <w:rPr>
          <w:rFonts w:eastAsia="Times New Roman" w:cstheme="minorHAnsi"/>
          <w:i/>
          <w:sz w:val="20"/>
          <w:szCs w:val="20"/>
        </w:rPr>
        <w:t xml:space="preserve"> ‘</w:t>
      </w:r>
      <w:r w:rsidRPr="001D028A">
        <w:rPr>
          <w:rFonts w:eastAsia="Times New Roman" w:cstheme="minorHAnsi"/>
          <w:sz w:val="20"/>
          <w:szCs w:val="20"/>
        </w:rPr>
        <w:t>Dietary sugars and body weight: systematic review and meta-analyses of randomised controlled trials and cohort studies’,</w:t>
      </w:r>
      <w:r w:rsidRPr="001D028A">
        <w:rPr>
          <w:rFonts w:eastAsia="Times New Roman" w:cstheme="minorHAnsi"/>
          <w:i/>
          <w:sz w:val="20"/>
          <w:szCs w:val="20"/>
        </w:rPr>
        <w:t xml:space="preserve"> The BMJ,</w:t>
      </w:r>
      <w:r w:rsidRPr="001D028A">
        <w:rPr>
          <w:rFonts w:eastAsia="Times New Roman" w:cstheme="minorHAnsi"/>
          <w:sz w:val="20"/>
          <w:szCs w:val="20"/>
        </w:rPr>
        <w:t xml:space="preserve"> vol. 346.</w:t>
      </w:r>
    </w:p>
    <w:p w14:paraId="5B30D1F9" w14:textId="77777777" w:rsidR="00C52B5B" w:rsidRPr="001D028A" w:rsidRDefault="00C52B5B" w:rsidP="00C52B5B">
      <w:pPr>
        <w:pStyle w:val="NoSpacing"/>
        <w:rPr>
          <w:rFonts w:cstheme="minorHAnsi"/>
          <w:sz w:val="20"/>
          <w:szCs w:val="20"/>
          <w:lang w:val="en-GB"/>
        </w:rPr>
      </w:pPr>
    </w:p>
    <w:p w14:paraId="7AF4145F"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Turner, N &amp; Lupton, J 2011 ‘Dietary Fiber’, </w:t>
      </w:r>
      <w:r w:rsidRPr="001D028A">
        <w:rPr>
          <w:rFonts w:cstheme="minorHAnsi"/>
          <w:i/>
          <w:iCs/>
          <w:sz w:val="20"/>
          <w:szCs w:val="20"/>
          <w:lang w:val="en-GB"/>
        </w:rPr>
        <w:t>Advances on Nutrition: An International Review Journal</w:t>
      </w:r>
      <w:r w:rsidRPr="001D028A">
        <w:rPr>
          <w:rFonts w:cstheme="minorHAnsi"/>
          <w:sz w:val="20"/>
          <w:szCs w:val="20"/>
          <w:lang w:val="en-GB"/>
        </w:rPr>
        <w:t>, vol. 2, pp. 151-152.</w:t>
      </w:r>
    </w:p>
    <w:p w14:paraId="00BE7554" w14:textId="77777777" w:rsidR="00C52B5B" w:rsidRPr="001D028A" w:rsidRDefault="00C52B5B" w:rsidP="00C52B5B">
      <w:pPr>
        <w:autoSpaceDE w:val="0"/>
        <w:autoSpaceDN w:val="0"/>
        <w:adjustRightInd w:val="0"/>
        <w:rPr>
          <w:rFonts w:cstheme="minorHAnsi"/>
          <w:color w:val="000000"/>
          <w:sz w:val="20"/>
          <w:szCs w:val="20"/>
        </w:rPr>
      </w:pPr>
    </w:p>
    <w:p w14:paraId="25A7D1E3" w14:textId="77777777" w:rsidR="00C52B5B" w:rsidRPr="001D028A" w:rsidRDefault="00C52B5B" w:rsidP="00C52B5B">
      <w:pPr>
        <w:pStyle w:val="FootnoteText"/>
        <w:rPr>
          <w:rFonts w:cstheme="minorHAnsi"/>
        </w:rPr>
      </w:pPr>
      <w:r w:rsidRPr="001D028A">
        <w:rPr>
          <w:rFonts w:cstheme="minorHAnsi"/>
        </w:rPr>
        <w:t xml:space="preserve">Vermeer, W, Bruins, B, Steenhuis, I, 2010 ‘Two pack king size chocolate bars. Can we manage our consumption?’ </w:t>
      </w:r>
      <w:r w:rsidRPr="001D028A">
        <w:rPr>
          <w:rFonts w:cstheme="minorHAnsi"/>
          <w:i/>
        </w:rPr>
        <w:t>Appetite</w:t>
      </w:r>
      <w:r w:rsidRPr="001D028A">
        <w:rPr>
          <w:rFonts w:cstheme="minorHAnsi"/>
        </w:rPr>
        <w:t>, vol. 54, pp. 414-417</w:t>
      </w:r>
    </w:p>
    <w:p w14:paraId="322BB80D" w14:textId="77777777" w:rsidR="00C52B5B" w:rsidRPr="001D028A" w:rsidRDefault="00C52B5B" w:rsidP="00C52B5B">
      <w:pPr>
        <w:pStyle w:val="NoSpacing"/>
        <w:rPr>
          <w:rFonts w:cstheme="minorHAnsi"/>
          <w:sz w:val="20"/>
          <w:szCs w:val="20"/>
          <w:lang w:val="en-GB"/>
        </w:rPr>
      </w:pPr>
    </w:p>
    <w:p w14:paraId="52408DBF" w14:textId="77777777" w:rsidR="00C52B5B" w:rsidRPr="001D028A" w:rsidRDefault="00C52B5B" w:rsidP="00C52B5B">
      <w:pPr>
        <w:pStyle w:val="NoSpacing"/>
        <w:rPr>
          <w:rFonts w:cstheme="minorHAnsi"/>
          <w:sz w:val="20"/>
          <w:szCs w:val="20"/>
          <w:lang w:val="en-GB"/>
        </w:rPr>
      </w:pPr>
      <w:r w:rsidRPr="001D028A">
        <w:rPr>
          <w:rFonts w:cstheme="minorHAnsi"/>
          <w:sz w:val="20"/>
          <w:szCs w:val="20"/>
        </w:rPr>
        <w:t xml:space="preserve">Watson, W, Chapman, K, King, L, Kelly, B, Hughes, C, Chun Yu Louie, J, Crawford, J, Gill, T, 2011 ‘How well do Australian shoppers understand energy terms on food labels?’ </w:t>
      </w:r>
      <w:r w:rsidRPr="001D028A">
        <w:rPr>
          <w:rFonts w:cstheme="minorHAnsi"/>
          <w:i/>
          <w:sz w:val="20"/>
          <w:szCs w:val="20"/>
        </w:rPr>
        <w:t>Public Health Nutrition</w:t>
      </w:r>
      <w:r w:rsidRPr="001D028A">
        <w:rPr>
          <w:rFonts w:cstheme="minorHAnsi"/>
          <w:sz w:val="20"/>
          <w:szCs w:val="20"/>
        </w:rPr>
        <w:t>, vol. 16, no. 3, pp. 409-417.</w:t>
      </w:r>
    </w:p>
    <w:p w14:paraId="118AB15E" w14:textId="77777777" w:rsidR="00C52B5B" w:rsidRPr="001D028A" w:rsidRDefault="00C52B5B" w:rsidP="00C52B5B">
      <w:pPr>
        <w:pStyle w:val="NoSpacing"/>
        <w:rPr>
          <w:rFonts w:cstheme="minorHAnsi"/>
          <w:sz w:val="20"/>
          <w:szCs w:val="20"/>
          <w:lang w:val="en-GB"/>
        </w:rPr>
      </w:pPr>
    </w:p>
    <w:p w14:paraId="10C31E32"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Wellard, L, Hughes, C &amp; Watson, W 2016, ‘Investigating nutrient profiling and Health Star Ratings on core dairy products in Australia, </w:t>
      </w:r>
      <w:r w:rsidRPr="001D028A">
        <w:rPr>
          <w:rFonts w:cstheme="minorHAnsi"/>
          <w:i/>
          <w:iCs/>
          <w:sz w:val="20"/>
          <w:szCs w:val="20"/>
          <w:lang w:val="en-GB"/>
        </w:rPr>
        <w:t>Public Health Nutrition</w:t>
      </w:r>
      <w:r w:rsidRPr="001D028A">
        <w:rPr>
          <w:rFonts w:cstheme="minorHAnsi"/>
          <w:sz w:val="20"/>
          <w:szCs w:val="20"/>
          <w:lang w:val="en-GB"/>
        </w:rPr>
        <w:t>, vol. 19, no. 15, pp. 2860-2865.</w:t>
      </w:r>
    </w:p>
    <w:p w14:paraId="286A1CBD" w14:textId="77777777" w:rsidR="00C52B5B" w:rsidRPr="001D028A" w:rsidRDefault="00C52B5B" w:rsidP="00C52B5B">
      <w:pPr>
        <w:pStyle w:val="NoSpacing"/>
        <w:rPr>
          <w:rFonts w:cstheme="minorHAnsi"/>
          <w:sz w:val="20"/>
          <w:szCs w:val="20"/>
          <w:lang w:val="en-GB"/>
        </w:rPr>
      </w:pPr>
    </w:p>
    <w:p w14:paraId="09DD3776" w14:textId="77777777" w:rsidR="00C52B5B" w:rsidRPr="001D028A" w:rsidRDefault="00C52B5B" w:rsidP="00C52B5B">
      <w:pPr>
        <w:pStyle w:val="NoSpacing"/>
        <w:rPr>
          <w:rFonts w:cstheme="minorHAnsi"/>
          <w:b/>
          <w:bCs/>
          <w:sz w:val="20"/>
          <w:szCs w:val="20"/>
          <w:lang w:val="en-GB"/>
        </w:rPr>
      </w:pPr>
      <w:r w:rsidRPr="001D028A">
        <w:rPr>
          <w:rFonts w:cstheme="minorHAnsi"/>
          <w:b/>
          <w:bCs/>
          <w:sz w:val="20"/>
          <w:szCs w:val="20"/>
          <w:lang w:val="en-GB"/>
        </w:rPr>
        <w:t>Reports, papers and policy statements</w:t>
      </w:r>
    </w:p>
    <w:p w14:paraId="06A55135" w14:textId="77777777" w:rsidR="00C52B5B" w:rsidRPr="001D028A" w:rsidRDefault="00C52B5B" w:rsidP="00C52B5B">
      <w:pPr>
        <w:pStyle w:val="NoSpacing"/>
        <w:rPr>
          <w:rFonts w:cstheme="minorHAnsi"/>
          <w:sz w:val="20"/>
          <w:szCs w:val="20"/>
          <w:lang w:val="en-GB"/>
        </w:rPr>
      </w:pPr>
    </w:p>
    <w:p w14:paraId="0F291F98"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Australia and New Zealand Food Regulation Ministerial Council, </w:t>
      </w:r>
      <w:hyperlink r:id="rId156" w:history="1">
        <w:r w:rsidRPr="001D028A">
          <w:rPr>
            <w:rStyle w:val="Hyperlink"/>
            <w:rFonts w:cstheme="minorHAnsi"/>
            <w:i/>
            <w:iCs/>
            <w:sz w:val="20"/>
            <w:szCs w:val="20"/>
          </w:rPr>
          <w:t>Front of Pack Labelling Policy Statement</w:t>
        </w:r>
      </w:hyperlink>
      <w:r w:rsidRPr="001D028A">
        <w:rPr>
          <w:rFonts w:cstheme="minorHAnsi"/>
          <w:sz w:val="20"/>
          <w:szCs w:val="20"/>
        </w:rPr>
        <w:t xml:space="preserve">, endorsed by Ministerial Council on 23 October 2009 </w:t>
      </w:r>
    </w:p>
    <w:p w14:paraId="37ADCCAE" w14:textId="77777777" w:rsidR="00C52B5B" w:rsidRPr="001D028A" w:rsidRDefault="00C52B5B" w:rsidP="00C52B5B">
      <w:pPr>
        <w:pStyle w:val="NoSpacing"/>
        <w:rPr>
          <w:rFonts w:cstheme="minorHAnsi"/>
          <w:sz w:val="20"/>
          <w:szCs w:val="20"/>
        </w:rPr>
      </w:pPr>
    </w:p>
    <w:p w14:paraId="21920D79"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Food &amp; Grocery Council 2016, </w:t>
      </w:r>
      <w:r w:rsidRPr="001D028A">
        <w:rPr>
          <w:rFonts w:cstheme="minorHAnsi"/>
          <w:i/>
          <w:iCs/>
          <w:sz w:val="20"/>
          <w:szCs w:val="20"/>
          <w:lang w:val="en-GB"/>
        </w:rPr>
        <w:t>Current Issues Brief: The WHO 5% dietary energy target for free sugars is not intended to address excess body weight.</w:t>
      </w:r>
    </w:p>
    <w:p w14:paraId="7B1BA1C3" w14:textId="77777777" w:rsidR="00C52B5B" w:rsidRPr="001D028A" w:rsidRDefault="00C52B5B" w:rsidP="00C52B5B">
      <w:pPr>
        <w:pStyle w:val="NoSpacing"/>
        <w:rPr>
          <w:rFonts w:cstheme="minorHAnsi"/>
          <w:sz w:val="20"/>
          <w:szCs w:val="20"/>
          <w:lang w:val="en-GB"/>
        </w:rPr>
      </w:pPr>
    </w:p>
    <w:p w14:paraId="6E19A8A1"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Australian Breakfast Cereal Manufacturers Forum 2017, </w:t>
      </w:r>
      <w:hyperlink r:id="rId157" w:history="1">
        <w:r w:rsidRPr="001D028A">
          <w:rPr>
            <w:rStyle w:val="Hyperlink"/>
            <w:rFonts w:cstheme="minorHAnsi"/>
            <w:i/>
            <w:iCs/>
            <w:sz w:val="20"/>
            <w:szCs w:val="20"/>
            <w:lang w:val="en-GB"/>
          </w:rPr>
          <w:t>Bowled over at breakfast: new Australian data on the nutritional profile of breakfast cereals and their impact on nutrient intakes and body weight</w:t>
        </w:r>
      </w:hyperlink>
      <w:r w:rsidRPr="001D028A">
        <w:rPr>
          <w:rFonts w:cstheme="minorHAnsi"/>
          <w:sz w:val="20"/>
          <w:szCs w:val="20"/>
          <w:lang w:val="en-GB"/>
        </w:rPr>
        <w:t>, viewed 2 December 2018.</w:t>
      </w:r>
    </w:p>
    <w:p w14:paraId="69670CD1" w14:textId="77777777" w:rsidR="00C52B5B" w:rsidRPr="001D028A" w:rsidRDefault="00C52B5B" w:rsidP="00C52B5B">
      <w:pPr>
        <w:pStyle w:val="NoSpacing"/>
        <w:rPr>
          <w:rFonts w:cstheme="minorHAnsi"/>
          <w:sz w:val="20"/>
          <w:szCs w:val="20"/>
          <w:lang w:val="en-GB"/>
        </w:rPr>
      </w:pPr>
    </w:p>
    <w:p w14:paraId="31639028" w14:textId="77777777" w:rsidR="00C52B5B" w:rsidRPr="001D028A" w:rsidRDefault="00C52B5B" w:rsidP="00C52B5B">
      <w:pPr>
        <w:pStyle w:val="NoSpacing"/>
        <w:rPr>
          <w:rFonts w:cstheme="minorHAnsi"/>
          <w:i/>
          <w:iCs/>
          <w:sz w:val="20"/>
          <w:szCs w:val="20"/>
          <w:lang w:val="en-GB"/>
        </w:rPr>
      </w:pPr>
      <w:r w:rsidRPr="001D028A">
        <w:rPr>
          <w:rFonts w:cstheme="minorHAnsi"/>
          <w:sz w:val="20"/>
          <w:szCs w:val="20"/>
          <w:lang w:val="en-GB"/>
        </w:rPr>
        <w:t xml:space="preserve">Australian Government Department of Health 2017, </w:t>
      </w:r>
      <w:hyperlink r:id="rId158" w:history="1">
        <w:r w:rsidRPr="001D028A">
          <w:rPr>
            <w:rStyle w:val="Hyperlink"/>
            <w:rFonts w:cstheme="minorHAnsi"/>
            <w:i/>
            <w:iCs/>
            <w:sz w:val="20"/>
            <w:szCs w:val="20"/>
            <w:lang w:val="en-GB"/>
          </w:rPr>
          <w:t>Policy context relating to sugars in Australia and New Zealand</w:t>
        </w:r>
      </w:hyperlink>
      <w:r w:rsidRPr="001D028A">
        <w:rPr>
          <w:rFonts w:cstheme="minorHAnsi"/>
          <w:i/>
          <w:iCs/>
          <w:sz w:val="20"/>
          <w:szCs w:val="20"/>
          <w:lang w:val="en-GB"/>
        </w:rPr>
        <w:t xml:space="preserve">, </w:t>
      </w:r>
      <w:r w:rsidRPr="001D028A">
        <w:rPr>
          <w:rFonts w:cstheme="minorHAnsi"/>
          <w:iCs/>
          <w:sz w:val="20"/>
          <w:szCs w:val="20"/>
          <w:lang w:val="en-GB"/>
        </w:rPr>
        <w:t>viewed on 31 January 2019.</w:t>
      </w:r>
    </w:p>
    <w:p w14:paraId="539E2D64" w14:textId="77777777" w:rsidR="00C52B5B" w:rsidRPr="001D028A" w:rsidRDefault="00C52B5B" w:rsidP="00C52B5B">
      <w:pPr>
        <w:pStyle w:val="NoSpacing"/>
        <w:rPr>
          <w:rFonts w:cstheme="minorHAnsi"/>
          <w:sz w:val="20"/>
          <w:szCs w:val="20"/>
          <w:lang w:val="en-GB"/>
        </w:rPr>
      </w:pPr>
    </w:p>
    <w:p w14:paraId="76402D84" w14:textId="77777777" w:rsidR="00C52B5B" w:rsidRPr="001D028A" w:rsidRDefault="00C52B5B" w:rsidP="00C52B5B">
      <w:pPr>
        <w:pStyle w:val="NoSpacing"/>
        <w:rPr>
          <w:rFonts w:cstheme="minorHAnsi"/>
          <w:sz w:val="20"/>
          <w:szCs w:val="20"/>
        </w:rPr>
      </w:pPr>
      <w:r w:rsidRPr="001D028A">
        <w:rPr>
          <w:rFonts w:cstheme="minorHAnsi"/>
          <w:sz w:val="20"/>
          <w:szCs w:val="20"/>
          <w:lang w:val="en-GB"/>
        </w:rPr>
        <w:t xml:space="preserve">Boylan, S &amp; Mihrshahi, S 2015 </w:t>
      </w:r>
      <w:hyperlink r:id="rId159" w:history="1">
        <w:r w:rsidRPr="001D028A">
          <w:rPr>
            <w:rStyle w:val="Hyperlink"/>
            <w:rFonts w:cstheme="minorHAnsi"/>
            <w:i/>
            <w:sz w:val="20"/>
            <w:szCs w:val="20"/>
            <w:lang w:val="en-GB"/>
          </w:rPr>
          <w:t>Sugar intake and health outcomes: A rapid evidence review</w:t>
        </w:r>
      </w:hyperlink>
      <w:r w:rsidRPr="001D028A">
        <w:rPr>
          <w:rFonts w:cstheme="minorHAnsi"/>
          <w:i/>
          <w:sz w:val="20"/>
          <w:szCs w:val="20"/>
          <w:lang w:val="en-GB"/>
        </w:rPr>
        <w:t>,</w:t>
      </w:r>
      <w:r w:rsidRPr="001D028A">
        <w:rPr>
          <w:rFonts w:cstheme="minorHAnsi"/>
          <w:sz w:val="20"/>
          <w:szCs w:val="20"/>
          <w:lang w:val="en-GB"/>
        </w:rPr>
        <w:t xml:space="preserve"> </w:t>
      </w:r>
      <w:r w:rsidRPr="001D028A">
        <w:rPr>
          <w:rFonts w:cstheme="minorHAnsi"/>
          <w:sz w:val="20"/>
          <w:szCs w:val="20"/>
        </w:rPr>
        <w:t xml:space="preserve">Prepared for the Centre for Population Health, NSW Ministry of Health. Sydney; Physical Activity Nutrition Obesity Research Group, viewed on 10 January 2019. </w:t>
      </w:r>
    </w:p>
    <w:p w14:paraId="171F1924" w14:textId="77777777" w:rsidR="00C52B5B" w:rsidRPr="001D028A" w:rsidRDefault="00C52B5B" w:rsidP="00C52B5B">
      <w:pPr>
        <w:pStyle w:val="NoSpacing"/>
        <w:rPr>
          <w:rFonts w:cstheme="minorHAnsi"/>
          <w:sz w:val="20"/>
          <w:szCs w:val="20"/>
          <w:lang w:val="en-GB"/>
        </w:rPr>
      </w:pPr>
    </w:p>
    <w:p w14:paraId="1F143B0B"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British Market Research Bureau 2009, </w:t>
      </w:r>
      <w:hyperlink r:id="rId160" w:history="1">
        <w:r w:rsidRPr="001D028A">
          <w:rPr>
            <w:rStyle w:val="Hyperlink"/>
            <w:rFonts w:eastAsia="Times New Roman" w:cstheme="minorHAnsi"/>
            <w:i/>
            <w:sz w:val="20"/>
            <w:szCs w:val="20"/>
          </w:rPr>
          <w:t>Comprehension and use of UK nutrition signpost labelling schemes</w:t>
        </w:r>
      </w:hyperlink>
      <w:r w:rsidRPr="001D028A">
        <w:rPr>
          <w:rFonts w:eastAsia="Times New Roman" w:cstheme="minorHAnsi"/>
          <w:sz w:val="20"/>
          <w:szCs w:val="20"/>
        </w:rPr>
        <w:t>, prepared for Food Standards Agency, May, viewed on 31 January 2019.</w:t>
      </w:r>
    </w:p>
    <w:p w14:paraId="6629DAFA" w14:textId="77777777" w:rsidR="00C52B5B" w:rsidRPr="001D028A" w:rsidRDefault="00C52B5B" w:rsidP="00C52B5B">
      <w:pPr>
        <w:pStyle w:val="NoSpacing"/>
        <w:rPr>
          <w:rFonts w:cstheme="minorHAnsi"/>
          <w:sz w:val="20"/>
          <w:szCs w:val="20"/>
        </w:rPr>
      </w:pPr>
    </w:p>
    <w:p w14:paraId="6EC29BAF" w14:textId="77777777" w:rsidR="00C52B5B" w:rsidRPr="001D028A" w:rsidRDefault="00C52B5B" w:rsidP="00C52B5B">
      <w:pPr>
        <w:pStyle w:val="NoSpacing"/>
        <w:rPr>
          <w:rFonts w:cstheme="minorHAnsi"/>
          <w:sz w:val="20"/>
          <w:szCs w:val="20"/>
          <w:lang w:val="en-GB"/>
        </w:rPr>
      </w:pPr>
      <w:r w:rsidRPr="001D028A">
        <w:rPr>
          <w:rFonts w:cstheme="minorHAnsi"/>
          <w:sz w:val="20"/>
          <w:szCs w:val="20"/>
        </w:rPr>
        <w:t xml:space="preserve">Butland, B, Jebb, S, Kopelman, P, McPherson, K, Mardell, J &amp; Parry, V, </w:t>
      </w:r>
      <w:r w:rsidRPr="001D028A">
        <w:rPr>
          <w:rFonts w:cstheme="minorHAnsi"/>
          <w:i/>
          <w:sz w:val="20"/>
          <w:szCs w:val="20"/>
        </w:rPr>
        <w:t xml:space="preserve">Foresight: Tackling Obesities: Future Choices – Project Report, </w:t>
      </w:r>
      <w:r w:rsidRPr="001D028A">
        <w:rPr>
          <w:rFonts w:cstheme="minorHAnsi"/>
          <w:sz w:val="20"/>
          <w:szCs w:val="20"/>
        </w:rPr>
        <w:t>Government Office for Science</w:t>
      </w:r>
    </w:p>
    <w:p w14:paraId="3ADB73DF" w14:textId="77777777" w:rsidR="00C52B5B" w:rsidRPr="001D028A" w:rsidRDefault="00C52B5B" w:rsidP="00C52B5B">
      <w:pPr>
        <w:pStyle w:val="NoSpacing"/>
        <w:rPr>
          <w:rFonts w:cstheme="minorHAnsi"/>
          <w:sz w:val="20"/>
          <w:szCs w:val="20"/>
          <w:lang w:val="en-GB"/>
        </w:rPr>
      </w:pPr>
    </w:p>
    <w:p w14:paraId="0FF9100D" w14:textId="77777777" w:rsidR="00C52B5B" w:rsidRPr="001D028A" w:rsidRDefault="00C52B5B" w:rsidP="00C52B5B">
      <w:pPr>
        <w:pStyle w:val="NoSpacing"/>
        <w:rPr>
          <w:rFonts w:cstheme="minorHAnsi"/>
          <w:sz w:val="20"/>
          <w:szCs w:val="20"/>
          <w:lang w:val="en-GB"/>
        </w:rPr>
      </w:pPr>
      <w:r w:rsidRPr="001D028A">
        <w:rPr>
          <w:rFonts w:cstheme="minorHAnsi"/>
          <w:sz w:val="20"/>
          <w:szCs w:val="20"/>
        </w:rPr>
        <w:t xml:space="preserve">Cameron A, Sacks G, Brown A, Ngan W, Isaacs J 2017 </w:t>
      </w:r>
      <w:r w:rsidRPr="001D028A">
        <w:rPr>
          <w:rFonts w:cstheme="minorHAnsi"/>
          <w:i/>
          <w:sz w:val="20"/>
          <w:szCs w:val="20"/>
        </w:rPr>
        <w:t>Customer and staff perceptions of a supermarket marketing intervention to promote healthy eating</w:t>
      </w:r>
      <w:r w:rsidRPr="001D028A">
        <w:rPr>
          <w:rFonts w:cstheme="minorHAnsi"/>
          <w:sz w:val="20"/>
          <w:szCs w:val="20"/>
        </w:rPr>
        <w:t>. Paper presented at: 15th World Congress on Public Health, Apr 3-7 2018, Melbourne.</w:t>
      </w:r>
    </w:p>
    <w:p w14:paraId="60E974A0" w14:textId="77777777" w:rsidR="00C52B5B" w:rsidRPr="001D028A" w:rsidRDefault="00C52B5B" w:rsidP="00C52B5B">
      <w:pPr>
        <w:pStyle w:val="NoSpacing"/>
        <w:rPr>
          <w:rFonts w:cstheme="minorHAnsi"/>
          <w:sz w:val="20"/>
          <w:szCs w:val="20"/>
          <w:lang w:val="en-GB"/>
        </w:rPr>
      </w:pPr>
    </w:p>
    <w:p w14:paraId="772BF6E9"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Centre for International Economics 2014,</w:t>
      </w:r>
      <w:hyperlink r:id="rId161" w:history="1">
        <w:r w:rsidRPr="001D028A">
          <w:rPr>
            <w:rStyle w:val="Hyperlink"/>
            <w:rFonts w:cstheme="minorHAnsi"/>
            <w:sz w:val="20"/>
            <w:szCs w:val="20"/>
            <w:lang w:val="en-GB"/>
          </w:rPr>
          <w:t xml:space="preserve"> </w:t>
        </w:r>
        <w:r w:rsidRPr="001D028A">
          <w:rPr>
            <w:rStyle w:val="Hyperlink"/>
            <w:rFonts w:cstheme="minorHAnsi"/>
            <w:i/>
            <w:sz w:val="20"/>
            <w:szCs w:val="20"/>
            <w:lang w:val="en-GB"/>
          </w:rPr>
          <w:t>Impact analysis of the Health Star Rating system for small businesses</w:t>
        </w:r>
      </w:hyperlink>
      <w:r w:rsidRPr="001D028A">
        <w:rPr>
          <w:rFonts w:cstheme="minorHAnsi"/>
          <w:i/>
          <w:sz w:val="20"/>
          <w:szCs w:val="20"/>
          <w:lang w:val="en-GB"/>
        </w:rPr>
        <w:t xml:space="preserve">, </w:t>
      </w:r>
      <w:r w:rsidRPr="001D028A">
        <w:rPr>
          <w:rFonts w:cstheme="minorHAnsi"/>
          <w:iCs/>
          <w:sz w:val="20"/>
          <w:szCs w:val="20"/>
          <w:lang w:val="en-GB"/>
        </w:rPr>
        <w:t xml:space="preserve">prepared for the Department of Environment and Primary Industries (Victoria), viewed 31 January 2019.  </w:t>
      </w:r>
    </w:p>
    <w:p w14:paraId="6CAC5236" w14:textId="77777777" w:rsidR="00C52B5B" w:rsidRPr="001D028A" w:rsidRDefault="00C52B5B" w:rsidP="00C52B5B">
      <w:pPr>
        <w:autoSpaceDE w:val="0"/>
        <w:autoSpaceDN w:val="0"/>
        <w:adjustRightInd w:val="0"/>
        <w:rPr>
          <w:rFonts w:cstheme="minorHAnsi"/>
          <w:color w:val="000000"/>
          <w:sz w:val="20"/>
          <w:szCs w:val="20"/>
          <w:lang w:val="en-US"/>
        </w:rPr>
      </w:pPr>
    </w:p>
    <w:p w14:paraId="29DACE57"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Department of Health and Food Standards Agency 2016, </w:t>
      </w:r>
      <w:hyperlink r:id="rId162" w:history="1">
        <w:r w:rsidRPr="001D028A">
          <w:rPr>
            <w:rStyle w:val="Hyperlink"/>
            <w:rFonts w:eastAsia="Times New Roman" w:cstheme="minorHAnsi"/>
            <w:i/>
            <w:sz w:val="20"/>
            <w:szCs w:val="20"/>
          </w:rPr>
          <w:t>Guide to creating a front of pack (FoP) nutrition label for pre-packaged products sold through retails outlets</w:t>
        </w:r>
      </w:hyperlink>
      <w:r w:rsidRPr="001D028A">
        <w:rPr>
          <w:rFonts w:eastAsia="Times New Roman" w:cstheme="minorHAnsi"/>
          <w:sz w:val="20"/>
          <w:szCs w:val="20"/>
        </w:rPr>
        <w:t xml:space="preserve">, November, UK, viewed on 31 January 2019. </w:t>
      </w:r>
    </w:p>
    <w:p w14:paraId="4A2AA8A9" w14:textId="77777777" w:rsidR="00C52B5B" w:rsidRPr="001D028A" w:rsidRDefault="00C52B5B" w:rsidP="00C52B5B">
      <w:pPr>
        <w:rPr>
          <w:rFonts w:eastAsia="Times New Roman" w:cstheme="minorHAnsi"/>
          <w:iCs/>
          <w:sz w:val="20"/>
          <w:szCs w:val="20"/>
        </w:rPr>
      </w:pPr>
    </w:p>
    <w:p w14:paraId="6195390E" w14:textId="77777777" w:rsidR="00C52B5B" w:rsidRPr="001D028A" w:rsidRDefault="00C52B5B" w:rsidP="00C52B5B">
      <w:pPr>
        <w:rPr>
          <w:rFonts w:cstheme="minorHAnsi"/>
          <w:sz w:val="20"/>
          <w:szCs w:val="20"/>
        </w:rPr>
      </w:pPr>
      <w:r w:rsidRPr="001D028A">
        <w:rPr>
          <w:rFonts w:eastAsia="Times New Roman" w:cstheme="minorHAnsi"/>
          <w:iCs/>
          <w:sz w:val="20"/>
          <w:szCs w:val="20"/>
        </w:rPr>
        <w:t>European Consumers’ Organisation 2005</w:t>
      </w:r>
      <w:r w:rsidRPr="001D028A">
        <w:rPr>
          <w:rFonts w:eastAsia="Times New Roman" w:cstheme="minorHAnsi"/>
          <w:i/>
          <w:sz w:val="20"/>
          <w:szCs w:val="20"/>
        </w:rPr>
        <w:t xml:space="preserve">, </w:t>
      </w:r>
      <w:hyperlink r:id="rId163" w:history="1">
        <w:r w:rsidRPr="001D028A">
          <w:rPr>
            <w:rStyle w:val="Hyperlink"/>
            <w:rFonts w:eastAsia="Times New Roman" w:cstheme="minorHAnsi"/>
            <w:i/>
            <w:sz w:val="20"/>
            <w:szCs w:val="20"/>
          </w:rPr>
          <w:t>Report on Consumers’ perception of foodstuffs labelling</w:t>
        </w:r>
      </w:hyperlink>
      <w:r w:rsidRPr="001D028A">
        <w:rPr>
          <w:rFonts w:eastAsia="Times New Roman" w:cstheme="minorHAnsi"/>
          <w:i/>
          <w:sz w:val="20"/>
          <w:szCs w:val="20"/>
        </w:rPr>
        <w:t>,</w:t>
      </w:r>
      <w:r w:rsidRPr="001D028A">
        <w:rPr>
          <w:rFonts w:eastAsia="Times New Roman" w:cstheme="minorHAnsi"/>
          <w:iCs/>
          <w:sz w:val="20"/>
          <w:szCs w:val="20"/>
        </w:rPr>
        <w:t xml:space="preserve"> Results of Consumer Research conducted on behalf of BEUC from February to April 2005. </w:t>
      </w:r>
    </w:p>
    <w:p w14:paraId="34BAA9E0" w14:textId="77777777" w:rsidR="00C52B5B" w:rsidRPr="001D028A" w:rsidRDefault="00C52B5B" w:rsidP="00C52B5B">
      <w:pPr>
        <w:rPr>
          <w:rFonts w:cstheme="minorHAnsi"/>
          <w:sz w:val="20"/>
          <w:szCs w:val="20"/>
        </w:rPr>
      </w:pPr>
    </w:p>
    <w:p w14:paraId="7813BD67"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Food and Drug Administration Centre for Food Safety and Applied Nutrition 2017, </w:t>
      </w:r>
      <w:hyperlink r:id="rId164" w:history="1">
        <w:r w:rsidRPr="001D028A">
          <w:rPr>
            <w:rStyle w:val="Hyperlink"/>
            <w:rFonts w:eastAsia="Times New Roman" w:cstheme="minorHAnsi"/>
            <w:i/>
            <w:sz w:val="20"/>
            <w:szCs w:val="20"/>
          </w:rPr>
          <w:t>Questions and Answers on the Nutrition and Supplement Facts Labels Related to the Compliance Date, Added Sugars, and Declaration of Quantitative Amounts of Vitamins and Minerals: Guidance for Industry</w:t>
        </w:r>
        <w:r w:rsidRPr="001D028A">
          <w:rPr>
            <w:rStyle w:val="Hyperlink"/>
            <w:rFonts w:eastAsia="Times New Roman" w:cstheme="minorHAnsi"/>
            <w:sz w:val="20"/>
            <w:szCs w:val="20"/>
          </w:rPr>
          <w:t>,</w:t>
        </w:r>
      </w:hyperlink>
      <w:r w:rsidRPr="001D028A">
        <w:rPr>
          <w:rFonts w:eastAsia="Times New Roman" w:cstheme="minorHAnsi"/>
          <w:sz w:val="20"/>
          <w:szCs w:val="20"/>
        </w:rPr>
        <w:t xml:space="preserve"> Draft Guidance published by the U.S. Department of Health and Human Services, January, viewed on 31 January 2019. </w:t>
      </w:r>
    </w:p>
    <w:p w14:paraId="2856201D" w14:textId="77777777" w:rsidR="00C52B5B" w:rsidRPr="001D028A" w:rsidRDefault="00C52B5B" w:rsidP="00C52B5B">
      <w:pPr>
        <w:autoSpaceDE w:val="0"/>
        <w:autoSpaceDN w:val="0"/>
        <w:adjustRightInd w:val="0"/>
        <w:rPr>
          <w:rFonts w:cstheme="minorHAnsi"/>
          <w:color w:val="000000"/>
          <w:sz w:val="20"/>
          <w:szCs w:val="20"/>
          <w:lang w:val="en-US"/>
        </w:rPr>
      </w:pPr>
    </w:p>
    <w:p w14:paraId="0B1AD094" w14:textId="79EE3B2A" w:rsidR="00C52B5B" w:rsidRPr="001D028A" w:rsidRDefault="00C52B5B" w:rsidP="00C52B5B">
      <w:pPr>
        <w:autoSpaceDE w:val="0"/>
        <w:autoSpaceDN w:val="0"/>
        <w:adjustRightInd w:val="0"/>
        <w:rPr>
          <w:rFonts w:cstheme="minorHAnsi"/>
          <w:color w:val="000000"/>
          <w:sz w:val="20"/>
          <w:szCs w:val="20"/>
          <w:lang w:val="en-US"/>
        </w:rPr>
      </w:pPr>
      <w:r w:rsidRPr="001D028A">
        <w:rPr>
          <w:rFonts w:cstheme="minorHAnsi"/>
          <w:sz w:val="20"/>
          <w:szCs w:val="20"/>
        </w:rPr>
        <w:t xml:space="preserve">Food Industry Taskforce on Addressing Factors Contributing to Obesity 2018, </w:t>
      </w:r>
      <w:r w:rsidRPr="001D028A">
        <w:rPr>
          <w:rFonts w:cstheme="minorHAnsi"/>
          <w:i/>
          <w:sz w:val="20"/>
          <w:szCs w:val="20"/>
        </w:rPr>
        <w:t>Final Report to Ministers of Health and Food Safety</w:t>
      </w:r>
      <w:r>
        <w:rPr>
          <w:rFonts w:cstheme="minorHAnsi"/>
          <w:i/>
          <w:sz w:val="20"/>
          <w:szCs w:val="20"/>
        </w:rPr>
        <w:t>.</w:t>
      </w:r>
    </w:p>
    <w:p w14:paraId="1EC081A7" w14:textId="77777777" w:rsidR="00C52B5B" w:rsidRPr="001D028A" w:rsidRDefault="00C52B5B" w:rsidP="00C52B5B">
      <w:pPr>
        <w:autoSpaceDE w:val="0"/>
        <w:autoSpaceDN w:val="0"/>
        <w:adjustRightInd w:val="0"/>
        <w:rPr>
          <w:rFonts w:cstheme="minorHAnsi"/>
          <w:color w:val="000000"/>
          <w:sz w:val="20"/>
          <w:szCs w:val="20"/>
          <w:lang w:val="en-US"/>
        </w:rPr>
      </w:pPr>
    </w:p>
    <w:p w14:paraId="5A3AACDF" w14:textId="77777777" w:rsidR="00C52B5B" w:rsidRPr="001D028A" w:rsidRDefault="00C52B5B" w:rsidP="00C52B5B">
      <w:pPr>
        <w:rPr>
          <w:rFonts w:cstheme="minorHAnsi"/>
          <w:sz w:val="20"/>
          <w:szCs w:val="20"/>
          <w:lang w:val="en-GB"/>
        </w:rPr>
      </w:pPr>
      <w:r w:rsidRPr="001D028A">
        <w:rPr>
          <w:rFonts w:cstheme="minorHAnsi"/>
          <w:sz w:val="20"/>
          <w:szCs w:val="20"/>
          <w:lang w:val="en-GB"/>
        </w:rPr>
        <w:t xml:space="preserve">The George Institute for Global Health 2015, </w:t>
      </w:r>
      <w:hyperlink r:id="rId165" w:history="1">
        <w:r w:rsidRPr="001D028A">
          <w:rPr>
            <w:rStyle w:val="Hyperlink"/>
            <w:rFonts w:cstheme="minorHAnsi"/>
            <w:i/>
            <w:iCs/>
            <w:sz w:val="20"/>
            <w:szCs w:val="20"/>
            <w:lang w:val="en-GB"/>
          </w:rPr>
          <w:t>Economic business case for salt reduction action in Victoria</w:t>
        </w:r>
      </w:hyperlink>
      <w:r w:rsidRPr="001D028A">
        <w:rPr>
          <w:rFonts w:cstheme="minorHAnsi"/>
          <w:sz w:val="20"/>
          <w:szCs w:val="20"/>
          <w:lang w:val="en-GB"/>
        </w:rPr>
        <w:t xml:space="preserve">, report prepared for Vic Health, viewed on 31 January 2019. </w:t>
      </w:r>
      <w:r w:rsidRPr="001D028A">
        <w:rPr>
          <w:rFonts w:cstheme="minorHAnsi"/>
          <w:sz w:val="20"/>
          <w:szCs w:val="20"/>
          <w:lang w:val="en-GB"/>
        </w:rPr>
        <w:fldChar w:fldCharType="begin"/>
      </w:r>
      <w:r w:rsidRPr="001D028A">
        <w:rPr>
          <w:rFonts w:cstheme="minorHAnsi"/>
          <w:sz w:val="20"/>
          <w:szCs w:val="20"/>
          <w:lang w:val="en-GB"/>
        </w:rPr>
        <w:instrText xml:space="preserve"> HYPERLINK "https://www.google.com/url?sa=t&amp;rct=j&amp;q=&amp;esrc=s&amp;source=web&amp;cd=2&amp;ved=2ahUKEwj25dKc3JfgAhUY3o8KHYaGD9YQFjABegQICBAC&amp;url=https%3A%2F%2Fwww.vichealth.vic.gov.au%2F-%2Fmedia%2FImages%2FVicHealth%2FImages-and-Files%2FMediaResources%2FPublications%2FHealthyEating%2FState-of-Salt%2FAppendixC_Salt-Reduction-Vic_Economic-business-case_June15.pdf%3Fla%3Den%26hash%3D31C6D146B70B46CCF1B3425B546D8569F0C1EFDB&amp;usg=AOvVaw2kyWA6agwA6FuiOXFSIKRN" </w:instrText>
      </w:r>
      <w:r w:rsidRPr="001D028A">
        <w:rPr>
          <w:rFonts w:cstheme="minorHAnsi"/>
          <w:sz w:val="20"/>
          <w:szCs w:val="20"/>
          <w:lang w:val="en-GB"/>
        </w:rPr>
        <w:fldChar w:fldCharType="separate"/>
      </w:r>
    </w:p>
    <w:p w14:paraId="1806D29D" w14:textId="77777777" w:rsidR="00C52B5B" w:rsidRPr="001D028A" w:rsidRDefault="00C52B5B" w:rsidP="00C52B5B">
      <w:pPr>
        <w:rPr>
          <w:rFonts w:cstheme="minorHAnsi"/>
          <w:sz w:val="20"/>
          <w:szCs w:val="20"/>
          <w:lang w:val="en-GB"/>
        </w:rPr>
      </w:pPr>
      <w:r w:rsidRPr="001D028A">
        <w:rPr>
          <w:rFonts w:cstheme="minorHAnsi"/>
          <w:sz w:val="20"/>
          <w:szCs w:val="20"/>
        </w:rPr>
        <w:fldChar w:fldCharType="end"/>
      </w:r>
    </w:p>
    <w:p w14:paraId="58CA7E37"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Go Grains Health and Nutrition 2010, </w:t>
      </w:r>
      <w:hyperlink r:id="rId166" w:history="1">
        <w:r w:rsidRPr="001D028A">
          <w:rPr>
            <w:rStyle w:val="Hyperlink"/>
            <w:rFonts w:cstheme="minorHAnsi"/>
            <w:i/>
            <w:iCs/>
            <w:sz w:val="20"/>
            <w:szCs w:val="20"/>
            <w:lang w:val="en-GB"/>
          </w:rPr>
          <w:t>The Grains and Legumes Health Report: a Review of the Science</w:t>
        </w:r>
      </w:hyperlink>
      <w:r w:rsidRPr="001D028A">
        <w:rPr>
          <w:rFonts w:cstheme="minorHAnsi"/>
          <w:sz w:val="20"/>
          <w:szCs w:val="20"/>
          <w:lang w:val="en-GB"/>
        </w:rPr>
        <w:t xml:space="preserve">, viewed on 9 January 2019. </w:t>
      </w:r>
    </w:p>
    <w:p w14:paraId="6B58F21F" w14:textId="77777777" w:rsidR="00C52B5B" w:rsidRPr="001D028A" w:rsidRDefault="00C52B5B" w:rsidP="00C52B5B">
      <w:pPr>
        <w:pStyle w:val="NoSpacing"/>
        <w:rPr>
          <w:rFonts w:cstheme="minorHAnsi"/>
          <w:b/>
          <w:bCs/>
          <w:sz w:val="20"/>
          <w:szCs w:val="20"/>
          <w:u w:val="single"/>
          <w:lang w:val="en-GB"/>
        </w:rPr>
      </w:pPr>
    </w:p>
    <w:p w14:paraId="4E4D8FE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Grains &amp; Legumes Nutrition Council 2017, </w:t>
      </w:r>
      <w:hyperlink r:id="rId167" w:history="1">
        <w:r w:rsidRPr="001D028A">
          <w:rPr>
            <w:rStyle w:val="Hyperlink"/>
            <w:rFonts w:cstheme="minorHAnsi"/>
            <w:i/>
            <w:iCs/>
            <w:sz w:val="20"/>
            <w:szCs w:val="20"/>
            <w:lang w:val="en-GB"/>
          </w:rPr>
          <w:t>Code of Practice for whole grain ingredient content claims</w:t>
        </w:r>
      </w:hyperlink>
      <w:r w:rsidRPr="001D028A">
        <w:rPr>
          <w:rFonts w:cstheme="minorHAnsi"/>
          <w:sz w:val="20"/>
          <w:szCs w:val="20"/>
          <w:lang w:val="en-GB"/>
        </w:rPr>
        <w:t xml:space="preserve">, viewed on 12 December 2018. </w:t>
      </w:r>
    </w:p>
    <w:p w14:paraId="1096D934" w14:textId="77777777" w:rsidR="00C52B5B" w:rsidRPr="001D028A" w:rsidRDefault="00C52B5B" w:rsidP="00C52B5B">
      <w:pPr>
        <w:autoSpaceDE w:val="0"/>
        <w:autoSpaceDN w:val="0"/>
        <w:adjustRightInd w:val="0"/>
        <w:rPr>
          <w:rFonts w:cstheme="minorHAnsi"/>
          <w:color w:val="000000"/>
          <w:sz w:val="20"/>
          <w:szCs w:val="20"/>
          <w:lang w:val="en-US"/>
        </w:rPr>
      </w:pPr>
    </w:p>
    <w:p w14:paraId="06176787" w14:textId="77777777" w:rsidR="00C52B5B" w:rsidRPr="001D028A" w:rsidRDefault="00C52B5B" w:rsidP="00C52B5B">
      <w:pPr>
        <w:rPr>
          <w:rFonts w:cstheme="minorHAnsi"/>
          <w:sz w:val="20"/>
          <w:szCs w:val="20"/>
          <w:lang w:val="en-GB"/>
        </w:rPr>
      </w:pPr>
      <w:r w:rsidRPr="001D028A">
        <w:rPr>
          <w:rFonts w:cstheme="minorHAnsi"/>
          <w:sz w:val="20"/>
          <w:szCs w:val="20"/>
          <w:lang w:val="en-GB"/>
        </w:rPr>
        <w:t xml:space="preserve">Healthy Food Partnership 2018, </w:t>
      </w:r>
      <w:hyperlink r:id="rId168" w:history="1">
        <w:r w:rsidRPr="001D028A">
          <w:rPr>
            <w:rStyle w:val="Hyperlink"/>
            <w:rFonts w:cstheme="minorHAnsi"/>
            <w:i/>
            <w:iCs/>
            <w:sz w:val="20"/>
            <w:szCs w:val="20"/>
            <w:lang w:val="en-GB"/>
          </w:rPr>
          <w:t>Healthy Food Partnership Reformulation Program: Evidence informing the approach, draft targets and modelling outcomes</w:t>
        </w:r>
      </w:hyperlink>
      <w:r w:rsidRPr="001D028A">
        <w:rPr>
          <w:rFonts w:cstheme="minorHAnsi"/>
          <w:sz w:val="20"/>
          <w:szCs w:val="20"/>
          <w:lang w:val="en-GB"/>
        </w:rPr>
        <w:t xml:space="preserve">, Public consultation paper, July, viewed on 7 January 2019. </w:t>
      </w:r>
    </w:p>
    <w:p w14:paraId="4AEB4C08" w14:textId="77777777" w:rsidR="00C52B5B" w:rsidRPr="001D028A" w:rsidRDefault="00C52B5B" w:rsidP="00C52B5B">
      <w:pPr>
        <w:pStyle w:val="NoSpacing"/>
        <w:rPr>
          <w:rFonts w:cstheme="minorHAnsi"/>
          <w:sz w:val="20"/>
          <w:szCs w:val="20"/>
          <w:lang w:val="en-GB"/>
        </w:rPr>
      </w:pPr>
    </w:p>
    <w:p w14:paraId="3FD0AC44" w14:textId="6BB0D527" w:rsidR="00C52B5B" w:rsidRPr="001D028A" w:rsidRDefault="00C52B5B" w:rsidP="00C52B5B">
      <w:pPr>
        <w:rPr>
          <w:rFonts w:cstheme="minorHAnsi"/>
          <w:sz w:val="20"/>
          <w:szCs w:val="20"/>
        </w:rPr>
      </w:pPr>
      <w:r w:rsidRPr="001D028A">
        <w:rPr>
          <w:rFonts w:cstheme="minorHAnsi"/>
          <w:sz w:val="20"/>
          <w:szCs w:val="20"/>
        </w:rPr>
        <w:t xml:space="preserve">Kelly, B, Jewell, Jo 2018 </w:t>
      </w:r>
      <w:r w:rsidRPr="001D028A">
        <w:rPr>
          <w:rFonts w:cstheme="minorHAnsi"/>
          <w:i/>
          <w:sz w:val="20"/>
          <w:szCs w:val="20"/>
        </w:rPr>
        <w:t>What is the evidence on policy specifications, development processes and effectiveness of existing front-of-pack labelling policies in the WHO European Region?</w:t>
      </w:r>
      <w:r w:rsidRPr="001D028A">
        <w:rPr>
          <w:rFonts w:cstheme="minorHAnsi"/>
          <w:sz w:val="20"/>
          <w:szCs w:val="20"/>
        </w:rPr>
        <w:t xml:space="preserve"> Copenhagen: WHO Regional Office for Europe, Health Evidence Network (HEN) synthesis report 61</w:t>
      </w:r>
      <w:r>
        <w:rPr>
          <w:rFonts w:cstheme="minorHAnsi"/>
          <w:sz w:val="20"/>
          <w:szCs w:val="20"/>
        </w:rPr>
        <w:t>.</w:t>
      </w:r>
    </w:p>
    <w:p w14:paraId="436D92FB" w14:textId="77777777" w:rsidR="00C52B5B" w:rsidRPr="001D028A" w:rsidRDefault="00C52B5B" w:rsidP="00C52B5B">
      <w:pPr>
        <w:rPr>
          <w:rFonts w:cstheme="minorHAnsi"/>
          <w:sz w:val="20"/>
          <w:szCs w:val="20"/>
          <w:lang w:val="en-GB"/>
        </w:rPr>
      </w:pPr>
    </w:p>
    <w:p w14:paraId="5DAC7EB3" w14:textId="77777777" w:rsidR="00C52B5B" w:rsidRPr="001D028A" w:rsidRDefault="00C52B5B" w:rsidP="00C52B5B">
      <w:pPr>
        <w:rPr>
          <w:rFonts w:cstheme="minorHAnsi"/>
          <w:i/>
          <w:sz w:val="20"/>
          <w:szCs w:val="20"/>
        </w:rPr>
      </w:pPr>
      <w:r w:rsidRPr="001D028A">
        <w:rPr>
          <w:rFonts w:cstheme="minorHAnsi"/>
          <w:sz w:val="20"/>
          <w:szCs w:val="20"/>
        </w:rPr>
        <w:t xml:space="preserve">The Lancet, 2018, </w:t>
      </w:r>
      <w:r w:rsidRPr="001D028A">
        <w:rPr>
          <w:rFonts w:cstheme="minorHAnsi"/>
          <w:i/>
          <w:sz w:val="20"/>
          <w:szCs w:val="20"/>
        </w:rPr>
        <w:t>Global Burden of Disease study.</w:t>
      </w:r>
    </w:p>
    <w:p w14:paraId="3D8578DC" w14:textId="77777777" w:rsidR="00C52B5B" w:rsidRPr="001D028A" w:rsidRDefault="00C52B5B" w:rsidP="00C52B5B">
      <w:pPr>
        <w:rPr>
          <w:rFonts w:cstheme="minorHAnsi"/>
          <w:sz w:val="20"/>
          <w:szCs w:val="20"/>
          <w:lang w:val="en-GB"/>
        </w:rPr>
      </w:pPr>
    </w:p>
    <w:p w14:paraId="447A75F9" w14:textId="77777777" w:rsidR="00C52B5B" w:rsidRPr="001D028A" w:rsidRDefault="00C52B5B" w:rsidP="00C52B5B">
      <w:pPr>
        <w:rPr>
          <w:rFonts w:cstheme="minorHAnsi"/>
          <w:sz w:val="20"/>
          <w:szCs w:val="20"/>
          <w:lang w:val="en-GB"/>
        </w:rPr>
      </w:pPr>
      <w:r w:rsidRPr="001D028A">
        <w:rPr>
          <w:rFonts w:cstheme="minorHAnsi"/>
          <w:sz w:val="20"/>
          <w:szCs w:val="20"/>
          <w:lang w:val="en-GB"/>
        </w:rPr>
        <w:t xml:space="preserve">Oldways Wholegrains Council 2017, </w:t>
      </w:r>
      <w:hyperlink r:id="rId169" w:history="1">
        <w:r w:rsidRPr="001D028A">
          <w:rPr>
            <w:rStyle w:val="Hyperlink"/>
            <w:rFonts w:cstheme="minorHAnsi"/>
            <w:i/>
            <w:iCs/>
            <w:sz w:val="20"/>
            <w:szCs w:val="20"/>
            <w:lang w:val="en-GB"/>
          </w:rPr>
          <w:t>Summary of recent research on whole grains and health</w:t>
        </w:r>
        <w:r w:rsidRPr="001D028A">
          <w:rPr>
            <w:rStyle w:val="Hyperlink"/>
            <w:rFonts w:cstheme="minorHAnsi"/>
            <w:sz w:val="20"/>
            <w:szCs w:val="20"/>
            <w:lang w:val="en-GB"/>
          </w:rPr>
          <w:t xml:space="preserve"> </w:t>
        </w:r>
        <w:r w:rsidRPr="001D028A">
          <w:rPr>
            <w:rStyle w:val="Hyperlink"/>
            <w:rFonts w:cstheme="minorHAnsi"/>
            <w:i/>
            <w:sz w:val="20"/>
            <w:szCs w:val="20"/>
            <w:lang w:val="en-GB"/>
          </w:rPr>
          <w:t>2017 edition</w:t>
        </w:r>
      </w:hyperlink>
      <w:r w:rsidRPr="001D028A">
        <w:rPr>
          <w:rFonts w:cstheme="minorHAnsi"/>
          <w:sz w:val="20"/>
          <w:szCs w:val="20"/>
          <w:lang w:val="en-GB"/>
        </w:rPr>
        <w:t>, viewed on 31 January 2019.</w:t>
      </w:r>
    </w:p>
    <w:p w14:paraId="290CBA6F" w14:textId="77777777" w:rsidR="00C52B5B" w:rsidRPr="001D028A" w:rsidRDefault="00C52B5B" w:rsidP="00C52B5B">
      <w:pPr>
        <w:rPr>
          <w:rFonts w:cstheme="minorHAnsi"/>
          <w:sz w:val="20"/>
          <w:szCs w:val="20"/>
          <w:lang w:val="en-GB"/>
        </w:rPr>
      </w:pPr>
    </w:p>
    <w:p w14:paraId="6858FA28"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Pan American Health Organization 2016, </w:t>
      </w:r>
      <w:hyperlink r:id="rId170" w:history="1">
        <w:r w:rsidRPr="001D028A">
          <w:rPr>
            <w:rStyle w:val="Hyperlink"/>
            <w:rFonts w:eastAsia="Times New Roman" w:cstheme="minorHAnsi"/>
            <w:i/>
            <w:sz w:val="20"/>
            <w:szCs w:val="20"/>
          </w:rPr>
          <w:t>Pan American Health Organization Nutrient Profile Model</w:t>
        </w:r>
      </w:hyperlink>
      <w:r w:rsidRPr="001D028A">
        <w:rPr>
          <w:rFonts w:eastAsia="Times New Roman" w:cstheme="minorHAnsi"/>
          <w:sz w:val="20"/>
          <w:szCs w:val="20"/>
        </w:rPr>
        <w:t xml:space="preserve">, Pan American Health Organization, Washington, D.C, viewed on 31 January 2019. </w:t>
      </w:r>
    </w:p>
    <w:p w14:paraId="3881B576" w14:textId="77777777" w:rsidR="00C52B5B" w:rsidRPr="001D028A" w:rsidRDefault="00C52B5B" w:rsidP="00C52B5B">
      <w:pPr>
        <w:autoSpaceDE w:val="0"/>
        <w:autoSpaceDN w:val="0"/>
        <w:adjustRightInd w:val="0"/>
        <w:rPr>
          <w:rFonts w:cstheme="minorHAnsi"/>
          <w:sz w:val="20"/>
          <w:szCs w:val="20"/>
        </w:rPr>
      </w:pPr>
    </w:p>
    <w:p w14:paraId="631B3D0B"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Public Health England 2018, </w:t>
      </w:r>
      <w:hyperlink r:id="rId171" w:history="1">
        <w:r w:rsidRPr="001D028A">
          <w:rPr>
            <w:rStyle w:val="Hyperlink"/>
            <w:rFonts w:eastAsia="Times New Roman" w:cstheme="minorHAnsi"/>
            <w:i/>
            <w:iCs/>
            <w:sz w:val="20"/>
            <w:szCs w:val="20"/>
          </w:rPr>
          <w:t>Consultation on the 2018 review of the UK Nutrient Profiling Model: Summary of consultation responses</w:t>
        </w:r>
      </w:hyperlink>
      <w:r w:rsidRPr="001D028A">
        <w:rPr>
          <w:rFonts w:eastAsia="Times New Roman" w:cstheme="minorHAnsi"/>
          <w:sz w:val="20"/>
          <w:szCs w:val="20"/>
        </w:rPr>
        <w:t>, September, viewed on 31 January 2019.</w:t>
      </w:r>
    </w:p>
    <w:p w14:paraId="2701AC49" w14:textId="77777777" w:rsidR="00C52B5B" w:rsidRPr="001D028A" w:rsidRDefault="00C52B5B" w:rsidP="00C52B5B">
      <w:pPr>
        <w:autoSpaceDE w:val="0"/>
        <w:autoSpaceDN w:val="0"/>
        <w:adjustRightInd w:val="0"/>
        <w:rPr>
          <w:rFonts w:cstheme="minorHAnsi"/>
          <w:color w:val="000000"/>
          <w:sz w:val="20"/>
          <w:szCs w:val="20"/>
          <w:lang w:val="en-US"/>
        </w:rPr>
      </w:pPr>
    </w:p>
    <w:p w14:paraId="063B2578"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Public Health England 2018, </w:t>
      </w:r>
      <w:r w:rsidRPr="001D028A">
        <w:rPr>
          <w:rFonts w:eastAsia="Times New Roman" w:cstheme="minorHAnsi"/>
          <w:i/>
          <w:iCs/>
          <w:sz w:val="20"/>
          <w:szCs w:val="20"/>
        </w:rPr>
        <w:t>Annex A: The 2018 review of the UK Nutrient Profiling Model</w:t>
      </w:r>
      <w:r w:rsidRPr="001D028A">
        <w:rPr>
          <w:rFonts w:eastAsia="Times New Roman" w:cstheme="minorHAnsi"/>
          <w:sz w:val="20"/>
          <w:szCs w:val="20"/>
        </w:rPr>
        <w:t xml:space="preserve">, PHE Publications, March 2018. </w:t>
      </w:r>
    </w:p>
    <w:p w14:paraId="261921DF" w14:textId="77777777" w:rsidR="00C52B5B" w:rsidRPr="001D028A" w:rsidRDefault="00C52B5B" w:rsidP="00C52B5B">
      <w:pPr>
        <w:rPr>
          <w:rFonts w:eastAsia="Times New Roman" w:cstheme="minorHAnsi"/>
          <w:sz w:val="20"/>
          <w:szCs w:val="20"/>
        </w:rPr>
      </w:pPr>
    </w:p>
    <w:p w14:paraId="2D35211C"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Public Health England 2018, </w:t>
      </w:r>
      <w:r w:rsidRPr="001D028A">
        <w:rPr>
          <w:rFonts w:eastAsia="Times New Roman" w:cstheme="minorHAnsi"/>
          <w:i/>
          <w:iCs/>
          <w:sz w:val="20"/>
          <w:szCs w:val="20"/>
        </w:rPr>
        <w:t>Annex B: Summary of peer reviewer comments and Nutrient Profiling Model expert group responses in the 2018 review of the UK Nutrient Profiling Model.</w:t>
      </w:r>
    </w:p>
    <w:p w14:paraId="6A43F261" w14:textId="77777777" w:rsidR="00C52B5B" w:rsidRPr="001D028A" w:rsidRDefault="00C52B5B" w:rsidP="00C52B5B">
      <w:pPr>
        <w:rPr>
          <w:rFonts w:eastAsia="Times New Roman" w:cstheme="minorHAnsi"/>
          <w:sz w:val="20"/>
          <w:szCs w:val="20"/>
        </w:rPr>
      </w:pPr>
    </w:p>
    <w:p w14:paraId="4BB670D1" w14:textId="77777777" w:rsidR="00C52B5B" w:rsidRPr="001D028A" w:rsidRDefault="00C52B5B" w:rsidP="00C52B5B">
      <w:pPr>
        <w:rPr>
          <w:rFonts w:eastAsia="Times New Roman" w:cstheme="minorHAnsi"/>
          <w:i/>
          <w:iCs/>
          <w:sz w:val="20"/>
          <w:szCs w:val="20"/>
        </w:rPr>
      </w:pPr>
      <w:r w:rsidRPr="001D028A">
        <w:rPr>
          <w:rFonts w:eastAsia="Times New Roman" w:cstheme="minorHAnsi"/>
          <w:sz w:val="20"/>
          <w:szCs w:val="20"/>
        </w:rPr>
        <w:t xml:space="preserve">Public Health England 2018, </w:t>
      </w:r>
      <w:r w:rsidRPr="001D028A">
        <w:rPr>
          <w:rFonts w:eastAsia="Times New Roman" w:cstheme="minorHAnsi"/>
          <w:i/>
          <w:iCs/>
          <w:sz w:val="20"/>
          <w:szCs w:val="20"/>
        </w:rPr>
        <w:t>Annex C: Basis of the nutrient/food component and scoring for the UK NPM 2004/5 and the draft 2018 NPM.</w:t>
      </w:r>
    </w:p>
    <w:p w14:paraId="3112EC40" w14:textId="77777777" w:rsidR="00C52B5B" w:rsidRPr="001D028A" w:rsidRDefault="00C52B5B" w:rsidP="00C52B5B">
      <w:pPr>
        <w:autoSpaceDE w:val="0"/>
        <w:autoSpaceDN w:val="0"/>
        <w:adjustRightInd w:val="0"/>
        <w:rPr>
          <w:rFonts w:cstheme="minorHAnsi"/>
          <w:color w:val="000000"/>
          <w:sz w:val="20"/>
          <w:szCs w:val="20"/>
          <w:lang w:val="en-US"/>
        </w:rPr>
      </w:pPr>
    </w:p>
    <w:p w14:paraId="3DFE236C"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Public Health England 2015, </w:t>
      </w:r>
      <w:r w:rsidRPr="001D028A">
        <w:rPr>
          <w:rFonts w:cstheme="minorHAnsi"/>
          <w:i/>
          <w:iCs/>
          <w:sz w:val="20"/>
          <w:szCs w:val="20"/>
        </w:rPr>
        <w:t>Sugar Reduction: The evidence for action</w:t>
      </w:r>
      <w:r w:rsidRPr="001D028A">
        <w:rPr>
          <w:rFonts w:cstheme="minorHAnsi"/>
          <w:sz w:val="20"/>
          <w:szCs w:val="20"/>
        </w:rPr>
        <w:t>, London, October.</w:t>
      </w:r>
    </w:p>
    <w:p w14:paraId="59A1CDB6" w14:textId="77777777" w:rsidR="00C52B5B" w:rsidRPr="001D028A" w:rsidRDefault="00C52B5B" w:rsidP="00C52B5B">
      <w:pPr>
        <w:pStyle w:val="NoSpacing"/>
        <w:rPr>
          <w:rFonts w:cstheme="minorHAnsi"/>
          <w:sz w:val="20"/>
          <w:szCs w:val="20"/>
        </w:rPr>
      </w:pPr>
    </w:p>
    <w:p w14:paraId="2F5D930A"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Ramirez, R, Strensdorff, N &amp; Pastor, C 2016,</w:t>
      </w:r>
      <w:r w:rsidRPr="001D028A">
        <w:rPr>
          <w:rFonts w:eastAsia="Times New Roman" w:cstheme="minorHAnsi"/>
          <w:i/>
          <w:sz w:val="20"/>
          <w:szCs w:val="20"/>
        </w:rPr>
        <w:t xml:space="preserve"> </w:t>
      </w:r>
      <w:hyperlink r:id="rId172" w:history="1">
        <w:r w:rsidRPr="001D028A">
          <w:rPr>
            <w:rStyle w:val="Hyperlink"/>
            <w:rFonts w:eastAsia="Times New Roman" w:cstheme="minorHAnsi"/>
            <w:i/>
            <w:sz w:val="20"/>
            <w:szCs w:val="20"/>
          </w:rPr>
          <w:t>Special Report: Chile’s Law on Food Labelling and Advertising: A Replicable Model for Latin America?,</w:t>
        </w:r>
      </w:hyperlink>
      <w:r w:rsidRPr="001D028A">
        <w:rPr>
          <w:rFonts w:eastAsia="Times New Roman" w:cstheme="minorHAnsi"/>
          <w:i/>
          <w:sz w:val="20"/>
          <w:szCs w:val="20"/>
        </w:rPr>
        <w:t xml:space="preserve"> </w:t>
      </w:r>
      <w:r w:rsidRPr="001D028A">
        <w:rPr>
          <w:rFonts w:eastAsia="Times New Roman" w:cstheme="minorHAnsi"/>
          <w:sz w:val="20"/>
          <w:szCs w:val="20"/>
        </w:rPr>
        <w:t xml:space="preserve">Developing Ideas by Llorente &amp; Cuenca, Santiago, viewed on 16 October 2018. </w:t>
      </w:r>
    </w:p>
    <w:p w14:paraId="33DEAAE5" w14:textId="77777777" w:rsidR="00C52B5B" w:rsidRPr="001D028A" w:rsidRDefault="00C52B5B" w:rsidP="00C52B5B">
      <w:pPr>
        <w:rPr>
          <w:rFonts w:eastAsia="Times New Roman" w:cstheme="minorHAnsi"/>
          <w:sz w:val="20"/>
          <w:szCs w:val="20"/>
        </w:rPr>
      </w:pPr>
    </w:p>
    <w:p w14:paraId="004ED8E1"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Rayner, M, Scarborough, P, Boxer, A &amp; Stockley, L 2005, </w:t>
      </w:r>
      <w:hyperlink r:id="rId173" w:history="1">
        <w:r w:rsidRPr="001D028A">
          <w:rPr>
            <w:rStyle w:val="Hyperlink"/>
            <w:rFonts w:eastAsia="Times New Roman" w:cstheme="minorHAnsi"/>
            <w:i/>
            <w:iCs/>
            <w:sz w:val="20"/>
            <w:szCs w:val="20"/>
          </w:rPr>
          <w:t>Nutrient profiles: Development of Final Model Final Report</w:t>
        </w:r>
      </w:hyperlink>
      <w:r w:rsidRPr="001D028A">
        <w:rPr>
          <w:rFonts w:eastAsia="Times New Roman" w:cstheme="minorHAnsi"/>
          <w:sz w:val="20"/>
          <w:szCs w:val="20"/>
        </w:rPr>
        <w:t xml:space="preserve">, British Heart Foundation Health Promotion Research Group, University of Oxford, viewed on 31 January 2019. </w:t>
      </w:r>
    </w:p>
    <w:p w14:paraId="6BE2E05D" w14:textId="77777777" w:rsidR="00C52B5B" w:rsidRPr="001D028A" w:rsidRDefault="00C52B5B" w:rsidP="00C52B5B">
      <w:pPr>
        <w:rPr>
          <w:rFonts w:eastAsia="Times New Roman" w:cstheme="minorHAnsi"/>
          <w:sz w:val="20"/>
          <w:szCs w:val="20"/>
        </w:rPr>
      </w:pPr>
    </w:p>
    <w:p w14:paraId="79C64B91" w14:textId="26DF9DAE" w:rsidR="00C52B5B" w:rsidRPr="001D028A" w:rsidRDefault="00C52B5B" w:rsidP="00C52B5B">
      <w:pPr>
        <w:rPr>
          <w:rFonts w:eastAsia="Times New Roman" w:cstheme="minorHAnsi"/>
          <w:iCs/>
          <w:sz w:val="20"/>
          <w:szCs w:val="20"/>
        </w:rPr>
      </w:pPr>
      <w:r w:rsidRPr="001D028A">
        <w:rPr>
          <w:rFonts w:eastAsia="Times New Roman" w:cstheme="minorHAnsi"/>
          <w:sz w:val="20"/>
          <w:szCs w:val="20"/>
        </w:rPr>
        <w:t>Rayner, M 2016,</w:t>
      </w:r>
      <w:r w:rsidRPr="001D028A">
        <w:rPr>
          <w:rFonts w:eastAsia="Times New Roman" w:cstheme="minorHAnsi"/>
          <w:i/>
          <w:sz w:val="20"/>
          <w:szCs w:val="20"/>
        </w:rPr>
        <w:t xml:space="preserve"> Nutrient profiling for regulatory purposes, </w:t>
      </w:r>
      <w:r w:rsidRPr="001D028A">
        <w:rPr>
          <w:rFonts w:eastAsia="Times New Roman" w:cstheme="minorHAnsi"/>
          <w:iCs/>
          <w:sz w:val="20"/>
          <w:szCs w:val="20"/>
        </w:rPr>
        <w:t>Proceedings of the Nutrition Society Summer Meeting held at University College, Dublin on 11-14 July 2016, p</w:t>
      </w:r>
      <w:r>
        <w:rPr>
          <w:rFonts w:eastAsia="Times New Roman" w:cstheme="minorHAnsi"/>
          <w:iCs/>
          <w:sz w:val="20"/>
          <w:szCs w:val="20"/>
        </w:rPr>
        <w:t xml:space="preserve">. </w:t>
      </w:r>
      <w:r w:rsidRPr="001D028A">
        <w:rPr>
          <w:rFonts w:eastAsia="Times New Roman" w:cstheme="minorHAnsi"/>
          <w:iCs/>
          <w:sz w:val="20"/>
          <w:szCs w:val="20"/>
        </w:rPr>
        <w:t>1-7.</w:t>
      </w:r>
    </w:p>
    <w:p w14:paraId="474DE499" w14:textId="77777777" w:rsidR="00C52B5B" w:rsidRPr="001D028A" w:rsidRDefault="00C52B5B" w:rsidP="00C52B5B">
      <w:pPr>
        <w:rPr>
          <w:rFonts w:eastAsia="Times New Roman" w:cstheme="minorHAnsi"/>
          <w:iCs/>
          <w:sz w:val="20"/>
          <w:szCs w:val="20"/>
        </w:rPr>
      </w:pPr>
    </w:p>
    <w:p w14:paraId="1247A337" w14:textId="77777777" w:rsidR="00C52B5B" w:rsidRPr="001D028A" w:rsidRDefault="00C52B5B" w:rsidP="00C52B5B">
      <w:pPr>
        <w:rPr>
          <w:rFonts w:cstheme="minorHAnsi"/>
          <w:color w:val="000000" w:themeColor="text1"/>
          <w:sz w:val="20"/>
          <w:szCs w:val="20"/>
        </w:rPr>
      </w:pPr>
      <w:r w:rsidRPr="001D028A">
        <w:rPr>
          <w:rFonts w:eastAsia="Times New Roman" w:cstheme="minorHAnsi"/>
          <w:iCs/>
          <w:sz w:val="20"/>
          <w:szCs w:val="20"/>
        </w:rPr>
        <w:t>Rayner, M, Scarborough, P &amp; Lobstein, T</w:t>
      </w:r>
      <w:r w:rsidRPr="001D028A">
        <w:rPr>
          <w:rFonts w:eastAsia="Times New Roman" w:cstheme="minorHAnsi"/>
          <w:i/>
          <w:sz w:val="20"/>
          <w:szCs w:val="20"/>
        </w:rPr>
        <w:t xml:space="preserve"> </w:t>
      </w:r>
      <w:r w:rsidRPr="001D028A">
        <w:rPr>
          <w:rFonts w:eastAsia="Times New Roman" w:cstheme="minorHAnsi"/>
          <w:sz w:val="20"/>
          <w:szCs w:val="20"/>
        </w:rPr>
        <w:t>2009</w:t>
      </w:r>
      <w:r w:rsidRPr="001D028A">
        <w:rPr>
          <w:rFonts w:eastAsia="Times New Roman" w:cstheme="minorHAnsi"/>
          <w:i/>
          <w:sz w:val="20"/>
          <w:szCs w:val="20"/>
        </w:rPr>
        <w:t xml:space="preserve">, </w:t>
      </w:r>
      <w:hyperlink r:id="rId174" w:history="1">
        <w:r w:rsidRPr="001D028A">
          <w:rPr>
            <w:rStyle w:val="Hyperlink"/>
            <w:rFonts w:eastAsia="Times New Roman" w:cstheme="minorHAnsi"/>
            <w:i/>
            <w:sz w:val="20"/>
            <w:szCs w:val="20"/>
          </w:rPr>
          <w:t>The UK Ofcom Nutrient Profiling Model: Defining ‘healthy’ and ‘unhealthy’ foods and drinks for TV advertising for children</w:t>
        </w:r>
      </w:hyperlink>
      <w:r w:rsidRPr="001D028A">
        <w:rPr>
          <w:rFonts w:eastAsia="Times New Roman" w:cstheme="minorHAnsi"/>
          <w:iCs/>
          <w:sz w:val="20"/>
          <w:szCs w:val="20"/>
        </w:rPr>
        <w:t>.</w:t>
      </w:r>
    </w:p>
    <w:p w14:paraId="614D4274"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 </w:t>
      </w:r>
    </w:p>
    <w:p w14:paraId="6BFB554C"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Rodriguez, L (undated) </w:t>
      </w:r>
      <w:hyperlink r:id="rId175" w:history="1">
        <w:r w:rsidRPr="001D028A">
          <w:rPr>
            <w:rStyle w:val="Hyperlink"/>
            <w:rFonts w:eastAsia="Times New Roman" w:cstheme="minorHAnsi"/>
            <w:i/>
            <w:iCs/>
            <w:sz w:val="20"/>
            <w:szCs w:val="20"/>
          </w:rPr>
          <w:t>The implementation of new regulations on nutritional labelling in Chile</w:t>
        </w:r>
      </w:hyperlink>
      <w:r w:rsidRPr="001D028A">
        <w:rPr>
          <w:rFonts w:eastAsia="Times New Roman" w:cstheme="minorHAnsi"/>
          <w:sz w:val="20"/>
          <w:szCs w:val="20"/>
        </w:rPr>
        <w:t xml:space="preserve">, Chilean Ministry of Health powerpoint presentation, viewed on 11 September 2018. </w:t>
      </w:r>
    </w:p>
    <w:p w14:paraId="240439CD" w14:textId="77777777" w:rsidR="00C52B5B" w:rsidRPr="001D028A" w:rsidRDefault="00C52B5B" w:rsidP="00C52B5B">
      <w:pPr>
        <w:pStyle w:val="NoSpacing"/>
        <w:rPr>
          <w:rFonts w:cstheme="minorHAnsi"/>
          <w:sz w:val="20"/>
          <w:szCs w:val="20"/>
        </w:rPr>
      </w:pPr>
    </w:p>
    <w:p w14:paraId="512A243F" w14:textId="77777777" w:rsidR="00C52B5B" w:rsidRPr="001D028A" w:rsidRDefault="00C52B5B" w:rsidP="00C52B5B">
      <w:pPr>
        <w:pStyle w:val="NoSpacing"/>
        <w:rPr>
          <w:rFonts w:cstheme="minorHAnsi"/>
          <w:sz w:val="20"/>
          <w:szCs w:val="20"/>
        </w:rPr>
      </w:pPr>
      <w:r w:rsidRPr="001D028A">
        <w:rPr>
          <w:rFonts w:cstheme="minorHAnsi"/>
          <w:sz w:val="20"/>
          <w:szCs w:val="20"/>
        </w:rPr>
        <w:t xml:space="preserve">Scientific Advisory Committee on Nutrition 2015, </w:t>
      </w:r>
      <w:hyperlink r:id="rId176" w:history="1">
        <w:r w:rsidRPr="001D028A">
          <w:rPr>
            <w:rStyle w:val="Hyperlink"/>
            <w:rFonts w:cstheme="minorHAnsi"/>
            <w:i/>
            <w:iCs/>
            <w:sz w:val="20"/>
            <w:szCs w:val="20"/>
          </w:rPr>
          <w:t>Carbohydrates and Health</w:t>
        </w:r>
      </w:hyperlink>
      <w:r w:rsidRPr="001D028A">
        <w:rPr>
          <w:rFonts w:cstheme="minorHAnsi"/>
          <w:i/>
          <w:iCs/>
          <w:sz w:val="20"/>
          <w:szCs w:val="20"/>
        </w:rPr>
        <w:t>,</w:t>
      </w:r>
      <w:r w:rsidRPr="001D028A">
        <w:rPr>
          <w:rFonts w:cstheme="minorHAnsi"/>
          <w:sz w:val="20"/>
          <w:szCs w:val="20"/>
        </w:rPr>
        <w:t xml:space="preserve"> Public Health England, London, viewed on 17 January 2019. </w:t>
      </w:r>
    </w:p>
    <w:p w14:paraId="58BD5642" w14:textId="77777777" w:rsidR="00C52B5B" w:rsidRPr="001D028A" w:rsidRDefault="00C52B5B" w:rsidP="00C52B5B">
      <w:pPr>
        <w:autoSpaceDE w:val="0"/>
        <w:autoSpaceDN w:val="0"/>
        <w:adjustRightInd w:val="0"/>
        <w:rPr>
          <w:rFonts w:cstheme="minorHAnsi"/>
          <w:color w:val="000000"/>
          <w:sz w:val="20"/>
          <w:szCs w:val="20"/>
          <w:lang w:val="en-US"/>
        </w:rPr>
      </w:pPr>
    </w:p>
    <w:p w14:paraId="72A305D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TNS Social Research 2007, </w:t>
      </w:r>
      <w:hyperlink r:id="rId177" w:history="1">
        <w:r w:rsidRPr="001D028A">
          <w:rPr>
            <w:rStyle w:val="Hyperlink"/>
            <w:rFonts w:cstheme="minorHAnsi"/>
            <w:i/>
            <w:sz w:val="20"/>
            <w:szCs w:val="20"/>
            <w:lang w:val="en-GB"/>
          </w:rPr>
          <w:t>Qualitative Research into the interpretation of %DI and %RDI Labelling</w:t>
        </w:r>
      </w:hyperlink>
      <w:r w:rsidRPr="001D028A">
        <w:rPr>
          <w:rFonts w:cstheme="minorHAnsi"/>
          <w:i/>
          <w:sz w:val="20"/>
          <w:szCs w:val="20"/>
          <w:lang w:val="en-GB"/>
        </w:rPr>
        <w:t xml:space="preserve">, </w:t>
      </w:r>
      <w:r w:rsidRPr="001D028A">
        <w:rPr>
          <w:rFonts w:cstheme="minorHAnsi"/>
          <w:sz w:val="20"/>
          <w:szCs w:val="20"/>
          <w:lang w:val="en-GB"/>
        </w:rPr>
        <w:t>prepared for Food Standards Australia New Zealand, viewed on 17 January 2019.</w:t>
      </w:r>
    </w:p>
    <w:p w14:paraId="73248144" w14:textId="77777777" w:rsidR="00C52B5B" w:rsidRPr="001D028A" w:rsidRDefault="00C52B5B" w:rsidP="00C52B5B">
      <w:pPr>
        <w:pStyle w:val="NoSpacing"/>
        <w:rPr>
          <w:rFonts w:cstheme="minorHAnsi"/>
          <w:sz w:val="20"/>
          <w:szCs w:val="20"/>
          <w:lang w:val="en-GB"/>
        </w:rPr>
      </w:pPr>
    </w:p>
    <w:p w14:paraId="5A7FFE52"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 xml:space="preserve">Victorian Salt Reduction Partnership 2018, </w:t>
      </w:r>
      <w:hyperlink r:id="rId178" w:history="1">
        <w:r w:rsidRPr="001D028A">
          <w:rPr>
            <w:rStyle w:val="Hyperlink"/>
            <w:rFonts w:cstheme="minorHAnsi"/>
            <w:i/>
            <w:iCs/>
            <w:sz w:val="20"/>
            <w:szCs w:val="20"/>
            <w:lang w:val="en-GB"/>
          </w:rPr>
          <w:t>Reducing the pressure on our health and economy: A call to action from the Victorian Salt Reduction Partnership</w:t>
        </w:r>
      </w:hyperlink>
      <w:r w:rsidRPr="001D028A">
        <w:rPr>
          <w:rFonts w:cstheme="minorHAnsi"/>
          <w:i/>
          <w:iCs/>
          <w:sz w:val="20"/>
          <w:szCs w:val="20"/>
          <w:lang w:val="en-GB"/>
        </w:rPr>
        <w:t xml:space="preserve">, </w:t>
      </w:r>
      <w:r w:rsidRPr="001D028A">
        <w:rPr>
          <w:rFonts w:cstheme="minorHAnsi"/>
          <w:iCs/>
          <w:sz w:val="20"/>
          <w:szCs w:val="20"/>
          <w:lang w:val="en-GB"/>
        </w:rPr>
        <w:t xml:space="preserve">policy statement, February, viewed on 17 January 2019. </w:t>
      </w:r>
    </w:p>
    <w:p w14:paraId="7B4C69ED" w14:textId="77777777" w:rsidR="00C52B5B" w:rsidRPr="001D028A" w:rsidRDefault="00C52B5B" w:rsidP="00C52B5B">
      <w:pPr>
        <w:pStyle w:val="NoSpacing"/>
        <w:rPr>
          <w:rFonts w:cstheme="minorHAnsi"/>
          <w:iCs/>
          <w:sz w:val="20"/>
          <w:szCs w:val="20"/>
          <w:lang w:val="en-GB"/>
        </w:rPr>
      </w:pPr>
    </w:p>
    <w:p w14:paraId="3D8896A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Victorian Salt Reduction Partnership 2018, </w:t>
      </w:r>
      <w:hyperlink r:id="rId179" w:history="1">
        <w:r w:rsidRPr="001D028A">
          <w:rPr>
            <w:rStyle w:val="Hyperlink"/>
            <w:rFonts w:cstheme="minorHAnsi"/>
            <w:i/>
            <w:iCs/>
            <w:sz w:val="20"/>
            <w:szCs w:val="20"/>
            <w:lang w:val="en-GB"/>
          </w:rPr>
          <w:t>Salt reformulation in Australia, including case studies for Woolworths and Unilever</w:t>
        </w:r>
      </w:hyperlink>
      <w:r w:rsidRPr="001D028A">
        <w:rPr>
          <w:rFonts w:cstheme="minorHAnsi"/>
          <w:sz w:val="20"/>
          <w:szCs w:val="20"/>
          <w:lang w:val="en-GB"/>
        </w:rPr>
        <w:t>, viewed 31 January 2019.</w:t>
      </w:r>
    </w:p>
    <w:p w14:paraId="3C0800FF" w14:textId="77777777" w:rsidR="00C52B5B" w:rsidRPr="001D028A" w:rsidRDefault="00C52B5B" w:rsidP="00C52B5B">
      <w:pPr>
        <w:pStyle w:val="NoSpacing"/>
        <w:rPr>
          <w:rFonts w:cstheme="minorHAnsi"/>
          <w:sz w:val="20"/>
          <w:szCs w:val="20"/>
          <w:lang w:val="en-GB"/>
        </w:rPr>
      </w:pPr>
    </w:p>
    <w:p w14:paraId="1A1B144D"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VicHealth 2015, </w:t>
      </w:r>
      <w:hyperlink r:id="rId180" w:history="1">
        <w:r w:rsidRPr="001D028A">
          <w:rPr>
            <w:rStyle w:val="Hyperlink"/>
            <w:rFonts w:cstheme="minorHAnsi"/>
            <w:i/>
            <w:sz w:val="20"/>
            <w:szCs w:val="20"/>
            <w:lang w:val="en-GB"/>
          </w:rPr>
          <w:t>State of salt: deaths linked to high salt intake six times higher than Victoria’s annual road toll</w:t>
        </w:r>
      </w:hyperlink>
      <w:r w:rsidRPr="001D028A">
        <w:rPr>
          <w:rFonts w:cstheme="minorHAnsi"/>
          <w:sz w:val="20"/>
          <w:szCs w:val="20"/>
          <w:lang w:val="en-GB"/>
        </w:rPr>
        <w:t>, media release, 13 May, viewed on 10 January 2019.</w:t>
      </w:r>
    </w:p>
    <w:p w14:paraId="1BE68366" w14:textId="77777777" w:rsidR="00C52B5B" w:rsidRPr="001D028A" w:rsidRDefault="00C52B5B" w:rsidP="00C52B5B">
      <w:pPr>
        <w:pStyle w:val="NoSpacing"/>
        <w:rPr>
          <w:rFonts w:cstheme="minorHAnsi"/>
          <w:sz w:val="20"/>
          <w:szCs w:val="20"/>
          <w:lang w:val="en-GB"/>
        </w:rPr>
      </w:pPr>
    </w:p>
    <w:p w14:paraId="754BA715"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Wartella, E, Lichtenstein, A, &amp; Boon, C (editors) 2010, </w:t>
      </w:r>
      <w:r w:rsidRPr="001D028A">
        <w:rPr>
          <w:rFonts w:eastAsia="Times New Roman" w:cstheme="minorHAnsi"/>
          <w:i/>
          <w:sz w:val="20"/>
          <w:szCs w:val="20"/>
        </w:rPr>
        <w:t>Front-of-Package Nutrition Rating Systems and Symbols: Phase 1 Report</w:t>
      </w:r>
      <w:r w:rsidRPr="001D028A">
        <w:rPr>
          <w:rFonts w:eastAsia="Times New Roman" w:cstheme="minorHAnsi"/>
          <w:sz w:val="20"/>
          <w:szCs w:val="20"/>
        </w:rPr>
        <w:t>, Institute of Medicine of the National Academies, National Academies Press, Washington, D.C.</w:t>
      </w:r>
    </w:p>
    <w:p w14:paraId="7255D852" w14:textId="77777777" w:rsidR="00C52B5B" w:rsidRPr="001D028A" w:rsidRDefault="00C52B5B" w:rsidP="00C52B5B">
      <w:pPr>
        <w:rPr>
          <w:rFonts w:eastAsia="Times New Roman" w:cstheme="minorHAnsi"/>
          <w:sz w:val="20"/>
          <w:szCs w:val="20"/>
        </w:rPr>
      </w:pPr>
    </w:p>
    <w:p w14:paraId="6258C031"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World Cancer Research Fund International 2019, </w:t>
      </w:r>
      <w:hyperlink r:id="rId181" w:history="1">
        <w:r w:rsidRPr="001D028A">
          <w:rPr>
            <w:rStyle w:val="Hyperlink"/>
            <w:rFonts w:eastAsia="Times New Roman" w:cstheme="minorHAnsi"/>
            <w:i/>
            <w:iCs/>
            <w:sz w:val="20"/>
            <w:szCs w:val="20"/>
          </w:rPr>
          <w:t>Building momentum: lessons in implementing a robust front-of-pack label</w:t>
        </w:r>
      </w:hyperlink>
      <w:r w:rsidRPr="001D028A">
        <w:rPr>
          <w:rFonts w:eastAsia="Times New Roman" w:cstheme="minorHAnsi"/>
          <w:sz w:val="20"/>
          <w:szCs w:val="20"/>
        </w:rPr>
        <w:t>.</w:t>
      </w:r>
    </w:p>
    <w:p w14:paraId="01D20221" w14:textId="77777777" w:rsidR="00C52B5B" w:rsidRPr="001D028A" w:rsidRDefault="00C52B5B" w:rsidP="00C52B5B">
      <w:pPr>
        <w:rPr>
          <w:rFonts w:eastAsia="Times New Roman" w:cstheme="minorHAnsi"/>
          <w:sz w:val="20"/>
          <w:szCs w:val="20"/>
        </w:rPr>
      </w:pPr>
    </w:p>
    <w:p w14:paraId="70A855CC" w14:textId="77777777" w:rsidR="00C52B5B" w:rsidRPr="001D028A" w:rsidRDefault="00C52B5B" w:rsidP="00C52B5B">
      <w:pPr>
        <w:pStyle w:val="NoSpacing"/>
        <w:rPr>
          <w:rFonts w:cstheme="minorHAnsi"/>
          <w:b/>
          <w:bCs/>
          <w:sz w:val="20"/>
          <w:szCs w:val="20"/>
          <w:lang w:val="en-GB"/>
        </w:rPr>
      </w:pPr>
      <w:r w:rsidRPr="001D028A">
        <w:rPr>
          <w:rFonts w:cstheme="minorHAnsi"/>
          <w:b/>
          <w:bCs/>
          <w:sz w:val="20"/>
          <w:szCs w:val="20"/>
          <w:lang w:val="en-GB"/>
        </w:rPr>
        <w:t>Media articles, press releases and fact sheets</w:t>
      </w:r>
    </w:p>
    <w:p w14:paraId="04F05A97" w14:textId="77777777" w:rsidR="00C52B5B" w:rsidRPr="001D028A" w:rsidRDefault="00C52B5B" w:rsidP="00C52B5B">
      <w:pPr>
        <w:pStyle w:val="NoSpacing"/>
        <w:rPr>
          <w:rFonts w:cstheme="minorHAnsi"/>
          <w:sz w:val="20"/>
          <w:szCs w:val="20"/>
          <w:lang w:val="en-GB"/>
        </w:rPr>
      </w:pPr>
    </w:p>
    <w:p w14:paraId="13D0176B"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Dalzell, S 2018 </w:t>
      </w:r>
      <w:hyperlink r:id="rId182" w:history="1">
        <w:r w:rsidRPr="001D028A">
          <w:rPr>
            <w:rStyle w:val="Hyperlink"/>
            <w:rFonts w:cstheme="minorHAnsi"/>
            <w:sz w:val="20"/>
            <w:szCs w:val="20"/>
            <w:lang w:val="en-GB"/>
          </w:rPr>
          <w:t>‘Soft drink industry pledges to cut sugar overall, but doctors say it’s a diversion from the real issue’</w:t>
        </w:r>
      </w:hyperlink>
      <w:r w:rsidRPr="001D028A">
        <w:rPr>
          <w:rFonts w:cstheme="minorHAnsi"/>
          <w:sz w:val="20"/>
          <w:szCs w:val="20"/>
          <w:lang w:val="en-GB"/>
        </w:rPr>
        <w:t xml:space="preserve">, </w:t>
      </w:r>
      <w:r w:rsidRPr="001D028A">
        <w:rPr>
          <w:rFonts w:cstheme="minorHAnsi"/>
          <w:i/>
          <w:sz w:val="20"/>
          <w:szCs w:val="20"/>
          <w:lang w:val="en-GB"/>
        </w:rPr>
        <w:t>ABC News</w:t>
      </w:r>
      <w:r w:rsidRPr="001D028A">
        <w:rPr>
          <w:rFonts w:cstheme="minorHAnsi"/>
          <w:sz w:val="20"/>
          <w:szCs w:val="20"/>
          <w:lang w:val="en-GB"/>
        </w:rPr>
        <w:t xml:space="preserve">, 26 June, viewed on 31 January 2019. </w:t>
      </w:r>
    </w:p>
    <w:p w14:paraId="311F1F11" w14:textId="77777777" w:rsidR="00C52B5B" w:rsidRPr="001D028A" w:rsidRDefault="00C52B5B" w:rsidP="00C52B5B">
      <w:pPr>
        <w:rPr>
          <w:rFonts w:eastAsia="Times New Roman" w:cstheme="minorHAnsi"/>
          <w:sz w:val="20"/>
          <w:szCs w:val="20"/>
        </w:rPr>
      </w:pPr>
    </w:p>
    <w:p w14:paraId="11F795B0"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Department of Health and Social Care 2013, </w:t>
      </w:r>
      <w:hyperlink r:id="rId183" w:history="1">
        <w:r w:rsidRPr="001D028A">
          <w:rPr>
            <w:rStyle w:val="Hyperlink"/>
            <w:rFonts w:eastAsia="Times New Roman" w:cstheme="minorHAnsi"/>
            <w:i/>
            <w:sz w:val="20"/>
            <w:szCs w:val="20"/>
          </w:rPr>
          <w:t>Press release: Final design of consistent nutritional labelling system given green light</w:t>
        </w:r>
      </w:hyperlink>
      <w:r w:rsidRPr="001D028A">
        <w:rPr>
          <w:rFonts w:eastAsia="Times New Roman" w:cstheme="minorHAnsi"/>
          <w:sz w:val="20"/>
          <w:szCs w:val="20"/>
        </w:rPr>
        <w:t>, viewed on 31 January 2019.</w:t>
      </w:r>
    </w:p>
    <w:p w14:paraId="6236317D" w14:textId="77777777" w:rsidR="00C52B5B" w:rsidRPr="001D028A" w:rsidRDefault="00C52B5B" w:rsidP="00C52B5B">
      <w:pPr>
        <w:rPr>
          <w:rFonts w:eastAsia="Times New Roman" w:cstheme="minorHAnsi"/>
          <w:sz w:val="20"/>
          <w:szCs w:val="20"/>
        </w:rPr>
      </w:pPr>
    </w:p>
    <w:p w14:paraId="54157D39" w14:textId="77777777" w:rsidR="00C52B5B" w:rsidRPr="001D028A" w:rsidRDefault="00C52B5B" w:rsidP="00C52B5B">
      <w:pPr>
        <w:rPr>
          <w:rFonts w:cstheme="minorHAnsi"/>
          <w:sz w:val="20"/>
          <w:szCs w:val="20"/>
        </w:rPr>
      </w:pPr>
      <w:r w:rsidRPr="001D028A">
        <w:rPr>
          <w:rFonts w:cstheme="minorHAnsi"/>
          <w:sz w:val="20"/>
          <w:szCs w:val="20"/>
        </w:rPr>
        <w:t xml:space="preserve">Eat for Health, </w:t>
      </w:r>
      <w:hyperlink r:id="rId184" w:history="1">
        <w:r w:rsidRPr="001D028A">
          <w:rPr>
            <w:rStyle w:val="Hyperlink"/>
            <w:rFonts w:cstheme="minorHAnsi"/>
            <w:i/>
            <w:iCs/>
            <w:sz w:val="20"/>
            <w:szCs w:val="20"/>
          </w:rPr>
          <w:t>How to understand food labels</w:t>
        </w:r>
      </w:hyperlink>
      <w:r w:rsidRPr="001D028A">
        <w:rPr>
          <w:rFonts w:cstheme="minorHAnsi"/>
          <w:i/>
          <w:iCs/>
          <w:sz w:val="20"/>
          <w:szCs w:val="20"/>
        </w:rPr>
        <w:t xml:space="preserve">, </w:t>
      </w:r>
      <w:r w:rsidRPr="001D028A">
        <w:rPr>
          <w:rFonts w:cstheme="minorHAnsi"/>
          <w:iCs/>
          <w:sz w:val="20"/>
          <w:szCs w:val="20"/>
        </w:rPr>
        <w:t>viewed on 31 January 2019.</w:t>
      </w:r>
      <w:r w:rsidRPr="001D028A">
        <w:rPr>
          <w:rFonts w:cstheme="minorHAnsi"/>
          <w:i/>
          <w:iCs/>
          <w:sz w:val="20"/>
          <w:szCs w:val="20"/>
        </w:rPr>
        <w:t xml:space="preserve"> </w:t>
      </w:r>
      <w:r w:rsidRPr="001D028A">
        <w:rPr>
          <w:rFonts w:cstheme="minorHAnsi"/>
          <w:iCs/>
          <w:sz w:val="20"/>
          <w:szCs w:val="20"/>
        </w:rPr>
        <w:t xml:space="preserve"> </w:t>
      </w:r>
    </w:p>
    <w:p w14:paraId="5771D45D" w14:textId="77777777" w:rsidR="00C52B5B" w:rsidRPr="001D028A" w:rsidRDefault="00C52B5B" w:rsidP="00C52B5B">
      <w:pPr>
        <w:rPr>
          <w:rFonts w:eastAsia="Times New Roman" w:cstheme="minorHAnsi"/>
          <w:sz w:val="20"/>
          <w:szCs w:val="20"/>
        </w:rPr>
      </w:pPr>
    </w:p>
    <w:p w14:paraId="44ECD9C3" w14:textId="77777777" w:rsidR="00C52B5B" w:rsidRPr="001D028A" w:rsidRDefault="00C52B5B" w:rsidP="00C52B5B">
      <w:pPr>
        <w:rPr>
          <w:rFonts w:eastAsia="Times New Roman" w:cstheme="minorHAnsi"/>
          <w:sz w:val="20"/>
          <w:szCs w:val="20"/>
        </w:rPr>
      </w:pPr>
      <w:r w:rsidRPr="001D028A">
        <w:rPr>
          <w:rFonts w:eastAsia="Times New Roman" w:cstheme="minorHAnsi"/>
          <w:sz w:val="20"/>
          <w:szCs w:val="20"/>
        </w:rPr>
        <w:t xml:space="preserve">Guiding Stars Licensing Company 2018, </w:t>
      </w:r>
      <w:hyperlink r:id="rId185" w:history="1">
        <w:r w:rsidRPr="001D028A">
          <w:rPr>
            <w:rStyle w:val="Hyperlink"/>
            <w:rFonts w:eastAsia="Times New Roman" w:cstheme="minorHAnsi"/>
            <w:i/>
            <w:sz w:val="20"/>
            <w:szCs w:val="20"/>
          </w:rPr>
          <w:t>Finding Guiding Stars on Shelf Labels in Store</w:t>
        </w:r>
      </w:hyperlink>
      <w:r w:rsidRPr="001D028A">
        <w:rPr>
          <w:rFonts w:eastAsia="Times New Roman" w:cstheme="minorHAnsi"/>
          <w:sz w:val="20"/>
          <w:szCs w:val="20"/>
        </w:rPr>
        <w:t>, viewed on 4 December 2018.</w:t>
      </w:r>
    </w:p>
    <w:p w14:paraId="4D6AEFD8" w14:textId="77777777" w:rsidR="00C52B5B" w:rsidRPr="001D028A" w:rsidRDefault="00C52B5B" w:rsidP="00C52B5B">
      <w:pPr>
        <w:pStyle w:val="NoSpacing"/>
        <w:rPr>
          <w:rFonts w:cstheme="minorHAnsi"/>
          <w:sz w:val="20"/>
          <w:szCs w:val="20"/>
          <w:lang w:val="en-GB"/>
        </w:rPr>
      </w:pPr>
    </w:p>
    <w:p w14:paraId="1A8021C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Han, E 2018 ‘Nestle wipes ‘4.5’ health star rating off flagship Milo product, </w:t>
      </w:r>
      <w:r w:rsidRPr="001D028A">
        <w:rPr>
          <w:rFonts w:cstheme="minorHAnsi"/>
          <w:i/>
          <w:iCs/>
          <w:sz w:val="20"/>
          <w:szCs w:val="20"/>
          <w:lang w:val="en-GB"/>
        </w:rPr>
        <w:t>Sydney Morning Herald</w:t>
      </w:r>
      <w:r w:rsidRPr="001D028A">
        <w:rPr>
          <w:rFonts w:cstheme="minorHAnsi"/>
          <w:sz w:val="20"/>
          <w:szCs w:val="20"/>
          <w:lang w:val="en-GB"/>
        </w:rPr>
        <w:t xml:space="preserve">, 1 March 2018, viewed 1 March 2018, </w:t>
      </w:r>
      <w:hyperlink r:id="rId186" w:history="1">
        <w:r w:rsidRPr="001D028A">
          <w:rPr>
            <w:rStyle w:val="Hyperlink"/>
            <w:rFonts w:cstheme="minorHAnsi"/>
            <w:sz w:val="20"/>
            <w:szCs w:val="20"/>
            <w:lang w:val="en-GB"/>
          </w:rPr>
          <w:t>https://www.smh.com.au/healthcare/nestle-wipes-4-5-health-star-rating-off-flagship-milo-product-20180301-p4z295.html</w:t>
        </w:r>
      </w:hyperlink>
    </w:p>
    <w:p w14:paraId="409D0093" w14:textId="77777777" w:rsidR="00C52B5B" w:rsidRPr="001D028A" w:rsidRDefault="00C52B5B" w:rsidP="00C52B5B">
      <w:pPr>
        <w:pStyle w:val="NoSpacing"/>
        <w:rPr>
          <w:rFonts w:cstheme="minorHAnsi"/>
          <w:sz w:val="20"/>
          <w:szCs w:val="20"/>
          <w:lang w:val="en-GB"/>
        </w:rPr>
      </w:pPr>
    </w:p>
    <w:p w14:paraId="622BD819" w14:textId="77777777" w:rsidR="00C52B5B" w:rsidRPr="001D028A" w:rsidRDefault="00C52B5B" w:rsidP="00C52B5B">
      <w:pPr>
        <w:rPr>
          <w:rFonts w:cstheme="minorHAnsi"/>
          <w:sz w:val="20"/>
          <w:szCs w:val="20"/>
          <w:lang w:val="en-GB"/>
        </w:rPr>
      </w:pPr>
      <w:r w:rsidRPr="001D028A">
        <w:rPr>
          <w:rFonts w:cstheme="minorHAnsi"/>
          <w:sz w:val="20"/>
          <w:szCs w:val="20"/>
          <w:lang w:val="en-GB"/>
        </w:rPr>
        <w:t xml:space="preserve">Han, E 2014, </w:t>
      </w:r>
      <w:hyperlink r:id="rId187" w:history="1">
        <w:r w:rsidRPr="001D028A">
          <w:rPr>
            <w:rStyle w:val="Hyperlink"/>
            <w:rFonts w:cstheme="minorHAnsi"/>
            <w:sz w:val="20"/>
            <w:szCs w:val="20"/>
            <w:lang w:val="en-GB"/>
          </w:rPr>
          <w:t>‘Monster Health Food Company upstages rivals after aiming for the stars’</w:t>
        </w:r>
      </w:hyperlink>
      <w:r w:rsidRPr="001D028A">
        <w:rPr>
          <w:rFonts w:cstheme="minorHAnsi"/>
          <w:sz w:val="20"/>
          <w:szCs w:val="20"/>
          <w:lang w:val="en-GB"/>
        </w:rPr>
        <w:t xml:space="preserve">, </w:t>
      </w:r>
      <w:r w:rsidRPr="001D028A">
        <w:rPr>
          <w:rFonts w:cstheme="minorHAnsi"/>
          <w:i/>
          <w:iCs/>
          <w:sz w:val="20"/>
          <w:szCs w:val="20"/>
          <w:lang w:val="en-GB"/>
        </w:rPr>
        <w:t>The Sydney Morning Herald</w:t>
      </w:r>
      <w:r w:rsidRPr="001D028A">
        <w:rPr>
          <w:rFonts w:cstheme="minorHAnsi"/>
          <w:sz w:val="20"/>
          <w:szCs w:val="20"/>
          <w:lang w:val="en-GB"/>
        </w:rPr>
        <w:t>, 16 April, viewed on 10 July 2018.</w:t>
      </w:r>
    </w:p>
    <w:p w14:paraId="470E28F9" w14:textId="77777777" w:rsidR="00C52B5B" w:rsidRPr="001D028A" w:rsidRDefault="00C52B5B" w:rsidP="00C52B5B">
      <w:pPr>
        <w:pStyle w:val="NoSpacing"/>
        <w:rPr>
          <w:rFonts w:cstheme="minorHAnsi"/>
          <w:sz w:val="20"/>
          <w:szCs w:val="20"/>
          <w:lang w:val="en-GB"/>
        </w:rPr>
      </w:pPr>
    </w:p>
    <w:p w14:paraId="0546B5E6"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Promotion Agency 2019, </w:t>
      </w:r>
      <w:hyperlink r:id="rId188" w:history="1">
        <w:r w:rsidRPr="001D028A">
          <w:rPr>
            <w:rStyle w:val="Hyperlink"/>
            <w:rFonts w:cstheme="minorHAnsi"/>
            <w:i/>
            <w:sz w:val="20"/>
            <w:szCs w:val="20"/>
            <w:lang w:val="en-GB"/>
          </w:rPr>
          <w:t>Health Star Ratings – Consumer campaign materials, fact sheets, articles, webinar</w:t>
        </w:r>
      </w:hyperlink>
      <w:r w:rsidRPr="001D028A">
        <w:rPr>
          <w:rFonts w:cstheme="minorHAnsi"/>
          <w:i/>
          <w:sz w:val="20"/>
          <w:szCs w:val="20"/>
          <w:lang w:val="en-GB"/>
        </w:rPr>
        <w:t xml:space="preserve">, </w:t>
      </w:r>
      <w:r w:rsidRPr="001D028A">
        <w:rPr>
          <w:rFonts w:cstheme="minorHAnsi"/>
          <w:sz w:val="20"/>
          <w:szCs w:val="20"/>
          <w:lang w:val="en-GB"/>
        </w:rPr>
        <w:t xml:space="preserve">viewed on 31 January 2019. </w:t>
      </w:r>
    </w:p>
    <w:p w14:paraId="04BCD914" w14:textId="77777777" w:rsidR="00C52B5B" w:rsidRPr="001D028A" w:rsidRDefault="00C52B5B" w:rsidP="00C52B5B">
      <w:pPr>
        <w:pStyle w:val="NoSpacing"/>
        <w:rPr>
          <w:rFonts w:cstheme="minorHAnsi"/>
          <w:sz w:val="20"/>
          <w:szCs w:val="20"/>
          <w:lang w:val="en-GB"/>
        </w:rPr>
      </w:pPr>
    </w:p>
    <w:p w14:paraId="5BE0814C" w14:textId="77777777" w:rsidR="00C52B5B" w:rsidRPr="001D028A" w:rsidRDefault="00C52B5B" w:rsidP="00C52B5B">
      <w:pPr>
        <w:rPr>
          <w:rFonts w:cstheme="minorHAnsi"/>
          <w:sz w:val="20"/>
          <w:szCs w:val="20"/>
        </w:rPr>
      </w:pPr>
      <w:r w:rsidRPr="001D028A">
        <w:rPr>
          <w:rFonts w:cstheme="minorHAnsi"/>
          <w:sz w:val="20"/>
          <w:szCs w:val="20"/>
          <w:lang w:val="en-GB"/>
        </w:rPr>
        <w:t>LiveLighter 2012</w:t>
      </w:r>
      <w:r w:rsidRPr="001D028A">
        <w:rPr>
          <w:rFonts w:cstheme="minorHAnsi"/>
          <w:sz w:val="20"/>
          <w:szCs w:val="20"/>
        </w:rPr>
        <w:t xml:space="preserve">, </w:t>
      </w:r>
      <w:hyperlink r:id="rId189" w:history="1">
        <w:r w:rsidRPr="001D028A">
          <w:rPr>
            <w:rStyle w:val="Hyperlink"/>
            <w:rFonts w:cstheme="minorHAnsi"/>
            <w:i/>
            <w:iCs/>
            <w:sz w:val="20"/>
            <w:szCs w:val="20"/>
          </w:rPr>
          <w:t>Your at-a-glance guide to healthier food shopping</w:t>
        </w:r>
      </w:hyperlink>
      <w:r w:rsidRPr="001D028A">
        <w:rPr>
          <w:rFonts w:cstheme="minorHAnsi"/>
          <w:sz w:val="20"/>
          <w:szCs w:val="20"/>
        </w:rPr>
        <w:t>, State of Western Australia, viewed on 31 January 2019.</w:t>
      </w:r>
    </w:p>
    <w:p w14:paraId="4ECD20D1" w14:textId="77777777" w:rsidR="00C52B5B" w:rsidRPr="001D028A" w:rsidRDefault="00C52B5B" w:rsidP="00C52B5B">
      <w:pPr>
        <w:pStyle w:val="NoSpacing"/>
        <w:rPr>
          <w:rFonts w:cstheme="minorHAnsi"/>
          <w:sz w:val="20"/>
          <w:szCs w:val="20"/>
          <w:lang w:val="en-GB"/>
        </w:rPr>
      </w:pPr>
    </w:p>
    <w:p w14:paraId="2E70D47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Metherell, L 2018 </w:t>
      </w:r>
      <w:hyperlink r:id="rId190" w:history="1">
        <w:r w:rsidRPr="001D028A">
          <w:rPr>
            <w:rStyle w:val="Hyperlink"/>
            <w:rFonts w:cstheme="minorHAnsi"/>
            <w:sz w:val="20"/>
            <w:szCs w:val="20"/>
            <w:lang w:val="en-GB"/>
          </w:rPr>
          <w:t>‘Nestle removes Milo’s 4.5 Health Star Rating in response to criticism from public health groups’</w:t>
        </w:r>
      </w:hyperlink>
      <w:r w:rsidRPr="001D028A">
        <w:rPr>
          <w:rFonts w:cstheme="minorHAnsi"/>
          <w:sz w:val="20"/>
          <w:szCs w:val="20"/>
          <w:lang w:val="en-GB"/>
        </w:rPr>
        <w:t xml:space="preserve">, </w:t>
      </w:r>
      <w:r w:rsidRPr="001D028A">
        <w:rPr>
          <w:rFonts w:cstheme="minorHAnsi"/>
          <w:i/>
          <w:iCs/>
          <w:sz w:val="20"/>
          <w:szCs w:val="20"/>
          <w:lang w:val="en-GB"/>
        </w:rPr>
        <w:t>ABC News</w:t>
      </w:r>
      <w:r w:rsidRPr="001D028A">
        <w:rPr>
          <w:rFonts w:cstheme="minorHAnsi"/>
          <w:sz w:val="20"/>
          <w:szCs w:val="20"/>
          <w:lang w:val="en-GB"/>
        </w:rPr>
        <w:t xml:space="preserve">, 1 March 2018, viewed 1 March 2018. </w:t>
      </w:r>
    </w:p>
    <w:p w14:paraId="399360E0" w14:textId="77777777" w:rsidR="00C52B5B" w:rsidRPr="001D028A" w:rsidRDefault="00C52B5B" w:rsidP="00C52B5B">
      <w:pPr>
        <w:pStyle w:val="NoSpacing"/>
        <w:rPr>
          <w:rFonts w:cstheme="minorHAnsi"/>
          <w:sz w:val="20"/>
          <w:szCs w:val="20"/>
          <w:lang w:val="en-GB"/>
        </w:rPr>
      </w:pPr>
    </w:p>
    <w:p w14:paraId="65F83914"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Sullivan, R 2018 ‘</w:t>
      </w:r>
      <w:hyperlink r:id="rId191" w:history="1">
        <w:r w:rsidRPr="001D028A">
          <w:rPr>
            <w:rStyle w:val="Hyperlink"/>
            <w:rFonts w:cstheme="minorHAnsi"/>
            <w:sz w:val="20"/>
            <w:szCs w:val="20"/>
            <w:lang w:val="en-GB"/>
          </w:rPr>
          <w:t>Nestle drops Milo’s 4.5 Health Star Rating after criticism from health experts’</w:t>
        </w:r>
      </w:hyperlink>
      <w:r w:rsidRPr="001D028A">
        <w:rPr>
          <w:rFonts w:cstheme="minorHAnsi"/>
          <w:sz w:val="20"/>
          <w:szCs w:val="20"/>
          <w:lang w:val="en-GB"/>
        </w:rPr>
        <w:t>, 1 March, viewed on 2 March 2018.</w:t>
      </w:r>
    </w:p>
    <w:p w14:paraId="7EB2ADF2" w14:textId="77777777" w:rsidR="00C52B5B" w:rsidRPr="001D028A" w:rsidRDefault="00C52B5B" w:rsidP="00C52B5B">
      <w:pPr>
        <w:rPr>
          <w:rFonts w:eastAsia="Times New Roman" w:cstheme="minorHAnsi"/>
          <w:sz w:val="20"/>
          <w:szCs w:val="20"/>
        </w:rPr>
      </w:pPr>
    </w:p>
    <w:p w14:paraId="27C81C85" w14:textId="77777777" w:rsidR="00C52B5B" w:rsidRPr="001D028A" w:rsidRDefault="00C52B5B" w:rsidP="00C52B5B">
      <w:pPr>
        <w:widowControl w:val="0"/>
        <w:autoSpaceDE w:val="0"/>
        <w:autoSpaceDN w:val="0"/>
        <w:adjustRightInd w:val="0"/>
        <w:rPr>
          <w:rStyle w:val="Hyperlink"/>
          <w:rFonts w:eastAsia="Times New Roman" w:cstheme="minorHAnsi"/>
          <w:i/>
          <w:sz w:val="20"/>
          <w:szCs w:val="20"/>
        </w:rPr>
      </w:pPr>
      <w:r w:rsidRPr="001D028A">
        <w:rPr>
          <w:rFonts w:eastAsia="Times New Roman" w:cstheme="minorHAnsi"/>
          <w:sz w:val="20"/>
          <w:szCs w:val="20"/>
        </w:rPr>
        <w:t xml:space="preserve">Tamma, P 2017 </w:t>
      </w:r>
      <w:hyperlink r:id="rId192" w:history="1">
        <w:r w:rsidRPr="001D028A">
          <w:rPr>
            <w:rStyle w:val="Hyperlink"/>
            <w:rFonts w:eastAsia="Times New Roman" w:cstheme="minorHAnsi"/>
            <w:sz w:val="20"/>
            <w:szCs w:val="20"/>
          </w:rPr>
          <w:t>‘France opts for colour coded nutrition labelling’</w:t>
        </w:r>
      </w:hyperlink>
      <w:r w:rsidRPr="001D028A">
        <w:rPr>
          <w:rFonts w:eastAsia="Times New Roman" w:cstheme="minorHAnsi"/>
          <w:sz w:val="20"/>
          <w:szCs w:val="20"/>
        </w:rPr>
        <w:t xml:space="preserve">, 2 November, viewed on 31 January 2019. </w:t>
      </w:r>
    </w:p>
    <w:p w14:paraId="42FADAAE" w14:textId="77777777" w:rsidR="00C52B5B" w:rsidRPr="001D028A" w:rsidRDefault="00C52B5B" w:rsidP="00C52B5B">
      <w:pPr>
        <w:widowControl w:val="0"/>
        <w:autoSpaceDE w:val="0"/>
        <w:autoSpaceDN w:val="0"/>
        <w:adjustRightInd w:val="0"/>
        <w:rPr>
          <w:rStyle w:val="Hyperlink"/>
          <w:rFonts w:eastAsia="Times New Roman" w:cstheme="minorHAnsi"/>
          <w:i/>
          <w:sz w:val="20"/>
          <w:szCs w:val="20"/>
        </w:rPr>
      </w:pPr>
    </w:p>
    <w:p w14:paraId="2CA4202D" w14:textId="77777777" w:rsidR="00C52B5B" w:rsidRPr="001D028A" w:rsidRDefault="00C52B5B" w:rsidP="00C52B5B">
      <w:pPr>
        <w:autoSpaceDE w:val="0"/>
        <w:autoSpaceDN w:val="0"/>
        <w:adjustRightInd w:val="0"/>
        <w:rPr>
          <w:rFonts w:eastAsia="Times New Roman" w:cstheme="minorHAnsi"/>
          <w:sz w:val="20"/>
          <w:szCs w:val="20"/>
        </w:rPr>
      </w:pPr>
      <w:r w:rsidRPr="001D028A">
        <w:rPr>
          <w:rFonts w:eastAsia="Times New Roman" w:cstheme="minorHAnsi"/>
          <w:sz w:val="20"/>
          <w:szCs w:val="20"/>
        </w:rPr>
        <w:t xml:space="preserve">US Food and Drug Administration, </w:t>
      </w:r>
      <w:hyperlink r:id="rId193" w:history="1">
        <w:r w:rsidRPr="001D028A">
          <w:rPr>
            <w:rStyle w:val="Hyperlink"/>
            <w:rFonts w:eastAsia="Times New Roman" w:cstheme="minorHAnsi"/>
            <w:i/>
            <w:sz w:val="20"/>
            <w:szCs w:val="20"/>
          </w:rPr>
          <w:t>Changes to the Nutrition Facts Label</w:t>
        </w:r>
      </w:hyperlink>
      <w:r w:rsidRPr="001D028A">
        <w:rPr>
          <w:rFonts w:eastAsia="Times New Roman" w:cstheme="minorHAnsi"/>
          <w:i/>
          <w:sz w:val="20"/>
          <w:szCs w:val="20"/>
        </w:rPr>
        <w:t xml:space="preserve">, </w:t>
      </w:r>
      <w:r w:rsidRPr="001D028A">
        <w:rPr>
          <w:rFonts w:eastAsia="Times New Roman" w:cstheme="minorHAnsi"/>
          <w:sz w:val="20"/>
          <w:szCs w:val="20"/>
        </w:rPr>
        <w:t>viewed on 17 January 2019.</w:t>
      </w:r>
      <w:r w:rsidRPr="001D028A">
        <w:rPr>
          <w:rFonts w:eastAsia="Times New Roman" w:cstheme="minorHAnsi"/>
          <w:i/>
          <w:sz w:val="20"/>
          <w:szCs w:val="20"/>
        </w:rPr>
        <w:t xml:space="preserve"> </w:t>
      </w:r>
    </w:p>
    <w:p w14:paraId="2F732575" w14:textId="77777777" w:rsidR="00C52B5B" w:rsidRPr="001D028A" w:rsidRDefault="00C52B5B" w:rsidP="00C52B5B">
      <w:pPr>
        <w:widowControl w:val="0"/>
        <w:autoSpaceDE w:val="0"/>
        <w:autoSpaceDN w:val="0"/>
        <w:adjustRightInd w:val="0"/>
        <w:rPr>
          <w:rFonts w:eastAsia="Times New Roman" w:cstheme="minorHAnsi"/>
          <w:i/>
          <w:sz w:val="20"/>
          <w:szCs w:val="20"/>
        </w:rPr>
      </w:pPr>
    </w:p>
    <w:p w14:paraId="6F70BB70" w14:textId="77777777" w:rsidR="00C52B5B" w:rsidRPr="001D028A" w:rsidRDefault="00C52B5B" w:rsidP="00C52B5B">
      <w:pPr>
        <w:rPr>
          <w:rFonts w:cstheme="minorHAnsi"/>
          <w:b/>
          <w:bCs/>
          <w:sz w:val="20"/>
          <w:szCs w:val="20"/>
        </w:rPr>
      </w:pPr>
      <w:r w:rsidRPr="001D028A">
        <w:rPr>
          <w:rFonts w:cstheme="minorHAnsi"/>
          <w:b/>
          <w:bCs/>
          <w:sz w:val="20"/>
          <w:szCs w:val="20"/>
        </w:rPr>
        <w:t>Other - Government reports, guidelines, policy papers</w:t>
      </w:r>
    </w:p>
    <w:p w14:paraId="52D3B1E5" w14:textId="77777777" w:rsidR="00C52B5B" w:rsidRPr="001D028A" w:rsidRDefault="00C52B5B" w:rsidP="00C52B5B">
      <w:pPr>
        <w:pStyle w:val="NoSpacing"/>
        <w:rPr>
          <w:rFonts w:cstheme="minorHAnsi"/>
          <w:iCs/>
          <w:sz w:val="20"/>
          <w:szCs w:val="20"/>
          <w:lang w:val="en-GB"/>
        </w:rPr>
      </w:pPr>
    </w:p>
    <w:p w14:paraId="1E5C81EC" w14:textId="77777777" w:rsidR="00C52B5B" w:rsidRPr="001D028A" w:rsidRDefault="00C52B5B" w:rsidP="00C52B5B">
      <w:pPr>
        <w:pStyle w:val="NoSpacing"/>
        <w:rPr>
          <w:rFonts w:cstheme="minorHAnsi"/>
          <w:iCs/>
          <w:sz w:val="20"/>
          <w:szCs w:val="20"/>
          <w:lang w:val="en-GB"/>
        </w:rPr>
      </w:pPr>
      <w:r w:rsidRPr="001D028A">
        <w:rPr>
          <w:rFonts w:cstheme="minorHAnsi"/>
          <w:iCs/>
          <w:sz w:val="20"/>
          <w:szCs w:val="20"/>
          <w:lang w:val="en-GB"/>
        </w:rPr>
        <w:t xml:space="preserve">Australia and New Zealand Ministerial Forum on Food Regulation, </w:t>
      </w:r>
      <w:r w:rsidRPr="001D028A">
        <w:rPr>
          <w:rFonts w:cstheme="minorHAnsi"/>
          <w:i/>
          <w:iCs/>
          <w:sz w:val="20"/>
          <w:szCs w:val="20"/>
          <w:lang w:val="en-GB"/>
        </w:rPr>
        <w:t>Australia and New Zealand Ministerial Forum on Food Regulation communiqués</w:t>
      </w:r>
      <w:r w:rsidRPr="001D028A">
        <w:rPr>
          <w:rFonts w:cstheme="minorHAnsi"/>
          <w:iCs/>
          <w:sz w:val="20"/>
          <w:szCs w:val="20"/>
          <w:lang w:val="en-GB"/>
        </w:rPr>
        <w:t>, viewed 14 August 2017.</w:t>
      </w:r>
    </w:p>
    <w:p w14:paraId="5DF10B81" w14:textId="77777777" w:rsidR="00C52B5B" w:rsidRPr="001D028A" w:rsidRDefault="00C52B5B" w:rsidP="00C52B5B">
      <w:pPr>
        <w:pStyle w:val="NoSpacing"/>
        <w:rPr>
          <w:rFonts w:cstheme="minorHAnsi"/>
          <w:iCs/>
          <w:sz w:val="20"/>
          <w:szCs w:val="20"/>
          <w:lang w:val="en-GB"/>
        </w:rPr>
      </w:pPr>
    </w:p>
    <w:p w14:paraId="03534CBA"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Australia and New Zealand Ministerial Forum on Food Regulation,</w:t>
      </w:r>
      <w:r w:rsidRPr="001D028A">
        <w:rPr>
          <w:rFonts w:cstheme="minorHAnsi"/>
          <w:i/>
          <w:sz w:val="20"/>
          <w:szCs w:val="20"/>
          <w:lang w:val="en-GB"/>
        </w:rPr>
        <w:t xml:space="preserve"> Terms of Reference for the Five Year Review of the Health Star Rating System</w:t>
      </w:r>
      <w:r w:rsidRPr="001D028A">
        <w:rPr>
          <w:rFonts w:cstheme="minorHAnsi"/>
          <w:sz w:val="20"/>
          <w:szCs w:val="20"/>
          <w:lang w:val="en-GB"/>
        </w:rPr>
        <w:t xml:space="preserve">, version 6, viewed 24 July 2017. </w:t>
      </w:r>
    </w:p>
    <w:p w14:paraId="2DB32E86" w14:textId="77777777" w:rsidR="00C52B5B" w:rsidRPr="001D028A" w:rsidRDefault="00C52B5B" w:rsidP="00C52B5B">
      <w:pPr>
        <w:pStyle w:val="NoSpacing"/>
        <w:rPr>
          <w:rFonts w:cstheme="minorHAnsi"/>
          <w:sz w:val="20"/>
          <w:szCs w:val="20"/>
          <w:lang w:val="en-GB"/>
        </w:rPr>
      </w:pPr>
    </w:p>
    <w:p w14:paraId="4E0C91F0" w14:textId="77777777" w:rsidR="00C52B5B" w:rsidRPr="001D028A" w:rsidRDefault="00C52B5B" w:rsidP="00C52B5B">
      <w:pPr>
        <w:pStyle w:val="NoSpacing"/>
        <w:rPr>
          <w:rFonts w:cstheme="minorHAnsi"/>
          <w:sz w:val="20"/>
          <w:szCs w:val="20"/>
        </w:rPr>
      </w:pPr>
      <w:r w:rsidRPr="001D028A">
        <w:rPr>
          <w:rFonts w:cstheme="minorHAnsi"/>
          <w:sz w:val="20"/>
          <w:szCs w:val="20"/>
          <w:lang w:val="en-GB"/>
        </w:rPr>
        <w:t>Blewett, N, Goddard, N, Pettigrew, S, Reynolds, C &amp; Yeatman, H 2011,</w:t>
      </w:r>
      <w:r w:rsidRPr="001D028A">
        <w:rPr>
          <w:rFonts w:cstheme="minorHAnsi"/>
          <w:i/>
          <w:iCs/>
          <w:sz w:val="20"/>
          <w:szCs w:val="20"/>
          <w:lang w:val="en-GB"/>
        </w:rPr>
        <w:t xml:space="preserve"> Labelling logic - the final report of the review of food labelling law and policy</w:t>
      </w:r>
      <w:r w:rsidRPr="001D028A">
        <w:rPr>
          <w:rFonts w:cstheme="minorHAnsi"/>
          <w:sz w:val="20"/>
          <w:szCs w:val="20"/>
          <w:lang w:val="en-GB"/>
        </w:rPr>
        <w:t>, Canberra, Commonwealth of Australia.</w:t>
      </w:r>
    </w:p>
    <w:p w14:paraId="53478B10" w14:textId="77777777" w:rsidR="00C52B5B" w:rsidRPr="001D028A" w:rsidRDefault="00C52B5B" w:rsidP="00C52B5B">
      <w:pPr>
        <w:pStyle w:val="NoSpacing"/>
        <w:rPr>
          <w:rFonts w:cstheme="minorHAnsi"/>
          <w:sz w:val="20"/>
          <w:szCs w:val="20"/>
          <w:lang w:val="en-GB"/>
        </w:rPr>
      </w:pPr>
    </w:p>
    <w:p w14:paraId="7AAECDB5" w14:textId="77777777" w:rsidR="00C52B5B" w:rsidRPr="001D028A" w:rsidRDefault="00C52B5B" w:rsidP="00C52B5B">
      <w:pPr>
        <w:pStyle w:val="NoSpacing"/>
        <w:rPr>
          <w:rFonts w:eastAsia="Times New Roman" w:cstheme="minorHAnsi"/>
          <w:sz w:val="20"/>
          <w:szCs w:val="20"/>
        </w:rPr>
      </w:pPr>
      <w:r w:rsidRPr="001D028A">
        <w:rPr>
          <w:rFonts w:eastAsia="Times New Roman" w:cstheme="minorHAnsi"/>
          <w:sz w:val="20"/>
          <w:szCs w:val="20"/>
        </w:rPr>
        <w:t xml:space="preserve">Codex Alimentarius Commission 2017, </w:t>
      </w:r>
      <w:r w:rsidRPr="001D028A">
        <w:rPr>
          <w:rFonts w:eastAsia="Times New Roman" w:cstheme="minorHAnsi"/>
          <w:i/>
          <w:iCs/>
          <w:sz w:val="20"/>
          <w:szCs w:val="20"/>
        </w:rPr>
        <w:t>Discussion Paper on Consideration of Issues Regarding Front-of-Pack Nutrition Labelling</w:t>
      </w:r>
      <w:r w:rsidRPr="001D028A">
        <w:rPr>
          <w:rFonts w:eastAsia="Times New Roman" w:cstheme="minorHAnsi"/>
          <w:sz w:val="20"/>
          <w:szCs w:val="20"/>
        </w:rPr>
        <w:t>, Agenda Item 7 CX/FL 17/44/7, Codex Committee on Food Labelling Forty-fourth session, Paraguay, 16-20 October.</w:t>
      </w:r>
    </w:p>
    <w:p w14:paraId="1F16A459" w14:textId="77777777" w:rsidR="00C52B5B" w:rsidRPr="001D028A" w:rsidRDefault="00C52B5B" w:rsidP="00C52B5B">
      <w:pPr>
        <w:pStyle w:val="NoSpacing"/>
        <w:rPr>
          <w:rFonts w:eastAsia="Times New Roman" w:cstheme="minorHAnsi"/>
          <w:sz w:val="20"/>
          <w:szCs w:val="20"/>
        </w:rPr>
      </w:pPr>
    </w:p>
    <w:p w14:paraId="42ABAD18" w14:textId="77777777" w:rsidR="00C52B5B" w:rsidRPr="001D028A" w:rsidRDefault="00C52B5B" w:rsidP="00C52B5B">
      <w:pPr>
        <w:pStyle w:val="NoSpacing"/>
        <w:rPr>
          <w:rFonts w:eastAsia="Times New Roman" w:cstheme="minorHAnsi"/>
          <w:sz w:val="20"/>
          <w:szCs w:val="20"/>
        </w:rPr>
      </w:pPr>
      <w:r w:rsidRPr="001D028A">
        <w:rPr>
          <w:rFonts w:eastAsia="Times New Roman" w:cstheme="minorHAnsi"/>
          <w:sz w:val="20"/>
          <w:szCs w:val="20"/>
        </w:rPr>
        <w:t xml:space="preserve">Codex Alimentarius Commission, </w:t>
      </w:r>
      <w:r w:rsidRPr="001D028A">
        <w:rPr>
          <w:rFonts w:eastAsia="Times New Roman" w:cstheme="minorHAnsi"/>
          <w:i/>
          <w:iCs/>
          <w:sz w:val="20"/>
          <w:szCs w:val="20"/>
        </w:rPr>
        <w:t>Codex Appendix III – Stocktake of FOPL systems</w:t>
      </w:r>
      <w:r w:rsidRPr="001D028A">
        <w:rPr>
          <w:rFonts w:eastAsia="Times New Roman" w:cstheme="minorHAnsi"/>
          <w:sz w:val="20"/>
          <w:szCs w:val="20"/>
        </w:rPr>
        <w:t xml:space="preserve"> (excel spreadsheet).</w:t>
      </w:r>
    </w:p>
    <w:p w14:paraId="4F1C457D" w14:textId="77777777" w:rsidR="00C52B5B" w:rsidRPr="001D028A" w:rsidRDefault="00C52B5B" w:rsidP="00C52B5B">
      <w:pPr>
        <w:pStyle w:val="NoSpacing"/>
        <w:rPr>
          <w:rFonts w:cstheme="minorHAnsi"/>
          <w:sz w:val="20"/>
          <w:szCs w:val="20"/>
          <w:lang w:val="en-GB"/>
        </w:rPr>
      </w:pPr>
    </w:p>
    <w:p w14:paraId="0AA2A91A" w14:textId="77777777" w:rsidR="00C52B5B" w:rsidRPr="001D028A" w:rsidRDefault="00C52B5B" w:rsidP="00C52B5B">
      <w:pPr>
        <w:pStyle w:val="NoSpacing"/>
        <w:rPr>
          <w:rFonts w:eastAsia="Times New Roman" w:cstheme="minorHAnsi"/>
          <w:sz w:val="20"/>
          <w:szCs w:val="20"/>
        </w:rPr>
      </w:pPr>
      <w:r w:rsidRPr="001D028A">
        <w:rPr>
          <w:rFonts w:eastAsia="Times New Roman" w:cstheme="minorHAnsi"/>
          <w:sz w:val="20"/>
          <w:szCs w:val="20"/>
        </w:rPr>
        <w:t xml:space="preserve">Codex Alimentarius International Food Standards 2017, </w:t>
      </w:r>
      <w:hyperlink r:id="rId194" w:history="1">
        <w:r w:rsidRPr="001D028A">
          <w:rPr>
            <w:rStyle w:val="Hyperlink"/>
            <w:rFonts w:eastAsia="Times New Roman" w:cstheme="minorHAnsi"/>
            <w:i/>
            <w:iCs/>
            <w:sz w:val="20"/>
            <w:szCs w:val="20"/>
          </w:rPr>
          <w:t>Guidelines of Nutrition Labelling CAC/GL 2-1985</w:t>
        </w:r>
      </w:hyperlink>
      <w:r w:rsidRPr="001D028A">
        <w:rPr>
          <w:rFonts w:eastAsia="Times New Roman" w:cstheme="minorHAnsi"/>
          <w:sz w:val="20"/>
          <w:szCs w:val="20"/>
        </w:rPr>
        <w:t>, adopted in 2011, revised in 2013, 2015, 2016 and 2017.</w:t>
      </w:r>
    </w:p>
    <w:p w14:paraId="1D3DF203" w14:textId="77777777" w:rsidR="00C52B5B" w:rsidRPr="001D028A" w:rsidRDefault="00C52B5B" w:rsidP="00C52B5B">
      <w:pPr>
        <w:pStyle w:val="NoSpacing"/>
        <w:rPr>
          <w:rFonts w:cstheme="minorHAnsi"/>
          <w:sz w:val="20"/>
          <w:szCs w:val="20"/>
          <w:lang w:val="en-GB"/>
        </w:rPr>
      </w:pPr>
    </w:p>
    <w:p w14:paraId="6C7A0CF7"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Commonwealth Department of Health 2016, </w:t>
      </w:r>
      <w:hyperlink r:id="rId195" w:history="1">
        <w:r w:rsidRPr="001D028A">
          <w:rPr>
            <w:rStyle w:val="Hyperlink"/>
            <w:rFonts w:cstheme="minorHAnsi"/>
            <w:i/>
            <w:iCs/>
            <w:sz w:val="20"/>
            <w:szCs w:val="20"/>
            <w:lang w:val="en-GB"/>
          </w:rPr>
          <w:t>Guide for industry to the Health Star Rating Calculator</w:t>
        </w:r>
      </w:hyperlink>
      <w:r w:rsidRPr="001D028A">
        <w:rPr>
          <w:rFonts w:cstheme="minorHAnsi"/>
          <w:i/>
          <w:iCs/>
          <w:sz w:val="20"/>
          <w:szCs w:val="20"/>
          <w:lang w:val="en-GB"/>
        </w:rPr>
        <w:t xml:space="preserve"> (HSRC)</w:t>
      </w:r>
      <w:r w:rsidRPr="001D028A">
        <w:rPr>
          <w:rFonts w:cstheme="minorHAnsi"/>
          <w:iCs/>
          <w:sz w:val="20"/>
          <w:szCs w:val="20"/>
          <w:lang w:val="en-GB"/>
        </w:rPr>
        <w:t xml:space="preserve">, version 5, </w:t>
      </w:r>
      <w:r w:rsidRPr="001D028A">
        <w:rPr>
          <w:rFonts w:cstheme="minorHAnsi"/>
          <w:sz w:val="20"/>
          <w:szCs w:val="20"/>
          <w:lang w:val="en-GB"/>
        </w:rPr>
        <w:t>Canberra.</w:t>
      </w:r>
    </w:p>
    <w:p w14:paraId="2150628F" w14:textId="77777777" w:rsidR="00C52B5B" w:rsidRPr="001D028A" w:rsidRDefault="00C52B5B" w:rsidP="00C52B5B">
      <w:pPr>
        <w:pStyle w:val="NoSpacing"/>
        <w:rPr>
          <w:rFonts w:cstheme="minorHAnsi"/>
          <w:sz w:val="20"/>
          <w:szCs w:val="20"/>
          <w:lang w:val="en-GB"/>
        </w:rPr>
      </w:pPr>
    </w:p>
    <w:p w14:paraId="23E1C11F" w14:textId="77777777" w:rsidR="00C52B5B" w:rsidRPr="001D028A" w:rsidRDefault="00C52B5B" w:rsidP="00C52B5B">
      <w:pPr>
        <w:pStyle w:val="NoSpacing"/>
        <w:rPr>
          <w:rFonts w:cstheme="minorHAnsi"/>
          <w:color w:val="000000" w:themeColor="text1"/>
          <w:sz w:val="20"/>
          <w:szCs w:val="20"/>
          <w:lang w:val="en-GB"/>
        </w:rPr>
      </w:pPr>
      <w:r w:rsidRPr="001D028A">
        <w:rPr>
          <w:rFonts w:cstheme="minorHAnsi"/>
          <w:iCs/>
          <w:color w:val="000000" w:themeColor="text1"/>
          <w:sz w:val="20"/>
          <w:szCs w:val="20"/>
          <w:lang w:val="en-GB"/>
        </w:rPr>
        <w:t>Commonwealth Department of Health 2017</w:t>
      </w:r>
      <w:r w:rsidRPr="001D028A">
        <w:rPr>
          <w:rFonts w:eastAsia="Times New Roman" w:cstheme="minorHAnsi"/>
          <w:color w:val="000000" w:themeColor="text1"/>
          <w:sz w:val="20"/>
          <w:szCs w:val="20"/>
          <w:shd w:val="clear" w:color="auto" w:fill="FFFFFF"/>
          <w:lang w:val="en-GB" w:eastAsia="en-GB"/>
        </w:rPr>
        <w:t xml:space="preserve">, </w:t>
      </w:r>
      <w:r w:rsidRPr="001D028A">
        <w:rPr>
          <w:rFonts w:eastAsia="Times New Roman" w:cstheme="minorHAnsi"/>
          <w:i/>
          <w:color w:val="000000" w:themeColor="text1"/>
          <w:sz w:val="20"/>
          <w:szCs w:val="20"/>
          <w:shd w:val="clear" w:color="auto" w:fill="FFFFFF"/>
          <w:lang w:val="en-GB" w:eastAsia="en-GB"/>
        </w:rPr>
        <w:t>Health Star Rating Calculator v 3.3 (released 20 January 2015</w:t>
      </w:r>
      <w:r w:rsidRPr="001D028A">
        <w:rPr>
          <w:rFonts w:eastAsia="Times New Roman" w:cstheme="minorHAnsi"/>
          <w:color w:val="000000" w:themeColor="text1"/>
          <w:sz w:val="20"/>
          <w:szCs w:val="20"/>
          <w:shd w:val="clear" w:color="auto" w:fill="FFFFFF"/>
          <w:lang w:val="en-GB" w:eastAsia="en-GB"/>
        </w:rPr>
        <w:t>).</w:t>
      </w:r>
    </w:p>
    <w:p w14:paraId="26BA8C71" w14:textId="77777777" w:rsidR="00C52B5B" w:rsidRPr="001D028A" w:rsidRDefault="00C52B5B" w:rsidP="00C52B5B">
      <w:pPr>
        <w:pStyle w:val="NoSpacing"/>
        <w:rPr>
          <w:rFonts w:cstheme="minorHAnsi"/>
          <w:sz w:val="20"/>
          <w:szCs w:val="20"/>
          <w:lang w:val="en-GB"/>
        </w:rPr>
      </w:pPr>
    </w:p>
    <w:p w14:paraId="5DAA9E25"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Commonwealth Department of Health 2016, </w:t>
      </w:r>
      <w:hyperlink r:id="rId196" w:history="1">
        <w:r w:rsidRPr="001D028A">
          <w:rPr>
            <w:rStyle w:val="Hyperlink"/>
            <w:rFonts w:cstheme="minorHAnsi"/>
            <w:i/>
            <w:iCs/>
            <w:sz w:val="20"/>
            <w:szCs w:val="20"/>
            <w:lang w:val="en-GB"/>
          </w:rPr>
          <w:t>Health Star Rating System Style Guide</w:t>
        </w:r>
      </w:hyperlink>
      <w:r w:rsidRPr="001D028A">
        <w:rPr>
          <w:rFonts w:cstheme="minorHAnsi"/>
          <w:i/>
          <w:iCs/>
          <w:sz w:val="20"/>
          <w:szCs w:val="20"/>
          <w:lang w:val="en-GB"/>
        </w:rPr>
        <w:t>,</w:t>
      </w:r>
      <w:r w:rsidRPr="001D028A">
        <w:rPr>
          <w:rFonts w:cstheme="minorHAnsi"/>
          <w:iCs/>
          <w:sz w:val="20"/>
          <w:szCs w:val="20"/>
          <w:lang w:val="en-GB"/>
        </w:rPr>
        <w:t xml:space="preserve"> version 4</w:t>
      </w:r>
      <w:r w:rsidRPr="001D028A">
        <w:rPr>
          <w:rFonts w:cstheme="minorHAnsi"/>
          <w:sz w:val="20"/>
          <w:szCs w:val="20"/>
          <w:lang w:val="en-GB"/>
        </w:rPr>
        <w:t>.</w:t>
      </w:r>
    </w:p>
    <w:p w14:paraId="7581DC23" w14:textId="77777777" w:rsidR="00C52B5B" w:rsidRPr="001D028A" w:rsidRDefault="00C52B5B" w:rsidP="00C52B5B">
      <w:pPr>
        <w:pStyle w:val="NoSpacing"/>
        <w:rPr>
          <w:rFonts w:cstheme="minorHAnsi"/>
          <w:sz w:val="20"/>
          <w:szCs w:val="20"/>
          <w:lang w:val="en-GB"/>
        </w:rPr>
      </w:pPr>
    </w:p>
    <w:p w14:paraId="11E71DBC" w14:textId="77777777" w:rsidR="00C52B5B" w:rsidRPr="001D028A" w:rsidRDefault="00C52B5B" w:rsidP="00C52B5B">
      <w:pPr>
        <w:autoSpaceDE w:val="0"/>
        <w:autoSpaceDN w:val="0"/>
        <w:adjustRightInd w:val="0"/>
        <w:rPr>
          <w:rFonts w:cstheme="minorHAnsi"/>
          <w:sz w:val="20"/>
          <w:szCs w:val="20"/>
          <w:lang w:val="en-GB"/>
        </w:rPr>
      </w:pPr>
      <w:r w:rsidRPr="001D028A">
        <w:rPr>
          <w:rFonts w:cstheme="minorHAnsi"/>
          <w:sz w:val="20"/>
          <w:szCs w:val="20"/>
          <w:lang w:val="en-GB"/>
        </w:rPr>
        <w:t xml:space="preserve">Dunford, E, Cobcroft, M, Thomas, M, &amp; Wu, J.H. 2015, </w:t>
      </w:r>
      <w:r w:rsidRPr="001D028A">
        <w:rPr>
          <w:rFonts w:cstheme="minorHAnsi"/>
          <w:i/>
          <w:iCs/>
          <w:sz w:val="20"/>
          <w:szCs w:val="20"/>
          <w:lang w:val="en-GB"/>
        </w:rPr>
        <w:t>Technical Report: Alignment of NSW Healthy Food Provision Policy with the Health Star Rating System</w:t>
      </w:r>
      <w:r w:rsidRPr="001D028A">
        <w:rPr>
          <w:rFonts w:cstheme="minorHAnsi"/>
          <w:sz w:val="20"/>
          <w:szCs w:val="20"/>
          <w:lang w:val="en-GB"/>
        </w:rPr>
        <w:t>, NSW Ministry of Health, Sydney.</w:t>
      </w:r>
    </w:p>
    <w:p w14:paraId="6A6C61E0" w14:textId="77777777" w:rsidR="00C52B5B" w:rsidRPr="001D028A" w:rsidRDefault="00C52B5B" w:rsidP="00C52B5B">
      <w:pPr>
        <w:pStyle w:val="NoSpacing"/>
        <w:rPr>
          <w:rFonts w:cstheme="minorHAnsi"/>
          <w:sz w:val="20"/>
          <w:szCs w:val="20"/>
          <w:lang w:val="en-GB"/>
        </w:rPr>
      </w:pPr>
    </w:p>
    <w:p w14:paraId="5AF3D180"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Food Standards Australia New Zealand 2017, </w:t>
      </w:r>
      <w:hyperlink r:id="rId197" w:history="1">
        <w:r w:rsidRPr="001D028A">
          <w:rPr>
            <w:rStyle w:val="Hyperlink"/>
            <w:rFonts w:cstheme="minorHAnsi"/>
            <w:i/>
            <w:sz w:val="20"/>
            <w:szCs w:val="20"/>
            <w:lang w:val="en-GB"/>
          </w:rPr>
          <w:t>International sugar labelling approaches</w:t>
        </w:r>
      </w:hyperlink>
      <w:r w:rsidRPr="001D028A">
        <w:rPr>
          <w:rFonts w:cstheme="minorHAnsi"/>
          <w:sz w:val="20"/>
          <w:szCs w:val="20"/>
          <w:lang w:val="en-GB"/>
        </w:rPr>
        <w:t>, viewed on 10 January 2019.</w:t>
      </w:r>
    </w:p>
    <w:p w14:paraId="56B8F065" w14:textId="77777777" w:rsidR="00C52B5B" w:rsidRPr="001D028A" w:rsidRDefault="00C52B5B" w:rsidP="00C52B5B">
      <w:pPr>
        <w:pStyle w:val="NoSpacing"/>
        <w:rPr>
          <w:rFonts w:cstheme="minorHAnsi"/>
          <w:sz w:val="20"/>
          <w:szCs w:val="20"/>
          <w:lang w:val="en-GB"/>
        </w:rPr>
      </w:pPr>
    </w:p>
    <w:p w14:paraId="0FEB24D1" w14:textId="77777777" w:rsidR="00C52B5B" w:rsidRPr="001D028A" w:rsidRDefault="00C52B5B" w:rsidP="00C52B5B">
      <w:pPr>
        <w:pStyle w:val="NoSpacing"/>
        <w:rPr>
          <w:rFonts w:cstheme="minorHAnsi"/>
          <w:i/>
          <w:iCs/>
          <w:sz w:val="20"/>
          <w:szCs w:val="20"/>
          <w:lang w:val="en-GB"/>
        </w:rPr>
      </w:pPr>
      <w:r w:rsidRPr="001D028A">
        <w:rPr>
          <w:rFonts w:cstheme="minorHAnsi"/>
          <w:sz w:val="20"/>
          <w:szCs w:val="20"/>
          <w:lang w:val="en-GB"/>
        </w:rPr>
        <w:t xml:space="preserve">Food Standards Australia New Zealand, </w:t>
      </w:r>
      <w:hyperlink r:id="rId198" w:history="1">
        <w:r w:rsidRPr="001D028A">
          <w:rPr>
            <w:rStyle w:val="Hyperlink"/>
            <w:rFonts w:cstheme="minorHAnsi"/>
            <w:i/>
            <w:iCs/>
            <w:sz w:val="20"/>
            <w:szCs w:val="20"/>
            <w:lang w:val="en-GB"/>
          </w:rPr>
          <w:t>Determining the amount of added sugars and free sugars in foods listed in the AUSNUT 2011-13 dataset</w:t>
        </w:r>
      </w:hyperlink>
      <w:r w:rsidRPr="001D028A">
        <w:rPr>
          <w:rFonts w:cstheme="minorHAnsi"/>
          <w:i/>
          <w:iCs/>
          <w:sz w:val="20"/>
          <w:szCs w:val="20"/>
          <w:lang w:val="en-GB"/>
        </w:rPr>
        <w:t xml:space="preserve">, </w:t>
      </w:r>
      <w:r w:rsidRPr="001D028A">
        <w:rPr>
          <w:rFonts w:cstheme="minorHAnsi"/>
          <w:iCs/>
          <w:sz w:val="20"/>
          <w:szCs w:val="20"/>
          <w:lang w:val="en-GB"/>
        </w:rPr>
        <w:t>viewed on 8 January 2019.</w:t>
      </w:r>
      <w:r w:rsidRPr="001D028A">
        <w:rPr>
          <w:rFonts w:cstheme="minorHAnsi"/>
          <w:i/>
          <w:iCs/>
          <w:sz w:val="20"/>
          <w:szCs w:val="20"/>
          <w:lang w:val="en-GB"/>
        </w:rPr>
        <w:t xml:space="preserve"> </w:t>
      </w:r>
    </w:p>
    <w:p w14:paraId="4AF01C66" w14:textId="77777777" w:rsidR="00C52B5B" w:rsidRPr="001D028A" w:rsidRDefault="00C52B5B" w:rsidP="00C52B5B">
      <w:pPr>
        <w:pStyle w:val="NoSpacing"/>
        <w:rPr>
          <w:rFonts w:cstheme="minorHAnsi"/>
          <w:sz w:val="20"/>
          <w:szCs w:val="20"/>
          <w:lang w:val="en-GB"/>
        </w:rPr>
      </w:pPr>
    </w:p>
    <w:p w14:paraId="787E50EA" w14:textId="77777777" w:rsidR="00C52B5B" w:rsidRPr="001D028A" w:rsidRDefault="00C52B5B" w:rsidP="00C52B5B">
      <w:pPr>
        <w:pStyle w:val="NoSpacing"/>
        <w:rPr>
          <w:rFonts w:cstheme="minorHAnsi"/>
          <w:sz w:val="20"/>
          <w:szCs w:val="20"/>
          <w:lang w:val="en-GB"/>
        </w:rPr>
      </w:pPr>
      <w:r w:rsidRPr="001D028A">
        <w:rPr>
          <w:rFonts w:cstheme="minorHAnsi"/>
          <w:sz w:val="20"/>
          <w:szCs w:val="20"/>
        </w:rPr>
        <w:t xml:space="preserve">Food Standards Australian New Zealand, 2018, </w:t>
      </w:r>
      <w:hyperlink r:id="rId199" w:history="1">
        <w:r w:rsidRPr="001D028A">
          <w:rPr>
            <w:rStyle w:val="Hyperlink"/>
            <w:rFonts w:cstheme="minorHAnsi"/>
            <w:i/>
            <w:sz w:val="20"/>
            <w:szCs w:val="20"/>
          </w:rPr>
          <w:t>P1047 – Review of regulatory nutrient reference values</w:t>
        </w:r>
      </w:hyperlink>
      <w:r w:rsidRPr="001D028A">
        <w:rPr>
          <w:rFonts w:cstheme="minorHAnsi"/>
          <w:sz w:val="20"/>
          <w:szCs w:val="20"/>
        </w:rPr>
        <w:t>, accessed 29 January 2019.</w:t>
      </w:r>
    </w:p>
    <w:p w14:paraId="20F31560"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 xml:space="preserve">Food Regulation Secretariat 2013, </w:t>
      </w:r>
      <w:r w:rsidRPr="001D028A">
        <w:rPr>
          <w:rFonts w:cstheme="minorHAnsi"/>
          <w:i/>
          <w:sz w:val="20"/>
          <w:szCs w:val="20"/>
          <w:lang w:val="en-GB"/>
        </w:rPr>
        <w:t>Front-of-pack labelling update 14 June 2013</w:t>
      </w:r>
      <w:r w:rsidRPr="001D028A">
        <w:rPr>
          <w:rFonts w:cstheme="minorHAnsi"/>
          <w:sz w:val="20"/>
          <w:szCs w:val="20"/>
          <w:lang w:val="en-GB"/>
        </w:rPr>
        <w:t>, viewed 13 July 2017.</w:t>
      </w:r>
    </w:p>
    <w:p w14:paraId="2887BACD" w14:textId="77777777" w:rsidR="00C52B5B" w:rsidRPr="001D028A" w:rsidRDefault="00C52B5B" w:rsidP="00C52B5B">
      <w:pPr>
        <w:pStyle w:val="NoSpacing"/>
        <w:rPr>
          <w:rFonts w:cstheme="minorHAnsi"/>
          <w:iCs/>
          <w:sz w:val="20"/>
          <w:szCs w:val="20"/>
          <w:lang w:val="en-GB"/>
        </w:rPr>
      </w:pPr>
    </w:p>
    <w:p w14:paraId="7A16036A" w14:textId="77777777" w:rsidR="00C52B5B" w:rsidRPr="001D028A" w:rsidRDefault="00C52B5B" w:rsidP="00C52B5B">
      <w:pPr>
        <w:pStyle w:val="NoSpacing"/>
        <w:rPr>
          <w:rFonts w:cstheme="minorHAnsi"/>
          <w:iCs/>
          <w:sz w:val="20"/>
          <w:szCs w:val="20"/>
          <w:lang w:val="en-GB"/>
        </w:rPr>
      </w:pPr>
      <w:r w:rsidRPr="001D028A">
        <w:rPr>
          <w:rFonts w:cstheme="minorHAnsi"/>
          <w:sz w:val="20"/>
          <w:szCs w:val="20"/>
        </w:rPr>
        <w:t xml:space="preserve">Food Regulation Secretariat, Joint Food Regulation System, 2018, </w:t>
      </w:r>
      <w:r w:rsidRPr="001D028A">
        <w:rPr>
          <w:rFonts w:cstheme="minorHAnsi"/>
          <w:i/>
          <w:sz w:val="20"/>
          <w:szCs w:val="20"/>
        </w:rPr>
        <w:t>Consultation Regulation Impact Statement: Labelling of sugars on packaged foods and drinks</w:t>
      </w:r>
      <w:r w:rsidRPr="001D028A">
        <w:rPr>
          <w:rFonts w:cstheme="minorHAnsi"/>
          <w:sz w:val="20"/>
          <w:szCs w:val="20"/>
        </w:rPr>
        <w:t>, Department of Health.</w:t>
      </w:r>
    </w:p>
    <w:p w14:paraId="398DFB82" w14:textId="77777777" w:rsidR="00C52B5B" w:rsidRPr="001D028A" w:rsidRDefault="00C52B5B" w:rsidP="00C52B5B">
      <w:pPr>
        <w:pStyle w:val="NoSpacing"/>
        <w:rPr>
          <w:rFonts w:cstheme="minorHAnsi"/>
          <w:iCs/>
          <w:sz w:val="20"/>
          <w:szCs w:val="20"/>
          <w:lang w:val="en-GB"/>
        </w:rPr>
      </w:pPr>
    </w:p>
    <w:p w14:paraId="16F689C3"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 xml:space="preserve">Hall &amp; Partners Open Mind 2014, </w:t>
      </w:r>
      <w:r w:rsidRPr="001D028A">
        <w:rPr>
          <w:rFonts w:cstheme="minorHAnsi"/>
          <w:i/>
          <w:sz w:val="20"/>
          <w:szCs w:val="20"/>
          <w:lang w:val="en-GB"/>
        </w:rPr>
        <w:t xml:space="preserve">FoPL Stage 2 Research – Measuring the impact of FoPL labelling on consumer food purchase choices, </w:t>
      </w:r>
      <w:r w:rsidRPr="001D028A">
        <w:rPr>
          <w:rFonts w:cstheme="minorHAnsi"/>
          <w:iCs/>
          <w:sz w:val="20"/>
          <w:szCs w:val="20"/>
          <w:lang w:val="en-GB"/>
        </w:rPr>
        <w:t>report submitted to the Commonwealth Department of Health, Canberra, April.</w:t>
      </w:r>
    </w:p>
    <w:p w14:paraId="0B0FC806" w14:textId="77777777" w:rsidR="00C52B5B" w:rsidRPr="001D028A" w:rsidRDefault="00C52B5B" w:rsidP="00C52B5B">
      <w:pPr>
        <w:pStyle w:val="NoSpacing"/>
        <w:rPr>
          <w:rFonts w:cstheme="minorHAnsi"/>
          <w:iCs/>
          <w:sz w:val="20"/>
          <w:szCs w:val="20"/>
          <w:lang w:val="en-GB"/>
        </w:rPr>
      </w:pPr>
    </w:p>
    <w:p w14:paraId="77793AE9" w14:textId="77777777" w:rsidR="00C52B5B" w:rsidRPr="001D028A" w:rsidRDefault="00C52B5B" w:rsidP="00C52B5B">
      <w:pPr>
        <w:pStyle w:val="NoSpacing"/>
        <w:rPr>
          <w:rFonts w:cstheme="minorHAnsi"/>
          <w:iCs/>
          <w:sz w:val="20"/>
          <w:szCs w:val="20"/>
          <w:lang w:val="en-GB"/>
        </w:rPr>
      </w:pPr>
      <w:r w:rsidRPr="001D028A">
        <w:rPr>
          <w:rFonts w:cstheme="minorHAnsi"/>
          <w:sz w:val="20"/>
          <w:szCs w:val="20"/>
          <w:lang w:val="en-GB"/>
        </w:rPr>
        <w:t xml:space="preserve">Hall &amp; Partners Open Mind 2013, </w:t>
      </w:r>
      <w:r w:rsidRPr="001D028A">
        <w:rPr>
          <w:rFonts w:cstheme="minorHAnsi"/>
          <w:i/>
          <w:sz w:val="20"/>
          <w:szCs w:val="20"/>
          <w:lang w:val="en-GB"/>
        </w:rPr>
        <w:t xml:space="preserve">Proposed Front-of-Pack Food Labelling Designs: Qualitative Research Outcomes, </w:t>
      </w:r>
      <w:r w:rsidRPr="001D028A">
        <w:rPr>
          <w:rFonts w:cstheme="minorHAnsi"/>
          <w:iCs/>
          <w:sz w:val="20"/>
          <w:szCs w:val="20"/>
          <w:lang w:val="en-GB"/>
        </w:rPr>
        <w:t>report submitted to the Commonwealth Department of Health and Ageing, Canberra, March.</w:t>
      </w:r>
    </w:p>
    <w:p w14:paraId="00D5E759" w14:textId="77777777" w:rsidR="00C52B5B" w:rsidRPr="001D028A" w:rsidRDefault="00C52B5B" w:rsidP="00C52B5B">
      <w:pPr>
        <w:pStyle w:val="NoSpacing"/>
        <w:rPr>
          <w:rFonts w:cstheme="minorHAnsi"/>
          <w:iCs/>
          <w:sz w:val="20"/>
          <w:szCs w:val="20"/>
          <w:lang w:val="en-GB"/>
        </w:rPr>
      </w:pPr>
    </w:p>
    <w:p w14:paraId="2918E79F"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Promotion Agency 2015, </w:t>
      </w:r>
      <w:r w:rsidRPr="001D028A">
        <w:rPr>
          <w:rFonts w:cstheme="minorHAnsi"/>
          <w:i/>
          <w:sz w:val="20"/>
          <w:szCs w:val="20"/>
          <w:lang w:val="en-GB"/>
        </w:rPr>
        <w:t>Health Star Consumer Research and Message Testing: Report commissioned by the Health Promotion Agency</w:t>
      </w:r>
      <w:r w:rsidRPr="001D028A">
        <w:rPr>
          <w:rFonts w:cstheme="minorHAnsi"/>
          <w:sz w:val="20"/>
          <w:szCs w:val="20"/>
          <w:lang w:val="en-GB"/>
        </w:rPr>
        <w:t>, report prepared by TNS New Zealand, Wellington.</w:t>
      </w:r>
    </w:p>
    <w:p w14:paraId="3B7A91A2" w14:textId="77777777" w:rsidR="00C52B5B" w:rsidRPr="001D028A" w:rsidRDefault="00C52B5B" w:rsidP="00C52B5B">
      <w:pPr>
        <w:pStyle w:val="NoSpacing"/>
        <w:rPr>
          <w:rFonts w:cstheme="minorHAnsi"/>
          <w:sz w:val="20"/>
          <w:szCs w:val="20"/>
          <w:lang w:val="en-GB"/>
        </w:rPr>
      </w:pPr>
    </w:p>
    <w:p w14:paraId="6831D525"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Star Rating Advisory Committee, </w:t>
      </w:r>
      <w:r w:rsidRPr="001D028A">
        <w:rPr>
          <w:rFonts w:cstheme="minorHAnsi"/>
          <w:i/>
          <w:sz w:val="20"/>
          <w:szCs w:val="20"/>
          <w:lang w:val="en-GB"/>
        </w:rPr>
        <w:t>Dispute Resolution Process</w:t>
      </w:r>
      <w:r w:rsidRPr="001D028A">
        <w:rPr>
          <w:rFonts w:cstheme="minorHAnsi"/>
          <w:sz w:val="20"/>
          <w:szCs w:val="20"/>
          <w:lang w:val="en-GB"/>
        </w:rPr>
        <w:t xml:space="preserve">, viewed 10 August 2017. </w:t>
      </w:r>
    </w:p>
    <w:p w14:paraId="5ACAD424" w14:textId="77777777" w:rsidR="00C52B5B" w:rsidRPr="001D028A" w:rsidRDefault="00C52B5B" w:rsidP="00C52B5B">
      <w:pPr>
        <w:pStyle w:val="NoSpacing"/>
        <w:rPr>
          <w:rFonts w:cstheme="minorHAnsi"/>
          <w:sz w:val="20"/>
          <w:szCs w:val="20"/>
          <w:lang w:val="en-GB"/>
        </w:rPr>
      </w:pPr>
    </w:p>
    <w:p w14:paraId="323951E7"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Star Rating Advisory Committee 2017, </w:t>
      </w:r>
      <w:r w:rsidRPr="001D028A">
        <w:rPr>
          <w:rFonts w:cstheme="minorHAnsi"/>
          <w:i/>
          <w:sz w:val="20"/>
          <w:szCs w:val="20"/>
          <w:lang w:val="en-GB"/>
        </w:rPr>
        <w:t>Health Star Rating (HSR) - Five Year Review Timeline</w:t>
      </w:r>
      <w:r w:rsidRPr="001D028A">
        <w:rPr>
          <w:rFonts w:cstheme="minorHAnsi"/>
          <w:sz w:val="20"/>
          <w:szCs w:val="20"/>
          <w:lang w:val="en-GB"/>
        </w:rPr>
        <w:t>, viewed 10 August 2017.</w:t>
      </w:r>
    </w:p>
    <w:p w14:paraId="5C07E92D" w14:textId="77777777" w:rsidR="00C52B5B" w:rsidRPr="001D028A" w:rsidRDefault="00C52B5B" w:rsidP="00C52B5B">
      <w:pPr>
        <w:pStyle w:val="NoSpacing"/>
        <w:rPr>
          <w:rFonts w:cstheme="minorHAnsi"/>
          <w:sz w:val="20"/>
          <w:szCs w:val="20"/>
          <w:lang w:val="en-GB"/>
        </w:rPr>
      </w:pPr>
    </w:p>
    <w:p w14:paraId="36895085"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Health Star Rating Advisory Committee, </w:t>
      </w:r>
      <w:r w:rsidRPr="001D028A">
        <w:rPr>
          <w:rFonts w:cstheme="minorHAnsi"/>
          <w:i/>
          <w:iCs/>
          <w:sz w:val="20"/>
          <w:szCs w:val="20"/>
          <w:lang w:val="en-GB"/>
        </w:rPr>
        <w:t>Outcomes of meetings - Health Star Rating (HSR) Advisory Committee</w:t>
      </w:r>
      <w:r w:rsidRPr="001D028A">
        <w:rPr>
          <w:rFonts w:cstheme="minorHAnsi"/>
          <w:iCs/>
          <w:sz w:val="20"/>
          <w:szCs w:val="20"/>
          <w:lang w:val="en-GB"/>
        </w:rPr>
        <w:t>, viewed 14 August 2017.</w:t>
      </w:r>
    </w:p>
    <w:p w14:paraId="4CE2CABE" w14:textId="77777777" w:rsidR="00C52B5B" w:rsidRPr="001D028A" w:rsidRDefault="00C52B5B" w:rsidP="00C52B5B">
      <w:pPr>
        <w:pStyle w:val="NoSpacing"/>
        <w:rPr>
          <w:rFonts w:cstheme="minorHAnsi"/>
          <w:sz w:val="20"/>
          <w:szCs w:val="20"/>
          <w:lang w:val="en-GB"/>
        </w:rPr>
      </w:pPr>
    </w:p>
    <w:p w14:paraId="3388BF5A"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Star Rating Advisory Committee 2016, </w:t>
      </w:r>
      <w:r w:rsidRPr="001D028A">
        <w:rPr>
          <w:rFonts w:cstheme="minorHAnsi"/>
          <w:i/>
          <w:iCs/>
          <w:sz w:val="20"/>
          <w:szCs w:val="20"/>
          <w:lang w:val="en-GB"/>
        </w:rPr>
        <w:t>Process for assessing a potential anomaly</w:t>
      </w:r>
      <w:r w:rsidRPr="001D028A">
        <w:rPr>
          <w:rFonts w:cstheme="minorHAnsi"/>
          <w:iCs/>
          <w:sz w:val="20"/>
          <w:szCs w:val="20"/>
          <w:lang w:val="en-GB"/>
        </w:rPr>
        <w:t>, version 3</w:t>
      </w:r>
      <w:r w:rsidRPr="001D028A">
        <w:rPr>
          <w:rFonts w:cstheme="minorHAnsi"/>
          <w:sz w:val="20"/>
          <w:szCs w:val="20"/>
          <w:lang w:val="en-GB"/>
        </w:rPr>
        <w:t>, viewed 10 August 2017.</w:t>
      </w:r>
    </w:p>
    <w:p w14:paraId="2021C1DB" w14:textId="77777777" w:rsidR="00C52B5B" w:rsidRPr="001D028A" w:rsidRDefault="00C52B5B" w:rsidP="00C52B5B">
      <w:pPr>
        <w:pStyle w:val="NoSpacing"/>
        <w:rPr>
          <w:rFonts w:cstheme="minorHAnsi"/>
          <w:sz w:val="20"/>
          <w:szCs w:val="20"/>
          <w:lang w:val="en-GB"/>
        </w:rPr>
      </w:pPr>
    </w:p>
    <w:p w14:paraId="4A16A016"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Health Star Rating Advisory Committee, </w:t>
      </w:r>
      <w:r w:rsidRPr="001D028A">
        <w:rPr>
          <w:rFonts w:cstheme="minorHAnsi"/>
          <w:i/>
          <w:iCs/>
          <w:sz w:val="20"/>
          <w:szCs w:val="20"/>
          <w:lang w:val="en-GB"/>
        </w:rPr>
        <w:t>Register of potential anomalies,</w:t>
      </w:r>
      <w:r w:rsidRPr="001D028A">
        <w:rPr>
          <w:rFonts w:cstheme="minorHAnsi"/>
          <w:iCs/>
          <w:sz w:val="20"/>
          <w:szCs w:val="20"/>
          <w:lang w:val="en-GB"/>
        </w:rPr>
        <w:t xml:space="preserve"> version 5</w:t>
      </w:r>
      <w:r w:rsidRPr="001D028A">
        <w:rPr>
          <w:rFonts w:cstheme="minorHAnsi"/>
          <w:sz w:val="20"/>
          <w:szCs w:val="20"/>
          <w:lang w:val="en-GB"/>
        </w:rPr>
        <w:t>, viewed 10 August 2017.</w:t>
      </w:r>
    </w:p>
    <w:p w14:paraId="6108484D" w14:textId="77777777" w:rsidR="00C52B5B" w:rsidRPr="001D028A" w:rsidRDefault="00C52B5B" w:rsidP="00C52B5B">
      <w:pPr>
        <w:pStyle w:val="NoSpacing"/>
        <w:rPr>
          <w:rFonts w:cstheme="minorHAnsi"/>
          <w:sz w:val="20"/>
          <w:szCs w:val="20"/>
          <w:lang w:val="en-GB"/>
        </w:rPr>
      </w:pPr>
    </w:p>
    <w:p w14:paraId="15CAA9C9"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Health Star Rating Advisory Committee, </w:t>
      </w:r>
      <w:r w:rsidRPr="001D028A">
        <w:rPr>
          <w:rFonts w:cstheme="minorHAnsi"/>
          <w:i/>
          <w:iCs/>
          <w:sz w:val="20"/>
          <w:szCs w:val="20"/>
          <w:lang w:val="en-GB"/>
        </w:rPr>
        <w:t>Stakeholder Workshops</w:t>
      </w:r>
      <w:r w:rsidRPr="001D028A">
        <w:rPr>
          <w:rFonts w:cstheme="minorHAnsi"/>
          <w:iCs/>
          <w:sz w:val="20"/>
          <w:szCs w:val="20"/>
          <w:lang w:val="en-GB"/>
        </w:rPr>
        <w:t>, viewed 11 August 2017.</w:t>
      </w:r>
    </w:p>
    <w:p w14:paraId="1AE04882" w14:textId="77777777" w:rsidR="00C52B5B" w:rsidRPr="001D028A" w:rsidRDefault="00C52B5B" w:rsidP="00C52B5B">
      <w:pPr>
        <w:pStyle w:val="NoSpacing"/>
        <w:rPr>
          <w:rFonts w:cstheme="minorHAnsi"/>
          <w:sz w:val="20"/>
          <w:szCs w:val="20"/>
          <w:lang w:val="en-GB"/>
        </w:rPr>
      </w:pPr>
    </w:p>
    <w:p w14:paraId="294A5774" w14:textId="77777777" w:rsidR="00C52B5B" w:rsidRPr="001D028A" w:rsidRDefault="00C52B5B" w:rsidP="00C52B5B">
      <w:pPr>
        <w:pStyle w:val="NoSpacing"/>
        <w:rPr>
          <w:rFonts w:cstheme="minorHAnsi"/>
          <w:iCs/>
          <w:sz w:val="20"/>
          <w:szCs w:val="20"/>
          <w:lang w:val="en-GB"/>
        </w:rPr>
      </w:pPr>
      <w:r w:rsidRPr="001D028A">
        <w:rPr>
          <w:rFonts w:cstheme="minorHAnsi"/>
          <w:iCs/>
          <w:sz w:val="20"/>
          <w:szCs w:val="20"/>
          <w:lang w:val="en-GB"/>
        </w:rPr>
        <w:t>Health Star Rating Advisory Committee</w:t>
      </w:r>
      <w:r w:rsidRPr="001D028A">
        <w:rPr>
          <w:rFonts w:cstheme="minorHAnsi"/>
          <w:i/>
          <w:iCs/>
          <w:sz w:val="20"/>
          <w:szCs w:val="20"/>
          <w:lang w:val="en-GB"/>
        </w:rPr>
        <w:t xml:space="preserve">, Terms of Reference - Health Star Rating Advisory Committee, </w:t>
      </w:r>
      <w:r w:rsidRPr="001D028A">
        <w:rPr>
          <w:rFonts w:cstheme="minorHAnsi"/>
          <w:iCs/>
          <w:sz w:val="20"/>
          <w:szCs w:val="20"/>
          <w:lang w:val="en-GB"/>
        </w:rPr>
        <w:t>viewed</w:t>
      </w:r>
      <w:r w:rsidRPr="001D028A">
        <w:rPr>
          <w:rFonts w:cstheme="minorHAnsi"/>
          <w:i/>
          <w:iCs/>
          <w:sz w:val="20"/>
          <w:szCs w:val="20"/>
          <w:lang w:val="en-GB"/>
        </w:rPr>
        <w:t xml:space="preserve"> </w:t>
      </w:r>
      <w:r w:rsidRPr="001D028A">
        <w:rPr>
          <w:rFonts w:cstheme="minorHAnsi"/>
          <w:iCs/>
          <w:sz w:val="20"/>
          <w:szCs w:val="20"/>
          <w:lang w:val="en-GB"/>
        </w:rPr>
        <w:t>10 August 2017.</w:t>
      </w:r>
    </w:p>
    <w:p w14:paraId="2409C7C5" w14:textId="77777777" w:rsidR="00C52B5B" w:rsidRPr="001D028A" w:rsidRDefault="00C52B5B" w:rsidP="00C52B5B">
      <w:pPr>
        <w:pStyle w:val="NoSpacing"/>
        <w:rPr>
          <w:rFonts w:cstheme="minorHAnsi"/>
          <w:i/>
          <w:sz w:val="20"/>
          <w:szCs w:val="20"/>
          <w:lang w:val="en-GB"/>
        </w:rPr>
      </w:pPr>
    </w:p>
    <w:p w14:paraId="2641A71C" w14:textId="77777777" w:rsidR="00C52B5B" w:rsidRPr="001D028A" w:rsidRDefault="00C52B5B" w:rsidP="00C52B5B">
      <w:pPr>
        <w:pStyle w:val="NoSpacing"/>
        <w:rPr>
          <w:rFonts w:cstheme="minorHAnsi"/>
          <w:sz w:val="20"/>
          <w:szCs w:val="20"/>
          <w:lang w:val="en-GB"/>
        </w:rPr>
      </w:pPr>
      <w:r w:rsidRPr="001D028A">
        <w:rPr>
          <w:rFonts w:cstheme="minorHAnsi"/>
          <w:iCs/>
          <w:sz w:val="20"/>
          <w:szCs w:val="20"/>
          <w:lang w:val="en-GB"/>
        </w:rPr>
        <w:t xml:space="preserve">Health Star Rating Technical Advisory Group, </w:t>
      </w:r>
      <w:r w:rsidRPr="001D028A">
        <w:rPr>
          <w:rFonts w:cstheme="minorHAnsi"/>
          <w:i/>
          <w:iCs/>
          <w:sz w:val="20"/>
          <w:szCs w:val="20"/>
          <w:lang w:val="en-GB"/>
        </w:rPr>
        <w:t xml:space="preserve">Health Star Rating Technical Advisory Group Terms of Reference, </w:t>
      </w:r>
      <w:r w:rsidRPr="001D028A">
        <w:rPr>
          <w:rFonts w:cstheme="minorHAnsi"/>
          <w:iCs/>
          <w:sz w:val="20"/>
          <w:szCs w:val="20"/>
          <w:lang w:val="en-GB"/>
        </w:rPr>
        <w:t>viewed 11 August 2017.</w:t>
      </w:r>
    </w:p>
    <w:p w14:paraId="3FB4AF25" w14:textId="77777777" w:rsidR="00C52B5B" w:rsidRPr="001D028A" w:rsidRDefault="00C52B5B" w:rsidP="00C52B5B">
      <w:pPr>
        <w:pStyle w:val="NoSpacing"/>
        <w:rPr>
          <w:rFonts w:cstheme="minorHAnsi"/>
          <w:sz w:val="20"/>
          <w:szCs w:val="20"/>
        </w:rPr>
      </w:pPr>
    </w:p>
    <w:p w14:paraId="11AFED58" w14:textId="77777777" w:rsidR="00C52B5B" w:rsidRPr="001D028A" w:rsidRDefault="00C52B5B" w:rsidP="00C52B5B">
      <w:pPr>
        <w:pStyle w:val="Default"/>
        <w:rPr>
          <w:rFonts w:asciiTheme="minorHAnsi" w:hAnsiTheme="minorHAnsi" w:cstheme="minorHAnsi"/>
          <w:color w:val="auto"/>
          <w:sz w:val="20"/>
          <w:szCs w:val="20"/>
          <w:lang w:val="en-AU"/>
        </w:rPr>
      </w:pPr>
      <w:r w:rsidRPr="001D028A">
        <w:rPr>
          <w:rFonts w:asciiTheme="minorHAnsi" w:hAnsiTheme="minorHAnsi" w:cstheme="minorHAnsi"/>
          <w:color w:val="auto"/>
          <w:sz w:val="20"/>
          <w:szCs w:val="20"/>
          <w:lang w:val="en-AU"/>
        </w:rPr>
        <w:t xml:space="preserve">New Zealand Ministry of Health, </w:t>
      </w:r>
      <w:r w:rsidRPr="001D028A">
        <w:rPr>
          <w:rFonts w:asciiTheme="minorHAnsi" w:hAnsiTheme="minorHAnsi" w:cstheme="minorHAnsi"/>
          <w:i/>
          <w:iCs/>
          <w:color w:val="auto"/>
          <w:sz w:val="20"/>
          <w:szCs w:val="20"/>
          <w:lang w:val="en-AU"/>
        </w:rPr>
        <w:t>Submission on The form of the food (‘as prepared)’ rules for the Health Star Rating system</w:t>
      </w:r>
      <w:r w:rsidRPr="001D028A">
        <w:rPr>
          <w:rFonts w:asciiTheme="minorHAnsi" w:hAnsiTheme="minorHAnsi" w:cstheme="minorHAnsi"/>
          <w:color w:val="auto"/>
          <w:sz w:val="20"/>
          <w:szCs w:val="20"/>
          <w:lang w:val="en-AU"/>
        </w:rPr>
        <w:t>.</w:t>
      </w:r>
    </w:p>
    <w:p w14:paraId="253106B6" w14:textId="77777777" w:rsidR="00C52B5B" w:rsidRPr="001D028A" w:rsidRDefault="00C52B5B" w:rsidP="00C52B5B">
      <w:pPr>
        <w:pStyle w:val="NoSpacing"/>
        <w:rPr>
          <w:rFonts w:cstheme="minorHAnsi"/>
          <w:sz w:val="20"/>
          <w:szCs w:val="20"/>
          <w:lang w:val="en-GB"/>
        </w:rPr>
      </w:pPr>
    </w:p>
    <w:p w14:paraId="64DB415E" w14:textId="4A33EA33" w:rsidR="00C52B5B" w:rsidRPr="001D028A" w:rsidRDefault="00C52B5B" w:rsidP="00C52B5B">
      <w:pPr>
        <w:rPr>
          <w:rFonts w:cstheme="minorHAnsi"/>
          <w:sz w:val="20"/>
          <w:szCs w:val="20"/>
        </w:rPr>
      </w:pPr>
      <w:r w:rsidRPr="001D028A">
        <w:rPr>
          <w:rFonts w:cstheme="minorHAnsi"/>
          <w:sz w:val="20"/>
          <w:szCs w:val="20"/>
        </w:rPr>
        <w:t xml:space="preserve">National Health and Medical Research Council and Department of Health and Ageing, </w:t>
      </w:r>
      <w:hyperlink r:id="rId200" w:history="1">
        <w:r w:rsidRPr="001D028A">
          <w:rPr>
            <w:rStyle w:val="Hyperlink"/>
            <w:rFonts w:cstheme="minorHAnsi"/>
            <w:i/>
            <w:iCs/>
            <w:sz w:val="20"/>
            <w:szCs w:val="20"/>
          </w:rPr>
          <w:t>Factsheet: How to understand food labels</w:t>
        </w:r>
      </w:hyperlink>
      <w:r>
        <w:rPr>
          <w:rFonts w:cstheme="minorHAnsi"/>
          <w:sz w:val="20"/>
          <w:szCs w:val="20"/>
        </w:rPr>
        <w:t>.</w:t>
      </w:r>
    </w:p>
    <w:p w14:paraId="4A679767" w14:textId="77777777" w:rsidR="00C52B5B" w:rsidRPr="001D028A" w:rsidRDefault="00C52B5B" w:rsidP="00C52B5B">
      <w:pPr>
        <w:pStyle w:val="NoSpacing"/>
        <w:rPr>
          <w:rFonts w:cstheme="minorHAnsi"/>
          <w:sz w:val="20"/>
          <w:szCs w:val="20"/>
          <w:lang w:val="en-GB"/>
        </w:rPr>
      </w:pPr>
    </w:p>
    <w:p w14:paraId="0328259C" w14:textId="71EDF2D4" w:rsidR="00C52B5B" w:rsidRPr="001D028A" w:rsidRDefault="00C52B5B" w:rsidP="00C52B5B">
      <w:pPr>
        <w:pStyle w:val="NoSpacing"/>
        <w:rPr>
          <w:rFonts w:cstheme="minorHAnsi"/>
          <w:i/>
          <w:sz w:val="20"/>
          <w:szCs w:val="20"/>
        </w:rPr>
      </w:pPr>
      <w:r w:rsidRPr="001D028A">
        <w:rPr>
          <w:rFonts w:cstheme="minorHAnsi"/>
          <w:sz w:val="20"/>
          <w:szCs w:val="20"/>
        </w:rPr>
        <w:t xml:space="preserve">National Health and Medical Research Council, 2017, </w:t>
      </w:r>
      <w:r w:rsidRPr="001D028A">
        <w:rPr>
          <w:rFonts w:cstheme="minorHAnsi"/>
          <w:i/>
          <w:sz w:val="20"/>
          <w:szCs w:val="20"/>
        </w:rPr>
        <w:t>Nutrient Reference Values for Australia and New Zealand Including Recommended Dietary Intakes version 1.2</w:t>
      </w:r>
      <w:r>
        <w:rPr>
          <w:rFonts w:cstheme="minorHAnsi"/>
          <w:i/>
          <w:sz w:val="20"/>
          <w:szCs w:val="20"/>
        </w:rPr>
        <w:t>.</w:t>
      </w:r>
    </w:p>
    <w:p w14:paraId="36378752" w14:textId="77777777" w:rsidR="00C52B5B" w:rsidRPr="001D028A" w:rsidRDefault="00C52B5B" w:rsidP="00C52B5B">
      <w:pPr>
        <w:pStyle w:val="NoSpacing"/>
        <w:rPr>
          <w:rFonts w:cstheme="minorHAnsi"/>
          <w:i/>
          <w:sz w:val="20"/>
          <w:szCs w:val="20"/>
        </w:rPr>
      </w:pPr>
    </w:p>
    <w:p w14:paraId="0B4F30BB" w14:textId="74FEE6EC" w:rsidR="00C52B5B" w:rsidRPr="001D028A" w:rsidRDefault="00C52B5B" w:rsidP="00C52B5B">
      <w:pPr>
        <w:pStyle w:val="NoSpacing"/>
        <w:rPr>
          <w:rFonts w:cstheme="minorHAnsi"/>
          <w:i/>
          <w:sz w:val="20"/>
          <w:szCs w:val="20"/>
        </w:rPr>
      </w:pPr>
      <w:r w:rsidRPr="001D028A">
        <w:rPr>
          <w:rFonts w:cstheme="minorHAnsi"/>
          <w:sz w:val="20"/>
          <w:szCs w:val="20"/>
        </w:rPr>
        <w:t>New Zealand Government Department of Treasury, April 2017, Government Expectations for Good Regulatory Practice</w:t>
      </w:r>
      <w:r>
        <w:rPr>
          <w:rFonts w:cstheme="minorHAnsi"/>
          <w:sz w:val="20"/>
          <w:szCs w:val="20"/>
        </w:rPr>
        <w:t>.</w:t>
      </w:r>
    </w:p>
    <w:p w14:paraId="780D3B8A" w14:textId="77777777" w:rsidR="00C52B5B" w:rsidRPr="001D028A" w:rsidRDefault="00C52B5B" w:rsidP="00C52B5B">
      <w:pPr>
        <w:pStyle w:val="NoSpacing"/>
        <w:rPr>
          <w:rFonts w:cstheme="minorHAnsi"/>
          <w:sz w:val="20"/>
          <w:szCs w:val="20"/>
          <w:lang w:val="en-GB"/>
        </w:rPr>
      </w:pPr>
    </w:p>
    <w:p w14:paraId="2EB21385" w14:textId="77777777" w:rsidR="00C52B5B" w:rsidRPr="001D028A" w:rsidRDefault="00C52B5B" w:rsidP="00C52B5B">
      <w:pPr>
        <w:pStyle w:val="NoSpacing"/>
        <w:rPr>
          <w:rFonts w:cstheme="minorHAnsi"/>
          <w:sz w:val="20"/>
          <w:szCs w:val="20"/>
        </w:rPr>
      </w:pPr>
      <w:r w:rsidRPr="001D028A">
        <w:rPr>
          <w:rFonts w:cstheme="minorHAnsi"/>
          <w:sz w:val="20"/>
          <w:szCs w:val="20"/>
        </w:rPr>
        <w:t>NSW Government Finance, Services and Innovation, October 2016, NSW Government’s Guide to Better Regulation.</w:t>
      </w:r>
    </w:p>
    <w:p w14:paraId="00A3AEDC" w14:textId="77777777" w:rsidR="00C52B5B" w:rsidRPr="001D028A" w:rsidRDefault="00C52B5B" w:rsidP="00C52B5B">
      <w:pPr>
        <w:pStyle w:val="NoSpacing"/>
        <w:rPr>
          <w:rFonts w:cstheme="minorHAnsi"/>
          <w:sz w:val="20"/>
          <w:szCs w:val="20"/>
          <w:lang w:val="en-GB"/>
        </w:rPr>
      </w:pPr>
    </w:p>
    <w:p w14:paraId="2277E3B9" w14:textId="77777777" w:rsidR="00C52B5B" w:rsidRPr="001D028A" w:rsidRDefault="00C52B5B" w:rsidP="00C52B5B">
      <w:pPr>
        <w:pStyle w:val="NoSpacing"/>
        <w:rPr>
          <w:rFonts w:eastAsia="Times New Roman" w:cstheme="minorHAnsi"/>
          <w:sz w:val="20"/>
          <w:szCs w:val="20"/>
        </w:rPr>
      </w:pPr>
      <w:r w:rsidRPr="001D028A">
        <w:rPr>
          <w:rFonts w:eastAsia="Times New Roman" w:cstheme="minorHAnsi"/>
          <w:sz w:val="20"/>
          <w:szCs w:val="20"/>
        </w:rPr>
        <w:t xml:space="preserve">OECD 2012, </w:t>
      </w:r>
      <w:r w:rsidRPr="001D028A">
        <w:rPr>
          <w:rFonts w:eastAsia="Times New Roman" w:cstheme="minorHAnsi"/>
          <w:i/>
          <w:iCs/>
          <w:sz w:val="20"/>
          <w:szCs w:val="20"/>
        </w:rPr>
        <w:t>Recommendation of the Council on Regulatory Policy and Governance</w:t>
      </w:r>
      <w:r w:rsidRPr="001D028A">
        <w:rPr>
          <w:rFonts w:eastAsia="Times New Roman" w:cstheme="minorHAnsi"/>
          <w:sz w:val="20"/>
          <w:szCs w:val="20"/>
        </w:rPr>
        <w:t xml:space="preserve">, prepared by the Regulatory Policy Committee following the conference </w:t>
      </w:r>
      <w:r w:rsidRPr="001D028A">
        <w:rPr>
          <w:rFonts w:eastAsia="Times New Roman" w:cstheme="minorHAnsi"/>
          <w:i/>
          <w:iCs/>
          <w:sz w:val="20"/>
          <w:szCs w:val="20"/>
        </w:rPr>
        <w:t>Regulatory Policy: Towards a New Policy Agenda, October 2010.</w:t>
      </w:r>
    </w:p>
    <w:p w14:paraId="6C67F3B7" w14:textId="77777777" w:rsidR="00C52B5B" w:rsidRPr="001D028A" w:rsidRDefault="00C52B5B" w:rsidP="00C52B5B">
      <w:pPr>
        <w:pStyle w:val="NoSpacing"/>
        <w:rPr>
          <w:rFonts w:cstheme="minorHAnsi"/>
          <w:sz w:val="20"/>
          <w:szCs w:val="20"/>
          <w:lang w:val="en-GB"/>
        </w:rPr>
      </w:pPr>
    </w:p>
    <w:p w14:paraId="6AFDB212" w14:textId="77777777" w:rsidR="00C52B5B" w:rsidRPr="001D028A" w:rsidRDefault="00C52B5B" w:rsidP="00C52B5B">
      <w:pPr>
        <w:pStyle w:val="NoSpacing"/>
        <w:rPr>
          <w:rFonts w:cstheme="minorHAnsi"/>
          <w:sz w:val="20"/>
          <w:szCs w:val="20"/>
          <w:lang w:val="en-GB"/>
        </w:rPr>
      </w:pPr>
      <w:r w:rsidRPr="001D028A">
        <w:rPr>
          <w:rFonts w:cstheme="minorHAnsi"/>
          <w:sz w:val="20"/>
          <w:szCs w:val="20"/>
          <w:lang w:val="en-GB"/>
        </w:rPr>
        <w:t xml:space="preserve">PricewaterhouseCoopers 2014, </w:t>
      </w:r>
      <w:r w:rsidRPr="001D028A">
        <w:rPr>
          <w:rFonts w:cstheme="minorHAnsi"/>
          <w:i/>
          <w:sz w:val="20"/>
          <w:szCs w:val="20"/>
          <w:lang w:val="en-GB"/>
        </w:rPr>
        <w:t>Health Star Rating System Cost Benefit Analysis,</w:t>
      </w:r>
      <w:r w:rsidRPr="001D028A">
        <w:rPr>
          <w:rFonts w:cstheme="minorHAnsi"/>
          <w:sz w:val="20"/>
          <w:szCs w:val="20"/>
          <w:lang w:val="en-GB"/>
        </w:rPr>
        <w:t xml:space="preserve"> report submitted to the Department of Health, Canberra, 16 May.</w:t>
      </w:r>
    </w:p>
    <w:p w14:paraId="21A54511" w14:textId="77777777" w:rsidR="00C52B5B" w:rsidRPr="001D028A" w:rsidRDefault="00C52B5B" w:rsidP="00C52B5B">
      <w:pPr>
        <w:pStyle w:val="NoSpacing"/>
        <w:rPr>
          <w:rFonts w:cstheme="minorHAnsi"/>
          <w:sz w:val="20"/>
          <w:szCs w:val="20"/>
          <w:lang w:val="en-GB"/>
        </w:rPr>
      </w:pPr>
    </w:p>
    <w:p w14:paraId="5C575FA3" w14:textId="4836AFB1" w:rsidR="00C52B5B" w:rsidRPr="001D028A" w:rsidRDefault="00C52B5B" w:rsidP="00C52B5B">
      <w:pPr>
        <w:pStyle w:val="NoSpacing"/>
        <w:rPr>
          <w:rFonts w:cstheme="minorHAnsi"/>
          <w:i/>
          <w:sz w:val="20"/>
          <w:szCs w:val="20"/>
        </w:rPr>
      </w:pPr>
      <w:r w:rsidRPr="001D028A">
        <w:rPr>
          <w:rFonts w:cstheme="minorHAnsi"/>
          <w:sz w:val="20"/>
          <w:szCs w:val="20"/>
        </w:rPr>
        <w:t xml:space="preserve">Prime Minister and Cabinet, 2014, </w:t>
      </w:r>
      <w:r w:rsidRPr="001D028A">
        <w:rPr>
          <w:rFonts w:cstheme="minorHAnsi"/>
          <w:i/>
          <w:sz w:val="20"/>
          <w:szCs w:val="20"/>
        </w:rPr>
        <w:t>The Australian Government Guide to Regulation</w:t>
      </w:r>
      <w:r>
        <w:rPr>
          <w:rFonts w:cstheme="minorHAnsi"/>
          <w:i/>
          <w:sz w:val="20"/>
          <w:szCs w:val="20"/>
        </w:rPr>
        <w:t>.</w:t>
      </w:r>
    </w:p>
    <w:p w14:paraId="1EFCCE7A" w14:textId="77777777" w:rsidR="00C52B5B" w:rsidRPr="001D028A" w:rsidRDefault="00C52B5B" w:rsidP="00C52B5B">
      <w:pPr>
        <w:pStyle w:val="NoSpacing"/>
        <w:rPr>
          <w:rFonts w:cstheme="minorHAnsi"/>
          <w:sz w:val="20"/>
          <w:szCs w:val="20"/>
          <w:lang w:val="en-GB"/>
        </w:rPr>
      </w:pPr>
    </w:p>
    <w:p w14:paraId="6389E520" w14:textId="77777777" w:rsidR="00C52B5B" w:rsidRPr="001D028A" w:rsidRDefault="00C52B5B" w:rsidP="00C52B5B">
      <w:pPr>
        <w:pStyle w:val="NoSpacing"/>
        <w:rPr>
          <w:rFonts w:cstheme="minorHAnsi"/>
          <w:i/>
          <w:sz w:val="20"/>
          <w:szCs w:val="20"/>
          <w:lang w:val="en-GB"/>
        </w:rPr>
      </w:pPr>
      <w:r w:rsidRPr="001D028A">
        <w:rPr>
          <w:rFonts w:cstheme="minorHAnsi"/>
          <w:sz w:val="20"/>
          <w:szCs w:val="20"/>
          <w:lang w:val="en-GB"/>
        </w:rPr>
        <w:t xml:space="preserve">Senate, December 2018, </w:t>
      </w:r>
      <w:r w:rsidRPr="001D028A">
        <w:rPr>
          <w:rFonts w:cstheme="minorHAnsi"/>
          <w:i/>
          <w:sz w:val="20"/>
          <w:szCs w:val="20"/>
          <w:lang w:val="en-GB"/>
        </w:rPr>
        <w:t>Select Committee into the Obesity Epidemic in Australia, Final Report.</w:t>
      </w:r>
    </w:p>
    <w:p w14:paraId="3C27EF6A" w14:textId="77777777" w:rsidR="00C52B5B" w:rsidRPr="001D028A" w:rsidRDefault="00C52B5B" w:rsidP="00C52B5B">
      <w:pPr>
        <w:pStyle w:val="NoSpacing"/>
        <w:rPr>
          <w:rFonts w:cstheme="minorHAnsi"/>
          <w:i/>
          <w:sz w:val="20"/>
          <w:szCs w:val="20"/>
          <w:lang w:val="en-GB"/>
        </w:rPr>
      </w:pPr>
    </w:p>
    <w:p w14:paraId="631899D6" w14:textId="0E68093A" w:rsidR="00C52B5B" w:rsidRPr="001D028A" w:rsidRDefault="00C52B5B" w:rsidP="00C52B5B">
      <w:pPr>
        <w:pStyle w:val="NoSpacing"/>
        <w:rPr>
          <w:rFonts w:cstheme="minorHAnsi"/>
          <w:sz w:val="20"/>
          <w:szCs w:val="20"/>
          <w:lang w:val="en-GB"/>
        </w:rPr>
      </w:pPr>
      <w:r w:rsidRPr="001D028A">
        <w:rPr>
          <w:rFonts w:cstheme="minorHAnsi"/>
          <w:sz w:val="20"/>
          <w:szCs w:val="20"/>
        </w:rPr>
        <w:t xml:space="preserve">Vidar, M </w:t>
      </w:r>
      <w:r w:rsidRPr="001D028A">
        <w:rPr>
          <w:rFonts w:cstheme="minorHAnsi"/>
          <w:i/>
          <w:sz w:val="20"/>
          <w:szCs w:val="20"/>
        </w:rPr>
        <w:t>International legal frameworks for food labelling and consumer rights</w:t>
      </w:r>
      <w:r w:rsidRPr="001D028A">
        <w:rPr>
          <w:rFonts w:cstheme="minorHAnsi"/>
          <w:sz w:val="20"/>
          <w:szCs w:val="20"/>
        </w:rPr>
        <w:t>, Food and Agriculture Organization of the United Nations (FAO), Italy, p. 33</w:t>
      </w:r>
      <w:r>
        <w:rPr>
          <w:rFonts w:cstheme="minorHAnsi"/>
          <w:sz w:val="20"/>
          <w:szCs w:val="20"/>
        </w:rPr>
        <w:t>.</w:t>
      </w:r>
    </w:p>
    <w:p w14:paraId="28B13748" w14:textId="6C07902A" w:rsidR="00DB42F9" w:rsidRPr="00CC1ADD" w:rsidRDefault="00DB42F9" w:rsidP="00C52B5B">
      <w:pPr>
        <w:pStyle w:val="mpcNormal"/>
      </w:pPr>
    </w:p>
    <w:sectPr w:rsidR="00DB42F9" w:rsidRPr="00CC1ADD" w:rsidSect="00B36208">
      <w:pgSz w:w="11900" w:h="16840"/>
      <w:pgMar w:top="1304" w:right="1077" w:bottom="1304"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83028B" w14:textId="77777777" w:rsidR="00C3358C" w:rsidRDefault="00C3358C">
      <w:r>
        <w:separator/>
      </w:r>
    </w:p>
  </w:endnote>
  <w:endnote w:type="continuationSeparator" w:id="0">
    <w:p w14:paraId="19861126" w14:textId="77777777" w:rsidR="00C3358C" w:rsidRDefault="00C33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Optima">
    <w:charset w:val="00"/>
    <w:family w:val="auto"/>
    <w:pitch w:val="variable"/>
    <w:sig w:usb0="80000067" w:usb1="00000000" w:usb2="00000000" w:usb3="00000000" w:csb0="00000001" w:csb1="00000000"/>
  </w:font>
  <w:font w:name="TimesNewRomanPSMT">
    <w:altName w:val="Heiti TC Light"/>
    <w:charset w:val="00"/>
    <w:family w:val="roman"/>
    <w:pitch w:val="variable"/>
    <w:sig w:usb0="E0002AE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Neue">
    <w:charset w:val="00"/>
    <w:family w:val="auto"/>
    <w:pitch w:val="variable"/>
    <w:sig w:usb0="E50002FF" w:usb1="500079DB" w:usb2="00000010" w:usb3="00000000" w:csb0="00000001" w:csb1="00000000"/>
  </w:font>
  <w:font w:name="Times New Roman (Body CS)">
    <w:panose1 w:val="00000000000000000000"/>
    <w:charset w:val="00"/>
    <w:family w:val="roman"/>
    <w:notTrueType/>
    <w:pitch w:val="default"/>
  </w:font>
  <w:font w:name="Calibri (Body)">
    <w:charset w:val="00"/>
    <w:family w:val="roman"/>
    <w:pitch w:val="default"/>
  </w:font>
  <w:font w:name="UniversLTStd-Light">
    <w:altName w:val="MS Gothic"/>
    <w:charset w:val="80"/>
    <w:family w:val="swiss"/>
    <w:pitch w:val="default"/>
    <w:sig w:usb0="00000003" w:usb1="08070000" w:usb2="00000010" w:usb3="00000000" w:csb0="00020001" w:csb1="00000000"/>
  </w:font>
  <w:font w:name="Arial (Body CS)">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B3C5C7" w14:textId="77777777" w:rsidR="00B53139" w:rsidRPr="0003409A" w:rsidRDefault="00B53139" w:rsidP="00B362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965AA3" w14:textId="3C15FDF6" w:rsidR="00B53139" w:rsidRDefault="00B53139" w:rsidP="00AC4451">
    <w:pPr>
      <w:pStyle w:val="Footer"/>
      <w:pBdr>
        <w:top w:val="single" w:sz="4" w:space="1" w:color="auto"/>
      </w:pBdr>
      <w:tabs>
        <w:tab w:val="right" w:pos="8832"/>
      </w:tabs>
      <w:ind w:left="-142" w:right="-99"/>
      <w:jc w:val="center"/>
      <w:rPr>
        <w:rStyle w:val="PageNumber"/>
        <w:color w:val="000000" w:themeColor="text1"/>
        <w:sz w:val="20"/>
        <w:szCs w:val="20"/>
      </w:rPr>
    </w:pPr>
    <w:r w:rsidRPr="000F3BFE">
      <w:rPr>
        <w:color w:val="000000" w:themeColor="text1"/>
        <w:sz w:val="20"/>
        <w:szCs w:val="20"/>
      </w:rPr>
      <w:fldChar w:fldCharType="begin"/>
    </w:r>
    <w:r w:rsidRPr="000F3BFE">
      <w:rPr>
        <w:color w:val="000000" w:themeColor="text1"/>
        <w:sz w:val="20"/>
        <w:szCs w:val="20"/>
      </w:rPr>
      <w:instrText xml:space="preserve"> FILENAME  \* MERGEFORMAT </w:instrText>
    </w:r>
    <w:r w:rsidRPr="000F3BFE">
      <w:rPr>
        <w:color w:val="000000" w:themeColor="text1"/>
        <w:sz w:val="20"/>
        <w:szCs w:val="20"/>
      </w:rPr>
      <w:fldChar w:fldCharType="separate"/>
    </w:r>
    <w:r>
      <w:rPr>
        <w:noProof/>
        <w:color w:val="000000" w:themeColor="text1"/>
        <w:sz w:val="20"/>
        <w:szCs w:val="20"/>
      </w:rPr>
      <w:t>Health Star Rating System - Five Year Review Draft Report - v2.docx</w:t>
    </w:r>
    <w:r w:rsidRPr="000F3BFE">
      <w:rPr>
        <w:color w:val="000000" w:themeColor="text1"/>
        <w:sz w:val="20"/>
        <w:szCs w:val="20"/>
      </w:rPr>
      <w:fldChar w:fldCharType="end"/>
    </w:r>
    <w:r w:rsidRPr="00761CA4">
      <w:rPr>
        <w:rStyle w:val="PageNumber"/>
        <w:sz w:val="20"/>
      </w:rPr>
      <w:tab/>
    </w:r>
    <w:r w:rsidRPr="0046489D">
      <w:rPr>
        <w:rStyle w:val="PageNumber"/>
        <w:color w:val="000000" w:themeColor="text1"/>
        <w:sz w:val="20"/>
        <w:szCs w:val="20"/>
      </w:rPr>
      <w:t xml:space="preserve">Page </w:t>
    </w:r>
    <w:r w:rsidRPr="0046489D">
      <w:rPr>
        <w:rStyle w:val="PageNumber"/>
        <w:color w:val="000000" w:themeColor="text1"/>
        <w:sz w:val="20"/>
        <w:szCs w:val="20"/>
      </w:rPr>
      <w:fldChar w:fldCharType="begin"/>
    </w:r>
    <w:r w:rsidRPr="0046489D">
      <w:rPr>
        <w:rStyle w:val="PageNumber"/>
        <w:color w:val="000000" w:themeColor="text1"/>
        <w:sz w:val="20"/>
        <w:szCs w:val="20"/>
      </w:rPr>
      <w:instrText xml:space="preserve"> PAGE  \* MERGEFORMAT </w:instrText>
    </w:r>
    <w:r w:rsidRPr="0046489D">
      <w:rPr>
        <w:rStyle w:val="PageNumber"/>
        <w:color w:val="000000" w:themeColor="text1"/>
        <w:sz w:val="20"/>
        <w:szCs w:val="20"/>
      </w:rPr>
      <w:fldChar w:fldCharType="separate"/>
    </w:r>
    <w:r w:rsidR="00276EB3">
      <w:rPr>
        <w:rStyle w:val="PageNumber"/>
        <w:noProof/>
        <w:color w:val="000000" w:themeColor="text1"/>
        <w:sz w:val="20"/>
        <w:szCs w:val="20"/>
      </w:rPr>
      <w:t>60</w:t>
    </w:r>
    <w:r w:rsidRPr="0046489D">
      <w:rPr>
        <w:rStyle w:val="PageNumber"/>
        <w:color w:val="000000" w:themeColor="text1"/>
        <w:sz w:val="20"/>
        <w:szCs w:val="20"/>
      </w:rPr>
      <w:fldChar w:fldCharType="end"/>
    </w:r>
    <w:r w:rsidRPr="0046489D">
      <w:rPr>
        <w:rStyle w:val="PageNumber"/>
        <w:color w:val="000000" w:themeColor="text1"/>
        <w:sz w:val="20"/>
        <w:szCs w:val="20"/>
      </w:rPr>
      <w:t xml:space="preserve"> of </w:t>
    </w:r>
    <w:r w:rsidRPr="0046489D">
      <w:rPr>
        <w:rStyle w:val="PageNumber"/>
        <w:color w:val="000000" w:themeColor="text1"/>
        <w:sz w:val="20"/>
        <w:szCs w:val="20"/>
      </w:rPr>
      <w:fldChar w:fldCharType="begin"/>
    </w:r>
    <w:r w:rsidRPr="0046489D">
      <w:rPr>
        <w:rStyle w:val="PageNumber"/>
        <w:color w:val="000000" w:themeColor="text1"/>
        <w:sz w:val="20"/>
        <w:szCs w:val="20"/>
      </w:rPr>
      <w:instrText xml:space="preserve"> NUMPAGES  \* MERGEFORMAT </w:instrText>
    </w:r>
    <w:r w:rsidRPr="0046489D">
      <w:rPr>
        <w:rStyle w:val="PageNumber"/>
        <w:color w:val="000000" w:themeColor="text1"/>
        <w:sz w:val="20"/>
        <w:szCs w:val="20"/>
      </w:rPr>
      <w:fldChar w:fldCharType="separate"/>
    </w:r>
    <w:r w:rsidR="00276EB3">
      <w:rPr>
        <w:rStyle w:val="PageNumber"/>
        <w:noProof/>
        <w:color w:val="000000" w:themeColor="text1"/>
        <w:sz w:val="20"/>
        <w:szCs w:val="20"/>
      </w:rPr>
      <w:t>60</w:t>
    </w:r>
    <w:r w:rsidRPr="0046489D">
      <w:rPr>
        <w:rStyle w:val="PageNumber"/>
        <w:color w:val="000000" w:themeColor="text1"/>
        <w:sz w:val="20"/>
        <w:szCs w:val="20"/>
      </w:rPr>
      <w:fldChar w:fldCharType="end"/>
    </w:r>
  </w:p>
  <w:p w14:paraId="4AEFAAB4" w14:textId="381FAC2D" w:rsidR="00B53139" w:rsidRPr="000A3464" w:rsidRDefault="00B53139" w:rsidP="00175CE9">
    <w:pPr>
      <w:pStyle w:val="Footer"/>
      <w:pBdr>
        <w:top w:val="single" w:sz="4" w:space="1" w:color="auto"/>
      </w:pBdr>
      <w:tabs>
        <w:tab w:val="right" w:pos="8832"/>
      </w:tabs>
      <w:ind w:left="-142" w:right="-99"/>
      <w:rPr>
        <w:color w:val="FF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0F4C57" w14:textId="77777777" w:rsidR="00C3358C" w:rsidRDefault="00C3358C">
      <w:r>
        <w:separator/>
      </w:r>
    </w:p>
  </w:footnote>
  <w:footnote w:type="continuationSeparator" w:id="0">
    <w:p w14:paraId="7FA34F92" w14:textId="77777777" w:rsidR="00C3358C" w:rsidRDefault="00C3358C">
      <w:r>
        <w:continuationSeparator/>
      </w:r>
    </w:p>
  </w:footnote>
  <w:footnote w:id="1">
    <w:p w14:paraId="4C8B7FF5" w14:textId="48CBD628" w:rsidR="00B53139" w:rsidRDefault="00B53139" w:rsidP="00E45F4B">
      <w:pPr>
        <w:pStyle w:val="NormalWeb"/>
        <w:spacing w:before="0" w:beforeAutospacing="0" w:after="0" w:afterAutospacing="0"/>
      </w:pPr>
      <w:r>
        <w:rPr>
          <w:rStyle w:val="FootnoteReference"/>
        </w:rPr>
        <w:footnoteRef/>
      </w:r>
      <w:r>
        <w:t xml:space="preserve"> </w:t>
      </w:r>
      <w:r w:rsidRPr="006E7B4D">
        <w:rPr>
          <w:rFonts w:asciiTheme="minorHAnsi" w:hAnsiTheme="minorHAnsi" w:cstheme="minorHAnsi"/>
          <w:sz w:val="18"/>
          <w:szCs w:val="18"/>
        </w:rPr>
        <w:t>World Cancer Research Fund International</w:t>
      </w:r>
      <w:r>
        <w:rPr>
          <w:rFonts w:asciiTheme="minorHAnsi" w:hAnsiTheme="minorHAnsi" w:cstheme="minorHAnsi"/>
          <w:sz w:val="18"/>
          <w:szCs w:val="18"/>
        </w:rPr>
        <w:t xml:space="preserve">, </w:t>
      </w:r>
      <w:r w:rsidRPr="006E7B4D">
        <w:rPr>
          <w:rFonts w:asciiTheme="minorHAnsi" w:hAnsiTheme="minorHAnsi" w:cstheme="minorHAnsi"/>
          <w:sz w:val="18"/>
          <w:szCs w:val="18"/>
        </w:rPr>
        <w:t xml:space="preserve">2019 </w:t>
      </w:r>
      <w:hyperlink r:id="rId1" w:history="1">
        <w:r w:rsidRPr="004B53A8">
          <w:rPr>
            <w:rStyle w:val="Hyperlink"/>
            <w:rFonts w:asciiTheme="minorHAnsi" w:hAnsiTheme="minorHAnsi" w:cstheme="minorHAnsi"/>
            <w:i/>
            <w:sz w:val="18"/>
            <w:szCs w:val="18"/>
          </w:rPr>
          <w:t>Building momentum: lessons on implementing a robust front-of-pack food label</w:t>
        </w:r>
      </w:hyperlink>
      <w:r>
        <w:rPr>
          <w:rFonts w:asciiTheme="minorHAnsi" w:hAnsiTheme="minorHAnsi" w:cstheme="minorHAnsi"/>
          <w:sz w:val="18"/>
          <w:szCs w:val="18"/>
        </w:rPr>
        <w:t>, p. 6</w:t>
      </w:r>
      <w:r w:rsidRPr="006E7B4D">
        <w:rPr>
          <w:rFonts w:asciiTheme="minorHAnsi" w:hAnsiTheme="minorHAnsi" w:cstheme="minorHAnsi"/>
          <w:sz w:val="18"/>
          <w:szCs w:val="18"/>
        </w:rPr>
        <w:t>.</w:t>
      </w:r>
    </w:p>
  </w:footnote>
  <w:footnote w:id="2">
    <w:p w14:paraId="1ED027E1" w14:textId="77777777" w:rsidR="00B53139" w:rsidRPr="003C4F9C" w:rsidRDefault="00B53139" w:rsidP="00C82D90">
      <w:pPr>
        <w:pStyle w:val="NoSpacing"/>
        <w:rPr>
          <w:sz w:val="18"/>
          <w:szCs w:val="18"/>
          <w:lang w:val="en-AU"/>
        </w:rPr>
      </w:pPr>
      <w:r w:rsidRPr="003C4F9C">
        <w:rPr>
          <w:rStyle w:val="FootnoteReference"/>
          <w:szCs w:val="18"/>
        </w:rPr>
        <w:footnoteRef/>
      </w:r>
      <w:r w:rsidRPr="003C4F9C">
        <w:rPr>
          <w:sz w:val="18"/>
          <w:szCs w:val="18"/>
        </w:rPr>
        <w:t xml:space="preserve"> </w:t>
      </w:r>
      <w:r w:rsidRPr="003C4F9C">
        <w:rPr>
          <w:sz w:val="18"/>
          <w:szCs w:val="18"/>
          <w:lang w:val="en-GB"/>
        </w:rPr>
        <w:t>Blewett, N, Goddard, N, Pettigrew, S, Reynolds, C &amp; Yeatman, H 2011,</w:t>
      </w:r>
      <w:r w:rsidRPr="003C4F9C">
        <w:rPr>
          <w:i/>
          <w:iCs/>
          <w:sz w:val="18"/>
          <w:szCs w:val="18"/>
          <w:lang w:val="en-GB"/>
        </w:rPr>
        <w:t xml:space="preserve"> Labelling logic - the final report of the review of food labelling law and policy</w:t>
      </w:r>
      <w:r w:rsidRPr="003C4F9C">
        <w:rPr>
          <w:sz w:val="18"/>
          <w:szCs w:val="18"/>
          <w:lang w:val="en-GB"/>
        </w:rPr>
        <w:t>, Canberra, Commonwealth of Australia</w:t>
      </w:r>
    </w:p>
  </w:footnote>
  <w:footnote w:id="3">
    <w:p w14:paraId="60979FD3" w14:textId="26A7B6EA" w:rsidR="00B53139" w:rsidRDefault="00B53139" w:rsidP="00F43B13">
      <w:pPr>
        <w:pStyle w:val="FootnoteText"/>
      </w:pPr>
      <w:r w:rsidRPr="003C4F9C">
        <w:rPr>
          <w:rStyle w:val="FootnoteReference"/>
          <w:szCs w:val="18"/>
        </w:rPr>
        <w:footnoteRef/>
      </w:r>
      <w:r w:rsidRPr="003C4F9C">
        <w:rPr>
          <w:sz w:val="18"/>
          <w:szCs w:val="18"/>
        </w:rPr>
        <w:t xml:space="preserve"> Australia and New Zealand Food Regulation Ministerial Council, </w:t>
      </w:r>
      <w:hyperlink r:id="rId2" w:history="1">
        <w:r w:rsidRPr="00FC782A">
          <w:rPr>
            <w:rStyle w:val="Hyperlink"/>
            <w:i/>
            <w:iCs/>
            <w:sz w:val="18"/>
            <w:szCs w:val="18"/>
          </w:rPr>
          <w:t>Front of Pack Labelling Policy Statement</w:t>
        </w:r>
      </w:hyperlink>
      <w:r w:rsidRPr="003C4F9C">
        <w:rPr>
          <w:sz w:val="18"/>
          <w:szCs w:val="18"/>
        </w:rPr>
        <w:t>, endorsed by Ministerial Council on 23 October 2009</w:t>
      </w:r>
      <w:r>
        <w:rPr>
          <w:sz w:val="18"/>
          <w:szCs w:val="18"/>
        </w:rPr>
        <w:t xml:space="preserve"> </w:t>
      </w:r>
    </w:p>
  </w:footnote>
  <w:footnote w:id="4">
    <w:p w14:paraId="54DC85A4" w14:textId="0B6CCAFC" w:rsidR="00B53139" w:rsidRPr="00121238" w:rsidRDefault="00B53139" w:rsidP="00121238">
      <w:pPr>
        <w:pStyle w:val="NoSpacing"/>
        <w:rPr>
          <w:rFonts w:cstheme="minorHAnsi"/>
          <w:sz w:val="18"/>
          <w:szCs w:val="18"/>
          <w:lang w:val="en-GB"/>
        </w:rPr>
      </w:pPr>
      <w:r w:rsidRPr="00121238">
        <w:rPr>
          <w:rStyle w:val="FootnoteReference"/>
          <w:szCs w:val="18"/>
        </w:rPr>
        <w:footnoteRef/>
      </w:r>
      <w:r w:rsidRPr="00121238">
        <w:rPr>
          <w:sz w:val="18"/>
          <w:szCs w:val="18"/>
        </w:rPr>
        <w:t xml:space="preserve"> </w:t>
      </w:r>
      <w:r w:rsidRPr="00121238">
        <w:rPr>
          <w:rFonts w:cstheme="minorHAnsi"/>
          <w:iCs/>
          <w:sz w:val="18"/>
          <w:szCs w:val="18"/>
          <w:lang w:val="en-GB"/>
        </w:rPr>
        <w:t xml:space="preserve">Commonwealth Department of Health 2016, </w:t>
      </w:r>
      <w:hyperlink r:id="rId3" w:history="1">
        <w:r w:rsidRPr="00121238">
          <w:rPr>
            <w:rStyle w:val="Hyperlink"/>
            <w:rFonts w:cstheme="minorHAnsi"/>
            <w:i/>
            <w:iCs/>
            <w:sz w:val="18"/>
            <w:szCs w:val="18"/>
            <w:lang w:val="en-GB"/>
          </w:rPr>
          <w:t>Health Star Rating System Style Guide</w:t>
        </w:r>
      </w:hyperlink>
      <w:r w:rsidRPr="00121238">
        <w:rPr>
          <w:rFonts w:cstheme="minorHAnsi"/>
          <w:i/>
          <w:iCs/>
          <w:sz w:val="18"/>
          <w:szCs w:val="18"/>
          <w:lang w:val="en-GB"/>
        </w:rPr>
        <w:t>,</w:t>
      </w:r>
      <w:r w:rsidRPr="00121238">
        <w:rPr>
          <w:rFonts w:cstheme="minorHAnsi"/>
          <w:iCs/>
          <w:sz w:val="18"/>
          <w:szCs w:val="18"/>
          <w:lang w:val="en-GB"/>
        </w:rPr>
        <w:t xml:space="preserve"> version 4</w:t>
      </w:r>
      <w:r w:rsidRPr="00121238">
        <w:rPr>
          <w:rFonts w:cstheme="minorHAnsi"/>
          <w:sz w:val="18"/>
          <w:szCs w:val="18"/>
          <w:lang w:val="en-GB"/>
        </w:rPr>
        <w:t>, p. 1, accessed 29 January 2019</w:t>
      </w:r>
    </w:p>
  </w:footnote>
  <w:footnote w:id="5">
    <w:p w14:paraId="7D43D9E8" w14:textId="21E4C389" w:rsidR="00B53139" w:rsidRPr="004B53A8" w:rsidRDefault="00B53139" w:rsidP="00F43B13">
      <w:pPr>
        <w:pStyle w:val="FootnoteText"/>
        <w:rPr>
          <w:sz w:val="18"/>
          <w:szCs w:val="18"/>
        </w:rPr>
      </w:pPr>
      <w:r w:rsidRPr="001017C5">
        <w:rPr>
          <w:rStyle w:val="FootnoteReference"/>
          <w:szCs w:val="18"/>
        </w:rPr>
        <w:footnoteRef/>
      </w:r>
      <w:r w:rsidRPr="001017C5">
        <w:rPr>
          <w:sz w:val="18"/>
          <w:szCs w:val="18"/>
        </w:rPr>
        <w:t xml:space="preserve"> TAG technical paper</w:t>
      </w:r>
      <w:r>
        <w:rPr>
          <w:sz w:val="18"/>
          <w:szCs w:val="18"/>
        </w:rPr>
        <w:t>,</w:t>
      </w:r>
      <w:r w:rsidRPr="003A78FF">
        <w:rPr>
          <w:sz w:val="18"/>
          <w:szCs w:val="18"/>
        </w:rPr>
        <w:t xml:space="preserve"> </w:t>
      </w:r>
      <w:r w:rsidRPr="001017C5">
        <w:rPr>
          <w:sz w:val="18"/>
          <w:szCs w:val="18"/>
        </w:rPr>
        <w:t>October 2018</w:t>
      </w:r>
      <w:r>
        <w:rPr>
          <w:sz w:val="18"/>
          <w:szCs w:val="18"/>
        </w:rPr>
        <w:t>,</w:t>
      </w:r>
      <w:r w:rsidRPr="001017C5">
        <w:rPr>
          <w:sz w:val="18"/>
          <w:szCs w:val="18"/>
        </w:rPr>
        <w:t xml:space="preserve"> </w:t>
      </w:r>
      <w:r w:rsidRPr="003A78FF">
        <w:rPr>
          <w:i/>
          <w:sz w:val="18"/>
          <w:szCs w:val="18"/>
        </w:rPr>
        <w:t>History and development of the HSR algorithm</w:t>
      </w:r>
      <w:r>
        <w:rPr>
          <w:sz w:val="18"/>
          <w:szCs w:val="18"/>
        </w:rPr>
        <w:t>, p. 11</w:t>
      </w:r>
    </w:p>
  </w:footnote>
  <w:footnote w:id="6">
    <w:p w14:paraId="29E8D37B" w14:textId="77777777" w:rsidR="00B53139" w:rsidRPr="00C0655A" w:rsidRDefault="00B53139" w:rsidP="00F43B13">
      <w:pPr>
        <w:pStyle w:val="FootnoteText"/>
        <w:rPr>
          <w:sz w:val="18"/>
          <w:szCs w:val="18"/>
        </w:rPr>
      </w:pPr>
      <w:r w:rsidRPr="00C0655A">
        <w:rPr>
          <w:rStyle w:val="FootnoteReference"/>
          <w:szCs w:val="18"/>
        </w:rPr>
        <w:footnoteRef/>
      </w:r>
      <w:r w:rsidRPr="00C0655A">
        <w:rPr>
          <w:sz w:val="18"/>
          <w:szCs w:val="18"/>
        </w:rPr>
        <w:t xml:space="preserve"> Australian Bureau of Statistics, </w:t>
      </w:r>
      <w:r w:rsidRPr="00C0655A">
        <w:rPr>
          <w:i/>
          <w:sz w:val="18"/>
          <w:szCs w:val="18"/>
        </w:rPr>
        <w:t>Australian Health Survey 2011-12</w:t>
      </w:r>
    </w:p>
  </w:footnote>
  <w:footnote w:id="7">
    <w:p w14:paraId="6405EACD" w14:textId="77777777" w:rsidR="00B53139" w:rsidRPr="00C0655A" w:rsidRDefault="00B53139" w:rsidP="00F43B13">
      <w:pPr>
        <w:pStyle w:val="FootnoteText"/>
        <w:rPr>
          <w:sz w:val="18"/>
          <w:szCs w:val="18"/>
        </w:rPr>
      </w:pPr>
      <w:r w:rsidRPr="00C0655A">
        <w:rPr>
          <w:rStyle w:val="FootnoteReference"/>
          <w:szCs w:val="18"/>
        </w:rPr>
        <w:footnoteRef/>
      </w:r>
      <w:r w:rsidRPr="00C0655A">
        <w:rPr>
          <w:sz w:val="18"/>
          <w:szCs w:val="18"/>
        </w:rPr>
        <w:t xml:space="preserve"> Ministry of Health, </w:t>
      </w:r>
      <w:r w:rsidRPr="00C0655A">
        <w:rPr>
          <w:i/>
          <w:sz w:val="18"/>
          <w:szCs w:val="18"/>
        </w:rPr>
        <w:t>A Focus on Nutrition: Key Findings of the 2008/09 New Zealand Adult Nutrition Survey</w:t>
      </w:r>
    </w:p>
  </w:footnote>
  <w:footnote w:id="8">
    <w:p w14:paraId="520DA180" w14:textId="0385A31D" w:rsidR="00B53139" w:rsidRDefault="00B53139" w:rsidP="00F43B13">
      <w:pPr>
        <w:pStyle w:val="FootnoteText"/>
      </w:pPr>
      <w:r w:rsidRPr="00C0655A">
        <w:rPr>
          <w:rStyle w:val="FootnoteReference"/>
          <w:szCs w:val="18"/>
        </w:rPr>
        <w:footnoteRef/>
      </w:r>
      <w:r w:rsidRPr="00C0655A">
        <w:rPr>
          <w:sz w:val="18"/>
          <w:szCs w:val="18"/>
        </w:rPr>
        <w:t xml:space="preserve"> </w:t>
      </w:r>
      <w:r w:rsidRPr="00C0655A">
        <w:rPr>
          <w:sz w:val="18"/>
          <w:szCs w:val="18"/>
          <w:lang w:val="en-GB"/>
        </w:rPr>
        <w:t>Australian Bureau of Statistics</w:t>
      </w:r>
      <w:r w:rsidRPr="00C0655A">
        <w:rPr>
          <w:sz w:val="18"/>
          <w:szCs w:val="18"/>
        </w:rPr>
        <w:t xml:space="preserve">, 2014, </w:t>
      </w:r>
      <w:r w:rsidRPr="00C0655A">
        <w:rPr>
          <w:i/>
          <w:sz w:val="18"/>
          <w:szCs w:val="18"/>
        </w:rPr>
        <w:t>4363.0.55.001 - Australian Health Survey: Users' Guide, 2011-13, Discretionary Foods</w:t>
      </w:r>
    </w:p>
  </w:footnote>
  <w:footnote w:id="9">
    <w:p w14:paraId="54AB805E" w14:textId="6C41A4AD" w:rsidR="00B53139" w:rsidRPr="00F54C40" w:rsidRDefault="00B53139" w:rsidP="00F54C40">
      <w:pPr>
        <w:pStyle w:val="NoSpacing"/>
        <w:rPr>
          <w:rFonts w:cstheme="minorHAnsi"/>
          <w:i/>
          <w:sz w:val="18"/>
          <w:szCs w:val="18"/>
          <w:lang w:val="en-GB"/>
        </w:rPr>
      </w:pPr>
      <w:r w:rsidRPr="00F54C40">
        <w:rPr>
          <w:rStyle w:val="FootnoteReference"/>
          <w:szCs w:val="18"/>
        </w:rPr>
        <w:footnoteRef/>
      </w:r>
      <w:r w:rsidRPr="00F54C40">
        <w:rPr>
          <w:sz w:val="18"/>
          <w:szCs w:val="18"/>
        </w:rPr>
        <w:t xml:space="preserve"> Unless otherwise referenced, all Australian data</w:t>
      </w:r>
      <w:r>
        <w:rPr>
          <w:sz w:val="18"/>
          <w:szCs w:val="18"/>
        </w:rPr>
        <w:t xml:space="preserve"> in this Chapter</w:t>
      </w:r>
      <w:r w:rsidRPr="00F54C40">
        <w:rPr>
          <w:sz w:val="18"/>
          <w:szCs w:val="18"/>
        </w:rPr>
        <w:t xml:space="preserve"> is drawn from </w:t>
      </w:r>
      <w:r w:rsidRPr="00F54C40">
        <w:rPr>
          <w:rFonts w:cstheme="minorHAnsi"/>
          <w:sz w:val="18"/>
          <w:szCs w:val="18"/>
          <w:lang w:val="en-GB"/>
        </w:rPr>
        <w:t>National Heart Foundation 201</w:t>
      </w:r>
      <w:r>
        <w:rPr>
          <w:rFonts w:cstheme="minorHAnsi"/>
          <w:sz w:val="18"/>
          <w:szCs w:val="18"/>
          <w:lang w:val="en-GB"/>
        </w:rPr>
        <w:t>9</w:t>
      </w:r>
      <w:r w:rsidRPr="00F54C40">
        <w:rPr>
          <w:rFonts w:cstheme="minorHAnsi"/>
          <w:sz w:val="18"/>
          <w:szCs w:val="18"/>
          <w:lang w:val="en-GB"/>
        </w:rPr>
        <w:t xml:space="preserve">, </w:t>
      </w:r>
      <w:r w:rsidRPr="00F54C40">
        <w:rPr>
          <w:rFonts w:cstheme="minorHAnsi"/>
          <w:i/>
          <w:sz w:val="18"/>
          <w:szCs w:val="18"/>
        </w:rPr>
        <w:t>Report on the monitoring of the implementation of the HSR System in the first four years of implementation: June 2014 to June 2018</w:t>
      </w:r>
      <w:r w:rsidRPr="00F54C40">
        <w:rPr>
          <w:rFonts w:cstheme="minorHAnsi"/>
          <w:sz w:val="18"/>
          <w:szCs w:val="18"/>
          <w:lang w:val="en-GB"/>
        </w:rPr>
        <w:t>, prepared for the Commonwealth Department of Health, Canberra.</w:t>
      </w:r>
    </w:p>
  </w:footnote>
  <w:footnote w:id="10">
    <w:p w14:paraId="1F31AD74" w14:textId="3831BD93" w:rsidR="00B53139" w:rsidRPr="00F54C40" w:rsidRDefault="00B53139" w:rsidP="00F54C40">
      <w:pPr>
        <w:pStyle w:val="NoSpacing"/>
        <w:rPr>
          <w:rFonts w:cstheme="minorHAnsi"/>
          <w:sz w:val="18"/>
          <w:szCs w:val="18"/>
          <w:lang w:val="en-GB"/>
        </w:rPr>
      </w:pPr>
      <w:r w:rsidRPr="00F54C40">
        <w:rPr>
          <w:rStyle w:val="FootnoteReference"/>
          <w:szCs w:val="18"/>
        </w:rPr>
        <w:footnoteRef/>
      </w:r>
      <w:r w:rsidRPr="00F54C40">
        <w:rPr>
          <w:sz w:val="18"/>
          <w:szCs w:val="18"/>
        </w:rPr>
        <w:t xml:space="preserve"> Unless otherwise referenced, all New Zealand data </w:t>
      </w:r>
      <w:r>
        <w:rPr>
          <w:sz w:val="18"/>
          <w:szCs w:val="18"/>
        </w:rPr>
        <w:t>in this Chapter</w:t>
      </w:r>
      <w:r w:rsidRPr="00F54C40">
        <w:rPr>
          <w:sz w:val="18"/>
          <w:szCs w:val="18"/>
        </w:rPr>
        <w:t xml:space="preserve"> is drawn from </w:t>
      </w:r>
      <w:r w:rsidRPr="00F54C40">
        <w:rPr>
          <w:rFonts w:cstheme="minorHAnsi"/>
          <w:sz w:val="18"/>
          <w:szCs w:val="18"/>
          <w:lang w:val="en-GB"/>
        </w:rPr>
        <w:t xml:space="preserve">New Zealand Food Safety 2018, </w:t>
      </w:r>
      <w:r w:rsidRPr="00F54C40">
        <w:rPr>
          <w:rFonts w:cstheme="minorHAnsi"/>
          <w:i/>
          <w:sz w:val="18"/>
          <w:szCs w:val="18"/>
          <w:lang w:val="en-GB"/>
        </w:rPr>
        <w:t xml:space="preserve">Health Star Rating – Monitoring implementation for the Five Year Review, </w:t>
      </w:r>
      <w:r w:rsidRPr="00F54C40">
        <w:rPr>
          <w:rFonts w:cstheme="minorHAnsi"/>
          <w:sz w:val="18"/>
          <w:szCs w:val="18"/>
          <w:lang w:val="en-GB"/>
        </w:rPr>
        <w:t xml:space="preserve">New Zealand Ministry for Primary Industries. </w:t>
      </w:r>
    </w:p>
  </w:footnote>
  <w:footnote w:id="11">
    <w:p w14:paraId="687532AA" w14:textId="4B5C4F0A" w:rsidR="00B53139" w:rsidRPr="00F54C40" w:rsidRDefault="00B53139" w:rsidP="00F54C40">
      <w:pPr>
        <w:pStyle w:val="NoSpacing"/>
        <w:rPr>
          <w:rFonts w:cstheme="minorHAnsi"/>
          <w:sz w:val="20"/>
          <w:szCs w:val="20"/>
          <w:lang w:val="en-GB"/>
        </w:rPr>
      </w:pPr>
      <w:r w:rsidRPr="00F54C40">
        <w:rPr>
          <w:rStyle w:val="FootnoteReference"/>
          <w:szCs w:val="18"/>
        </w:rPr>
        <w:footnoteRef/>
      </w:r>
      <w:r w:rsidRPr="00F54C40">
        <w:rPr>
          <w:sz w:val="18"/>
          <w:szCs w:val="18"/>
        </w:rPr>
        <w:t xml:space="preserve"> </w:t>
      </w:r>
      <w:r w:rsidRPr="00F54C40">
        <w:rPr>
          <w:rFonts w:cstheme="minorHAnsi"/>
          <w:sz w:val="18"/>
          <w:szCs w:val="18"/>
          <w:lang w:val="en-GB"/>
        </w:rPr>
        <w:t xml:space="preserve">Jones, A, Radholm, K &amp; Neal, B </w:t>
      </w:r>
      <w:r w:rsidRPr="00F54C40">
        <w:rPr>
          <w:rFonts w:cstheme="minorHAnsi"/>
          <w:iCs/>
          <w:sz w:val="18"/>
          <w:szCs w:val="18"/>
          <w:lang w:val="en-GB"/>
        </w:rPr>
        <w:t>2018,</w:t>
      </w:r>
      <w:r w:rsidRPr="00F54C40">
        <w:rPr>
          <w:rFonts w:cstheme="minorHAnsi"/>
          <w:sz w:val="18"/>
          <w:szCs w:val="18"/>
          <w:lang w:val="en-GB"/>
        </w:rPr>
        <w:t xml:space="preserve"> ‘Defining ‘Unhealthy’: a systematic analysis of alignment between the Australian Dietary Guidelines and the Health Star Rating System’, </w:t>
      </w:r>
      <w:r w:rsidRPr="00F54C40">
        <w:rPr>
          <w:rFonts w:cstheme="minorHAnsi"/>
          <w:i/>
          <w:iCs/>
          <w:sz w:val="18"/>
          <w:szCs w:val="18"/>
          <w:lang w:val="en-GB"/>
        </w:rPr>
        <w:t xml:space="preserve">Nutrients, </w:t>
      </w:r>
      <w:r w:rsidRPr="00F54C40">
        <w:rPr>
          <w:rFonts w:cstheme="minorHAnsi"/>
          <w:iCs/>
          <w:sz w:val="18"/>
          <w:szCs w:val="18"/>
          <w:lang w:val="en-GB"/>
        </w:rPr>
        <w:t>vol.</w:t>
      </w:r>
      <w:r w:rsidRPr="00F54C40">
        <w:rPr>
          <w:rFonts w:cstheme="minorHAnsi"/>
          <w:sz w:val="18"/>
          <w:szCs w:val="18"/>
          <w:lang w:val="en-GB"/>
        </w:rPr>
        <w:t xml:space="preserve"> 10, no. 501.</w:t>
      </w:r>
    </w:p>
  </w:footnote>
  <w:footnote w:id="12">
    <w:p w14:paraId="696BFAAB" w14:textId="77777777" w:rsidR="00B53139" w:rsidRPr="00F54C40" w:rsidRDefault="00B53139" w:rsidP="00014C55">
      <w:pPr>
        <w:pStyle w:val="NoSpacing"/>
        <w:rPr>
          <w:rFonts w:cstheme="minorHAnsi"/>
          <w:sz w:val="18"/>
          <w:szCs w:val="18"/>
          <w:lang w:val="en-GB"/>
        </w:rPr>
      </w:pPr>
      <w:r w:rsidRPr="00F54C40">
        <w:rPr>
          <w:rStyle w:val="FootnoteReference"/>
          <w:szCs w:val="18"/>
        </w:rPr>
        <w:footnoteRef/>
      </w:r>
      <w:r w:rsidRPr="00F54C40">
        <w:rPr>
          <w:sz w:val="18"/>
          <w:szCs w:val="18"/>
        </w:rPr>
        <w:t xml:space="preserve"> </w:t>
      </w:r>
      <w:r w:rsidRPr="00F54C40">
        <w:rPr>
          <w:rFonts w:cstheme="minorHAnsi"/>
          <w:sz w:val="18"/>
          <w:szCs w:val="18"/>
          <w:lang w:val="en-GB"/>
        </w:rPr>
        <w:t xml:space="preserve">National Heart Foundation 2017, </w:t>
      </w:r>
      <w:r w:rsidRPr="00F54C40">
        <w:rPr>
          <w:rFonts w:cstheme="minorHAnsi"/>
          <w:i/>
          <w:sz w:val="18"/>
          <w:szCs w:val="18"/>
          <w:lang w:val="en-GB"/>
        </w:rPr>
        <w:t>Report on the monitoring of the implementation of the Health Star Rating system in the first two years of implementation: June 2014 to June 2016</w:t>
      </w:r>
      <w:r w:rsidRPr="00F54C40">
        <w:rPr>
          <w:rFonts w:cstheme="minorHAnsi"/>
          <w:sz w:val="18"/>
          <w:szCs w:val="18"/>
          <w:lang w:val="en-GB"/>
        </w:rPr>
        <w:t>, prepared for the Commonwealth Department of Health, Canberra.</w:t>
      </w:r>
    </w:p>
  </w:footnote>
  <w:footnote w:id="13">
    <w:p w14:paraId="01ABF89C" w14:textId="1B9B5962" w:rsidR="00B53139" w:rsidRPr="00F54C40" w:rsidRDefault="00B53139" w:rsidP="00F54C40">
      <w:pPr>
        <w:pStyle w:val="NoSpacing"/>
        <w:rPr>
          <w:rFonts w:cstheme="minorHAnsi"/>
          <w:sz w:val="20"/>
          <w:szCs w:val="20"/>
        </w:rPr>
      </w:pPr>
      <w:r w:rsidRPr="00F54C40">
        <w:rPr>
          <w:rStyle w:val="FootnoteReference"/>
          <w:rFonts w:cstheme="minorHAnsi"/>
          <w:szCs w:val="18"/>
        </w:rPr>
        <w:footnoteRef/>
      </w:r>
      <w:r w:rsidRPr="00F54C40">
        <w:rPr>
          <w:rFonts w:cstheme="minorHAnsi"/>
          <w:sz w:val="18"/>
          <w:szCs w:val="18"/>
        </w:rPr>
        <w:t xml:space="preserve"> Mantilla Herrera, A, Crino, M, Erskin, H, Sacks, G, Anathapavan, J, Ni Mhurchu, C &amp; Lee, Y 2018 ‘Cost-effectiveness of product reformulation in response to the Health Start Rating food labelling system in Australia</w:t>
      </w:r>
      <w:r>
        <w:rPr>
          <w:rFonts w:cstheme="minorHAnsi"/>
          <w:sz w:val="18"/>
          <w:szCs w:val="18"/>
        </w:rPr>
        <w:t>’</w:t>
      </w:r>
      <w:r w:rsidRPr="00F54C40">
        <w:rPr>
          <w:rFonts w:cstheme="minorHAnsi"/>
          <w:sz w:val="18"/>
          <w:szCs w:val="18"/>
        </w:rPr>
        <w:t xml:space="preserve">, </w:t>
      </w:r>
      <w:r w:rsidRPr="00F54C40">
        <w:rPr>
          <w:rFonts w:cstheme="minorHAnsi"/>
          <w:i/>
          <w:iCs/>
          <w:sz w:val="18"/>
          <w:szCs w:val="18"/>
        </w:rPr>
        <w:t>Nutrients</w:t>
      </w:r>
      <w:r w:rsidRPr="00F54C40">
        <w:rPr>
          <w:rFonts w:cstheme="minorHAnsi"/>
          <w:sz w:val="18"/>
          <w:szCs w:val="18"/>
        </w:rPr>
        <w:t>, vol. 10, no. 614, pp. 2-16.</w:t>
      </w:r>
    </w:p>
  </w:footnote>
  <w:footnote w:id="14">
    <w:p w14:paraId="28D89707" w14:textId="76A0F407" w:rsidR="00B53139" w:rsidRPr="00AE7B1D" w:rsidRDefault="00B53139">
      <w:pPr>
        <w:pStyle w:val="FootnoteText"/>
        <w:rPr>
          <w:sz w:val="18"/>
          <w:szCs w:val="18"/>
        </w:rPr>
      </w:pPr>
      <w:r w:rsidRPr="00AE7B1D">
        <w:rPr>
          <w:rStyle w:val="FootnoteReference"/>
          <w:szCs w:val="18"/>
        </w:rPr>
        <w:footnoteRef/>
      </w:r>
      <w:r w:rsidRPr="00AE7B1D">
        <w:rPr>
          <w:sz w:val="18"/>
          <w:szCs w:val="18"/>
        </w:rPr>
        <w:t xml:space="preserve"> </w:t>
      </w:r>
      <w:r w:rsidRPr="00AE7B1D">
        <w:rPr>
          <w:sz w:val="18"/>
          <w:szCs w:val="18"/>
          <w:lang w:val="en-GB"/>
        </w:rPr>
        <w:t>National Heart Foundation 201</w:t>
      </w:r>
      <w:r>
        <w:rPr>
          <w:sz w:val="18"/>
          <w:szCs w:val="18"/>
          <w:lang w:val="en-GB"/>
        </w:rPr>
        <w:t>9</w:t>
      </w:r>
      <w:r w:rsidRPr="00AE7B1D">
        <w:rPr>
          <w:sz w:val="18"/>
          <w:szCs w:val="18"/>
          <w:lang w:val="en-GB"/>
        </w:rPr>
        <w:t xml:space="preserve">, </w:t>
      </w:r>
      <w:r w:rsidRPr="00AE7B1D">
        <w:rPr>
          <w:i/>
          <w:sz w:val="18"/>
          <w:szCs w:val="18"/>
        </w:rPr>
        <w:t>Report on the monitoring of the implementation of the HSR System in the first four years of implementation: June 2014 to June 2018</w:t>
      </w:r>
      <w:r w:rsidRPr="00AE7B1D">
        <w:rPr>
          <w:sz w:val="18"/>
          <w:szCs w:val="18"/>
          <w:lang w:val="en-GB"/>
        </w:rPr>
        <w:t>, prepared for the Commonwealth Department of Health, Canberra.</w:t>
      </w:r>
    </w:p>
  </w:footnote>
  <w:footnote w:id="15">
    <w:p w14:paraId="2123B6D6" w14:textId="327139D8" w:rsidR="00B53139" w:rsidRPr="00243FD7" w:rsidRDefault="00B53139">
      <w:pPr>
        <w:pStyle w:val="FootnoteText"/>
        <w:rPr>
          <w:sz w:val="18"/>
          <w:szCs w:val="18"/>
        </w:rPr>
      </w:pPr>
      <w:r w:rsidRPr="00AE7B1D">
        <w:rPr>
          <w:rStyle w:val="FootnoteReference"/>
          <w:szCs w:val="18"/>
        </w:rPr>
        <w:footnoteRef/>
      </w:r>
      <w:r w:rsidRPr="00AE7B1D">
        <w:rPr>
          <w:sz w:val="18"/>
          <w:szCs w:val="18"/>
        </w:rPr>
        <w:t xml:space="preserve"> </w:t>
      </w:r>
      <w:r w:rsidRPr="00AE7B1D">
        <w:rPr>
          <w:sz w:val="18"/>
          <w:szCs w:val="18"/>
          <w:lang w:val="en-GB"/>
        </w:rPr>
        <w:t xml:space="preserve">New Zealand Food Safety 2018, </w:t>
      </w:r>
      <w:r w:rsidRPr="00AE7B1D">
        <w:rPr>
          <w:i/>
          <w:sz w:val="18"/>
          <w:szCs w:val="18"/>
          <w:lang w:val="en-GB"/>
        </w:rPr>
        <w:t xml:space="preserve">Health Star Rating – Monitoring implementation for the Five Year Review, </w:t>
      </w:r>
      <w:r w:rsidRPr="00AE7B1D">
        <w:rPr>
          <w:sz w:val="18"/>
          <w:szCs w:val="18"/>
          <w:lang w:val="en-GB"/>
        </w:rPr>
        <w:t xml:space="preserve">New Zealand Ministry </w:t>
      </w:r>
      <w:r w:rsidRPr="00243FD7">
        <w:rPr>
          <w:sz w:val="18"/>
          <w:szCs w:val="18"/>
          <w:lang w:val="en-GB"/>
        </w:rPr>
        <w:t>for Primary Industries, October.</w:t>
      </w:r>
    </w:p>
  </w:footnote>
  <w:footnote w:id="16">
    <w:p w14:paraId="5CC96806" w14:textId="0BEE61E7" w:rsidR="00B53139" w:rsidRPr="00243FD7" w:rsidRDefault="00B53139" w:rsidP="00243FD7">
      <w:pPr>
        <w:autoSpaceDE w:val="0"/>
        <w:autoSpaceDN w:val="0"/>
        <w:adjustRightInd w:val="0"/>
        <w:rPr>
          <w:rFonts w:cstheme="minorHAnsi"/>
          <w:sz w:val="20"/>
          <w:szCs w:val="20"/>
          <w:lang w:val="en-GB"/>
        </w:rPr>
      </w:pPr>
      <w:r w:rsidRPr="00243FD7">
        <w:rPr>
          <w:rStyle w:val="FootnoteReference"/>
          <w:szCs w:val="18"/>
        </w:rPr>
        <w:footnoteRef/>
      </w:r>
      <w:r w:rsidRPr="00243FD7">
        <w:rPr>
          <w:sz w:val="18"/>
          <w:szCs w:val="18"/>
        </w:rPr>
        <w:t xml:space="preserve"> </w:t>
      </w:r>
      <w:r w:rsidRPr="00243FD7">
        <w:rPr>
          <w:rFonts w:cstheme="minorHAnsi"/>
          <w:sz w:val="18"/>
          <w:szCs w:val="18"/>
          <w:lang w:val="en-GB"/>
        </w:rPr>
        <w:t>Jones, A, Shahid, M &amp; Neal, B 2018</w:t>
      </w:r>
      <w:r w:rsidRPr="00243FD7">
        <w:rPr>
          <w:rFonts w:cstheme="minorHAnsi"/>
          <w:i/>
          <w:iCs/>
          <w:sz w:val="18"/>
          <w:szCs w:val="18"/>
          <w:lang w:val="en-GB"/>
        </w:rPr>
        <w:t xml:space="preserve"> </w:t>
      </w:r>
      <w:r w:rsidRPr="00243FD7">
        <w:rPr>
          <w:rFonts w:cstheme="minorHAnsi"/>
          <w:sz w:val="18"/>
          <w:szCs w:val="18"/>
          <w:lang w:val="en-GB"/>
        </w:rPr>
        <w:t xml:space="preserve">Uptake of Australia’s Health Star Rating System, The George Institute for Global Health, </w:t>
      </w:r>
      <w:r w:rsidRPr="00243FD7">
        <w:rPr>
          <w:rFonts w:cstheme="minorHAnsi"/>
          <w:i/>
          <w:iCs/>
          <w:sz w:val="18"/>
          <w:szCs w:val="18"/>
          <w:lang w:val="en-GB"/>
        </w:rPr>
        <w:t>Nutrients</w:t>
      </w:r>
      <w:r w:rsidRPr="00243FD7">
        <w:rPr>
          <w:rFonts w:cstheme="minorHAnsi"/>
          <w:sz w:val="18"/>
          <w:szCs w:val="18"/>
          <w:lang w:val="en-GB"/>
        </w:rPr>
        <w:t>, vol. 10, no. 8, 997, pp. 1-13.</w:t>
      </w:r>
    </w:p>
  </w:footnote>
  <w:footnote w:id="17">
    <w:p w14:paraId="190FE9D8" w14:textId="04DEAC6D" w:rsidR="00B53139" w:rsidRPr="00243FD7" w:rsidRDefault="00B53139" w:rsidP="000D5F6E">
      <w:pPr>
        <w:autoSpaceDE w:val="0"/>
        <w:autoSpaceDN w:val="0"/>
        <w:adjustRightInd w:val="0"/>
        <w:rPr>
          <w:rFonts w:cstheme="minorHAnsi"/>
          <w:color w:val="000000"/>
          <w:sz w:val="18"/>
          <w:szCs w:val="18"/>
          <w:lang w:val="en-US"/>
        </w:rPr>
      </w:pPr>
      <w:r w:rsidRPr="00243FD7">
        <w:rPr>
          <w:rStyle w:val="FootnoteReference"/>
          <w:rFonts w:cstheme="minorHAnsi"/>
          <w:szCs w:val="18"/>
        </w:rPr>
        <w:footnoteRef/>
      </w:r>
      <w:r w:rsidRPr="00243FD7">
        <w:rPr>
          <w:rFonts w:cstheme="minorHAnsi"/>
          <w:sz w:val="18"/>
          <w:szCs w:val="18"/>
        </w:rPr>
        <w:t xml:space="preserve"> </w:t>
      </w:r>
      <w:r w:rsidRPr="00243FD7">
        <w:rPr>
          <w:rFonts w:cstheme="minorHAnsi"/>
          <w:color w:val="000000"/>
          <w:sz w:val="18"/>
          <w:szCs w:val="18"/>
          <w:lang w:val="en-US"/>
        </w:rPr>
        <w:t>Neal, B, Crino, M, Dunford, E, Gao, A, Greenland, R, Li, N, Ngai, J, Ni Mhurchu, C, Pettigrew, S, Sacks, G, Webster, J &amp; Wu JHY November 2017, ‘Effects of different types of Front-of-Pack Labelling information on the healthiness of food purchases – a Randomised Controlled Trial’,</w:t>
      </w:r>
      <w:r w:rsidRPr="00243FD7">
        <w:rPr>
          <w:rFonts w:cstheme="minorHAnsi"/>
          <w:i/>
          <w:iCs/>
          <w:color w:val="000000"/>
          <w:sz w:val="18"/>
          <w:szCs w:val="18"/>
          <w:lang w:val="en-US"/>
        </w:rPr>
        <w:t xml:space="preserve"> Nutrients</w:t>
      </w:r>
      <w:r w:rsidRPr="00243FD7">
        <w:rPr>
          <w:rFonts w:cstheme="minorHAnsi"/>
          <w:color w:val="000000"/>
          <w:sz w:val="18"/>
          <w:szCs w:val="18"/>
          <w:lang w:val="en-US"/>
        </w:rPr>
        <w:t>, vol. 9, no. 12, p. 1284.</w:t>
      </w:r>
    </w:p>
  </w:footnote>
  <w:footnote w:id="18">
    <w:p w14:paraId="2C71EC76" w14:textId="6A1E743B" w:rsidR="00B53139" w:rsidRPr="00243FD7" w:rsidRDefault="00B53139" w:rsidP="00243FD7">
      <w:pPr>
        <w:pStyle w:val="mpcNormal"/>
        <w:keepNext w:val="0"/>
        <w:rPr>
          <w:sz w:val="18"/>
          <w:szCs w:val="18"/>
          <w:lang w:val="en-GB"/>
        </w:rPr>
      </w:pPr>
      <w:r w:rsidRPr="00243FD7">
        <w:rPr>
          <w:rStyle w:val="FootnoteReference"/>
          <w:szCs w:val="18"/>
        </w:rPr>
        <w:footnoteRef/>
      </w:r>
      <w:r w:rsidRPr="00243FD7">
        <w:rPr>
          <w:sz w:val="18"/>
          <w:szCs w:val="18"/>
        </w:rPr>
        <w:t xml:space="preserve"> </w:t>
      </w:r>
      <w:r w:rsidRPr="00243FD7">
        <w:rPr>
          <w:sz w:val="18"/>
          <w:szCs w:val="18"/>
          <w:lang w:val="en-GB"/>
        </w:rPr>
        <w:t xml:space="preserve">Talati, Z, Pettigrew, S, Kelly, B &amp; Ball, K, 2016 ‘Consumers’ responses to front-of-pack labels that vary by interpretive content’, </w:t>
      </w:r>
      <w:r w:rsidRPr="00243FD7">
        <w:rPr>
          <w:i/>
          <w:iCs/>
          <w:sz w:val="18"/>
          <w:szCs w:val="18"/>
          <w:lang w:val="en-GB"/>
        </w:rPr>
        <w:t>Appetite</w:t>
      </w:r>
      <w:r w:rsidRPr="00243FD7">
        <w:rPr>
          <w:sz w:val="18"/>
          <w:szCs w:val="18"/>
          <w:lang w:val="en-GB"/>
        </w:rPr>
        <w:t>, vol. 101, pp. 205-213.</w:t>
      </w:r>
    </w:p>
  </w:footnote>
  <w:footnote w:id="19">
    <w:p w14:paraId="4FC28DFD" w14:textId="530BDF2F" w:rsidR="00B53139" w:rsidRPr="00243FD7" w:rsidRDefault="00B53139" w:rsidP="003A051A">
      <w:pPr>
        <w:pStyle w:val="mpcNormal"/>
        <w:rPr>
          <w:sz w:val="18"/>
          <w:szCs w:val="18"/>
          <w:lang w:val="en-GB"/>
        </w:rPr>
      </w:pPr>
      <w:r w:rsidRPr="00243FD7">
        <w:rPr>
          <w:rStyle w:val="FootnoteReference"/>
          <w:szCs w:val="18"/>
        </w:rPr>
        <w:footnoteRef/>
      </w:r>
      <w:r w:rsidRPr="00243FD7">
        <w:rPr>
          <w:sz w:val="18"/>
          <w:szCs w:val="18"/>
        </w:rPr>
        <w:t xml:space="preserve"> </w:t>
      </w:r>
      <w:r w:rsidRPr="00243FD7">
        <w:rPr>
          <w:sz w:val="18"/>
          <w:szCs w:val="18"/>
          <w:lang w:val="en-GB"/>
        </w:rPr>
        <w:t xml:space="preserve">Pettigrew, S, Talati, Z, Miller, C, Dixon, H, Kelly, B, &amp; Ball, K 2017 ‘The types and aspects of front-of-pack food labelling schemes preferred by adults and children’, </w:t>
      </w:r>
      <w:r w:rsidRPr="00243FD7">
        <w:rPr>
          <w:i/>
          <w:iCs/>
          <w:sz w:val="18"/>
          <w:szCs w:val="18"/>
          <w:lang w:val="en-GB"/>
        </w:rPr>
        <w:t>Appetite</w:t>
      </w:r>
      <w:r w:rsidRPr="00243FD7">
        <w:rPr>
          <w:sz w:val="18"/>
          <w:szCs w:val="18"/>
          <w:lang w:val="en-GB"/>
        </w:rPr>
        <w:t>, vol. 109, pp. 115-123</w:t>
      </w:r>
    </w:p>
  </w:footnote>
  <w:footnote w:id="20">
    <w:p w14:paraId="5C1803E1" w14:textId="52EA84CE" w:rsidR="00B53139" w:rsidRPr="00243FD7" w:rsidRDefault="00B53139">
      <w:pPr>
        <w:pStyle w:val="FootnoteText"/>
        <w:rPr>
          <w:sz w:val="18"/>
          <w:szCs w:val="18"/>
        </w:rPr>
      </w:pPr>
      <w:r w:rsidRPr="00243FD7">
        <w:rPr>
          <w:rStyle w:val="FootnoteReference"/>
          <w:szCs w:val="18"/>
        </w:rPr>
        <w:footnoteRef/>
      </w:r>
      <w:r w:rsidRPr="00243FD7">
        <w:rPr>
          <w:sz w:val="18"/>
          <w:szCs w:val="18"/>
        </w:rPr>
        <w:t xml:space="preserve"> </w:t>
      </w:r>
      <w:r w:rsidRPr="00243FD7">
        <w:rPr>
          <w:rFonts w:cstheme="minorHAnsi"/>
          <w:sz w:val="18"/>
          <w:szCs w:val="18"/>
          <w:lang w:val="en-GB"/>
        </w:rPr>
        <w:t xml:space="preserve">Talati, Z, Pettigrew, S, Kelly, B, Ball, K, Hughes, C, Kelly, B, Neal, B, &amp; Dixon, H, 2017 ‘The relative ability of different front-of-pack labels to assist consumers discriminate between healthy, moderately healthy, and unhealthy foods’, </w:t>
      </w:r>
      <w:r w:rsidRPr="00243FD7">
        <w:rPr>
          <w:rFonts w:cstheme="minorHAnsi"/>
          <w:i/>
          <w:iCs/>
          <w:sz w:val="18"/>
          <w:szCs w:val="18"/>
          <w:lang w:val="en-GB"/>
        </w:rPr>
        <w:t>Food quality and preference</w:t>
      </w:r>
      <w:r w:rsidRPr="00243FD7">
        <w:rPr>
          <w:rFonts w:cstheme="minorHAnsi"/>
          <w:sz w:val="18"/>
          <w:szCs w:val="18"/>
          <w:lang w:val="en-GB"/>
        </w:rPr>
        <w:t>, vol. 59, pp. 109-113</w:t>
      </w:r>
    </w:p>
  </w:footnote>
  <w:footnote w:id="21">
    <w:p w14:paraId="6F5D91E0" w14:textId="51D7A23A" w:rsidR="00B53139" w:rsidRPr="00243FD7" w:rsidRDefault="00B53139">
      <w:pPr>
        <w:pStyle w:val="FootnoteText"/>
        <w:rPr>
          <w:sz w:val="18"/>
          <w:szCs w:val="18"/>
        </w:rPr>
      </w:pPr>
      <w:r w:rsidRPr="00243FD7">
        <w:rPr>
          <w:rStyle w:val="FootnoteReference"/>
          <w:szCs w:val="18"/>
        </w:rPr>
        <w:footnoteRef/>
      </w:r>
      <w:r w:rsidRPr="00243FD7">
        <w:rPr>
          <w:sz w:val="18"/>
          <w:szCs w:val="18"/>
        </w:rPr>
        <w:t xml:space="preserve"> </w:t>
      </w:r>
      <w:r w:rsidRPr="00243FD7">
        <w:rPr>
          <w:rFonts w:cstheme="minorHAnsi"/>
          <w:sz w:val="18"/>
          <w:szCs w:val="18"/>
          <w:lang w:val="en-GB"/>
        </w:rPr>
        <w:t xml:space="preserve">Talati, Z, Norman, R, Pettigrew, S, Neal, B, Kelly, B, Dixon, H, Ball, K, Miller, C, &amp; Shilton, T 2017 ‘The impact of interpretive and reductive front-of-pack labels on food choice and willingness to pay’ </w:t>
      </w:r>
      <w:r w:rsidRPr="00243FD7">
        <w:rPr>
          <w:rFonts w:cstheme="minorHAnsi"/>
          <w:i/>
          <w:sz w:val="18"/>
          <w:szCs w:val="18"/>
          <w:lang w:val="en-GB"/>
        </w:rPr>
        <w:t>International Journal of Behavioural Nutrition and Physical Activity</w:t>
      </w:r>
      <w:r w:rsidRPr="00243FD7">
        <w:rPr>
          <w:rFonts w:cstheme="minorHAnsi"/>
          <w:sz w:val="18"/>
          <w:szCs w:val="18"/>
          <w:lang w:val="en-GB"/>
        </w:rPr>
        <w:t>, vol. 14, no. 1, p. 171</w:t>
      </w:r>
    </w:p>
  </w:footnote>
  <w:footnote w:id="22">
    <w:p w14:paraId="5FC8991A" w14:textId="6070DBAE" w:rsidR="00B53139" w:rsidRPr="00243FD7" w:rsidRDefault="00B53139" w:rsidP="000D5F6E">
      <w:pPr>
        <w:pStyle w:val="NoSpacing"/>
        <w:rPr>
          <w:rFonts w:cstheme="minorHAnsi"/>
          <w:sz w:val="18"/>
          <w:szCs w:val="18"/>
          <w:lang w:val="en-GB"/>
        </w:rPr>
      </w:pPr>
      <w:r w:rsidRPr="00243FD7">
        <w:rPr>
          <w:rStyle w:val="FootnoteReference"/>
          <w:szCs w:val="18"/>
        </w:rPr>
        <w:footnoteRef/>
      </w:r>
      <w:r w:rsidRPr="00243FD7">
        <w:rPr>
          <w:sz w:val="18"/>
          <w:szCs w:val="18"/>
        </w:rPr>
        <w:t xml:space="preserve"> </w:t>
      </w:r>
      <w:r w:rsidRPr="00243FD7">
        <w:rPr>
          <w:rFonts w:cstheme="minorHAnsi"/>
          <w:sz w:val="18"/>
          <w:szCs w:val="18"/>
          <w:lang w:val="en-GB"/>
        </w:rPr>
        <w:t xml:space="preserve">Ni Mhurchu, C, Volkova, K, Jiang, Y, Eyles, H, Michie, J, Neal, B, Blakely, T, Swinburn, B &amp; Rayner, M ‘Effects of interpretive nutrition labels on consumer food purchases: the Starlight randomized controlled trial’, </w:t>
      </w:r>
      <w:r w:rsidRPr="00243FD7">
        <w:rPr>
          <w:rFonts w:cstheme="minorHAnsi"/>
          <w:i/>
          <w:sz w:val="18"/>
          <w:szCs w:val="18"/>
          <w:lang w:val="en-GB"/>
        </w:rPr>
        <w:t>The American Journal of Clinical Nutrition</w:t>
      </w:r>
      <w:r w:rsidRPr="00243FD7">
        <w:rPr>
          <w:rFonts w:cstheme="minorHAnsi"/>
          <w:sz w:val="18"/>
          <w:szCs w:val="18"/>
          <w:lang w:val="en-GB"/>
        </w:rPr>
        <w:t>, vol. 105, pp. 695-704.</w:t>
      </w:r>
    </w:p>
  </w:footnote>
  <w:footnote w:id="23">
    <w:p w14:paraId="159CDB24" w14:textId="6B292908" w:rsidR="00B53139" w:rsidRPr="00243FD7" w:rsidRDefault="00B53139" w:rsidP="000D5F6E">
      <w:pPr>
        <w:pStyle w:val="NoSpacing"/>
        <w:rPr>
          <w:rFonts w:cstheme="minorHAnsi"/>
          <w:sz w:val="20"/>
          <w:szCs w:val="20"/>
          <w:lang w:val="en-GB"/>
        </w:rPr>
      </w:pPr>
      <w:r w:rsidRPr="00243FD7">
        <w:rPr>
          <w:rStyle w:val="FootnoteReference"/>
          <w:szCs w:val="18"/>
        </w:rPr>
        <w:footnoteRef/>
      </w:r>
      <w:r w:rsidRPr="00243FD7">
        <w:rPr>
          <w:sz w:val="18"/>
          <w:szCs w:val="18"/>
        </w:rPr>
        <w:t xml:space="preserve"> </w:t>
      </w:r>
      <w:r w:rsidRPr="00243FD7">
        <w:rPr>
          <w:rFonts w:cstheme="minorHAnsi"/>
          <w:sz w:val="18"/>
          <w:szCs w:val="18"/>
          <w:lang w:val="en-GB"/>
        </w:rPr>
        <w:t xml:space="preserve">Ni Mhurchu, C, Eyles, H, Jiang, Y &amp; Blakely, T 2018, ‘Do nutrition labels influence healthier food choices? Analysis of label viewing behaviour and subsequent food purchases in a labelling intervention trial’, </w:t>
      </w:r>
      <w:r w:rsidRPr="00243FD7">
        <w:rPr>
          <w:rFonts w:cstheme="minorHAnsi"/>
          <w:i/>
          <w:iCs/>
          <w:sz w:val="18"/>
          <w:szCs w:val="18"/>
          <w:lang w:val="en-GB"/>
        </w:rPr>
        <w:t>Appetite</w:t>
      </w:r>
      <w:r w:rsidRPr="00243FD7">
        <w:rPr>
          <w:rFonts w:cstheme="minorHAnsi"/>
          <w:sz w:val="18"/>
          <w:szCs w:val="18"/>
          <w:lang w:val="en-GB"/>
        </w:rPr>
        <w:t>, vol. 121, pp 360-365.</w:t>
      </w:r>
    </w:p>
  </w:footnote>
  <w:footnote w:id="24">
    <w:p w14:paraId="4D777AD8" w14:textId="531543AD" w:rsidR="00B53139" w:rsidRPr="00C626CB" w:rsidRDefault="00B53139" w:rsidP="00243FD7">
      <w:pPr>
        <w:pStyle w:val="NoSpacing"/>
        <w:rPr>
          <w:rFonts w:cstheme="minorHAnsi"/>
          <w:sz w:val="18"/>
          <w:szCs w:val="18"/>
        </w:rPr>
      </w:pPr>
      <w:r w:rsidRPr="00C626CB">
        <w:rPr>
          <w:rStyle w:val="FootnoteReference"/>
          <w:rFonts w:cstheme="minorHAnsi"/>
          <w:szCs w:val="18"/>
        </w:rPr>
        <w:footnoteRef/>
      </w:r>
      <w:r w:rsidRPr="00C626CB">
        <w:rPr>
          <w:rFonts w:cstheme="minorHAnsi"/>
          <w:sz w:val="18"/>
          <w:szCs w:val="18"/>
        </w:rPr>
        <w:t xml:space="preserve"> Mantilla Herrera, A, Crino, M, Erskin, H, Sacks, G, Anathapavan, J, Ni Mhurchu, C &amp; Lee, Y 2018 ‘Cost-effectiveness of product reformulation in response to the Health Start Rating food labelling system in Australia’, </w:t>
      </w:r>
      <w:r w:rsidRPr="00C626CB">
        <w:rPr>
          <w:rFonts w:cstheme="minorHAnsi"/>
          <w:i/>
          <w:iCs/>
          <w:sz w:val="18"/>
          <w:szCs w:val="18"/>
        </w:rPr>
        <w:t>Nutrients</w:t>
      </w:r>
      <w:r w:rsidRPr="00C626CB">
        <w:rPr>
          <w:rFonts w:cstheme="minorHAnsi"/>
          <w:sz w:val="18"/>
          <w:szCs w:val="18"/>
        </w:rPr>
        <w:t>, vol. 10, no. 614, pp. 2-16.</w:t>
      </w:r>
    </w:p>
  </w:footnote>
  <w:footnote w:id="25">
    <w:p w14:paraId="7BB09FA9" w14:textId="2C6B8B12" w:rsidR="00B53139" w:rsidRPr="00C626CB" w:rsidRDefault="00B53139" w:rsidP="00C626CB">
      <w:pPr>
        <w:pStyle w:val="NoSpacing"/>
        <w:rPr>
          <w:rFonts w:cstheme="minorHAnsi"/>
          <w:sz w:val="20"/>
          <w:szCs w:val="20"/>
          <w:lang w:val="en-GB"/>
        </w:rPr>
      </w:pPr>
      <w:r w:rsidRPr="00C626CB">
        <w:rPr>
          <w:rStyle w:val="FootnoteReference"/>
          <w:rFonts w:cstheme="minorHAnsi"/>
          <w:szCs w:val="18"/>
        </w:rPr>
        <w:footnoteRef/>
      </w:r>
      <w:r w:rsidRPr="00C626CB">
        <w:rPr>
          <w:rFonts w:cstheme="minorHAnsi"/>
          <w:sz w:val="18"/>
          <w:szCs w:val="18"/>
        </w:rPr>
        <w:t xml:space="preserve"> </w:t>
      </w:r>
      <w:r w:rsidRPr="00C626CB">
        <w:rPr>
          <w:rFonts w:cstheme="minorHAnsi"/>
          <w:sz w:val="18"/>
          <w:szCs w:val="18"/>
          <w:lang w:val="en-GB"/>
        </w:rPr>
        <w:t xml:space="preserve">Ni Mhurchu, C, Eyles, H &amp; Choi, Y, 2017 ‘Effects of a Voluntary Front-of-Pack Nutrition Labelling System on packaged food reformulation: the Health Star Rating system in New Zealand’, </w:t>
      </w:r>
      <w:r w:rsidRPr="00C626CB">
        <w:rPr>
          <w:rFonts w:cstheme="minorHAnsi"/>
          <w:i/>
          <w:iCs/>
          <w:sz w:val="18"/>
          <w:szCs w:val="18"/>
          <w:lang w:val="en-GB"/>
        </w:rPr>
        <w:t>Nutrients</w:t>
      </w:r>
      <w:r w:rsidRPr="00C626CB">
        <w:rPr>
          <w:rFonts w:cstheme="minorHAnsi"/>
          <w:sz w:val="18"/>
          <w:szCs w:val="18"/>
          <w:lang w:val="en-GB"/>
        </w:rPr>
        <w:t>, vol. 9, no. 918.</w:t>
      </w:r>
    </w:p>
  </w:footnote>
  <w:footnote w:id="26">
    <w:p w14:paraId="41EA0583" w14:textId="77777777" w:rsidR="00B53139" w:rsidRPr="00F26AAA" w:rsidRDefault="00B53139" w:rsidP="00F101DD">
      <w:pPr>
        <w:pStyle w:val="FootnoteText"/>
        <w:rPr>
          <w:sz w:val="18"/>
          <w:szCs w:val="18"/>
        </w:rPr>
      </w:pPr>
      <w:r w:rsidRPr="00F26AAA">
        <w:rPr>
          <w:rStyle w:val="FootnoteReference"/>
          <w:szCs w:val="18"/>
        </w:rPr>
        <w:footnoteRef/>
      </w:r>
      <w:r w:rsidRPr="00F26AAA">
        <w:rPr>
          <w:sz w:val="18"/>
          <w:szCs w:val="18"/>
        </w:rPr>
        <w:t xml:space="preserve"> TAG technical paper, October 2018, </w:t>
      </w:r>
      <w:r w:rsidRPr="00F26AAA">
        <w:rPr>
          <w:i/>
          <w:sz w:val="18"/>
          <w:szCs w:val="18"/>
        </w:rPr>
        <w:t>History and development of the HSR algorithm</w:t>
      </w:r>
      <w:r w:rsidRPr="00F26AAA">
        <w:rPr>
          <w:sz w:val="18"/>
          <w:szCs w:val="18"/>
        </w:rPr>
        <w:t>, p.11</w:t>
      </w:r>
    </w:p>
  </w:footnote>
  <w:footnote w:id="27">
    <w:p w14:paraId="49E25AD1" w14:textId="4599B130" w:rsidR="00B53139" w:rsidRPr="00F26AAA" w:rsidRDefault="00B53139" w:rsidP="00F101DD">
      <w:pPr>
        <w:pStyle w:val="FootnoteText"/>
        <w:rPr>
          <w:sz w:val="18"/>
          <w:szCs w:val="18"/>
        </w:rPr>
      </w:pPr>
      <w:r w:rsidRPr="00F26AAA">
        <w:rPr>
          <w:rStyle w:val="FootnoteReference"/>
          <w:szCs w:val="18"/>
        </w:rPr>
        <w:footnoteRef/>
      </w:r>
      <w:r w:rsidRPr="00F26AAA">
        <w:rPr>
          <w:sz w:val="18"/>
          <w:szCs w:val="18"/>
        </w:rPr>
        <w:t xml:space="preserve"> National Heart Foundation, 2018, </w:t>
      </w:r>
      <w:r w:rsidRPr="00F26AAA">
        <w:rPr>
          <w:i/>
          <w:sz w:val="18"/>
          <w:szCs w:val="18"/>
        </w:rPr>
        <w:t>Report on the monitoring of the implementation of the Health Star Rating system: Area of Enquiry 2 – Consumer awareness and ability to use the Health Star Rating system correctly</w:t>
      </w:r>
      <w:r w:rsidRPr="00F26AAA">
        <w:rPr>
          <w:sz w:val="18"/>
          <w:szCs w:val="18"/>
        </w:rPr>
        <w:t>, prepared for the Department of Health</w:t>
      </w:r>
    </w:p>
  </w:footnote>
  <w:footnote w:id="28">
    <w:p w14:paraId="0BC2D0CE" w14:textId="66BD5CC3" w:rsidR="00B53139" w:rsidRPr="00F26AAA" w:rsidRDefault="00B53139" w:rsidP="00F26AAA">
      <w:pPr>
        <w:pStyle w:val="NoSpacing"/>
        <w:rPr>
          <w:rFonts w:cstheme="minorHAnsi"/>
          <w:sz w:val="18"/>
          <w:szCs w:val="18"/>
          <w:lang w:val="en-GB"/>
        </w:rPr>
      </w:pPr>
      <w:r w:rsidRPr="00F26AAA">
        <w:rPr>
          <w:rStyle w:val="FootnoteReference"/>
          <w:szCs w:val="18"/>
        </w:rPr>
        <w:footnoteRef/>
      </w:r>
      <w:r w:rsidRPr="00F26AAA">
        <w:rPr>
          <w:sz w:val="18"/>
          <w:szCs w:val="18"/>
        </w:rPr>
        <w:t xml:space="preserve"> </w:t>
      </w:r>
      <w:r w:rsidRPr="00F26AAA">
        <w:rPr>
          <w:rFonts w:cstheme="minorHAnsi"/>
          <w:sz w:val="18"/>
          <w:szCs w:val="18"/>
          <w:lang w:val="en-GB"/>
        </w:rPr>
        <w:t xml:space="preserve">Jones, A, Radholm, K &amp; Neal, B </w:t>
      </w:r>
      <w:r w:rsidRPr="00F26AAA">
        <w:rPr>
          <w:rFonts w:cstheme="minorHAnsi"/>
          <w:iCs/>
          <w:sz w:val="18"/>
          <w:szCs w:val="18"/>
          <w:lang w:val="en-GB"/>
        </w:rPr>
        <w:t>2018,</w:t>
      </w:r>
      <w:r w:rsidRPr="00F26AAA">
        <w:rPr>
          <w:rFonts w:cstheme="minorHAnsi"/>
          <w:sz w:val="18"/>
          <w:szCs w:val="18"/>
          <w:lang w:val="en-GB"/>
        </w:rPr>
        <w:t xml:space="preserve"> ‘Defining ‘Unhealthy’: a systematic analysis of alignment between the Australian Dietary Guidelines and the Health Star Rating System’, </w:t>
      </w:r>
      <w:r w:rsidRPr="00F26AAA">
        <w:rPr>
          <w:rFonts w:cstheme="minorHAnsi"/>
          <w:i/>
          <w:iCs/>
          <w:sz w:val="18"/>
          <w:szCs w:val="18"/>
          <w:lang w:val="en-GB"/>
        </w:rPr>
        <w:t xml:space="preserve">Nutrients, </w:t>
      </w:r>
      <w:r w:rsidRPr="00F26AAA">
        <w:rPr>
          <w:rFonts w:cstheme="minorHAnsi"/>
          <w:iCs/>
          <w:sz w:val="18"/>
          <w:szCs w:val="18"/>
          <w:lang w:val="en-GB"/>
        </w:rPr>
        <w:t>vol.</w:t>
      </w:r>
      <w:r w:rsidRPr="00F26AAA">
        <w:rPr>
          <w:rFonts w:cstheme="minorHAnsi"/>
          <w:sz w:val="18"/>
          <w:szCs w:val="18"/>
          <w:lang w:val="en-GB"/>
        </w:rPr>
        <w:t xml:space="preserve"> 10, no. 501.</w:t>
      </w:r>
    </w:p>
  </w:footnote>
  <w:footnote w:id="29">
    <w:p w14:paraId="4BD1303F" w14:textId="4BAA4A62" w:rsidR="00B53139" w:rsidRPr="00F26AAA" w:rsidRDefault="00B53139" w:rsidP="00F26AAA">
      <w:pPr>
        <w:pStyle w:val="NoSpacing"/>
        <w:rPr>
          <w:rFonts w:cstheme="minorHAnsi"/>
          <w:sz w:val="18"/>
          <w:szCs w:val="18"/>
          <w:lang w:val="en-GB"/>
        </w:rPr>
      </w:pPr>
      <w:r w:rsidRPr="00F26AAA">
        <w:rPr>
          <w:rStyle w:val="FootnoteReference"/>
          <w:szCs w:val="18"/>
        </w:rPr>
        <w:footnoteRef/>
      </w:r>
      <w:r w:rsidRPr="00F26AAA">
        <w:rPr>
          <w:sz w:val="18"/>
          <w:szCs w:val="18"/>
        </w:rPr>
        <w:t xml:space="preserve"> </w:t>
      </w:r>
      <w:r w:rsidRPr="00F26AAA">
        <w:rPr>
          <w:rFonts w:cstheme="minorHAnsi"/>
          <w:sz w:val="18"/>
          <w:szCs w:val="18"/>
          <w:lang w:val="en-GB"/>
        </w:rPr>
        <w:t>Lawrence, M, Dickie, S &amp; Woods, J 2018, ‘Do nutrient-based front-of-pack labelling schemes support or undermine food-based dietary guideline recommendations? Lessons from the Australian Health Star Rating System’,</w:t>
      </w:r>
      <w:r w:rsidRPr="00F26AAA">
        <w:rPr>
          <w:rFonts w:cstheme="minorHAnsi"/>
          <w:i/>
          <w:iCs/>
          <w:sz w:val="18"/>
          <w:szCs w:val="18"/>
          <w:lang w:val="en-GB"/>
        </w:rPr>
        <w:t xml:space="preserve"> Nutrients</w:t>
      </w:r>
      <w:r w:rsidRPr="00F26AAA">
        <w:rPr>
          <w:rFonts w:cstheme="minorHAnsi"/>
          <w:sz w:val="18"/>
          <w:szCs w:val="18"/>
          <w:lang w:val="en-GB"/>
        </w:rPr>
        <w:t xml:space="preserve">, vol. 5. </w:t>
      </w:r>
    </w:p>
  </w:footnote>
  <w:footnote w:id="30">
    <w:p w14:paraId="3334D0AE" w14:textId="3E7C013B" w:rsidR="00B53139" w:rsidRPr="00F26AAA" w:rsidRDefault="00B53139" w:rsidP="00F26AAA">
      <w:pPr>
        <w:autoSpaceDE w:val="0"/>
        <w:autoSpaceDN w:val="0"/>
        <w:adjustRightInd w:val="0"/>
        <w:rPr>
          <w:rFonts w:cstheme="minorHAnsi"/>
          <w:sz w:val="18"/>
          <w:szCs w:val="18"/>
          <w:lang w:val="en-GB"/>
        </w:rPr>
      </w:pPr>
      <w:r w:rsidRPr="00F26AAA">
        <w:rPr>
          <w:rStyle w:val="FootnoteReference"/>
          <w:szCs w:val="18"/>
        </w:rPr>
        <w:footnoteRef/>
      </w:r>
      <w:r w:rsidRPr="00F26AAA">
        <w:rPr>
          <w:sz w:val="18"/>
          <w:szCs w:val="18"/>
        </w:rPr>
        <w:t xml:space="preserve"> </w:t>
      </w:r>
      <w:r w:rsidRPr="00F26AAA">
        <w:rPr>
          <w:rFonts w:cstheme="minorHAnsi"/>
          <w:sz w:val="18"/>
          <w:szCs w:val="18"/>
          <w:lang w:val="en-GB"/>
        </w:rPr>
        <w:t xml:space="preserve">Dunford, E, Cobcroft, M, Thomas, M, &amp; Wu, J.H. 2015, </w:t>
      </w:r>
      <w:r w:rsidRPr="00F26AAA">
        <w:rPr>
          <w:rFonts w:cstheme="minorHAnsi"/>
          <w:i/>
          <w:iCs/>
          <w:sz w:val="18"/>
          <w:szCs w:val="18"/>
          <w:lang w:val="en-GB"/>
        </w:rPr>
        <w:t>Technical Report: Alignment of NSW Healthy Food Provision Policy with the Health Star Rating System</w:t>
      </w:r>
      <w:r w:rsidRPr="00F26AAA">
        <w:rPr>
          <w:rFonts w:cstheme="minorHAnsi"/>
          <w:sz w:val="18"/>
          <w:szCs w:val="18"/>
          <w:lang w:val="en-GB"/>
        </w:rPr>
        <w:t>, NSW Ministry of Health, Sydney.</w:t>
      </w:r>
    </w:p>
  </w:footnote>
  <w:footnote w:id="31">
    <w:p w14:paraId="0C367D5A" w14:textId="0250FF23" w:rsidR="00B53139" w:rsidRPr="00F26AAA" w:rsidRDefault="00B53139" w:rsidP="00F26AAA">
      <w:pPr>
        <w:pStyle w:val="NoSpacing"/>
        <w:rPr>
          <w:rFonts w:cstheme="minorHAnsi"/>
          <w:sz w:val="18"/>
          <w:szCs w:val="18"/>
          <w:lang w:val="en-GB"/>
        </w:rPr>
      </w:pPr>
      <w:r w:rsidRPr="00F26AAA">
        <w:rPr>
          <w:sz w:val="18"/>
          <w:szCs w:val="18"/>
          <w:vertAlign w:val="superscript"/>
          <w:lang w:val="en-GB"/>
        </w:rPr>
        <w:footnoteRef/>
      </w:r>
      <w:r w:rsidRPr="00F26AAA">
        <w:rPr>
          <w:sz w:val="18"/>
          <w:szCs w:val="18"/>
          <w:vertAlign w:val="superscript"/>
          <w:lang w:val="en-GB"/>
        </w:rPr>
        <w:t xml:space="preserve"> </w:t>
      </w:r>
      <w:r w:rsidRPr="00F26AAA">
        <w:rPr>
          <w:rFonts w:cstheme="minorHAnsi"/>
          <w:sz w:val="18"/>
          <w:szCs w:val="18"/>
          <w:lang w:val="en-GB"/>
        </w:rPr>
        <w:t xml:space="preserve">Wellard, L, Hughes, C &amp; Watson, W 2016, ‘Investigating nutrient profiling and Health Star Ratings on core dairy products in Australia, </w:t>
      </w:r>
      <w:r w:rsidRPr="00F26AAA">
        <w:rPr>
          <w:rFonts w:cstheme="minorHAnsi"/>
          <w:i/>
          <w:iCs/>
          <w:sz w:val="18"/>
          <w:szCs w:val="18"/>
          <w:lang w:val="en-GB"/>
        </w:rPr>
        <w:t>Public Health Nutrition</w:t>
      </w:r>
      <w:r w:rsidRPr="00F26AAA">
        <w:rPr>
          <w:rFonts w:cstheme="minorHAnsi"/>
          <w:sz w:val="18"/>
          <w:szCs w:val="18"/>
          <w:lang w:val="en-GB"/>
        </w:rPr>
        <w:t>, vol. 19, no. 15, pp. 2860-2865.</w:t>
      </w:r>
    </w:p>
  </w:footnote>
  <w:footnote w:id="32">
    <w:p w14:paraId="2173ACE1" w14:textId="7E62D2C6" w:rsidR="00B53139" w:rsidRPr="00F26AAA" w:rsidRDefault="00B53139" w:rsidP="00F26AAA">
      <w:pPr>
        <w:pStyle w:val="Default"/>
        <w:rPr>
          <w:rFonts w:asciiTheme="minorHAnsi" w:hAnsiTheme="minorHAnsi" w:cstheme="minorHAnsi"/>
          <w:color w:val="auto"/>
          <w:sz w:val="18"/>
          <w:szCs w:val="18"/>
          <w:lang w:val="en-GB"/>
        </w:rPr>
      </w:pPr>
      <w:r w:rsidRPr="00F26AAA">
        <w:rPr>
          <w:rStyle w:val="FootnoteReference"/>
          <w:szCs w:val="18"/>
        </w:rPr>
        <w:footnoteRef/>
      </w:r>
      <w:r w:rsidRPr="00F26AAA">
        <w:rPr>
          <w:sz w:val="18"/>
          <w:szCs w:val="18"/>
        </w:rPr>
        <w:t xml:space="preserve"> </w:t>
      </w:r>
      <w:r w:rsidRPr="00F26AAA">
        <w:rPr>
          <w:rFonts w:asciiTheme="minorHAnsi" w:hAnsiTheme="minorHAnsi" w:cstheme="minorHAnsi"/>
          <w:color w:val="auto"/>
          <w:sz w:val="18"/>
          <w:szCs w:val="18"/>
          <w:lang w:val="en-GB"/>
        </w:rPr>
        <w:t xml:space="preserve">Carrad, A, Louie, JCY, Yeatman, HR, Dunford, EK, Neal, BC &amp; Flood, VM 2016 ‘A nutrient profiling assessment of packaged foods using two star-based front-of-pack labels’, </w:t>
      </w:r>
      <w:r w:rsidRPr="00F26AAA">
        <w:rPr>
          <w:rFonts w:asciiTheme="minorHAnsi" w:hAnsiTheme="minorHAnsi" w:cstheme="minorHAnsi"/>
          <w:i/>
          <w:iCs/>
          <w:color w:val="auto"/>
          <w:sz w:val="18"/>
          <w:szCs w:val="18"/>
          <w:lang w:val="en-GB"/>
        </w:rPr>
        <w:t>Public Health Nutrition</w:t>
      </w:r>
      <w:r w:rsidRPr="00F26AAA">
        <w:rPr>
          <w:rFonts w:asciiTheme="minorHAnsi" w:hAnsiTheme="minorHAnsi" w:cstheme="minorHAnsi"/>
          <w:color w:val="auto"/>
          <w:sz w:val="18"/>
          <w:szCs w:val="18"/>
          <w:lang w:val="en-GB"/>
        </w:rPr>
        <w:t>, vol. 19, no. 12, pp. 2165-2174.</w:t>
      </w:r>
    </w:p>
  </w:footnote>
  <w:footnote w:id="33">
    <w:p w14:paraId="6DBBFCA4" w14:textId="77777777" w:rsidR="00B53139" w:rsidRPr="00C14D9F" w:rsidRDefault="00B53139" w:rsidP="00F101DD">
      <w:pPr>
        <w:pStyle w:val="FootnoteText"/>
        <w:rPr>
          <w:sz w:val="18"/>
          <w:szCs w:val="18"/>
        </w:rPr>
      </w:pPr>
      <w:r w:rsidRPr="00F26AAA">
        <w:rPr>
          <w:rStyle w:val="FootnoteReference"/>
          <w:szCs w:val="18"/>
        </w:rPr>
        <w:footnoteRef/>
      </w:r>
      <w:r w:rsidRPr="00F26AAA">
        <w:rPr>
          <w:sz w:val="18"/>
          <w:szCs w:val="18"/>
        </w:rPr>
        <w:t xml:space="preserve"> TAG technical paper, October 2018, </w:t>
      </w:r>
      <w:r w:rsidRPr="00F26AAA">
        <w:rPr>
          <w:i/>
          <w:sz w:val="18"/>
          <w:szCs w:val="18"/>
        </w:rPr>
        <w:t>Alignment of the HSR System with the Australian and New Zealand Dietary Guidelines: Analysis of alignment and identification of outliers</w:t>
      </w:r>
    </w:p>
  </w:footnote>
  <w:footnote w:id="34">
    <w:p w14:paraId="7FC3FEC9" w14:textId="36F1D51B" w:rsidR="00B53139" w:rsidRPr="00090135" w:rsidRDefault="00B53139" w:rsidP="00F26AAA">
      <w:pPr>
        <w:pStyle w:val="NoSpacing"/>
        <w:rPr>
          <w:rFonts w:cstheme="minorHAnsi"/>
          <w:sz w:val="18"/>
          <w:szCs w:val="18"/>
          <w:lang w:val="en-GB"/>
        </w:rPr>
      </w:pPr>
      <w:r w:rsidRPr="00C004F2">
        <w:rPr>
          <w:rStyle w:val="FootnoteReference"/>
          <w:szCs w:val="18"/>
        </w:rPr>
        <w:footnoteRef/>
      </w:r>
      <w:r w:rsidRPr="00560CB6">
        <w:rPr>
          <w:sz w:val="18"/>
          <w:szCs w:val="18"/>
        </w:rPr>
        <w:t xml:space="preserve"> </w:t>
      </w:r>
      <w:r w:rsidRPr="00090135">
        <w:rPr>
          <w:sz w:val="18"/>
          <w:szCs w:val="18"/>
        </w:rPr>
        <w:t xml:space="preserve">Watson, W, Chapman, K, King, L, Kelly, B, Hughes, C, Chun Yu Louie, J, Crawford, J, Gill, T, 2011 ‘How well do Australian shoppers understand energy terms on food labels?’ </w:t>
      </w:r>
      <w:r w:rsidRPr="00090135">
        <w:rPr>
          <w:i/>
          <w:sz w:val="18"/>
          <w:szCs w:val="18"/>
        </w:rPr>
        <w:t>Public Health Nutrition</w:t>
      </w:r>
      <w:r w:rsidRPr="00090135">
        <w:rPr>
          <w:sz w:val="18"/>
          <w:szCs w:val="18"/>
        </w:rPr>
        <w:t>, vol. 16, no. 3, pp. 409-417.</w:t>
      </w:r>
    </w:p>
  </w:footnote>
  <w:footnote w:id="35">
    <w:p w14:paraId="1D1251AB" w14:textId="715B914C" w:rsidR="00B53139" w:rsidRPr="00090135" w:rsidRDefault="00B53139" w:rsidP="00F26AAA">
      <w:pPr>
        <w:pStyle w:val="NoSpacing"/>
        <w:rPr>
          <w:sz w:val="18"/>
          <w:szCs w:val="18"/>
        </w:rPr>
      </w:pPr>
      <w:r w:rsidRPr="00090135">
        <w:rPr>
          <w:rStyle w:val="FootnoteReference"/>
          <w:szCs w:val="18"/>
        </w:rPr>
        <w:footnoteRef/>
      </w:r>
      <w:r w:rsidRPr="00090135">
        <w:rPr>
          <w:sz w:val="18"/>
          <w:szCs w:val="18"/>
        </w:rPr>
        <w:t xml:space="preserve"> Cowburn, G, &amp; Stockley, L 2005 ‘Consumer understanding and use of nutrition labelling: A systematic review’ </w:t>
      </w:r>
      <w:r w:rsidRPr="00090135">
        <w:rPr>
          <w:i/>
          <w:sz w:val="18"/>
          <w:szCs w:val="18"/>
        </w:rPr>
        <w:t>Public Health Nutrition</w:t>
      </w:r>
      <w:r w:rsidRPr="00090135">
        <w:rPr>
          <w:sz w:val="18"/>
          <w:szCs w:val="18"/>
        </w:rPr>
        <w:t>, vol. 8, no.1, pp. 21-28. </w:t>
      </w:r>
    </w:p>
  </w:footnote>
  <w:footnote w:id="36">
    <w:p w14:paraId="72C3E5E7" w14:textId="4EF6CB52" w:rsidR="00B53139" w:rsidRPr="00090135" w:rsidRDefault="00B53139" w:rsidP="00F26AAA">
      <w:pPr>
        <w:rPr>
          <w:rFonts w:cstheme="minorHAnsi"/>
          <w:sz w:val="18"/>
          <w:szCs w:val="18"/>
          <w:lang w:val="en-GB"/>
        </w:rPr>
      </w:pPr>
      <w:r w:rsidRPr="00090135">
        <w:rPr>
          <w:rStyle w:val="FootnoteReference"/>
          <w:szCs w:val="18"/>
        </w:rPr>
        <w:footnoteRef/>
      </w:r>
      <w:r w:rsidRPr="00090135">
        <w:rPr>
          <w:sz w:val="18"/>
          <w:szCs w:val="18"/>
        </w:rPr>
        <w:t xml:space="preserve"> Kelly, B, Jewell, Jo 2018 </w:t>
      </w:r>
      <w:r w:rsidRPr="00090135">
        <w:rPr>
          <w:i/>
          <w:sz w:val="18"/>
          <w:szCs w:val="18"/>
        </w:rPr>
        <w:t>What is the evidence on policy specifications, development processes and effectiveness of existing front-of-pack labelling policies in the WHO European Region?</w:t>
      </w:r>
      <w:r w:rsidRPr="00090135">
        <w:rPr>
          <w:sz w:val="18"/>
          <w:szCs w:val="18"/>
        </w:rPr>
        <w:t xml:space="preserve"> Copenhagen: WHO Regional Office for Europe, Health Evidence Network (HEN) synthesis report 61</w:t>
      </w:r>
    </w:p>
  </w:footnote>
  <w:footnote w:id="37">
    <w:p w14:paraId="6057CC92" w14:textId="75C2ED71" w:rsidR="00B53139" w:rsidRPr="00090135" w:rsidRDefault="00B53139" w:rsidP="00090135">
      <w:pPr>
        <w:pStyle w:val="NoSpacing"/>
        <w:rPr>
          <w:rFonts w:cstheme="minorHAnsi"/>
          <w:bCs/>
          <w:sz w:val="20"/>
          <w:szCs w:val="20"/>
          <w:lang w:val="en-GB"/>
        </w:rPr>
      </w:pPr>
      <w:r w:rsidRPr="00090135">
        <w:rPr>
          <w:rStyle w:val="FootnoteReference"/>
          <w:szCs w:val="18"/>
        </w:rPr>
        <w:footnoteRef/>
      </w:r>
      <w:r w:rsidRPr="00090135">
        <w:rPr>
          <w:sz w:val="18"/>
          <w:szCs w:val="18"/>
        </w:rPr>
        <w:t xml:space="preserve"> </w:t>
      </w:r>
      <w:r w:rsidRPr="00090135">
        <w:rPr>
          <w:rFonts w:cstheme="minorHAnsi"/>
          <w:bCs/>
          <w:sz w:val="18"/>
          <w:szCs w:val="18"/>
          <w:lang w:val="en-GB"/>
        </w:rPr>
        <w:t xml:space="preserve">Brownbill, A, Braunack-Meye, A &amp; Miller, C 2018, ‘Health Star Ratings: What’s on the labels of Australian beverages?’, </w:t>
      </w:r>
      <w:r w:rsidRPr="00090135">
        <w:rPr>
          <w:rFonts w:cstheme="minorHAnsi"/>
          <w:bCs/>
          <w:i/>
          <w:iCs/>
          <w:sz w:val="18"/>
          <w:szCs w:val="18"/>
          <w:lang w:val="en-GB"/>
        </w:rPr>
        <w:t xml:space="preserve">Health Promotion Journal of Australia, </w:t>
      </w:r>
      <w:r w:rsidRPr="00090135">
        <w:rPr>
          <w:rFonts w:cstheme="minorHAnsi"/>
          <w:bCs/>
          <w:iCs/>
          <w:sz w:val="18"/>
          <w:szCs w:val="18"/>
          <w:lang w:val="en-GB"/>
        </w:rPr>
        <w:t>vol. 29,</w:t>
      </w:r>
      <w:r w:rsidRPr="00090135">
        <w:rPr>
          <w:rFonts w:cstheme="minorHAnsi"/>
          <w:bCs/>
          <w:sz w:val="18"/>
          <w:szCs w:val="18"/>
          <w:lang w:val="en-GB"/>
        </w:rPr>
        <w:t xml:space="preserve"> pp. 1-5.</w:t>
      </w:r>
    </w:p>
  </w:footnote>
  <w:footnote w:id="38">
    <w:p w14:paraId="75CBD275" w14:textId="18E59265" w:rsidR="00B53139" w:rsidRPr="00DC4980" w:rsidRDefault="00B53139" w:rsidP="00DC4980">
      <w:pPr>
        <w:pStyle w:val="FootnoteText"/>
        <w:rPr>
          <w:sz w:val="18"/>
          <w:szCs w:val="18"/>
        </w:rPr>
      </w:pPr>
      <w:r w:rsidRPr="005A3631">
        <w:rPr>
          <w:rStyle w:val="FootnoteReference"/>
          <w:szCs w:val="18"/>
        </w:rPr>
        <w:footnoteRef/>
      </w:r>
      <w:r w:rsidRPr="00DC4980">
        <w:rPr>
          <w:sz w:val="18"/>
          <w:szCs w:val="18"/>
        </w:rPr>
        <w:t xml:space="preserve"> Vermeer, W, Bruins, B, Steenhuis, I, 2010 ‘Two pack king size chocolate bars. Can we manage our consumption?’ </w:t>
      </w:r>
      <w:r w:rsidRPr="00DC4980">
        <w:rPr>
          <w:i/>
          <w:sz w:val="18"/>
          <w:szCs w:val="18"/>
        </w:rPr>
        <w:t>Appetite</w:t>
      </w:r>
      <w:r w:rsidRPr="00DC4980">
        <w:rPr>
          <w:sz w:val="18"/>
          <w:szCs w:val="18"/>
        </w:rPr>
        <w:t>, vol. 54, pp. 414-417</w:t>
      </w:r>
      <w:r>
        <w:rPr>
          <w:sz w:val="18"/>
          <w:szCs w:val="18"/>
        </w:rPr>
        <w:t>.</w:t>
      </w:r>
    </w:p>
  </w:footnote>
  <w:footnote w:id="39">
    <w:p w14:paraId="2755C9A4" w14:textId="521C0B2D" w:rsidR="00B53139" w:rsidRPr="00DC4980" w:rsidRDefault="00B53139" w:rsidP="00DC4980">
      <w:pPr>
        <w:pStyle w:val="FootnoteText"/>
        <w:rPr>
          <w:sz w:val="18"/>
          <w:szCs w:val="18"/>
        </w:rPr>
      </w:pPr>
      <w:r w:rsidRPr="005A3631">
        <w:rPr>
          <w:rStyle w:val="FootnoteReference"/>
          <w:szCs w:val="18"/>
        </w:rPr>
        <w:footnoteRef/>
      </w:r>
      <w:r w:rsidRPr="00DC4980">
        <w:rPr>
          <w:sz w:val="18"/>
          <w:szCs w:val="18"/>
        </w:rPr>
        <w:t xml:space="preserve"> Hieke, S, Palascha, A, Jola, C, Wills, J, Raats, M 2016 ‘The pack size effect: influence on consumer perceptions of potion sizes’ </w:t>
      </w:r>
      <w:r w:rsidRPr="00DC4980">
        <w:rPr>
          <w:i/>
          <w:sz w:val="18"/>
          <w:szCs w:val="18"/>
        </w:rPr>
        <w:t>Appetite</w:t>
      </w:r>
      <w:r w:rsidRPr="00DC4980">
        <w:rPr>
          <w:sz w:val="18"/>
          <w:szCs w:val="18"/>
        </w:rPr>
        <w:t>, vol. 96, pp. 225-238</w:t>
      </w:r>
      <w:r>
        <w:rPr>
          <w:sz w:val="18"/>
          <w:szCs w:val="18"/>
        </w:rPr>
        <w:t>.</w:t>
      </w:r>
    </w:p>
  </w:footnote>
  <w:footnote w:id="40">
    <w:p w14:paraId="16D1FC73" w14:textId="3F80F9FE" w:rsidR="00B53139" w:rsidRPr="009E3B34" w:rsidRDefault="00B53139" w:rsidP="00B36208">
      <w:pPr>
        <w:pStyle w:val="FootnoteText"/>
        <w:rPr>
          <w:rFonts w:cstheme="minorHAnsi"/>
          <w:sz w:val="18"/>
          <w:szCs w:val="18"/>
        </w:rPr>
      </w:pPr>
      <w:r>
        <w:rPr>
          <w:rStyle w:val="FootnoteReference"/>
        </w:rPr>
        <w:footnoteRef/>
      </w:r>
      <w:r>
        <w:t xml:space="preserve"> </w:t>
      </w:r>
      <w:hyperlink r:id="rId4" w:history="1">
        <w:r w:rsidRPr="0030513A">
          <w:rPr>
            <w:rStyle w:val="Hyperlink"/>
            <w:i/>
            <w:sz w:val="18"/>
            <w:szCs w:val="18"/>
          </w:rPr>
          <w:t>Objectives of the HSR campaign in Australia</w:t>
        </w:r>
      </w:hyperlink>
      <w:r w:rsidRPr="004501B3">
        <w:rPr>
          <w:sz w:val="18"/>
          <w:szCs w:val="18"/>
        </w:rPr>
        <w:t xml:space="preserve">, </w:t>
      </w:r>
      <w:r>
        <w:rPr>
          <w:sz w:val="18"/>
          <w:szCs w:val="18"/>
        </w:rPr>
        <w:t>accessed 29 January 2019</w:t>
      </w:r>
      <w:r w:rsidRPr="004501B3">
        <w:rPr>
          <w:sz w:val="18"/>
          <w:szCs w:val="18"/>
        </w:rPr>
        <w:t xml:space="preserve"> </w:t>
      </w:r>
    </w:p>
  </w:footnote>
  <w:footnote w:id="41">
    <w:p w14:paraId="24FB796A" w14:textId="731DA61A" w:rsidR="00B53139" w:rsidRPr="00357932" w:rsidRDefault="00B53139">
      <w:pPr>
        <w:pStyle w:val="FootnoteText"/>
        <w:rPr>
          <w:rFonts w:eastAsia="Times New Roman" w:cstheme="minorHAnsi"/>
          <w:sz w:val="18"/>
          <w:szCs w:val="18"/>
        </w:rPr>
      </w:pPr>
      <w:r w:rsidRPr="00357932">
        <w:rPr>
          <w:rStyle w:val="FootnoteReference"/>
          <w:rFonts w:cstheme="minorHAnsi"/>
          <w:szCs w:val="18"/>
        </w:rPr>
        <w:footnoteRef/>
      </w:r>
      <w:r w:rsidRPr="00357932">
        <w:rPr>
          <w:rFonts w:cstheme="minorHAnsi"/>
          <w:sz w:val="18"/>
          <w:szCs w:val="18"/>
        </w:rPr>
        <w:t xml:space="preserve"> </w:t>
      </w:r>
      <w:r w:rsidRPr="00357932">
        <w:rPr>
          <w:rFonts w:eastAsia="Times New Roman" w:cstheme="minorHAnsi"/>
          <w:sz w:val="18"/>
          <w:szCs w:val="18"/>
        </w:rPr>
        <w:t>Note that a significant amount of funding was rolled over to the 2018-19 financial year such that total funding for social marketing and education in Australia to June 2019 is likely to be $13 million.</w:t>
      </w:r>
    </w:p>
  </w:footnote>
  <w:footnote w:id="42">
    <w:p w14:paraId="10CE97A7" w14:textId="4C1E3EFC" w:rsidR="00B53139" w:rsidRPr="009E3B34" w:rsidRDefault="00B53139" w:rsidP="00B36208">
      <w:pPr>
        <w:pStyle w:val="FootnoteText"/>
        <w:rPr>
          <w:i/>
        </w:rPr>
      </w:pPr>
      <w:r>
        <w:rPr>
          <w:rStyle w:val="FootnoteReference"/>
        </w:rPr>
        <w:footnoteRef/>
      </w:r>
      <w:r>
        <w:t xml:space="preserve"> </w:t>
      </w:r>
      <w:r w:rsidRPr="009E3B34">
        <w:rPr>
          <w:rFonts w:cstheme="minorHAnsi"/>
          <w:sz w:val="18"/>
          <w:szCs w:val="18"/>
        </w:rPr>
        <w:t>Brown,</w:t>
      </w:r>
      <w:r>
        <w:rPr>
          <w:rFonts w:cstheme="minorHAnsi"/>
          <w:sz w:val="18"/>
          <w:szCs w:val="18"/>
        </w:rPr>
        <w:t xml:space="preserve"> G 2017, </w:t>
      </w:r>
      <w:r>
        <w:rPr>
          <w:rFonts w:cstheme="minorHAnsi"/>
          <w:i/>
          <w:sz w:val="18"/>
          <w:szCs w:val="18"/>
        </w:rPr>
        <w:t>Health Star Rating System: Campaign Evaluation Report June 2017,</w:t>
      </w:r>
      <w:r w:rsidRPr="00C21A49">
        <w:rPr>
          <w:rFonts w:cstheme="minorHAnsi"/>
          <w:sz w:val="18"/>
          <w:szCs w:val="18"/>
        </w:rPr>
        <w:t xml:space="preserve"> </w:t>
      </w:r>
      <w:r>
        <w:rPr>
          <w:rFonts w:cstheme="minorHAnsi"/>
          <w:sz w:val="18"/>
          <w:szCs w:val="18"/>
        </w:rPr>
        <w:t>Pollinate Research, NSW.</w:t>
      </w:r>
    </w:p>
  </w:footnote>
  <w:footnote w:id="43">
    <w:p w14:paraId="609CAD45" w14:textId="3F631899" w:rsidR="00B53139" w:rsidRPr="001C6E51" w:rsidRDefault="00B53139" w:rsidP="00B36208">
      <w:pPr>
        <w:pStyle w:val="FootnoteText"/>
        <w:rPr>
          <w:rFonts w:cstheme="minorHAnsi"/>
          <w:sz w:val="18"/>
          <w:szCs w:val="18"/>
        </w:rPr>
      </w:pPr>
      <w:r w:rsidRPr="00CB73E4">
        <w:rPr>
          <w:rStyle w:val="FootnoteReference"/>
          <w:rFonts w:cstheme="minorHAnsi"/>
          <w:szCs w:val="18"/>
        </w:rPr>
        <w:footnoteRef/>
      </w:r>
      <w:r w:rsidRPr="00CB73E4">
        <w:rPr>
          <w:rFonts w:cstheme="minorHAnsi"/>
          <w:sz w:val="18"/>
          <w:szCs w:val="18"/>
        </w:rPr>
        <w:t xml:space="preserve"> Health Star Rating Advisory Committee, </w:t>
      </w:r>
      <w:r>
        <w:rPr>
          <w:rFonts w:cstheme="minorHAnsi"/>
          <w:sz w:val="18"/>
          <w:szCs w:val="18"/>
        </w:rPr>
        <w:t xml:space="preserve">April 2017, </w:t>
      </w:r>
      <w:r w:rsidRPr="001C6E51">
        <w:rPr>
          <w:rFonts w:cstheme="minorHAnsi"/>
          <w:i/>
          <w:sz w:val="18"/>
          <w:szCs w:val="18"/>
        </w:rPr>
        <w:t>Two year progress review report on the implementation of the Health Star Rating system – June 2014 – June 2016</w:t>
      </w:r>
      <w:r>
        <w:rPr>
          <w:rFonts w:cstheme="minorHAnsi"/>
          <w:sz w:val="18"/>
          <w:szCs w:val="18"/>
        </w:rPr>
        <w:t>, p. 25.</w:t>
      </w:r>
    </w:p>
  </w:footnote>
  <w:footnote w:id="44">
    <w:p w14:paraId="75B01478" w14:textId="1A0CDC5A" w:rsidR="00B53139" w:rsidRPr="003F253E" w:rsidRDefault="00B53139" w:rsidP="00B36208">
      <w:pPr>
        <w:rPr>
          <w:rFonts w:ascii="Times New Roman" w:hAnsi="Times New Roman"/>
        </w:rPr>
      </w:pPr>
      <w:r>
        <w:rPr>
          <w:rStyle w:val="FootnoteReference"/>
        </w:rPr>
        <w:footnoteRef/>
      </w:r>
      <w:r>
        <w:t xml:space="preserve"> </w:t>
      </w:r>
      <w:r w:rsidRPr="003F253E">
        <w:rPr>
          <w:rFonts w:cstheme="minorHAnsi"/>
          <w:sz w:val="18"/>
          <w:szCs w:val="18"/>
          <w:shd w:val="clear" w:color="auto" w:fill="FFFFFF"/>
        </w:rPr>
        <w:t>Colmar Brunton</w:t>
      </w:r>
      <w:r>
        <w:rPr>
          <w:rFonts w:cstheme="minorHAnsi"/>
          <w:sz w:val="18"/>
          <w:szCs w:val="18"/>
          <w:shd w:val="clear" w:color="auto" w:fill="FFFFFF"/>
        </w:rPr>
        <w:t xml:space="preserve"> </w:t>
      </w:r>
      <w:r w:rsidRPr="003F253E">
        <w:rPr>
          <w:rFonts w:cstheme="minorHAnsi"/>
          <w:sz w:val="18"/>
          <w:szCs w:val="18"/>
          <w:shd w:val="clear" w:color="auto" w:fill="FFFFFF"/>
        </w:rPr>
        <w:t>2018</w:t>
      </w:r>
      <w:r>
        <w:rPr>
          <w:rFonts w:cstheme="minorHAnsi"/>
          <w:sz w:val="18"/>
          <w:szCs w:val="18"/>
          <w:shd w:val="clear" w:color="auto" w:fill="FFFFFF"/>
        </w:rPr>
        <w:t>,</w:t>
      </w:r>
      <w:r w:rsidRPr="003F253E">
        <w:rPr>
          <w:rFonts w:cstheme="minorHAnsi"/>
          <w:sz w:val="18"/>
          <w:szCs w:val="18"/>
          <w:shd w:val="clear" w:color="auto" w:fill="FFFFFF"/>
        </w:rPr>
        <w:t> </w:t>
      </w:r>
      <w:r w:rsidRPr="003F253E">
        <w:rPr>
          <w:rFonts w:cstheme="minorHAnsi"/>
          <w:i/>
          <w:iCs/>
          <w:sz w:val="18"/>
          <w:szCs w:val="18"/>
        </w:rPr>
        <w:t>2018 Health Star Rating monitoring and evaluation: Year 2 follow-up research report. </w:t>
      </w:r>
      <w:r w:rsidRPr="003F253E">
        <w:rPr>
          <w:rFonts w:cstheme="minorHAnsi"/>
          <w:sz w:val="18"/>
          <w:szCs w:val="18"/>
          <w:shd w:val="clear" w:color="auto" w:fill="FFFFFF"/>
        </w:rPr>
        <w:t>Wellington: Health Promotion Agency</w:t>
      </w:r>
      <w:r>
        <w:rPr>
          <w:rFonts w:cstheme="minorHAnsi"/>
          <w:sz w:val="18"/>
          <w:szCs w:val="18"/>
          <w:shd w:val="clear" w:color="auto" w:fill="FFFFFF"/>
        </w:rPr>
        <w:t>, p. 5.</w:t>
      </w:r>
    </w:p>
  </w:footnote>
  <w:footnote w:id="45">
    <w:p w14:paraId="6089F734" w14:textId="3EB32991" w:rsidR="00B53139" w:rsidRDefault="00B53139" w:rsidP="000A3464">
      <w:pPr>
        <w:pStyle w:val="FootnoteText"/>
      </w:pPr>
      <w:r>
        <w:rPr>
          <w:rStyle w:val="FootnoteReference"/>
        </w:rPr>
        <w:footnoteRef/>
      </w:r>
      <w:r>
        <w:t xml:space="preserve"> </w:t>
      </w:r>
      <w:r w:rsidRPr="00C63897">
        <w:rPr>
          <w:sz w:val="18"/>
          <w:szCs w:val="18"/>
          <w:lang w:val="en-GB"/>
        </w:rPr>
        <w:t>National Heart Foundation 201</w:t>
      </w:r>
      <w:r>
        <w:rPr>
          <w:sz w:val="18"/>
          <w:szCs w:val="18"/>
          <w:lang w:val="en-GB"/>
        </w:rPr>
        <w:t>9</w:t>
      </w:r>
      <w:r w:rsidRPr="00C63897">
        <w:rPr>
          <w:sz w:val="18"/>
          <w:szCs w:val="18"/>
          <w:lang w:val="en-GB"/>
        </w:rPr>
        <w:t xml:space="preserve">, </w:t>
      </w:r>
      <w:r w:rsidRPr="00C63897">
        <w:rPr>
          <w:i/>
          <w:sz w:val="18"/>
          <w:szCs w:val="18"/>
        </w:rPr>
        <w:t>Report on the monitoring of the implementation of the HSR System in the first four years of implementation: June 2014 to June 2018</w:t>
      </w:r>
      <w:r w:rsidRPr="00C63897">
        <w:rPr>
          <w:sz w:val="18"/>
          <w:szCs w:val="18"/>
          <w:lang w:val="en-GB"/>
        </w:rPr>
        <w:t xml:space="preserve">, prepared for the Department of Health, </w:t>
      </w:r>
      <w:r>
        <w:rPr>
          <w:sz w:val="18"/>
          <w:szCs w:val="18"/>
          <w:lang w:val="en-GB"/>
        </w:rPr>
        <w:t>p. 48</w:t>
      </w:r>
      <w:r w:rsidRPr="00C63897">
        <w:rPr>
          <w:sz w:val="18"/>
          <w:szCs w:val="18"/>
          <w:lang w:val="en-GB"/>
        </w:rPr>
        <w:t>.</w:t>
      </w:r>
    </w:p>
  </w:footnote>
  <w:footnote w:id="46">
    <w:p w14:paraId="774605B5" w14:textId="75A644DF" w:rsidR="00B53139" w:rsidRPr="00090135" w:rsidRDefault="00B53139" w:rsidP="000A3464">
      <w:pPr>
        <w:pStyle w:val="FootnoteText"/>
        <w:rPr>
          <w:rFonts w:cstheme="minorHAnsi"/>
          <w:sz w:val="18"/>
          <w:szCs w:val="18"/>
        </w:rPr>
      </w:pPr>
      <w:r w:rsidRPr="00090135">
        <w:rPr>
          <w:rStyle w:val="FootnoteReference"/>
          <w:szCs w:val="18"/>
        </w:rPr>
        <w:footnoteRef/>
      </w:r>
      <w:r w:rsidRPr="00090135">
        <w:rPr>
          <w:sz w:val="18"/>
          <w:szCs w:val="18"/>
        </w:rPr>
        <w:t xml:space="preserve"> </w:t>
      </w:r>
      <w:r w:rsidRPr="00090135">
        <w:rPr>
          <w:rFonts w:cstheme="minorHAnsi"/>
          <w:sz w:val="18"/>
          <w:szCs w:val="18"/>
        </w:rPr>
        <w:t xml:space="preserve">Australian Bureau of Statistics, </w:t>
      </w:r>
      <w:r w:rsidRPr="00090135">
        <w:rPr>
          <w:rFonts w:cstheme="minorHAnsi"/>
          <w:i/>
          <w:sz w:val="18"/>
          <w:szCs w:val="18"/>
        </w:rPr>
        <w:t>Australian Health Survey 2011-12.</w:t>
      </w:r>
    </w:p>
  </w:footnote>
  <w:footnote w:id="47">
    <w:p w14:paraId="5455F2FA" w14:textId="76E17234" w:rsidR="00B53139" w:rsidRPr="00090135" w:rsidRDefault="00B53139" w:rsidP="00090135">
      <w:pPr>
        <w:pStyle w:val="NoSpacing"/>
        <w:rPr>
          <w:rFonts w:cstheme="minorHAnsi"/>
          <w:sz w:val="18"/>
          <w:szCs w:val="18"/>
        </w:rPr>
      </w:pPr>
      <w:r w:rsidRPr="00090135">
        <w:rPr>
          <w:rStyle w:val="FootnoteReference"/>
          <w:szCs w:val="18"/>
        </w:rPr>
        <w:footnoteRef/>
      </w:r>
      <w:r w:rsidRPr="00090135">
        <w:rPr>
          <w:sz w:val="18"/>
          <w:szCs w:val="18"/>
        </w:rPr>
        <w:t xml:space="preserve"> </w:t>
      </w:r>
      <w:r w:rsidRPr="00090135">
        <w:rPr>
          <w:rFonts w:cstheme="minorHAnsi"/>
          <w:sz w:val="18"/>
          <w:szCs w:val="18"/>
        </w:rPr>
        <w:t xml:space="preserve">Ministry of Health, </w:t>
      </w:r>
      <w:r w:rsidRPr="00090135">
        <w:rPr>
          <w:rFonts w:cstheme="minorHAnsi"/>
          <w:i/>
          <w:sz w:val="18"/>
          <w:szCs w:val="18"/>
        </w:rPr>
        <w:t>A Focus on Nutrition: Key Findings of the 2008/09 New Zealand Adult Nutrition Survey.</w:t>
      </w:r>
    </w:p>
  </w:footnote>
  <w:footnote w:id="48">
    <w:p w14:paraId="00575557" w14:textId="4EE47504" w:rsidR="00B53139" w:rsidRPr="00090135" w:rsidRDefault="00B53139" w:rsidP="000A3464">
      <w:pPr>
        <w:pStyle w:val="FootnoteText"/>
        <w:rPr>
          <w:rFonts w:cstheme="minorHAnsi"/>
        </w:rPr>
      </w:pPr>
      <w:r w:rsidRPr="00090135">
        <w:rPr>
          <w:rStyle w:val="FootnoteReference"/>
          <w:szCs w:val="18"/>
        </w:rPr>
        <w:footnoteRef/>
      </w:r>
      <w:r w:rsidRPr="00090135">
        <w:rPr>
          <w:sz w:val="18"/>
          <w:szCs w:val="18"/>
        </w:rPr>
        <w:t xml:space="preserve"> </w:t>
      </w:r>
      <w:r w:rsidRPr="00090135">
        <w:rPr>
          <w:rFonts w:cstheme="minorHAnsi"/>
          <w:sz w:val="18"/>
          <w:szCs w:val="18"/>
        </w:rPr>
        <w:t xml:space="preserve">Australian Bureau of Statistics, </w:t>
      </w:r>
      <w:r w:rsidRPr="00090135">
        <w:rPr>
          <w:rFonts w:cstheme="minorHAnsi"/>
          <w:i/>
          <w:sz w:val="18"/>
          <w:szCs w:val="18"/>
        </w:rPr>
        <w:t>Australian Health Survey 2011-12.</w:t>
      </w:r>
    </w:p>
  </w:footnote>
  <w:footnote w:id="49">
    <w:p w14:paraId="31718907" w14:textId="41E73EAF" w:rsidR="00B53139" w:rsidRPr="0030513A" w:rsidRDefault="00B53139" w:rsidP="000A3464">
      <w:pPr>
        <w:pStyle w:val="FootnoteText"/>
      </w:pPr>
      <w:r>
        <w:rPr>
          <w:rStyle w:val="FootnoteReference"/>
        </w:rPr>
        <w:footnoteRef/>
      </w:r>
      <w:r>
        <w:t xml:space="preserve"> </w:t>
      </w:r>
      <w:r w:rsidRPr="00C63897">
        <w:rPr>
          <w:sz w:val="18"/>
          <w:szCs w:val="18"/>
        </w:rPr>
        <w:t xml:space="preserve">TAG technical paper, October 2018, </w:t>
      </w:r>
      <w:r w:rsidRPr="00C63897">
        <w:rPr>
          <w:i/>
          <w:sz w:val="18"/>
          <w:szCs w:val="18"/>
        </w:rPr>
        <w:t>History and development of the HSR algorithm</w:t>
      </w:r>
      <w:r>
        <w:rPr>
          <w:sz w:val="18"/>
          <w:szCs w:val="18"/>
        </w:rPr>
        <w:t>, p. 11.</w:t>
      </w:r>
    </w:p>
  </w:footnote>
  <w:footnote w:id="50">
    <w:p w14:paraId="6BA2A1A4" w14:textId="386288EA" w:rsidR="00B53139" w:rsidRPr="00090135" w:rsidRDefault="00B53139" w:rsidP="000A3464">
      <w:pPr>
        <w:pStyle w:val="FootnoteText"/>
        <w:rPr>
          <w:sz w:val="18"/>
          <w:szCs w:val="18"/>
        </w:rPr>
      </w:pPr>
      <w:r w:rsidRPr="00090135">
        <w:rPr>
          <w:rStyle w:val="FootnoteReference"/>
          <w:szCs w:val="18"/>
        </w:rPr>
        <w:footnoteRef/>
      </w:r>
      <w:r w:rsidRPr="00090135">
        <w:rPr>
          <w:sz w:val="18"/>
          <w:szCs w:val="18"/>
        </w:rPr>
        <w:t xml:space="preserve"> TAG technical paper, October 2018,</w:t>
      </w:r>
      <w:r w:rsidRPr="00090135">
        <w:rPr>
          <w:i/>
          <w:sz w:val="18"/>
          <w:szCs w:val="18"/>
        </w:rPr>
        <w:t xml:space="preserve"> History and development of the HSR algorithm</w:t>
      </w:r>
      <w:r w:rsidRPr="00090135">
        <w:rPr>
          <w:sz w:val="18"/>
          <w:szCs w:val="18"/>
        </w:rPr>
        <w:t>, p. 11.</w:t>
      </w:r>
    </w:p>
  </w:footnote>
  <w:footnote w:id="51">
    <w:p w14:paraId="7B72F1C9" w14:textId="294242B3" w:rsidR="00B53139" w:rsidRPr="00090135" w:rsidRDefault="00B53139" w:rsidP="00090135">
      <w:pPr>
        <w:widowControl w:val="0"/>
        <w:autoSpaceDE w:val="0"/>
        <w:autoSpaceDN w:val="0"/>
        <w:adjustRightInd w:val="0"/>
        <w:rPr>
          <w:rFonts w:eastAsia="Times New Roman" w:cstheme="minorHAnsi"/>
          <w:i/>
          <w:sz w:val="18"/>
          <w:szCs w:val="18"/>
        </w:rPr>
      </w:pPr>
      <w:r w:rsidRPr="00090135">
        <w:rPr>
          <w:rStyle w:val="FootnoteReference"/>
          <w:rFonts w:cstheme="minorHAnsi"/>
          <w:color w:val="000000" w:themeColor="text1"/>
          <w:szCs w:val="18"/>
        </w:rPr>
        <w:footnoteRef/>
      </w:r>
      <w:r w:rsidRPr="00090135">
        <w:rPr>
          <w:rFonts w:cstheme="minorHAnsi"/>
          <w:color w:val="000000" w:themeColor="text1"/>
          <w:sz w:val="18"/>
          <w:szCs w:val="18"/>
        </w:rPr>
        <w:t xml:space="preserve"> </w:t>
      </w:r>
      <w:r w:rsidRPr="00090135">
        <w:rPr>
          <w:rFonts w:eastAsia="Times New Roman" w:cstheme="minorHAnsi"/>
          <w:sz w:val="18"/>
          <w:szCs w:val="18"/>
        </w:rPr>
        <w:t>Scarborough, P, Arambepola, C, Kaur, A, Bhatnagar, P &amp; Rayner, M</w:t>
      </w:r>
      <w:r w:rsidRPr="00090135">
        <w:rPr>
          <w:rFonts w:eastAsia="Times New Roman" w:cstheme="minorHAnsi"/>
          <w:i/>
          <w:sz w:val="18"/>
          <w:szCs w:val="18"/>
        </w:rPr>
        <w:t xml:space="preserve"> </w:t>
      </w:r>
      <w:r w:rsidRPr="00090135">
        <w:rPr>
          <w:rFonts w:eastAsia="Times New Roman" w:cstheme="minorHAnsi"/>
          <w:iCs/>
          <w:sz w:val="18"/>
          <w:szCs w:val="18"/>
        </w:rPr>
        <w:t>2010, ‘Should nutrient profile models be ‘category specific’ or ‘across-the-board’? A comparison of the two systems using diets of British adults’</w:t>
      </w:r>
      <w:r w:rsidRPr="00090135">
        <w:rPr>
          <w:rFonts w:eastAsia="Times New Roman" w:cstheme="minorHAnsi"/>
          <w:i/>
          <w:sz w:val="18"/>
          <w:szCs w:val="18"/>
        </w:rPr>
        <w:t>, European Journal of Clinical Nutrition</w:t>
      </w:r>
      <w:r w:rsidRPr="00090135">
        <w:rPr>
          <w:rFonts w:eastAsia="Times New Roman" w:cstheme="minorHAnsi"/>
          <w:iCs/>
          <w:sz w:val="18"/>
          <w:szCs w:val="18"/>
        </w:rPr>
        <w:t>, vol. 64, pp. 553-560.</w:t>
      </w:r>
    </w:p>
  </w:footnote>
  <w:footnote w:id="52">
    <w:p w14:paraId="3B989834" w14:textId="1E38FAD2" w:rsidR="00B53139" w:rsidRPr="0059693D" w:rsidRDefault="00B53139" w:rsidP="000A3464">
      <w:pPr>
        <w:pStyle w:val="FootnoteText"/>
        <w:rPr>
          <w:sz w:val="18"/>
          <w:szCs w:val="18"/>
        </w:rPr>
      </w:pPr>
      <w:r w:rsidRPr="00090135">
        <w:rPr>
          <w:rStyle w:val="FootnoteReference"/>
          <w:szCs w:val="18"/>
        </w:rPr>
        <w:footnoteRef/>
      </w:r>
      <w:r w:rsidRPr="00090135">
        <w:rPr>
          <w:sz w:val="18"/>
          <w:szCs w:val="18"/>
        </w:rPr>
        <w:t xml:space="preserve"> </w:t>
      </w:r>
      <w:hyperlink r:id="rId5" w:history="1"/>
      <w:r w:rsidRPr="00090135">
        <w:rPr>
          <w:sz w:val="18"/>
          <w:szCs w:val="18"/>
        </w:rPr>
        <w:t xml:space="preserve">Department of Health, 8 August 2018, </w:t>
      </w:r>
      <w:r w:rsidRPr="00090135">
        <w:rPr>
          <w:i/>
          <w:sz w:val="18"/>
          <w:szCs w:val="18"/>
        </w:rPr>
        <w:t>Form of the Food (‘As Prepared’) Rules</w:t>
      </w:r>
      <w:r w:rsidRPr="00090135">
        <w:rPr>
          <w:sz w:val="18"/>
          <w:szCs w:val="18"/>
        </w:rPr>
        <w:t>, accessed 27 August 2018</w:t>
      </w:r>
    </w:p>
  </w:footnote>
  <w:footnote w:id="53">
    <w:p w14:paraId="65D0EC09" w14:textId="740BEA90" w:rsidR="00B53139" w:rsidRPr="0059693D" w:rsidRDefault="00B53139" w:rsidP="00885AF1">
      <w:pPr>
        <w:pStyle w:val="FootnoteText"/>
        <w:rPr>
          <w:sz w:val="18"/>
          <w:szCs w:val="18"/>
        </w:rPr>
      </w:pPr>
      <w:r w:rsidRPr="0059693D">
        <w:rPr>
          <w:rStyle w:val="FootnoteReference"/>
          <w:szCs w:val="18"/>
        </w:rPr>
        <w:footnoteRef/>
      </w:r>
      <w:r w:rsidRPr="0059693D">
        <w:rPr>
          <w:sz w:val="18"/>
          <w:szCs w:val="18"/>
        </w:rPr>
        <w:t xml:space="preserve"> TAG technical paper, October 2018, </w:t>
      </w:r>
      <w:r w:rsidRPr="00090135">
        <w:rPr>
          <w:i/>
          <w:sz w:val="18"/>
          <w:szCs w:val="18"/>
        </w:rPr>
        <w:t>History and development of the HSR algorithm</w:t>
      </w:r>
      <w:r w:rsidRPr="0059693D">
        <w:rPr>
          <w:sz w:val="18"/>
          <w:szCs w:val="18"/>
        </w:rPr>
        <w:t>, p</w:t>
      </w:r>
      <w:r>
        <w:rPr>
          <w:sz w:val="18"/>
          <w:szCs w:val="18"/>
        </w:rPr>
        <w:t xml:space="preserve">. </w:t>
      </w:r>
      <w:r w:rsidRPr="0059693D">
        <w:rPr>
          <w:sz w:val="18"/>
          <w:szCs w:val="18"/>
        </w:rPr>
        <w:t>11</w:t>
      </w:r>
      <w:r>
        <w:rPr>
          <w:sz w:val="18"/>
          <w:szCs w:val="18"/>
        </w:rPr>
        <w:t>.</w:t>
      </w:r>
    </w:p>
  </w:footnote>
  <w:footnote w:id="54">
    <w:p w14:paraId="0C2023BF" w14:textId="3FEB203F" w:rsidR="00B53139" w:rsidRPr="00090135" w:rsidRDefault="00B53139" w:rsidP="00090135">
      <w:pPr>
        <w:rPr>
          <w:rFonts w:cstheme="minorHAnsi"/>
          <w:sz w:val="20"/>
          <w:szCs w:val="20"/>
          <w:lang w:val="en-GB"/>
        </w:rPr>
      </w:pPr>
      <w:r w:rsidRPr="0059693D">
        <w:rPr>
          <w:rStyle w:val="FootnoteReference"/>
          <w:rFonts w:cstheme="minorHAnsi"/>
          <w:szCs w:val="18"/>
        </w:rPr>
        <w:footnoteRef/>
      </w:r>
      <w:r w:rsidRPr="0059693D">
        <w:rPr>
          <w:rFonts w:cstheme="minorHAnsi"/>
          <w:sz w:val="18"/>
          <w:szCs w:val="18"/>
        </w:rPr>
        <w:t xml:space="preserve"> </w:t>
      </w:r>
      <w:r w:rsidRPr="00C004F2">
        <w:rPr>
          <w:sz w:val="18"/>
          <w:szCs w:val="18"/>
        </w:rPr>
        <w:t>Kelly, B, Jewell, Jo</w:t>
      </w:r>
      <w:r>
        <w:rPr>
          <w:sz w:val="18"/>
          <w:szCs w:val="18"/>
        </w:rPr>
        <w:t xml:space="preserve"> 2018</w:t>
      </w:r>
      <w:r w:rsidRPr="00C004F2">
        <w:rPr>
          <w:sz w:val="18"/>
          <w:szCs w:val="18"/>
        </w:rPr>
        <w:t xml:space="preserve"> </w:t>
      </w:r>
      <w:r w:rsidRPr="009D276C">
        <w:rPr>
          <w:i/>
          <w:sz w:val="18"/>
          <w:szCs w:val="18"/>
        </w:rPr>
        <w:t>What is the evidence on policy specifications, development processes and effectiveness of existing front-of-pack labelling policies in the WHO European Region?</w:t>
      </w:r>
      <w:r w:rsidRPr="00C004F2">
        <w:rPr>
          <w:sz w:val="18"/>
          <w:szCs w:val="18"/>
        </w:rPr>
        <w:t xml:space="preserve"> Copenhagen: WHO Regional Office for Europe</w:t>
      </w:r>
      <w:r>
        <w:rPr>
          <w:sz w:val="18"/>
          <w:szCs w:val="18"/>
        </w:rPr>
        <w:t>,</w:t>
      </w:r>
      <w:r w:rsidRPr="00C004F2">
        <w:rPr>
          <w:sz w:val="18"/>
          <w:szCs w:val="18"/>
        </w:rPr>
        <w:t xml:space="preserve"> Health Evidence Network (HEN) synthesis report 61</w:t>
      </w:r>
      <w:r>
        <w:rPr>
          <w:sz w:val="18"/>
          <w:szCs w:val="18"/>
        </w:rPr>
        <w:t>, p. 41.</w:t>
      </w:r>
    </w:p>
  </w:footnote>
  <w:footnote w:id="55">
    <w:p w14:paraId="4807FEC6" w14:textId="71CFAF8E" w:rsidR="00B53139" w:rsidRPr="0059693D" w:rsidRDefault="00B53139" w:rsidP="000A3464">
      <w:pPr>
        <w:pStyle w:val="FootnoteText"/>
        <w:rPr>
          <w:sz w:val="18"/>
          <w:szCs w:val="18"/>
        </w:rPr>
      </w:pPr>
      <w:r w:rsidRPr="0059693D">
        <w:rPr>
          <w:rStyle w:val="FootnoteReference"/>
          <w:szCs w:val="18"/>
        </w:rPr>
        <w:footnoteRef/>
      </w:r>
      <w:r w:rsidRPr="0059693D">
        <w:rPr>
          <w:sz w:val="18"/>
          <w:szCs w:val="18"/>
        </w:rPr>
        <w:t xml:space="preserve"> TAG technical paper, October 2018, </w:t>
      </w:r>
      <w:r w:rsidRPr="00090135">
        <w:rPr>
          <w:i/>
          <w:sz w:val="18"/>
          <w:szCs w:val="18"/>
        </w:rPr>
        <w:t>Fruit, vegetable, nut and legume content</w:t>
      </w:r>
      <w:r>
        <w:rPr>
          <w:sz w:val="18"/>
          <w:szCs w:val="18"/>
        </w:rPr>
        <w:t>, p. 3.</w:t>
      </w:r>
    </w:p>
  </w:footnote>
  <w:footnote w:id="56">
    <w:p w14:paraId="75C5C818" w14:textId="6825C709" w:rsidR="00B53139" w:rsidRPr="00C14D9F" w:rsidRDefault="00B53139">
      <w:pPr>
        <w:pStyle w:val="FootnoteText"/>
        <w:rPr>
          <w:sz w:val="18"/>
          <w:szCs w:val="18"/>
        </w:rPr>
      </w:pPr>
      <w:r w:rsidRPr="0059693D">
        <w:rPr>
          <w:rStyle w:val="FootnoteReference"/>
          <w:rFonts w:cstheme="minorHAnsi"/>
          <w:szCs w:val="18"/>
        </w:rPr>
        <w:footnoteRef/>
      </w:r>
      <w:r w:rsidRPr="0059693D">
        <w:rPr>
          <w:rFonts w:cstheme="minorHAnsi"/>
          <w:sz w:val="18"/>
          <w:szCs w:val="18"/>
        </w:rPr>
        <w:t xml:space="preserve"> </w:t>
      </w:r>
      <w:r w:rsidRPr="00C004F2">
        <w:rPr>
          <w:sz w:val="18"/>
          <w:szCs w:val="18"/>
        </w:rPr>
        <w:t>Kelly, B, Jewell, Jo</w:t>
      </w:r>
      <w:r>
        <w:rPr>
          <w:sz w:val="18"/>
          <w:szCs w:val="18"/>
        </w:rPr>
        <w:t xml:space="preserve"> 2018</w:t>
      </w:r>
      <w:r w:rsidRPr="00C004F2">
        <w:rPr>
          <w:sz w:val="18"/>
          <w:szCs w:val="18"/>
        </w:rPr>
        <w:t xml:space="preserve"> </w:t>
      </w:r>
      <w:r w:rsidRPr="009D276C">
        <w:rPr>
          <w:i/>
          <w:sz w:val="18"/>
          <w:szCs w:val="18"/>
        </w:rPr>
        <w:t>What is the evidence on policy specifications, development processes and effectiveness of existing front-of-pack labelling policies in the WHO European Region?</w:t>
      </w:r>
      <w:r w:rsidRPr="00C004F2">
        <w:rPr>
          <w:sz w:val="18"/>
          <w:szCs w:val="18"/>
        </w:rPr>
        <w:t xml:space="preserve"> Copenhagen: WHO Regional Office for Europe</w:t>
      </w:r>
      <w:r>
        <w:rPr>
          <w:sz w:val="18"/>
          <w:szCs w:val="18"/>
        </w:rPr>
        <w:t>,</w:t>
      </w:r>
      <w:r w:rsidRPr="00C004F2">
        <w:rPr>
          <w:sz w:val="18"/>
          <w:szCs w:val="18"/>
        </w:rPr>
        <w:t xml:space="preserve"> Health Evidence Network (HEN) synthesis report 61</w:t>
      </w:r>
      <w:r>
        <w:rPr>
          <w:sz w:val="18"/>
          <w:szCs w:val="18"/>
        </w:rPr>
        <w:t>, p. 41.</w:t>
      </w:r>
    </w:p>
  </w:footnote>
  <w:footnote w:id="57">
    <w:p w14:paraId="3F9A3C93" w14:textId="2692B33D" w:rsidR="00B53139" w:rsidRPr="00047AB6" w:rsidRDefault="00B53139">
      <w:pPr>
        <w:pStyle w:val="FootnoteText"/>
      </w:pPr>
      <w:r w:rsidRPr="00C14D9F">
        <w:rPr>
          <w:rStyle w:val="FootnoteReference"/>
          <w:szCs w:val="18"/>
        </w:rPr>
        <w:footnoteRef/>
      </w:r>
      <w:r w:rsidRPr="00C14D9F">
        <w:rPr>
          <w:sz w:val="18"/>
          <w:szCs w:val="18"/>
        </w:rPr>
        <w:t xml:space="preserve"> </w:t>
      </w:r>
      <w:r w:rsidRPr="00C14D9F">
        <w:rPr>
          <w:iCs/>
          <w:sz w:val="18"/>
          <w:szCs w:val="18"/>
        </w:rPr>
        <w:t>Rayner, M., Scarborough, P. &amp; Lobstein, T</w:t>
      </w:r>
      <w:r>
        <w:rPr>
          <w:iCs/>
          <w:sz w:val="18"/>
          <w:szCs w:val="18"/>
        </w:rPr>
        <w:t xml:space="preserve"> </w:t>
      </w:r>
      <w:r w:rsidRPr="00C14D9F">
        <w:rPr>
          <w:iCs/>
          <w:sz w:val="18"/>
          <w:szCs w:val="18"/>
        </w:rPr>
        <w:t>2009</w:t>
      </w:r>
      <w:r>
        <w:rPr>
          <w:iCs/>
          <w:sz w:val="18"/>
          <w:szCs w:val="18"/>
        </w:rPr>
        <w:t xml:space="preserve"> </w:t>
      </w:r>
      <w:r w:rsidRPr="00C14D9F">
        <w:rPr>
          <w:i/>
          <w:sz w:val="18"/>
          <w:szCs w:val="18"/>
        </w:rPr>
        <w:t>The UK Ofcom Nutrient Profiling Model: Defining ‘healthy’ and ‘unhealthy’ foods and drinks for TV advertising for children</w:t>
      </w:r>
    </w:p>
  </w:footnote>
  <w:footnote w:id="58">
    <w:p w14:paraId="2962940B" w14:textId="39655310" w:rsidR="00B53139" w:rsidRPr="006D135E" w:rsidRDefault="00B53139" w:rsidP="006D135E">
      <w:pPr>
        <w:pStyle w:val="CommentText"/>
        <w:spacing w:after="0"/>
        <w:rPr>
          <w:rFonts w:cstheme="minorHAnsi"/>
          <w:sz w:val="18"/>
          <w:szCs w:val="18"/>
        </w:rPr>
      </w:pPr>
      <w:r w:rsidRPr="005A3631">
        <w:rPr>
          <w:rStyle w:val="FootnoteReference"/>
          <w:rFonts w:cstheme="minorHAnsi"/>
          <w:szCs w:val="18"/>
        </w:rPr>
        <w:footnoteRef/>
      </w:r>
      <w:r w:rsidRPr="009959A5">
        <w:rPr>
          <w:rFonts w:asciiTheme="minorHAnsi" w:hAnsiTheme="minorHAnsi" w:cstheme="minorHAnsi"/>
          <w:sz w:val="18"/>
          <w:szCs w:val="18"/>
        </w:rPr>
        <w:t xml:space="preserve"> </w:t>
      </w:r>
      <w:hyperlink r:id="rId6" w:history="1">
        <w:r w:rsidRPr="00B664F4">
          <w:rPr>
            <w:rStyle w:val="Hyperlink"/>
            <w:rFonts w:asciiTheme="minorHAnsi" w:hAnsiTheme="minorHAnsi" w:cstheme="minorHAnsi"/>
            <w:sz w:val="18"/>
            <w:szCs w:val="18"/>
          </w:rPr>
          <w:t>Proposal P293 – Nutrition, Health &amp; Related Claims, Final Assessment Report, Attachment 6 - General Level Health Claims</w:t>
        </w:r>
      </w:hyperlink>
    </w:p>
  </w:footnote>
  <w:footnote w:id="59">
    <w:p w14:paraId="1B12B6FC" w14:textId="74E29BCE" w:rsidR="00B53139" w:rsidRPr="00C14D9F" w:rsidRDefault="00B53139">
      <w:pPr>
        <w:pStyle w:val="FootnoteText"/>
        <w:rPr>
          <w:sz w:val="18"/>
          <w:szCs w:val="18"/>
        </w:rPr>
      </w:pPr>
      <w:r w:rsidRPr="00C14D9F">
        <w:rPr>
          <w:rStyle w:val="FootnoteReference"/>
          <w:szCs w:val="18"/>
        </w:rPr>
        <w:footnoteRef/>
      </w:r>
      <w:r w:rsidRPr="00C14D9F">
        <w:rPr>
          <w:sz w:val="18"/>
          <w:szCs w:val="18"/>
        </w:rPr>
        <w:t xml:space="preserve"> NHMRC 2006 </w:t>
      </w:r>
      <w:hyperlink r:id="rId7" w:history="1">
        <w:r w:rsidRPr="00B664F4">
          <w:rPr>
            <w:rStyle w:val="Hyperlink"/>
            <w:sz w:val="18"/>
            <w:szCs w:val="18"/>
          </w:rPr>
          <w:t>Nutrient Reference Values for Australia and New Zealand</w:t>
        </w:r>
      </w:hyperlink>
      <w:r>
        <w:rPr>
          <w:sz w:val="18"/>
          <w:szCs w:val="18"/>
        </w:rPr>
        <w:t>, a</w:t>
      </w:r>
      <w:r w:rsidRPr="00C14D9F">
        <w:rPr>
          <w:sz w:val="18"/>
          <w:szCs w:val="18"/>
        </w:rPr>
        <w:t>ccessed 10 January 2018</w:t>
      </w:r>
      <w:r>
        <w:rPr>
          <w:sz w:val="18"/>
          <w:szCs w:val="18"/>
        </w:rPr>
        <w:t>.</w:t>
      </w:r>
    </w:p>
  </w:footnote>
  <w:footnote w:id="60">
    <w:p w14:paraId="3802A462" w14:textId="48B22281" w:rsidR="00B53139" w:rsidRPr="00C14D9F" w:rsidRDefault="00B53139" w:rsidP="000A3464">
      <w:pPr>
        <w:pStyle w:val="FootnoteText"/>
        <w:rPr>
          <w:sz w:val="18"/>
          <w:szCs w:val="18"/>
        </w:rPr>
      </w:pPr>
      <w:r w:rsidRPr="00C14D9F">
        <w:rPr>
          <w:rStyle w:val="FootnoteReference"/>
          <w:szCs w:val="18"/>
        </w:rPr>
        <w:footnoteRef/>
      </w:r>
      <w:r w:rsidRPr="00C14D9F">
        <w:rPr>
          <w:sz w:val="18"/>
          <w:szCs w:val="18"/>
        </w:rPr>
        <w:t xml:space="preserve"> NHMRC 2013 </w:t>
      </w:r>
      <w:hyperlink r:id="rId8" w:history="1">
        <w:r w:rsidRPr="00B664F4">
          <w:rPr>
            <w:rStyle w:val="Hyperlink"/>
            <w:sz w:val="18"/>
            <w:szCs w:val="18"/>
          </w:rPr>
          <w:t>Australian Dietary Guidelines (2013)</w:t>
        </w:r>
      </w:hyperlink>
      <w:r>
        <w:rPr>
          <w:sz w:val="18"/>
          <w:szCs w:val="18"/>
        </w:rPr>
        <w:t>,</w:t>
      </w:r>
      <w:r w:rsidRPr="00C14D9F">
        <w:rPr>
          <w:sz w:val="18"/>
          <w:szCs w:val="18"/>
        </w:rPr>
        <w:t xml:space="preserve"> </w:t>
      </w:r>
      <w:r>
        <w:rPr>
          <w:sz w:val="18"/>
          <w:szCs w:val="18"/>
        </w:rPr>
        <w:t>a</w:t>
      </w:r>
      <w:r w:rsidRPr="00C14D9F">
        <w:rPr>
          <w:sz w:val="18"/>
          <w:szCs w:val="18"/>
        </w:rPr>
        <w:t>ccessed 10 January 2018</w:t>
      </w:r>
      <w:r>
        <w:rPr>
          <w:sz w:val="18"/>
          <w:szCs w:val="18"/>
        </w:rPr>
        <w:t>.</w:t>
      </w:r>
    </w:p>
  </w:footnote>
  <w:footnote w:id="61">
    <w:p w14:paraId="58691E57" w14:textId="77777777" w:rsidR="00B53139" w:rsidRPr="00363447" w:rsidRDefault="00B53139" w:rsidP="000A3464">
      <w:pPr>
        <w:pStyle w:val="FootnoteText"/>
        <w:rPr>
          <w:sz w:val="18"/>
          <w:szCs w:val="18"/>
        </w:rPr>
      </w:pPr>
      <w:r w:rsidRPr="00363447">
        <w:rPr>
          <w:rStyle w:val="FootnoteReference"/>
          <w:szCs w:val="18"/>
        </w:rPr>
        <w:footnoteRef/>
      </w:r>
      <w:r w:rsidRPr="00363447">
        <w:rPr>
          <w:sz w:val="18"/>
          <w:szCs w:val="18"/>
        </w:rPr>
        <w:t xml:space="preserve"> Grains &amp; Legumes Nutrition Council, June 2017, </w:t>
      </w:r>
      <w:r w:rsidRPr="00363447">
        <w:rPr>
          <w:i/>
          <w:sz w:val="18"/>
          <w:szCs w:val="18"/>
        </w:rPr>
        <w:t>Code of Practice for Whole Grain Ingredient Content Claims</w:t>
      </w:r>
    </w:p>
  </w:footnote>
  <w:footnote w:id="62">
    <w:p w14:paraId="15B42F7C" w14:textId="7DB5C95A" w:rsidR="00B53139" w:rsidRPr="00363447" w:rsidRDefault="00B53139">
      <w:pPr>
        <w:pStyle w:val="FootnoteText"/>
        <w:rPr>
          <w:sz w:val="18"/>
          <w:szCs w:val="18"/>
        </w:rPr>
      </w:pPr>
      <w:r w:rsidRPr="00363447">
        <w:rPr>
          <w:rStyle w:val="FootnoteReference"/>
          <w:szCs w:val="18"/>
        </w:rPr>
        <w:footnoteRef/>
      </w:r>
      <w:r w:rsidRPr="00363447">
        <w:rPr>
          <w:sz w:val="18"/>
          <w:szCs w:val="18"/>
        </w:rPr>
        <w:t xml:space="preserve"> Refer to section 1.1.2-3(2) of </w:t>
      </w:r>
      <w:hyperlink r:id="rId9" w:history="1">
        <w:r w:rsidRPr="00363447">
          <w:rPr>
            <w:rStyle w:val="Hyperlink"/>
            <w:i/>
            <w:sz w:val="18"/>
            <w:szCs w:val="18"/>
          </w:rPr>
          <w:t>Standard 1.1.2 Definitions used throughout the Code</w:t>
        </w:r>
      </w:hyperlink>
      <w:r w:rsidRPr="00363447">
        <w:rPr>
          <w:sz w:val="18"/>
          <w:szCs w:val="18"/>
        </w:rPr>
        <w:t>.</w:t>
      </w:r>
    </w:p>
  </w:footnote>
  <w:footnote w:id="63">
    <w:p w14:paraId="53BDC82B" w14:textId="6C3AD908" w:rsidR="00B53139" w:rsidRPr="00363447" w:rsidRDefault="00B53139" w:rsidP="000A3464">
      <w:pPr>
        <w:pStyle w:val="FootnoteText"/>
        <w:rPr>
          <w:sz w:val="18"/>
          <w:szCs w:val="18"/>
        </w:rPr>
      </w:pPr>
      <w:r w:rsidRPr="00363447">
        <w:rPr>
          <w:rStyle w:val="FootnoteReference"/>
          <w:szCs w:val="18"/>
        </w:rPr>
        <w:footnoteRef/>
      </w:r>
      <w:r w:rsidRPr="00363447">
        <w:rPr>
          <w:sz w:val="18"/>
          <w:szCs w:val="18"/>
        </w:rPr>
        <w:t xml:space="preserve"> Codex Alimentarius Commission – Codex Committee on food labelling 2017 </w:t>
      </w:r>
      <w:r w:rsidRPr="00363447">
        <w:rPr>
          <w:i/>
          <w:sz w:val="18"/>
          <w:szCs w:val="18"/>
        </w:rPr>
        <w:t>Discussion Paper on Consideration of issues regarding front-of-pack-nutrition labelling</w:t>
      </w:r>
      <w:r>
        <w:rPr>
          <w:i/>
          <w:sz w:val="18"/>
          <w:szCs w:val="18"/>
        </w:rPr>
        <w:t>.</w:t>
      </w:r>
    </w:p>
  </w:footnote>
  <w:footnote w:id="64">
    <w:p w14:paraId="3FAA2195" w14:textId="18B82A48" w:rsidR="00B53139" w:rsidRPr="00363447" w:rsidRDefault="00B53139" w:rsidP="00363447">
      <w:pPr>
        <w:pStyle w:val="NoSpacing"/>
        <w:rPr>
          <w:rFonts w:cstheme="minorHAnsi"/>
          <w:sz w:val="18"/>
          <w:szCs w:val="18"/>
          <w:lang w:val="en-GB"/>
        </w:rPr>
      </w:pPr>
      <w:r w:rsidRPr="00363447">
        <w:rPr>
          <w:rStyle w:val="FootnoteReference"/>
          <w:szCs w:val="18"/>
        </w:rPr>
        <w:footnoteRef/>
      </w:r>
      <w:r w:rsidRPr="00363447">
        <w:rPr>
          <w:sz w:val="18"/>
          <w:szCs w:val="18"/>
        </w:rPr>
        <w:t xml:space="preserve"> </w:t>
      </w:r>
      <w:r w:rsidRPr="00363447">
        <w:rPr>
          <w:rFonts w:cstheme="minorHAnsi"/>
          <w:sz w:val="18"/>
          <w:szCs w:val="18"/>
          <w:lang w:val="en-GB"/>
        </w:rPr>
        <w:t xml:space="preserve">Australian Bureau of Statistics, </w:t>
      </w:r>
      <w:r w:rsidRPr="00363447">
        <w:rPr>
          <w:rFonts w:eastAsia="Times New Roman" w:cstheme="minorHAnsi"/>
          <w:bCs/>
          <w:i/>
          <w:color w:val="000000"/>
          <w:sz w:val="18"/>
          <w:szCs w:val="18"/>
          <w:shd w:val="clear" w:color="auto" w:fill="FFFFFF"/>
        </w:rPr>
        <w:t>National Health Survey: First Results, 2017-18, Fruit and vegetable consumption</w:t>
      </w:r>
      <w:r>
        <w:rPr>
          <w:rFonts w:eastAsia="Times New Roman" w:cstheme="minorHAnsi"/>
          <w:bCs/>
          <w:i/>
          <w:color w:val="000000"/>
          <w:sz w:val="18"/>
          <w:szCs w:val="18"/>
          <w:shd w:val="clear" w:color="auto" w:fill="FFFFFF"/>
        </w:rPr>
        <w:t>.</w:t>
      </w:r>
    </w:p>
  </w:footnote>
  <w:footnote w:id="65">
    <w:p w14:paraId="7CD73275" w14:textId="6D1762E8" w:rsidR="00B53139" w:rsidRPr="00363447" w:rsidRDefault="00B53139" w:rsidP="00FF1972">
      <w:pPr>
        <w:rPr>
          <w:rFonts w:cstheme="minorHAnsi"/>
          <w:sz w:val="18"/>
          <w:szCs w:val="18"/>
        </w:rPr>
      </w:pPr>
      <w:r w:rsidRPr="00363447">
        <w:rPr>
          <w:rStyle w:val="FootnoteReference"/>
          <w:szCs w:val="18"/>
        </w:rPr>
        <w:footnoteRef/>
      </w:r>
      <w:r w:rsidRPr="00363447">
        <w:rPr>
          <w:sz w:val="18"/>
          <w:szCs w:val="18"/>
        </w:rPr>
        <w:t xml:space="preserve"> </w:t>
      </w:r>
      <w:r w:rsidRPr="00363447">
        <w:rPr>
          <w:rFonts w:cstheme="minorHAnsi"/>
          <w:sz w:val="18"/>
          <w:szCs w:val="18"/>
        </w:rPr>
        <w:t xml:space="preserve">Ministry of Health New Zealand, </w:t>
      </w:r>
      <w:hyperlink r:id="rId10" w:history="1">
        <w:r w:rsidRPr="00363447">
          <w:rPr>
            <w:rStyle w:val="Hyperlink"/>
            <w:rFonts w:cstheme="minorHAnsi"/>
            <w:i/>
            <w:iCs/>
            <w:sz w:val="18"/>
            <w:szCs w:val="18"/>
          </w:rPr>
          <w:t>Eating and Activity Guidelines for New Zealand Adults</w:t>
        </w:r>
      </w:hyperlink>
      <w:r w:rsidRPr="00363447">
        <w:rPr>
          <w:rFonts w:cstheme="minorHAnsi"/>
          <w:sz w:val="18"/>
          <w:szCs w:val="18"/>
        </w:rPr>
        <w:t xml:space="preserve">, </w:t>
      </w:r>
      <w:r w:rsidRPr="00363447">
        <w:rPr>
          <w:rFonts w:eastAsia="Times New Roman" w:cstheme="minorHAnsi"/>
          <w:bCs/>
          <w:color w:val="000000"/>
          <w:sz w:val="18"/>
          <w:szCs w:val="18"/>
          <w:shd w:val="clear" w:color="auto" w:fill="FFFFFF"/>
        </w:rPr>
        <w:t>p.12</w:t>
      </w:r>
      <w:r>
        <w:rPr>
          <w:rFonts w:eastAsia="Times New Roman" w:cstheme="minorHAnsi"/>
          <w:bCs/>
          <w:color w:val="000000"/>
          <w:sz w:val="18"/>
          <w:szCs w:val="18"/>
          <w:shd w:val="clear" w:color="auto" w:fill="FFFFFF"/>
        </w:rPr>
        <w:t>.</w:t>
      </w:r>
    </w:p>
  </w:footnote>
  <w:footnote w:id="66">
    <w:p w14:paraId="66B7B0D5" w14:textId="353A4D67" w:rsidR="00B53139" w:rsidRDefault="00B53139" w:rsidP="00FF1972">
      <w:pPr>
        <w:pStyle w:val="FootnoteText"/>
      </w:pPr>
      <w:r w:rsidRPr="00363447">
        <w:rPr>
          <w:rStyle w:val="FootnoteReference"/>
          <w:szCs w:val="18"/>
        </w:rPr>
        <w:footnoteRef/>
      </w:r>
      <w:r w:rsidRPr="00363447">
        <w:rPr>
          <w:sz w:val="18"/>
          <w:szCs w:val="18"/>
        </w:rPr>
        <w:t xml:space="preserve"> Woolworths submission to the HSR System Review, October 2018</w:t>
      </w:r>
      <w:r>
        <w:rPr>
          <w:sz w:val="18"/>
          <w:szCs w:val="18"/>
        </w:rPr>
        <w:t>.</w:t>
      </w:r>
    </w:p>
  </w:footnote>
  <w:footnote w:id="67">
    <w:p w14:paraId="0EA2B51D" w14:textId="08C14E18" w:rsidR="00B53139" w:rsidRPr="00363447" w:rsidRDefault="00B53139" w:rsidP="00363447">
      <w:pPr>
        <w:pStyle w:val="NoSpacing"/>
        <w:rPr>
          <w:rFonts w:cstheme="minorHAnsi"/>
          <w:sz w:val="20"/>
          <w:szCs w:val="20"/>
          <w:lang w:val="en-GB"/>
        </w:rPr>
      </w:pPr>
      <w:r w:rsidRPr="00CE76FB">
        <w:rPr>
          <w:rStyle w:val="FootnoteReference"/>
          <w:szCs w:val="18"/>
        </w:rPr>
        <w:footnoteRef/>
      </w:r>
      <w:r w:rsidRPr="00CE76FB">
        <w:rPr>
          <w:sz w:val="18"/>
          <w:szCs w:val="18"/>
        </w:rPr>
        <w:t xml:space="preserve"> </w:t>
      </w:r>
      <w:r w:rsidRPr="00CE76FB">
        <w:rPr>
          <w:rFonts w:cstheme="minorHAnsi"/>
          <w:sz w:val="18"/>
          <w:szCs w:val="18"/>
        </w:rPr>
        <w:t>Cameron A, Sacks G, Brown A, Ngan W, Isaacs J 2017</w:t>
      </w:r>
      <w:r>
        <w:rPr>
          <w:rFonts w:cstheme="minorHAnsi"/>
          <w:sz w:val="18"/>
          <w:szCs w:val="18"/>
        </w:rPr>
        <w:t xml:space="preserve"> </w:t>
      </w:r>
      <w:r w:rsidRPr="00CE76FB">
        <w:rPr>
          <w:rFonts w:cstheme="minorHAnsi"/>
          <w:i/>
          <w:sz w:val="18"/>
          <w:szCs w:val="18"/>
        </w:rPr>
        <w:t>Customer and staff perceptions of a supermarket marketing intervention to promote healthy eating</w:t>
      </w:r>
      <w:r w:rsidRPr="00CE76FB">
        <w:rPr>
          <w:rFonts w:cstheme="minorHAnsi"/>
          <w:sz w:val="18"/>
          <w:szCs w:val="18"/>
        </w:rPr>
        <w:t>. Paper presented at: 15th World Congress on Public Health</w:t>
      </w:r>
      <w:r>
        <w:rPr>
          <w:rFonts w:cstheme="minorHAnsi"/>
          <w:sz w:val="18"/>
          <w:szCs w:val="18"/>
        </w:rPr>
        <w:t>,</w:t>
      </w:r>
      <w:r w:rsidRPr="00CE76FB">
        <w:rPr>
          <w:rFonts w:cstheme="minorHAnsi"/>
          <w:sz w:val="18"/>
          <w:szCs w:val="18"/>
        </w:rPr>
        <w:t xml:space="preserve"> Apr 3-7</w:t>
      </w:r>
      <w:r>
        <w:rPr>
          <w:rFonts w:cstheme="minorHAnsi"/>
          <w:sz w:val="18"/>
          <w:szCs w:val="18"/>
        </w:rPr>
        <w:t xml:space="preserve"> 2018, </w:t>
      </w:r>
      <w:r w:rsidRPr="00CE76FB">
        <w:rPr>
          <w:rFonts w:cstheme="minorHAnsi"/>
          <w:sz w:val="18"/>
          <w:szCs w:val="18"/>
        </w:rPr>
        <w:t>Melbourne.</w:t>
      </w:r>
    </w:p>
  </w:footnote>
  <w:footnote w:id="68">
    <w:p w14:paraId="130AD5EE" w14:textId="77777777" w:rsidR="00B53139" w:rsidRPr="00CE76FB" w:rsidRDefault="00B53139" w:rsidP="009959A5">
      <w:pPr>
        <w:rPr>
          <w:rFonts w:cstheme="minorHAnsi"/>
          <w:sz w:val="18"/>
          <w:szCs w:val="18"/>
          <w:lang w:val="en-US"/>
        </w:rPr>
      </w:pPr>
      <w:r w:rsidRPr="00CE76FB">
        <w:rPr>
          <w:rStyle w:val="FootnoteReference"/>
          <w:szCs w:val="18"/>
        </w:rPr>
        <w:footnoteRef/>
      </w:r>
      <w:r w:rsidRPr="00CE76FB">
        <w:rPr>
          <w:sz w:val="18"/>
          <w:szCs w:val="18"/>
        </w:rPr>
        <w:t xml:space="preserve"> </w:t>
      </w:r>
      <w:r w:rsidRPr="00CE76FB">
        <w:rPr>
          <w:rFonts w:cstheme="minorHAnsi"/>
          <w:sz w:val="18"/>
          <w:szCs w:val="18"/>
          <w:lang w:val="en-US"/>
        </w:rPr>
        <w:t xml:space="preserve">Cameron A, et al. </w:t>
      </w:r>
      <w:r w:rsidRPr="00CE76FB">
        <w:rPr>
          <w:rFonts w:cstheme="minorHAnsi"/>
          <w:i/>
          <w:sz w:val="18"/>
          <w:szCs w:val="18"/>
        </w:rPr>
        <w:t>Health Star Ratings on supermarket shelf tags to promote sales of the healthiest products store-wide</w:t>
      </w:r>
      <w:r w:rsidRPr="00CE76FB">
        <w:rPr>
          <w:rFonts w:cstheme="minorHAnsi"/>
          <w:sz w:val="18"/>
          <w:szCs w:val="18"/>
        </w:rPr>
        <w:t>. Manuscript in preparation.</w:t>
      </w:r>
    </w:p>
  </w:footnote>
  <w:footnote w:id="69">
    <w:p w14:paraId="60E191C1" w14:textId="1D75F8E3" w:rsidR="00B53139" w:rsidRPr="00C14D9F" w:rsidRDefault="00B53139" w:rsidP="000A3464">
      <w:pPr>
        <w:pStyle w:val="FootnoteText"/>
        <w:rPr>
          <w:sz w:val="18"/>
          <w:szCs w:val="18"/>
        </w:rPr>
      </w:pPr>
      <w:r w:rsidRPr="00C14D9F">
        <w:rPr>
          <w:rStyle w:val="FootnoteReference"/>
          <w:szCs w:val="18"/>
        </w:rPr>
        <w:footnoteRef/>
      </w:r>
      <w:r w:rsidRPr="00C14D9F">
        <w:rPr>
          <w:sz w:val="18"/>
          <w:szCs w:val="18"/>
        </w:rPr>
        <w:t xml:space="preserve"> TAG technical paper</w:t>
      </w:r>
      <w:r>
        <w:rPr>
          <w:sz w:val="18"/>
          <w:szCs w:val="18"/>
        </w:rPr>
        <w:t>,</w:t>
      </w:r>
      <w:r w:rsidRPr="00363447">
        <w:rPr>
          <w:sz w:val="18"/>
          <w:szCs w:val="18"/>
        </w:rPr>
        <w:t xml:space="preserve"> </w:t>
      </w:r>
      <w:r w:rsidRPr="00C14D9F">
        <w:rPr>
          <w:sz w:val="18"/>
          <w:szCs w:val="18"/>
        </w:rPr>
        <w:t>October 2018,</w:t>
      </w:r>
      <w:r>
        <w:rPr>
          <w:sz w:val="18"/>
          <w:szCs w:val="18"/>
        </w:rPr>
        <w:t xml:space="preserve"> </w:t>
      </w:r>
      <w:r w:rsidRPr="00363447">
        <w:rPr>
          <w:i/>
          <w:sz w:val="18"/>
          <w:szCs w:val="18"/>
        </w:rPr>
        <w:t>Sugars (Added and Total),</w:t>
      </w:r>
      <w:r w:rsidRPr="00C14D9F">
        <w:rPr>
          <w:sz w:val="18"/>
          <w:szCs w:val="18"/>
        </w:rPr>
        <w:t xml:space="preserve"> </w:t>
      </w:r>
      <w:r>
        <w:rPr>
          <w:sz w:val="18"/>
          <w:szCs w:val="18"/>
        </w:rPr>
        <w:t>p</w:t>
      </w:r>
      <w:r w:rsidRPr="00C14D9F">
        <w:rPr>
          <w:sz w:val="18"/>
          <w:szCs w:val="18"/>
        </w:rPr>
        <w:t>p. 46-47</w:t>
      </w:r>
      <w:r>
        <w:rPr>
          <w:sz w:val="18"/>
          <w:szCs w:val="18"/>
        </w:rPr>
        <w:t>.</w:t>
      </w:r>
    </w:p>
  </w:footnote>
  <w:footnote w:id="70">
    <w:p w14:paraId="48A17187" w14:textId="4AAE8E48" w:rsidR="00B53139" w:rsidRPr="00C14D9F" w:rsidRDefault="00B53139" w:rsidP="000A3464">
      <w:pPr>
        <w:pStyle w:val="FootnoteText"/>
        <w:rPr>
          <w:sz w:val="18"/>
          <w:szCs w:val="18"/>
        </w:rPr>
      </w:pPr>
      <w:r w:rsidRPr="00C14D9F">
        <w:rPr>
          <w:rStyle w:val="FootnoteReference"/>
          <w:szCs w:val="18"/>
        </w:rPr>
        <w:footnoteRef/>
      </w:r>
      <w:r w:rsidRPr="00C14D9F">
        <w:rPr>
          <w:sz w:val="18"/>
          <w:szCs w:val="18"/>
        </w:rPr>
        <w:t xml:space="preserve"> </w:t>
      </w:r>
      <w:r w:rsidRPr="00C63897">
        <w:rPr>
          <w:rFonts w:ascii="Calibri" w:hAnsi="Calibri" w:cs="Calibri"/>
          <w:color w:val="000000"/>
          <w:sz w:val="18"/>
          <w:szCs w:val="18"/>
          <w:lang w:val="en-US"/>
        </w:rPr>
        <w:t xml:space="preserve">Dunford, EK, Huang, L, Peters, SAE, Crino, M, Neal, BC &amp; Ni Mhurchu, C 2018, ‘Evaluation of alignment between the Health Claims Nutrient Profiling Scoring Criterion (NPSC) and the Health Star Rating (HSR) Nutrient Profiling Models’, </w:t>
      </w:r>
      <w:r w:rsidRPr="00C63897">
        <w:rPr>
          <w:rFonts w:ascii="Calibri" w:hAnsi="Calibri" w:cs="Calibri"/>
          <w:i/>
          <w:iCs/>
          <w:color w:val="000000"/>
          <w:sz w:val="18"/>
          <w:szCs w:val="18"/>
          <w:lang w:val="en-US"/>
        </w:rPr>
        <w:t>Nutrients</w:t>
      </w:r>
      <w:r w:rsidRPr="00C63897">
        <w:rPr>
          <w:rFonts w:ascii="Calibri" w:hAnsi="Calibri" w:cs="Calibri"/>
          <w:color w:val="000000"/>
          <w:sz w:val="18"/>
          <w:szCs w:val="18"/>
          <w:lang w:val="en-US"/>
        </w:rPr>
        <w:t>, vol. 10, no. 8, p. 26</w:t>
      </w:r>
      <w:r>
        <w:rPr>
          <w:rFonts w:ascii="Calibri" w:hAnsi="Calibri" w:cs="Calibri"/>
          <w:color w:val="000000"/>
          <w:sz w:val="18"/>
          <w:szCs w:val="18"/>
          <w:lang w:val="en-US"/>
        </w:rPr>
        <w:t>.</w:t>
      </w:r>
    </w:p>
  </w:footnote>
  <w:footnote w:id="71">
    <w:p w14:paraId="4DEFBC5B" w14:textId="4D93CD68" w:rsidR="00B53139" w:rsidRPr="006B2F45" w:rsidRDefault="00B53139" w:rsidP="006F198B">
      <w:pPr>
        <w:pStyle w:val="FootnoteText"/>
      </w:pPr>
      <w:r w:rsidRPr="00C14D9F">
        <w:rPr>
          <w:rStyle w:val="FootnoteReference"/>
          <w:szCs w:val="18"/>
        </w:rPr>
        <w:footnoteRef/>
      </w:r>
      <w:r w:rsidRPr="00C14D9F">
        <w:rPr>
          <w:sz w:val="18"/>
          <w:szCs w:val="18"/>
        </w:rPr>
        <w:t xml:space="preserve"> World Health Organi</w:t>
      </w:r>
      <w:r>
        <w:rPr>
          <w:sz w:val="18"/>
          <w:szCs w:val="18"/>
        </w:rPr>
        <w:t>z</w:t>
      </w:r>
      <w:r w:rsidRPr="00C14D9F">
        <w:rPr>
          <w:sz w:val="18"/>
          <w:szCs w:val="18"/>
        </w:rPr>
        <w:t xml:space="preserve">ation, 2015, </w:t>
      </w:r>
      <w:r w:rsidRPr="00C14D9F">
        <w:rPr>
          <w:i/>
          <w:sz w:val="18"/>
          <w:szCs w:val="18"/>
        </w:rPr>
        <w:t>Guideline: Sugars intake for adults and children</w:t>
      </w:r>
      <w:r w:rsidRPr="00C14D9F">
        <w:rPr>
          <w:sz w:val="18"/>
          <w:szCs w:val="18"/>
        </w:rPr>
        <w:t>, Geneva</w:t>
      </w:r>
    </w:p>
  </w:footnote>
  <w:footnote w:id="72">
    <w:p w14:paraId="25850400" w14:textId="411D7EBE" w:rsidR="00B53139" w:rsidRPr="00363447" w:rsidRDefault="00B53139" w:rsidP="00363447">
      <w:pPr>
        <w:pStyle w:val="NoSpacing"/>
        <w:rPr>
          <w:rFonts w:cstheme="minorHAnsi"/>
          <w:sz w:val="20"/>
          <w:szCs w:val="20"/>
        </w:rPr>
      </w:pPr>
      <w:r w:rsidRPr="00C14D9F">
        <w:rPr>
          <w:sz w:val="18"/>
          <w:szCs w:val="18"/>
          <w:vertAlign w:val="superscript"/>
        </w:rPr>
        <w:footnoteRef/>
      </w:r>
      <w:r w:rsidRPr="00C14D9F">
        <w:rPr>
          <w:sz w:val="18"/>
          <w:szCs w:val="18"/>
          <w:vertAlign w:val="superscript"/>
        </w:rPr>
        <w:t xml:space="preserve"> </w:t>
      </w:r>
      <w:r w:rsidRPr="00C14D9F">
        <w:rPr>
          <w:sz w:val="18"/>
          <w:szCs w:val="18"/>
        </w:rPr>
        <w:t>Hess, J</w:t>
      </w:r>
      <w:r>
        <w:rPr>
          <w:sz w:val="18"/>
          <w:szCs w:val="18"/>
        </w:rPr>
        <w:t>,</w:t>
      </w:r>
      <w:r w:rsidRPr="00C14D9F">
        <w:rPr>
          <w:sz w:val="18"/>
          <w:szCs w:val="18"/>
        </w:rPr>
        <w:t xml:space="preserve"> Latulippe, M</w:t>
      </w:r>
      <w:r>
        <w:rPr>
          <w:sz w:val="18"/>
          <w:szCs w:val="18"/>
        </w:rPr>
        <w:t>,</w:t>
      </w:r>
      <w:r w:rsidRPr="00C14D9F">
        <w:rPr>
          <w:sz w:val="18"/>
          <w:szCs w:val="18"/>
        </w:rPr>
        <w:t xml:space="preserve"> Ayoob, K</w:t>
      </w:r>
      <w:r>
        <w:rPr>
          <w:sz w:val="18"/>
          <w:szCs w:val="18"/>
        </w:rPr>
        <w:t>,</w:t>
      </w:r>
      <w:r w:rsidRPr="00C14D9F">
        <w:rPr>
          <w:sz w:val="18"/>
          <w:szCs w:val="18"/>
        </w:rPr>
        <w:t xml:space="preserve"> Slavin, J</w:t>
      </w:r>
      <w:r>
        <w:rPr>
          <w:sz w:val="18"/>
          <w:szCs w:val="18"/>
        </w:rPr>
        <w:t>, 2012</w:t>
      </w:r>
      <w:r w:rsidRPr="00C14D9F">
        <w:rPr>
          <w:sz w:val="18"/>
          <w:szCs w:val="18"/>
        </w:rPr>
        <w:t xml:space="preserve"> </w:t>
      </w:r>
      <w:r>
        <w:rPr>
          <w:sz w:val="18"/>
          <w:szCs w:val="18"/>
        </w:rPr>
        <w:t>‘</w:t>
      </w:r>
      <w:r w:rsidRPr="00C14D9F">
        <w:rPr>
          <w:sz w:val="18"/>
          <w:szCs w:val="18"/>
        </w:rPr>
        <w:t>The confusing world of dietary sugars: Definitions, intakes, food sources and international dietary recommendations</w:t>
      </w:r>
      <w:r>
        <w:rPr>
          <w:sz w:val="18"/>
          <w:szCs w:val="18"/>
        </w:rPr>
        <w:t>’</w:t>
      </w:r>
      <w:r w:rsidRPr="00C14D9F">
        <w:rPr>
          <w:sz w:val="18"/>
          <w:szCs w:val="18"/>
        </w:rPr>
        <w:t xml:space="preserve"> </w:t>
      </w:r>
      <w:r w:rsidRPr="00C14D9F">
        <w:rPr>
          <w:i/>
          <w:sz w:val="18"/>
          <w:szCs w:val="18"/>
        </w:rPr>
        <w:t>Food Funct</w:t>
      </w:r>
      <w:r w:rsidRPr="00C14D9F">
        <w:rPr>
          <w:sz w:val="18"/>
          <w:szCs w:val="18"/>
        </w:rPr>
        <w:t>.</w:t>
      </w:r>
      <w:r>
        <w:rPr>
          <w:sz w:val="18"/>
          <w:szCs w:val="18"/>
        </w:rPr>
        <w:t xml:space="preserve">, vol </w:t>
      </w:r>
      <w:r w:rsidRPr="00C14D9F">
        <w:rPr>
          <w:sz w:val="18"/>
          <w:szCs w:val="18"/>
        </w:rPr>
        <w:t>3,</w:t>
      </w:r>
      <w:r>
        <w:rPr>
          <w:sz w:val="18"/>
          <w:szCs w:val="18"/>
        </w:rPr>
        <w:t xml:space="preserve"> pp.</w:t>
      </w:r>
      <w:r w:rsidRPr="00C14D9F">
        <w:rPr>
          <w:sz w:val="18"/>
          <w:szCs w:val="18"/>
        </w:rPr>
        <w:t xml:space="preserve"> 477–486</w:t>
      </w:r>
      <w:r>
        <w:rPr>
          <w:sz w:val="18"/>
          <w:szCs w:val="18"/>
        </w:rPr>
        <w:t>.</w:t>
      </w:r>
    </w:p>
  </w:footnote>
  <w:footnote w:id="73">
    <w:p w14:paraId="7AF73F60" w14:textId="0AB67A30" w:rsidR="00B53139" w:rsidRPr="0026002A" w:rsidRDefault="00B53139" w:rsidP="00750858">
      <w:pPr>
        <w:pStyle w:val="FootnoteText"/>
        <w:rPr>
          <w:szCs w:val="18"/>
        </w:rPr>
      </w:pPr>
      <w:r w:rsidRPr="00C14D9F">
        <w:rPr>
          <w:rStyle w:val="FootnoteReference"/>
          <w:szCs w:val="18"/>
        </w:rPr>
        <w:footnoteRef/>
      </w:r>
      <w:r w:rsidRPr="00C14D9F">
        <w:rPr>
          <w:sz w:val="18"/>
          <w:szCs w:val="18"/>
        </w:rPr>
        <w:t xml:space="preserve"> Food Regulation Secretariat, Joint Food Regulation System, 2018, </w:t>
      </w:r>
      <w:r w:rsidRPr="00C14D9F">
        <w:rPr>
          <w:i/>
          <w:sz w:val="18"/>
          <w:szCs w:val="18"/>
        </w:rPr>
        <w:t>Consultation Regulation Impact Statement: Labelling of sugars on packaged foods and drinks</w:t>
      </w:r>
      <w:r w:rsidRPr="00C14D9F">
        <w:rPr>
          <w:sz w:val="18"/>
          <w:szCs w:val="18"/>
        </w:rPr>
        <w:t>, Department of Health</w:t>
      </w:r>
      <w:r>
        <w:rPr>
          <w:sz w:val="18"/>
          <w:szCs w:val="18"/>
        </w:rPr>
        <w:t>.</w:t>
      </w:r>
    </w:p>
  </w:footnote>
  <w:footnote w:id="74">
    <w:p w14:paraId="7DCFDF8B" w14:textId="62CD6820" w:rsidR="00B53139" w:rsidRPr="00C14D9F" w:rsidRDefault="00B53139" w:rsidP="000A3464">
      <w:pPr>
        <w:pStyle w:val="FootnoteText"/>
        <w:rPr>
          <w:sz w:val="18"/>
          <w:szCs w:val="18"/>
        </w:rPr>
      </w:pPr>
      <w:r w:rsidRPr="00C14D9F">
        <w:rPr>
          <w:rStyle w:val="FootnoteReference"/>
          <w:szCs w:val="18"/>
        </w:rPr>
        <w:footnoteRef/>
      </w:r>
      <w:r w:rsidRPr="00C14D9F">
        <w:rPr>
          <w:sz w:val="18"/>
          <w:szCs w:val="18"/>
        </w:rPr>
        <w:t xml:space="preserve"> </w:t>
      </w:r>
      <w:r w:rsidRPr="00C63897">
        <w:rPr>
          <w:sz w:val="18"/>
          <w:szCs w:val="18"/>
          <w:lang w:val="en-GB"/>
        </w:rPr>
        <w:t xml:space="preserve">Jones, A, Radholm, K &amp; Neal, B </w:t>
      </w:r>
      <w:r w:rsidRPr="00C63897">
        <w:rPr>
          <w:iCs/>
          <w:sz w:val="18"/>
          <w:szCs w:val="18"/>
          <w:lang w:val="en-GB"/>
        </w:rPr>
        <w:t>2018,</w:t>
      </w:r>
      <w:r w:rsidRPr="00C63897">
        <w:rPr>
          <w:sz w:val="18"/>
          <w:szCs w:val="18"/>
          <w:lang w:val="en-GB"/>
        </w:rPr>
        <w:t xml:space="preserve"> ‘Defining ‘Unhealthy’: a systematic analysis of alignment between the Australian Dietary Guidelines and the Health Star Rating System’, </w:t>
      </w:r>
      <w:r w:rsidRPr="00C63897">
        <w:rPr>
          <w:i/>
          <w:iCs/>
          <w:sz w:val="18"/>
          <w:szCs w:val="18"/>
          <w:lang w:val="en-GB"/>
        </w:rPr>
        <w:t xml:space="preserve">Nutrients, </w:t>
      </w:r>
      <w:r w:rsidRPr="00C63897">
        <w:rPr>
          <w:iCs/>
          <w:sz w:val="18"/>
          <w:szCs w:val="18"/>
          <w:lang w:val="en-GB"/>
        </w:rPr>
        <w:t>vol.</w:t>
      </w:r>
      <w:r w:rsidRPr="00C63897">
        <w:rPr>
          <w:sz w:val="18"/>
          <w:szCs w:val="18"/>
          <w:lang w:val="en-GB"/>
        </w:rPr>
        <w:t xml:space="preserve"> 10, no. 501.</w:t>
      </w:r>
    </w:p>
  </w:footnote>
  <w:footnote w:id="75">
    <w:p w14:paraId="2ABFC09F" w14:textId="2E2375B1" w:rsidR="00B53139" w:rsidRPr="00363447" w:rsidRDefault="00B53139" w:rsidP="000A3464">
      <w:pPr>
        <w:pStyle w:val="FootnoteText"/>
        <w:rPr>
          <w:sz w:val="18"/>
          <w:szCs w:val="18"/>
        </w:rPr>
      </w:pPr>
      <w:r w:rsidRPr="0017608D">
        <w:rPr>
          <w:sz w:val="18"/>
          <w:szCs w:val="18"/>
          <w:vertAlign w:val="superscript"/>
        </w:rPr>
        <w:footnoteRef/>
      </w:r>
      <w:r w:rsidRPr="0017608D">
        <w:rPr>
          <w:sz w:val="18"/>
          <w:szCs w:val="18"/>
          <w:vertAlign w:val="superscript"/>
        </w:rPr>
        <w:t xml:space="preserve"> </w:t>
      </w:r>
      <w:r w:rsidRPr="00363447">
        <w:rPr>
          <w:sz w:val="18"/>
          <w:szCs w:val="18"/>
        </w:rPr>
        <w:t xml:space="preserve">National Health and Medical Research Council, 2017, </w:t>
      </w:r>
      <w:r w:rsidRPr="00363447">
        <w:rPr>
          <w:i/>
          <w:sz w:val="18"/>
          <w:szCs w:val="18"/>
        </w:rPr>
        <w:t>Nutrient Reference Values for Australia and New Zealand Including Recommended Dietary Intakes version 1.2</w:t>
      </w:r>
    </w:p>
  </w:footnote>
  <w:footnote w:id="76">
    <w:p w14:paraId="194D679C" w14:textId="68E1E4D2" w:rsidR="00B53139" w:rsidRPr="00363447" w:rsidRDefault="00B53139" w:rsidP="000A3464">
      <w:pPr>
        <w:pStyle w:val="FootnoteText"/>
        <w:rPr>
          <w:sz w:val="18"/>
          <w:szCs w:val="18"/>
        </w:rPr>
      </w:pPr>
      <w:r w:rsidRPr="00363447">
        <w:rPr>
          <w:rStyle w:val="FootnoteReference"/>
          <w:szCs w:val="18"/>
        </w:rPr>
        <w:footnoteRef/>
      </w:r>
      <w:r w:rsidRPr="00363447">
        <w:rPr>
          <w:sz w:val="18"/>
          <w:szCs w:val="18"/>
        </w:rPr>
        <w:t xml:space="preserve"> Food Standards Australian New Zealand, 2018, </w:t>
      </w:r>
      <w:hyperlink r:id="rId11" w:history="1">
        <w:r w:rsidRPr="00363447">
          <w:rPr>
            <w:rStyle w:val="Hyperlink"/>
            <w:i/>
            <w:sz w:val="18"/>
            <w:szCs w:val="18"/>
          </w:rPr>
          <w:t>P1047 – Review of regulatory nutrient reference values</w:t>
        </w:r>
      </w:hyperlink>
      <w:r w:rsidRPr="00363447">
        <w:rPr>
          <w:sz w:val="18"/>
          <w:szCs w:val="18"/>
        </w:rPr>
        <w:t>, accessed 29 January 2019.</w:t>
      </w:r>
    </w:p>
  </w:footnote>
  <w:footnote w:id="77">
    <w:p w14:paraId="498C88F7" w14:textId="37FD0350" w:rsidR="00B53139" w:rsidRPr="00363447" w:rsidRDefault="00B53139" w:rsidP="000A3464">
      <w:pPr>
        <w:pStyle w:val="FootnoteText"/>
        <w:rPr>
          <w:rFonts w:cstheme="minorHAnsi"/>
        </w:rPr>
      </w:pPr>
      <w:r w:rsidRPr="00363447">
        <w:rPr>
          <w:rStyle w:val="FootnoteReference"/>
          <w:szCs w:val="18"/>
        </w:rPr>
        <w:footnoteRef/>
      </w:r>
      <w:r w:rsidRPr="00363447">
        <w:rPr>
          <w:sz w:val="18"/>
          <w:szCs w:val="18"/>
        </w:rPr>
        <w:t xml:space="preserve"> </w:t>
      </w:r>
      <w:r w:rsidRPr="00363447">
        <w:rPr>
          <w:rFonts w:cstheme="minorHAnsi"/>
          <w:sz w:val="18"/>
          <w:szCs w:val="18"/>
        </w:rPr>
        <w:t xml:space="preserve">Australian Bureau of Statistics, </w:t>
      </w:r>
      <w:r w:rsidRPr="00363447">
        <w:rPr>
          <w:rFonts w:cstheme="minorHAnsi"/>
          <w:i/>
          <w:sz w:val="18"/>
          <w:szCs w:val="18"/>
        </w:rPr>
        <w:t>Australian Health Survey 2011-12.</w:t>
      </w:r>
    </w:p>
  </w:footnote>
  <w:footnote w:id="78">
    <w:p w14:paraId="2F6F3589" w14:textId="1D37125D" w:rsidR="00B53139" w:rsidRPr="00C14D9F" w:rsidRDefault="00B53139" w:rsidP="000A3464">
      <w:pPr>
        <w:pStyle w:val="FootnoteText"/>
        <w:rPr>
          <w:sz w:val="18"/>
          <w:szCs w:val="18"/>
        </w:rPr>
      </w:pPr>
      <w:r w:rsidRPr="00EA54C6">
        <w:rPr>
          <w:rStyle w:val="FootnoteReference"/>
          <w:szCs w:val="18"/>
        </w:rPr>
        <w:footnoteRef/>
      </w:r>
      <w:r w:rsidRPr="00EA54C6">
        <w:rPr>
          <w:sz w:val="18"/>
          <w:szCs w:val="18"/>
        </w:rPr>
        <w:t xml:space="preserve"> The Lancet, 2018, </w:t>
      </w:r>
      <w:r w:rsidRPr="002D0C2D">
        <w:rPr>
          <w:i/>
          <w:sz w:val="18"/>
          <w:szCs w:val="18"/>
        </w:rPr>
        <w:t>Global Burden of Disease study</w:t>
      </w:r>
      <w:r>
        <w:rPr>
          <w:i/>
          <w:sz w:val="18"/>
          <w:szCs w:val="18"/>
        </w:rPr>
        <w:t>.</w:t>
      </w:r>
    </w:p>
  </w:footnote>
  <w:footnote w:id="79">
    <w:p w14:paraId="25058BD3" w14:textId="2B889BFE" w:rsidR="00B53139" w:rsidRPr="00980BD1" w:rsidRDefault="00B53139" w:rsidP="00980BD1">
      <w:pPr>
        <w:autoSpaceDE w:val="0"/>
        <w:autoSpaceDN w:val="0"/>
        <w:adjustRightInd w:val="0"/>
        <w:rPr>
          <w:rFonts w:cstheme="minorHAnsi"/>
          <w:color w:val="000000"/>
          <w:sz w:val="18"/>
          <w:szCs w:val="18"/>
          <w:lang w:val="en-US"/>
        </w:rPr>
      </w:pPr>
      <w:r w:rsidRPr="00980BD1">
        <w:rPr>
          <w:rStyle w:val="FootnoteReference"/>
          <w:szCs w:val="18"/>
        </w:rPr>
        <w:footnoteRef/>
      </w:r>
      <w:r w:rsidRPr="00980BD1">
        <w:rPr>
          <w:sz w:val="18"/>
          <w:szCs w:val="18"/>
        </w:rPr>
        <w:t xml:space="preserve"> </w:t>
      </w:r>
      <w:r w:rsidRPr="00980BD1">
        <w:rPr>
          <w:rFonts w:cstheme="minorHAnsi"/>
          <w:color w:val="000000"/>
          <w:sz w:val="18"/>
          <w:szCs w:val="18"/>
          <w:lang w:val="en-US"/>
        </w:rPr>
        <w:t xml:space="preserve">Dunford, EK, Huang, L, Peters, SAE, Crino, M, Neal, BC &amp; Ni Mhurchu, C 2018, ‘Evaluation of alignment between the Health Claims Nutrient Profiling Scoring Criterion (NPSC) and the Health Star Rating (HSR) Nutrient Profiling Models’, </w:t>
      </w:r>
      <w:r w:rsidRPr="00980BD1">
        <w:rPr>
          <w:rFonts w:cstheme="minorHAnsi"/>
          <w:i/>
          <w:iCs/>
          <w:color w:val="000000"/>
          <w:sz w:val="18"/>
          <w:szCs w:val="18"/>
          <w:lang w:val="en-US"/>
        </w:rPr>
        <w:t>Nutrients</w:t>
      </w:r>
      <w:r w:rsidRPr="00980BD1">
        <w:rPr>
          <w:rFonts w:cstheme="minorHAnsi"/>
          <w:color w:val="000000"/>
          <w:sz w:val="18"/>
          <w:szCs w:val="18"/>
          <w:lang w:val="en-US"/>
        </w:rPr>
        <w:t>, vol. 10, no. 8, p. 1065.</w:t>
      </w:r>
    </w:p>
  </w:footnote>
  <w:footnote w:id="80">
    <w:p w14:paraId="60D1EE20" w14:textId="565C8481" w:rsidR="00B53139" w:rsidRPr="00980BD1" w:rsidRDefault="00B53139" w:rsidP="00BB5F09">
      <w:pPr>
        <w:pStyle w:val="FootnoteText"/>
        <w:rPr>
          <w:sz w:val="18"/>
          <w:szCs w:val="18"/>
        </w:rPr>
      </w:pPr>
      <w:r w:rsidRPr="00980BD1">
        <w:rPr>
          <w:rStyle w:val="FootnoteReference"/>
          <w:szCs w:val="18"/>
        </w:rPr>
        <w:footnoteRef/>
      </w:r>
      <w:r w:rsidRPr="00980BD1">
        <w:rPr>
          <w:sz w:val="18"/>
          <w:szCs w:val="18"/>
        </w:rPr>
        <w:t xml:space="preserve"> FSANZ, 2017,</w:t>
      </w:r>
      <w:r>
        <w:rPr>
          <w:sz w:val="18"/>
          <w:szCs w:val="18"/>
        </w:rPr>
        <w:t xml:space="preserve"> </w:t>
      </w:r>
      <w:r w:rsidRPr="005A3631">
        <w:rPr>
          <w:i/>
          <w:sz w:val="18"/>
          <w:szCs w:val="18"/>
        </w:rPr>
        <w:t>Australia</w:t>
      </w:r>
      <w:r w:rsidRPr="001C7B7D">
        <w:rPr>
          <w:i/>
          <w:sz w:val="18"/>
          <w:szCs w:val="18"/>
        </w:rPr>
        <w:t xml:space="preserve"> New Zealand Food Standards Code – </w:t>
      </w:r>
      <w:hyperlink r:id="rId12" w:history="1">
        <w:r w:rsidRPr="00980BD1">
          <w:rPr>
            <w:rStyle w:val="Hyperlink"/>
            <w:i/>
            <w:sz w:val="18"/>
            <w:szCs w:val="18"/>
          </w:rPr>
          <w:t>Schedule 4 Nutrition, health and related claims</w:t>
        </w:r>
      </w:hyperlink>
    </w:p>
  </w:footnote>
  <w:footnote w:id="81">
    <w:p w14:paraId="23C193AD" w14:textId="6E0CC38E" w:rsidR="00B53139" w:rsidRPr="00980BD1" w:rsidRDefault="00B53139">
      <w:pPr>
        <w:pStyle w:val="FootnoteText"/>
        <w:rPr>
          <w:sz w:val="18"/>
          <w:szCs w:val="18"/>
        </w:rPr>
      </w:pPr>
      <w:r w:rsidRPr="00980BD1">
        <w:rPr>
          <w:rStyle w:val="FootnoteReference"/>
          <w:szCs w:val="18"/>
        </w:rPr>
        <w:footnoteRef/>
      </w:r>
      <w:r w:rsidRPr="00980BD1">
        <w:rPr>
          <w:sz w:val="18"/>
          <w:szCs w:val="18"/>
        </w:rPr>
        <w:t xml:space="preserve"> Calcium threshold defined in section S4-6 of</w:t>
      </w:r>
      <w:r>
        <w:rPr>
          <w:sz w:val="18"/>
          <w:szCs w:val="18"/>
        </w:rPr>
        <w:t xml:space="preserve"> </w:t>
      </w:r>
      <w:r w:rsidRPr="005A3631">
        <w:rPr>
          <w:i/>
          <w:sz w:val="18"/>
          <w:szCs w:val="18"/>
        </w:rPr>
        <w:t>Australia</w:t>
      </w:r>
      <w:r w:rsidRPr="001C7B7D">
        <w:rPr>
          <w:i/>
          <w:sz w:val="18"/>
          <w:szCs w:val="18"/>
        </w:rPr>
        <w:t xml:space="preserve"> New Zealand Food Standards Code –</w:t>
      </w:r>
      <w:hyperlink r:id="rId13" w:history="1">
        <w:r w:rsidRPr="00980BD1">
          <w:rPr>
            <w:rStyle w:val="Hyperlink"/>
            <w:i/>
            <w:sz w:val="18"/>
            <w:szCs w:val="18"/>
          </w:rPr>
          <w:t xml:space="preserve"> Schedule 4 Nutrition, health and related claims</w:t>
        </w:r>
      </w:hyperlink>
      <w:r w:rsidRPr="00980BD1">
        <w:rPr>
          <w:i/>
          <w:sz w:val="18"/>
          <w:szCs w:val="18"/>
        </w:rPr>
        <w:t>.</w:t>
      </w:r>
    </w:p>
  </w:footnote>
  <w:footnote w:id="82">
    <w:p w14:paraId="70A91E9C" w14:textId="7AA326B4" w:rsidR="00B53139" w:rsidRDefault="00B53139" w:rsidP="00BB5F09">
      <w:pPr>
        <w:pStyle w:val="FootnoteText"/>
      </w:pPr>
      <w:r w:rsidRPr="00980BD1">
        <w:rPr>
          <w:rStyle w:val="FootnoteReference"/>
          <w:szCs w:val="18"/>
        </w:rPr>
        <w:footnoteRef/>
      </w:r>
      <w:r w:rsidRPr="00980BD1">
        <w:rPr>
          <w:sz w:val="18"/>
          <w:szCs w:val="18"/>
        </w:rPr>
        <w:t xml:space="preserve"> </w:t>
      </w:r>
      <w:r w:rsidRPr="00980BD1">
        <w:rPr>
          <w:rFonts w:ascii="Calibri" w:hAnsi="Calibri" w:cs="Calibri"/>
          <w:color w:val="000000"/>
          <w:sz w:val="18"/>
          <w:szCs w:val="18"/>
          <w:lang w:val="en-US"/>
        </w:rPr>
        <w:t xml:space="preserve">Dunford, EK, Huang, L, Peters, SAE, Crino, M, Neal, BC &amp; Ni Mhurchu, C 2018, ‘Evaluation of alignment between the Health Claims Nutrient Profiling Scoring Criterion (NPSC) and the Health Star Rating (HSR) Nutrient Profiling Models’, </w:t>
      </w:r>
      <w:r w:rsidRPr="00980BD1">
        <w:rPr>
          <w:rFonts w:ascii="Calibri" w:hAnsi="Calibri" w:cs="Calibri"/>
          <w:i/>
          <w:iCs/>
          <w:color w:val="000000"/>
          <w:sz w:val="18"/>
          <w:szCs w:val="18"/>
          <w:lang w:val="en-US"/>
        </w:rPr>
        <w:t>Nutrients</w:t>
      </w:r>
      <w:r w:rsidRPr="00980BD1">
        <w:rPr>
          <w:rFonts w:ascii="Calibri" w:hAnsi="Calibri" w:cs="Calibri"/>
          <w:color w:val="000000"/>
          <w:sz w:val="18"/>
          <w:szCs w:val="18"/>
          <w:lang w:val="en-US"/>
        </w:rPr>
        <w:t>, vol. 10, no. 8, p. 60</w:t>
      </w:r>
      <w:r>
        <w:rPr>
          <w:rFonts w:ascii="Calibri" w:hAnsi="Calibri" w:cs="Calibri"/>
          <w:color w:val="000000"/>
          <w:sz w:val="18"/>
          <w:szCs w:val="18"/>
          <w:lang w:val="en-US"/>
        </w:rPr>
        <w:t>.</w:t>
      </w:r>
    </w:p>
  </w:footnote>
  <w:footnote w:id="83">
    <w:p w14:paraId="7DBCF60F" w14:textId="21871810" w:rsidR="00B53139" w:rsidRPr="006868BE" w:rsidRDefault="00B53139" w:rsidP="004D1F22">
      <w:pPr>
        <w:pStyle w:val="FootnoteText"/>
        <w:rPr>
          <w:sz w:val="18"/>
          <w:szCs w:val="18"/>
        </w:rPr>
      </w:pPr>
      <w:r w:rsidRPr="006868BE">
        <w:rPr>
          <w:rStyle w:val="FootnoteReference"/>
          <w:szCs w:val="18"/>
        </w:rPr>
        <w:footnoteRef/>
      </w:r>
      <w:r w:rsidRPr="006868BE">
        <w:rPr>
          <w:sz w:val="18"/>
          <w:szCs w:val="18"/>
        </w:rPr>
        <w:t xml:space="preserve"> Calcium threshold defined </w:t>
      </w:r>
      <w:r w:rsidRPr="0017608D">
        <w:rPr>
          <w:sz w:val="18"/>
          <w:szCs w:val="18"/>
        </w:rPr>
        <w:t>in section S4-6 of</w:t>
      </w:r>
      <w:r>
        <w:rPr>
          <w:sz w:val="18"/>
          <w:szCs w:val="18"/>
        </w:rPr>
        <w:t xml:space="preserve"> </w:t>
      </w:r>
      <w:r w:rsidRPr="005A3631">
        <w:rPr>
          <w:i/>
          <w:sz w:val="18"/>
          <w:szCs w:val="18"/>
        </w:rPr>
        <w:t>Australia</w:t>
      </w:r>
      <w:r w:rsidRPr="001C7B7D">
        <w:rPr>
          <w:i/>
          <w:sz w:val="18"/>
          <w:szCs w:val="18"/>
        </w:rPr>
        <w:t xml:space="preserve"> New Zealand Food Standards Code – </w:t>
      </w:r>
      <w:hyperlink r:id="rId14" w:history="1">
        <w:r w:rsidRPr="00980BD1">
          <w:rPr>
            <w:rStyle w:val="Hyperlink"/>
            <w:i/>
            <w:sz w:val="18"/>
            <w:szCs w:val="18"/>
          </w:rPr>
          <w:t>Schedule 4 Nutrition, health and related claims</w:t>
        </w:r>
      </w:hyperlink>
      <w:r>
        <w:rPr>
          <w:i/>
          <w:sz w:val="18"/>
          <w:szCs w:val="18"/>
        </w:rPr>
        <w:t>.</w:t>
      </w:r>
    </w:p>
  </w:footnote>
  <w:footnote w:id="84">
    <w:p w14:paraId="58659F63" w14:textId="330D9551" w:rsidR="00B53139" w:rsidRPr="00980BD1" w:rsidRDefault="00B53139" w:rsidP="00980BD1">
      <w:pPr>
        <w:autoSpaceDE w:val="0"/>
        <w:autoSpaceDN w:val="0"/>
        <w:adjustRightInd w:val="0"/>
        <w:rPr>
          <w:rFonts w:cstheme="minorHAnsi"/>
          <w:color w:val="000000"/>
          <w:sz w:val="18"/>
          <w:szCs w:val="18"/>
          <w:lang w:val="en-US"/>
        </w:rPr>
      </w:pPr>
      <w:r w:rsidRPr="00980BD1">
        <w:rPr>
          <w:rStyle w:val="FootnoteReference"/>
          <w:szCs w:val="18"/>
        </w:rPr>
        <w:footnoteRef/>
      </w:r>
      <w:r w:rsidRPr="00980BD1">
        <w:rPr>
          <w:sz w:val="18"/>
          <w:szCs w:val="18"/>
        </w:rPr>
        <w:t xml:space="preserve"> </w:t>
      </w:r>
      <w:r w:rsidRPr="00980BD1">
        <w:rPr>
          <w:rFonts w:cstheme="minorHAnsi"/>
          <w:color w:val="000000"/>
          <w:sz w:val="18"/>
          <w:szCs w:val="18"/>
          <w:lang w:val="en-US"/>
        </w:rPr>
        <w:t xml:space="preserve">Dunford, EK, Huang, L, Peters, SAE, Crino, M, Neal, BC &amp; Ni Mhurchu, C 2018, ‘Evaluation of alignment between the Health Claims Nutrient Profiling Scoring Criterion (NPSC) and the Health Star Rating (HSR) Nutrient Profiling Models’, </w:t>
      </w:r>
      <w:r w:rsidRPr="00980BD1">
        <w:rPr>
          <w:rFonts w:cstheme="minorHAnsi"/>
          <w:i/>
          <w:iCs/>
          <w:color w:val="000000"/>
          <w:sz w:val="18"/>
          <w:szCs w:val="18"/>
          <w:lang w:val="en-US"/>
        </w:rPr>
        <w:t>Nutrients</w:t>
      </w:r>
      <w:r w:rsidRPr="00980BD1">
        <w:rPr>
          <w:rFonts w:cstheme="minorHAnsi"/>
          <w:color w:val="000000"/>
          <w:sz w:val="18"/>
          <w:szCs w:val="18"/>
          <w:lang w:val="en-US"/>
        </w:rPr>
        <w:t>, vol. 10, no. 8, p. 1065.</w:t>
      </w:r>
    </w:p>
  </w:footnote>
  <w:footnote w:id="85">
    <w:p w14:paraId="4DA071E7" w14:textId="3BDD9CB0" w:rsidR="00B53139" w:rsidRPr="0017608D" w:rsidRDefault="00B53139" w:rsidP="000A3464">
      <w:pPr>
        <w:pStyle w:val="FootnoteText"/>
        <w:rPr>
          <w:sz w:val="18"/>
          <w:szCs w:val="18"/>
        </w:rPr>
      </w:pPr>
      <w:r w:rsidRPr="005A3631">
        <w:rPr>
          <w:rStyle w:val="FootnoteReference"/>
          <w:szCs w:val="18"/>
        </w:rPr>
        <w:footnoteRef/>
      </w:r>
      <w:r w:rsidRPr="005A3631">
        <w:rPr>
          <w:sz w:val="18"/>
          <w:szCs w:val="18"/>
        </w:rPr>
        <w:t xml:space="preserve"> FSANZ, 2017, </w:t>
      </w:r>
      <w:r w:rsidRPr="005A3631">
        <w:rPr>
          <w:i/>
          <w:sz w:val="18"/>
          <w:szCs w:val="18"/>
        </w:rPr>
        <w:t>Australia</w:t>
      </w:r>
      <w:r w:rsidRPr="001C7B7D">
        <w:rPr>
          <w:i/>
          <w:sz w:val="18"/>
          <w:szCs w:val="18"/>
        </w:rPr>
        <w:t xml:space="preserve"> New Zealand Food Standards Code – </w:t>
      </w:r>
      <w:hyperlink r:id="rId15" w:history="1">
        <w:r w:rsidRPr="00980BD1">
          <w:rPr>
            <w:rStyle w:val="Hyperlink"/>
            <w:i/>
            <w:sz w:val="18"/>
            <w:szCs w:val="18"/>
          </w:rPr>
          <w:t>Schedule 4 Nutrition, health and related claims</w:t>
        </w:r>
      </w:hyperlink>
      <w:r>
        <w:rPr>
          <w:i/>
          <w:sz w:val="18"/>
          <w:szCs w:val="18"/>
        </w:rPr>
        <w:t>.</w:t>
      </w:r>
    </w:p>
  </w:footnote>
  <w:footnote w:id="86">
    <w:p w14:paraId="4FB8D273" w14:textId="6A4708F3" w:rsidR="00B53139" w:rsidRPr="00C14D9F" w:rsidRDefault="00B53139" w:rsidP="000A3464">
      <w:pPr>
        <w:pStyle w:val="FootnoteText"/>
        <w:rPr>
          <w:sz w:val="18"/>
          <w:szCs w:val="18"/>
        </w:rPr>
      </w:pPr>
      <w:r w:rsidRPr="005A3631">
        <w:rPr>
          <w:rStyle w:val="FootnoteReference"/>
          <w:szCs w:val="18"/>
        </w:rPr>
        <w:footnoteRef/>
      </w:r>
      <w:r w:rsidRPr="005A3631">
        <w:rPr>
          <w:sz w:val="18"/>
          <w:szCs w:val="18"/>
        </w:rPr>
        <w:t xml:space="preserve"> TAG technical paper, October 2018, </w:t>
      </w:r>
      <w:r w:rsidRPr="005A3631">
        <w:rPr>
          <w:i/>
          <w:sz w:val="18"/>
          <w:szCs w:val="18"/>
        </w:rPr>
        <w:t>Alignment of the HSR system with the Australian and New Zealand Dietary Guidelines</w:t>
      </w:r>
      <w:r>
        <w:rPr>
          <w:i/>
          <w:sz w:val="18"/>
          <w:szCs w:val="18"/>
        </w:rPr>
        <w:t>.</w:t>
      </w:r>
    </w:p>
  </w:footnote>
  <w:footnote w:id="87">
    <w:p w14:paraId="006E62D8" w14:textId="656B4CA9" w:rsidR="00B53139" w:rsidRPr="00980BD1" w:rsidRDefault="00B53139" w:rsidP="00FD3847">
      <w:pPr>
        <w:pStyle w:val="NoSpacing"/>
        <w:rPr>
          <w:sz w:val="18"/>
          <w:szCs w:val="18"/>
          <w:lang w:val="en-GB"/>
        </w:rPr>
      </w:pPr>
      <w:r w:rsidRPr="00980BD1">
        <w:rPr>
          <w:rStyle w:val="FootnoteReference"/>
          <w:szCs w:val="18"/>
        </w:rPr>
        <w:footnoteRef/>
      </w:r>
      <w:r w:rsidRPr="00980BD1">
        <w:rPr>
          <w:sz w:val="18"/>
          <w:szCs w:val="18"/>
        </w:rPr>
        <w:t xml:space="preserve"> </w:t>
      </w:r>
      <w:r w:rsidRPr="00980BD1">
        <w:rPr>
          <w:sz w:val="18"/>
          <w:szCs w:val="18"/>
          <w:lang w:val="en-GB"/>
        </w:rPr>
        <w:t xml:space="preserve">Jones, A, Radholm, K &amp; Neal, B </w:t>
      </w:r>
      <w:r w:rsidRPr="00980BD1">
        <w:rPr>
          <w:iCs/>
          <w:sz w:val="18"/>
          <w:szCs w:val="18"/>
          <w:lang w:val="en-GB"/>
        </w:rPr>
        <w:t>2018,</w:t>
      </w:r>
      <w:r w:rsidRPr="00980BD1">
        <w:rPr>
          <w:sz w:val="18"/>
          <w:szCs w:val="18"/>
          <w:lang w:val="en-GB"/>
        </w:rPr>
        <w:t xml:space="preserve"> ‘Defining ‘Unhealthy’: a systematic analysis of alignment between the Australian Dietary Guidelines and the Health Star Rating System’, </w:t>
      </w:r>
      <w:r w:rsidRPr="00980BD1">
        <w:rPr>
          <w:i/>
          <w:iCs/>
          <w:sz w:val="18"/>
          <w:szCs w:val="18"/>
          <w:lang w:val="en-GB"/>
        </w:rPr>
        <w:t xml:space="preserve">Nutrients, </w:t>
      </w:r>
      <w:r w:rsidRPr="00980BD1">
        <w:rPr>
          <w:iCs/>
          <w:sz w:val="18"/>
          <w:szCs w:val="18"/>
          <w:lang w:val="en-GB"/>
        </w:rPr>
        <w:t>vol.</w:t>
      </w:r>
      <w:r w:rsidRPr="00980BD1">
        <w:rPr>
          <w:sz w:val="18"/>
          <w:szCs w:val="18"/>
          <w:lang w:val="en-GB"/>
        </w:rPr>
        <w:t xml:space="preserve"> 10, no. 501.</w:t>
      </w:r>
    </w:p>
  </w:footnote>
  <w:footnote w:id="88">
    <w:p w14:paraId="25D29C83" w14:textId="422F35EF" w:rsidR="00B53139" w:rsidRPr="00980BD1" w:rsidRDefault="00B53139" w:rsidP="00FD3847">
      <w:pPr>
        <w:autoSpaceDE w:val="0"/>
        <w:autoSpaceDN w:val="0"/>
        <w:adjustRightInd w:val="0"/>
        <w:rPr>
          <w:rFonts w:ascii="Calibri" w:hAnsi="Calibri" w:cs="Calibri"/>
          <w:color w:val="000000"/>
          <w:sz w:val="18"/>
          <w:szCs w:val="18"/>
          <w:lang w:val="en-US"/>
        </w:rPr>
      </w:pPr>
      <w:r w:rsidRPr="00980BD1">
        <w:rPr>
          <w:rStyle w:val="FootnoteReference"/>
          <w:szCs w:val="18"/>
        </w:rPr>
        <w:footnoteRef/>
      </w:r>
      <w:r w:rsidRPr="00980BD1">
        <w:rPr>
          <w:sz w:val="18"/>
          <w:szCs w:val="18"/>
        </w:rPr>
        <w:t xml:space="preserve"> </w:t>
      </w:r>
      <w:r w:rsidRPr="00980BD1">
        <w:rPr>
          <w:rFonts w:ascii="Calibri" w:hAnsi="Calibri" w:cs="Calibri"/>
          <w:color w:val="000000"/>
          <w:sz w:val="18"/>
          <w:szCs w:val="18"/>
          <w:lang w:val="en-US"/>
        </w:rPr>
        <w:t xml:space="preserve">Dunford, EK, Huang, L, Peters, SAE, Crino, M, Neal, BC &amp; Ni Mhurchu, C 2018, ‘Evaluation of alignment between the Health Claims Nutrient Profiling Scoring Criterion (NPSC) and the Health Star Rating (HSR) Nutrient Profiling Models’, </w:t>
      </w:r>
      <w:r w:rsidRPr="00980BD1">
        <w:rPr>
          <w:rFonts w:ascii="Calibri" w:hAnsi="Calibri" w:cs="Calibri"/>
          <w:i/>
          <w:iCs/>
          <w:color w:val="000000"/>
          <w:sz w:val="18"/>
          <w:szCs w:val="18"/>
          <w:lang w:val="en-US"/>
        </w:rPr>
        <w:t>Nutrients</w:t>
      </w:r>
      <w:r w:rsidRPr="00980BD1">
        <w:rPr>
          <w:rFonts w:ascii="Calibri" w:hAnsi="Calibri" w:cs="Calibri"/>
          <w:color w:val="000000"/>
          <w:sz w:val="18"/>
          <w:szCs w:val="18"/>
          <w:lang w:val="en-US"/>
        </w:rPr>
        <w:t>, vol. 10, no. 8</w:t>
      </w:r>
      <w:r w:rsidRPr="00980BD1">
        <w:rPr>
          <w:sz w:val="18"/>
          <w:szCs w:val="18"/>
        </w:rPr>
        <w:t>, p. 55.</w:t>
      </w:r>
    </w:p>
  </w:footnote>
  <w:footnote w:id="89">
    <w:p w14:paraId="1BCB0F3B" w14:textId="11A6045A" w:rsidR="00B53139" w:rsidRPr="00980BD1" w:rsidRDefault="00B53139" w:rsidP="00980BD1">
      <w:pPr>
        <w:autoSpaceDE w:val="0"/>
        <w:autoSpaceDN w:val="0"/>
        <w:adjustRightInd w:val="0"/>
        <w:rPr>
          <w:rFonts w:cstheme="minorHAnsi"/>
          <w:sz w:val="20"/>
          <w:szCs w:val="20"/>
          <w:lang w:val="en-GB"/>
        </w:rPr>
      </w:pPr>
      <w:r w:rsidRPr="00980BD1">
        <w:rPr>
          <w:rStyle w:val="FootnoteReference"/>
          <w:szCs w:val="18"/>
        </w:rPr>
        <w:footnoteRef/>
      </w:r>
      <w:r w:rsidRPr="00980BD1">
        <w:rPr>
          <w:sz w:val="18"/>
          <w:szCs w:val="18"/>
        </w:rPr>
        <w:t xml:space="preserve"> </w:t>
      </w:r>
      <w:r w:rsidRPr="00980BD1">
        <w:rPr>
          <w:rFonts w:cstheme="minorHAnsi"/>
          <w:sz w:val="18"/>
          <w:szCs w:val="18"/>
          <w:lang w:val="en-GB"/>
        </w:rPr>
        <w:t>Jones, A, Shahid, M &amp; Neal, B 2018</w:t>
      </w:r>
      <w:r w:rsidRPr="00980BD1">
        <w:rPr>
          <w:rFonts w:cstheme="minorHAnsi"/>
          <w:i/>
          <w:iCs/>
          <w:sz w:val="18"/>
          <w:szCs w:val="18"/>
          <w:lang w:val="en-GB"/>
        </w:rPr>
        <w:t xml:space="preserve"> </w:t>
      </w:r>
      <w:r>
        <w:rPr>
          <w:rFonts w:cstheme="minorHAnsi"/>
          <w:i/>
          <w:iCs/>
          <w:sz w:val="18"/>
          <w:szCs w:val="18"/>
          <w:lang w:val="en-GB"/>
        </w:rPr>
        <w:t>‘</w:t>
      </w:r>
      <w:r w:rsidRPr="00980BD1">
        <w:rPr>
          <w:rFonts w:cstheme="minorHAnsi"/>
          <w:sz w:val="18"/>
          <w:szCs w:val="18"/>
          <w:lang w:val="en-GB"/>
        </w:rPr>
        <w:t>Uptake of Australia’s Health Star Rating System</w:t>
      </w:r>
      <w:r>
        <w:rPr>
          <w:rFonts w:cstheme="minorHAnsi"/>
          <w:sz w:val="18"/>
          <w:szCs w:val="18"/>
          <w:lang w:val="en-GB"/>
        </w:rPr>
        <w:t>’</w:t>
      </w:r>
      <w:r w:rsidRPr="00980BD1">
        <w:rPr>
          <w:rFonts w:cstheme="minorHAnsi"/>
          <w:sz w:val="18"/>
          <w:szCs w:val="18"/>
          <w:lang w:val="en-GB"/>
        </w:rPr>
        <w:t xml:space="preserve">, </w:t>
      </w:r>
      <w:r w:rsidRPr="00980BD1">
        <w:rPr>
          <w:rFonts w:cstheme="minorHAnsi"/>
          <w:i/>
          <w:iCs/>
          <w:sz w:val="18"/>
          <w:szCs w:val="18"/>
          <w:lang w:val="en-GB"/>
        </w:rPr>
        <w:t>Nutrients</w:t>
      </w:r>
      <w:r w:rsidRPr="00980BD1">
        <w:rPr>
          <w:rFonts w:cstheme="minorHAnsi"/>
          <w:sz w:val="18"/>
          <w:szCs w:val="18"/>
          <w:lang w:val="en-GB"/>
        </w:rPr>
        <w:t>, vol. 10, no. 8, 997, pp. 1-13.</w:t>
      </w:r>
    </w:p>
  </w:footnote>
  <w:footnote w:id="90">
    <w:p w14:paraId="69E043DC" w14:textId="77777777" w:rsidR="00B53139" w:rsidRPr="00C14D9F" w:rsidRDefault="00B53139" w:rsidP="00C60199">
      <w:pPr>
        <w:pStyle w:val="FootnoteText"/>
        <w:rPr>
          <w:sz w:val="18"/>
          <w:szCs w:val="18"/>
        </w:rPr>
      </w:pPr>
      <w:r w:rsidRPr="00C14D9F">
        <w:rPr>
          <w:rStyle w:val="FootnoteReference"/>
          <w:szCs w:val="18"/>
        </w:rPr>
        <w:footnoteRef/>
      </w:r>
      <w:r w:rsidRPr="00C14D9F">
        <w:rPr>
          <w:sz w:val="18"/>
          <w:szCs w:val="18"/>
        </w:rPr>
        <w:t xml:space="preserve"> Based on</w:t>
      </w:r>
      <w:r>
        <w:rPr>
          <w:sz w:val="18"/>
          <w:szCs w:val="18"/>
        </w:rPr>
        <w:t xml:space="preserve"> modelling in</w:t>
      </w:r>
      <w:r w:rsidRPr="00C14D9F">
        <w:rPr>
          <w:sz w:val="18"/>
          <w:szCs w:val="18"/>
        </w:rPr>
        <w:t xml:space="preserve"> the TAG database</w:t>
      </w:r>
    </w:p>
  </w:footnote>
  <w:footnote w:id="91">
    <w:p w14:paraId="449FE298" w14:textId="01BEAE4B" w:rsidR="00B53139" w:rsidRPr="00980BD1" w:rsidRDefault="00B53139" w:rsidP="00D36202">
      <w:pPr>
        <w:pStyle w:val="FootnoteText"/>
        <w:rPr>
          <w:sz w:val="18"/>
          <w:szCs w:val="18"/>
        </w:rPr>
      </w:pPr>
      <w:r w:rsidRPr="00980BD1">
        <w:rPr>
          <w:rStyle w:val="FootnoteReference"/>
          <w:szCs w:val="18"/>
        </w:rPr>
        <w:footnoteRef/>
      </w:r>
      <w:r w:rsidRPr="00980BD1">
        <w:rPr>
          <w:sz w:val="18"/>
          <w:szCs w:val="18"/>
        </w:rPr>
        <w:t xml:space="preserve"> </w:t>
      </w:r>
      <w:r w:rsidRPr="00980BD1">
        <w:rPr>
          <w:rFonts w:cstheme="minorHAnsi"/>
          <w:sz w:val="18"/>
          <w:szCs w:val="18"/>
        </w:rPr>
        <w:t xml:space="preserve">Australian Bureau of Statistics, </w:t>
      </w:r>
      <w:r w:rsidRPr="00980BD1">
        <w:rPr>
          <w:rFonts w:cstheme="minorHAnsi"/>
          <w:i/>
          <w:sz w:val="18"/>
          <w:szCs w:val="18"/>
        </w:rPr>
        <w:t>Australian Health Survey 2011-12.</w:t>
      </w:r>
    </w:p>
  </w:footnote>
  <w:footnote w:id="92">
    <w:p w14:paraId="44C4BAD5" w14:textId="2B125697" w:rsidR="00B53139" w:rsidRPr="00980BD1" w:rsidRDefault="00B53139" w:rsidP="00980BD1">
      <w:pPr>
        <w:pStyle w:val="NoSpacing"/>
        <w:rPr>
          <w:rFonts w:cstheme="minorHAnsi"/>
          <w:sz w:val="18"/>
          <w:szCs w:val="18"/>
          <w:lang w:val="en-GB"/>
        </w:rPr>
      </w:pPr>
      <w:r w:rsidRPr="00980BD1">
        <w:rPr>
          <w:rStyle w:val="FootnoteReference"/>
          <w:szCs w:val="18"/>
        </w:rPr>
        <w:footnoteRef/>
      </w:r>
      <w:r w:rsidRPr="00980BD1">
        <w:rPr>
          <w:sz w:val="18"/>
          <w:szCs w:val="18"/>
        </w:rPr>
        <w:t xml:space="preserve"> </w:t>
      </w:r>
      <w:r w:rsidRPr="00980BD1">
        <w:rPr>
          <w:rFonts w:cstheme="minorHAnsi"/>
          <w:sz w:val="18"/>
          <w:szCs w:val="18"/>
          <w:lang w:val="en-GB"/>
        </w:rPr>
        <w:t xml:space="preserve">Australian Bureau of Statistics, </w:t>
      </w:r>
      <w:r w:rsidRPr="00980BD1">
        <w:rPr>
          <w:rFonts w:cstheme="minorHAnsi"/>
          <w:i/>
          <w:iCs/>
          <w:sz w:val="18"/>
          <w:szCs w:val="18"/>
          <w:lang w:val="en-GB"/>
        </w:rPr>
        <w:t>Australian Health Survey: Consumption of Added Sugars</w:t>
      </w:r>
      <w:r w:rsidRPr="00980BD1">
        <w:rPr>
          <w:rFonts w:cstheme="minorHAnsi"/>
          <w:sz w:val="18"/>
          <w:szCs w:val="18"/>
          <w:lang w:val="en-GB"/>
        </w:rPr>
        <w:t>, 2011-12.</w:t>
      </w:r>
    </w:p>
  </w:footnote>
  <w:footnote w:id="93">
    <w:p w14:paraId="4A406082" w14:textId="624C5F84" w:rsidR="00B53139" w:rsidRPr="00980BD1" w:rsidRDefault="00B53139" w:rsidP="00980BD1">
      <w:pPr>
        <w:pStyle w:val="NoSpacing"/>
        <w:rPr>
          <w:rFonts w:cstheme="minorHAnsi"/>
          <w:sz w:val="20"/>
          <w:szCs w:val="20"/>
        </w:rPr>
      </w:pPr>
      <w:r w:rsidRPr="00980BD1">
        <w:rPr>
          <w:rStyle w:val="FootnoteReference"/>
          <w:szCs w:val="18"/>
        </w:rPr>
        <w:footnoteRef/>
      </w:r>
      <w:r w:rsidRPr="00980BD1">
        <w:rPr>
          <w:sz w:val="18"/>
          <w:szCs w:val="18"/>
        </w:rPr>
        <w:t xml:space="preserve"> </w:t>
      </w:r>
      <w:r w:rsidRPr="00980BD1">
        <w:rPr>
          <w:rFonts w:cstheme="minorHAnsi"/>
          <w:sz w:val="18"/>
          <w:szCs w:val="18"/>
        </w:rPr>
        <w:t xml:space="preserve">Ministry of Health, </w:t>
      </w:r>
      <w:r w:rsidRPr="00980BD1">
        <w:rPr>
          <w:rFonts w:cstheme="minorHAnsi"/>
          <w:i/>
          <w:sz w:val="18"/>
          <w:szCs w:val="18"/>
        </w:rPr>
        <w:t>A Focus on Nutrition: Key Findings of the 2008/09 New Zealand Adult Nutrition Survey.</w:t>
      </w:r>
    </w:p>
  </w:footnote>
  <w:footnote w:id="94">
    <w:p w14:paraId="117115CD" w14:textId="77777777" w:rsidR="00B53139" w:rsidRPr="00CB7541" w:rsidRDefault="00B53139" w:rsidP="00226420">
      <w:pPr>
        <w:widowControl w:val="0"/>
        <w:autoSpaceDE w:val="0"/>
        <w:autoSpaceDN w:val="0"/>
        <w:adjustRightInd w:val="0"/>
        <w:rPr>
          <w:rFonts w:eastAsia="Times New Roman" w:cstheme="minorHAnsi"/>
          <w:i/>
          <w:sz w:val="18"/>
          <w:szCs w:val="18"/>
        </w:rPr>
      </w:pPr>
      <w:r w:rsidRPr="00CB7541">
        <w:rPr>
          <w:rStyle w:val="FootnoteReference"/>
          <w:szCs w:val="18"/>
        </w:rPr>
        <w:footnoteRef/>
      </w:r>
      <w:r w:rsidRPr="00CB7541">
        <w:rPr>
          <w:sz w:val="18"/>
          <w:szCs w:val="18"/>
        </w:rPr>
        <w:t xml:space="preserve"> </w:t>
      </w:r>
      <w:r w:rsidRPr="00CB7541">
        <w:rPr>
          <w:rFonts w:eastAsia="Times New Roman" w:cstheme="minorHAnsi"/>
          <w:sz w:val="18"/>
          <w:szCs w:val="18"/>
        </w:rPr>
        <w:t>Chantal, J, Ducrot, P, Peneau, S, Deschamps, V, Mejean, C, Fezeu, L, Touvier, M, Hercberg, S &amp; Kesse-Guyot, E 2015, ‘Discriminating nutritional quality of foods using the 5-Color nutrition label in the French food market: consistency with nutritional recommendations’</w:t>
      </w:r>
      <w:r w:rsidRPr="00CB7541">
        <w:rPr>
          <w:rFonts w:eastAsia="Times New Roman" w:cstheme="minorHAnsi"/>
          <w:i/>
          <w:sz w:val="18"/>
          <w:szCs w:val="18"/>
        </w:rPr>
        <w:t>, Nutrition Journal</w:t>
      </w:r>
      <w:r w:rsidRPr="00CB7541">
        <w:rPr>
          <w:rFonts w:eastAsia="Times New Roman" w:cstheme="minorHAnsi"/>
          <w:sz w:val="18"/>
          <w:szCs w:val="18"/>
        </w:rPr>
        <w:t>, vol. 14, no. 100, pp. 1-12.</w:t>
      </w:r>
    </w:p>
  </w:footnote>
  <w:footnote w:id="95">
    <w:p w14:paraId="22C340FB" w14:textId="5415B77E" w:rsidR="00B53139" w:rsidRPr="001017C5" w:rsidRDefault="00B53139" w:rsidP="00D36202">
      <w:pPr>
        <w:pStyle w:val="FootnoteText"/>
        <w:rPr>
          <w:sz w:val="18"/>
          <w:szCs w:val="18"/>
        </w:rPr>
      </w:pPr>
      <w:r w:rsidRPr="001017C5">
        <w:rPr>
          <w:rStyle w:val="FootnoteReference"/>
          <w:color w:val="000000" w:themeColor="text1"/>
          <w:szCs w:val="18"/>
        </w:rPr>
        <w:footnoteRef/>
      </w:r>
      <w:r w:rsidRPr="001017C5">
        <w:rPr>
          <w:color w:val="000000" w:themeColor="text1"/>
          <w:sz w:val="18"/>
          <w:szCs w:val="18"/>
        </w:rPr>
        <w:t xml:space="preserve"> </w:t>
      </w:r>
      <w:r w:rsidRPr="001017C5">
        <w:rPr>
          <w:rFonts w:cstheme="minorHAnsi"/>
          <w:color w:val="000000" w:themeColor="text1"/>
          <w:sz w:val="18"/>
          <w:szCs w:val="18"/>
        </w:rPr>
        <w:t>Pepino, Y 2015</w:t>
      </w:r>
      <w:r>
        <w:rPr>
          <w:rFonts w:cstheme="minorHAnsi"/>
          <w:color w:val="000000" w:themeColor="text1"/>
          <w:sz w:val="18"/>
          <w:szCs w:val="18"/>
        </w:rPr>
        <w:t xml:space="preserve"> ‘</w:t>
      </w:r>
      <w:r w:rsidRPr="001017C5">
        <w:rPr>
          <w:rFonts w:cstheme="minorHAnsi"/>
          <w:color w:val="000000" w:themeColor="text1"/>
          <w:sz w:val="18"/>
          <w:szCs w:val="18"/>
        </w:rPr>
        <w:t>Metabolic effects of non-nutritive sweeteners</w:t>
      </w:r>
      <w:r>
        <w:rPr>
          <w:rFonts w:cstheme="minorHAnsi"/>
          <w:color w:val="000000" w:themeColor="text1"/>
          <w:sz w:val="18"/>
          <w:szCs w:val="18"/>
        </w:rPr>
        <w:t>’</w:t>
      </w:r>
      <w:r w:rsidRPr="001017C5">
        <w:rPr>
          <w:rFonts w:cstheme="minorHAnsi"/>
          <w:color w:val="000000" w:themeColor="text1"/>
          <w:sz w:val="18"/>
          <w:szCs w:val="18"/>
        </w:rPr>
        <w:t xml:space="preserve"> </w:t>
      </w:r>
      <w:r w:rsidRPr="0017608D">
        <w:rPr>
          <w:rFonts w:cstheme="minorHAnsi"/>
          <w:i/>
          <w:color w:val="000000" w:themeColor="text1"/>
          <w:sz w:val="18"/>
          <w:szCs w:val="18"/>
        </w:rPr>
        <w:t>Physiol Behav</w:t>
      </w:r>
      <w:r>
        <w:rPr>
          <w:rFonts w:cstheme="minorHAnsi"/>
          <w:i/>
          <w:color w:val="000000" w:themeColor="text1"/>
          <w:sz w:val="18"/>
          <w:szCs w:val="18"/>
        </w:rPr>
        <w:t xml:space="preserve">. </w:t>
      </w:r>
      <w:r>
        <w:rPr>
          <w:rFonts w:cstheme="minorHAnsi"/>
          <w:color w:val="000000" w:themeColor="text1"/>
          <w:sz w:val="18"/>
          <w:szCs w:val="18"/>
        </w:rPr>
        <w:t xml:space="preserve">vol. </w:t>
      </w:r>
      <w:r w:rsidRPr="001017C5">
        <w:rPr>
          <w:rFonts w:cstheme="minorHAnsi"/>
          <w:color w:val="000000" w:themeColor="text1"/>
          <w:sz w:val="18"/>
          <w:szCs w:val="18"/>
        </w:rPr>
        <w:t>152</w:t>
      </w:r>
      <w:r>
        <w:rPr>
          <w:rFonts w:cstheme="minorHAnsi"/>
          <w:color w:val="000000" w:themeColor="text1"/>
          <w:sz w:val="18"/>
          <w:szCs w:val="18"/>
        </w:rPr>
        <w:t>,</w:t>
      </w:r>
      <w:r w:rsidRPr="001017C5">
        <w:rPr>
          <w:rFonts w:cstheme="minorHAnsi"/>
          <w:color w:val="000000" w:themeColor="text1"/>
          <w:sz w:val="18"/>
          <w:szCs w:val="18"/>
        </w:rPr>
        <w:t xml:space="preserve"> p</w:t>
      </w:r>
      <w:r>
        <w:rPr>
          <w:rFonts w:cstheme="minorHAnsi"/>
          <w:color w:val="000000" w:themeColor="text1"/>
          <w:sz w:val="18"/>
          <w:szCs w:val="18"/>
        </w:rPr>
        <w:t>p</w:t>
      </w:r>
      <w:r w:rsidRPr="001017C5">
        <w:rPr>
          <w:rFonts w:cstheme="minorHAnsi"/>
          <w:color w:val="000000" w:themeColor="text1"/>
          <w:sz w:val="18"/>
          <w:szCs w:val="18"/>
        </w:rPr>
        <w:t>. 450-455</w:t>
      </w:r>
      <w:r>
        <w:rPr>
          <w:rFonts w:cstheme="minorHAnsi"/>
          <w:color w:val="000000" w:themeColor="text1"/>
          <w:sz w:val="18"/>
          <w:szCs w:val="18"/>
        </w:rPr>
        <w:t>.</w:t>
      </w:r>
    </w:p>
  </w:footnote>
  <w:footnote w:id="96">
    <w:p w14:paraId="5BBD2989" w14:textId="77777777" w:rsidR="00B53139" w:rsidRPr="006868BE" w:rsidRDefault="00B53139" w:rsidP="008F12EF">
      <w:pPr>
        <w:pStyle w:val="FootnoteText"/>
        <w:rPr>
          <w:sz w:val="18"/>
          <w:szCs w:val="18"/>
        </w:rPr>
      </w:pPr>
      <w:r w:rsidRPr="006868BE">
        <w:rPr>
          <w:rStyle w:val="FootnoteReference"/>
          <w:szCs w:val="18"/>
        </w:rPr>
        <w:footnoteRef/>
      </w:r>
      <w:r w:rsidRPr="006868BE">
        <w:rPr>
          <w:sz w:val="18"/>
          <w:szCs w:val="18"/>
        </w:rPr>
        <w:t xml:space="preserve"> Butland, B, Jebb, S, Kopelman, P, McPherson, K, Mardell, J </w:t>
      </w:r>
      <w:r>
        <w:rPr>
          <w:sz w:val="18"/>
          <w:szCs w:val="18"/>
        </w:rPr>
        <w:t xml:space="preserve">&amp; </w:t>
      </w:r>
      <w:r w:rsidRPr="006868BE">
        <w:rPr>
          <w:sz w:val="18"/>
          <w:szCs w:val="18"/>
        </w:rPr>
        <w:t xml:space="preserve">Parry, V, </w:t>
      </w:r>
      <w:r w:rsidRPr="006868BE">
        <w:rPr>
          <w:i/>
          <w:sz w:val="18"/>
          <w:szCs w:val="18"/>
        </w:rPr>
        <w:t>Foresight: Tackling Obesities: Future Choices – Project Report</w:t>
      </w:r>
      <w:r>
        <w:rPr>
          <w:i/>
          <w:sz w:val="18"/>
          <w:szCs w:val="18"/>
        </w:rPr>
        <w:t xml:space="preserve">, </w:t>
      </w:r>
      <w:r w:rsidRPr="006868BE">
        <w:rPr>
          <w:sz w:val="18"/>
          <w:szCs w:val="18"/>
        </w:rPr>
        <w:t>Government Office for Science</w:t>
      </w:r>
    </w:p>
  </w:footnote>
  <w:footnote w:id="97">
    <w:p w14:paraId="77DC3B8D" w14:textId="39419D3D" w:rsidR="00B53139" w:rsidRPr="00BD6E51" w:rsidRDefault="00B53139" w:rsidP="00BD6E51">
      <w:pPr>
        <w:pStyle w:val="FootnoteText"/>
        <w:rPr>
          <w:sz w:val="18"/>
          <w:szCs w:val="18"/>
        </w:rPr>
      </w:pPr>
      <w:r w:rsidRPr="00BD6E51">
        <w:rPr>
          <w:rStyle w:val="FootnoteReference"/>
          <w:szCs w:val="18"/>
        </w:rPr>
        <w:footnoteRef/>
      </w:r>
      <w:r w:rsidRPr="00BD6E51">
        <w:rPr>
          <w:sz w:val="18"/>
          <w:szCs w:val="18"/>
        </w:rPr>
        <w:t xml:space="preserve"> Note that a significant amount of funding was rolled over to the 2018-19 financial year such that total funding for social marketing and education in Australia to June 2019 is likely to be </w:t>
      </w:r>
      <w:r>
        <w:rPr>
          <w:sz w:val="18"/>
          <w:szCs w:val="18"/>
        </w:rPr>
        <w:t xml:space="preserve">approximately </w:t>
      </w:r>
      <w:r w:rsidRPr="00BD6E51">
        <w:rPr>
          <w:sz w:val="18"/>
          <w:szCs w:val="18"/>
        </w:rPr>
        <w:t>$13 million.</w:t>
      </w:r>
    </w:p>
  </w:footnote>
  <w:footnote w:id="98">
    <w:p w14:paraId="33BBFA95" w14:textId="430B28F2" w:rsidR="00B53139" w:rsidRPr="009B0154" w:rsidRDefault="00B53139" w:rsidP="008F12EF">
      <w:pPr>
        <w:pStyle w:val="FootnoteText"/>
        <w:rPr>
          <w:sz w:val="18"/>
          <w:szCs w:val="18"/>
        </w:rPr>
      </w:pPr>
      <w:r w:rsidRPr="009B0154">
        <w:rPr>
          <w:rStyle w:val="FootnoteReference"/>
          <w:szCs w:val="18"/>
        </w:rPr>
        <w:footnoteRef/>
      </w:r>
      <w:r w:rsidRPr="009B0154">
        <w:rPr>
          <w:sz w:val="18"/>
          <w:szCs w:val="18"/>
        </w:rPr>
        <w:t xml:space="preserve"> </w:t>
      </w:r>
      <w:hyperlink r:id="rId16" w:history="1">
        <w:r w:rsidRPr="00A90016">
          <w:rPr>
            <w:rStyle w:val="Hyperlink"/>
            <w:sz w:val="18"/>
            <w:szCs w:val="18"/>
          </w:rPr>
          <w:t>USDA Branded Food Products Database</w:t>
        </w:r>
      </w:hyperlink>
      <w:r w:rsidRPr="00C63897">
        <w:rPr>
          <w:sz w:val="18"/>
          <w:szCs w:val="18"/>
        </w:rPr>
        <w:t xml:space="preserve">, </w:t>
      </w:r>
      <w:r>
        <w:rPr>
          <w:sz w:val="18"/>
          <w:szCs w:val="18"/>
        </w:rPr>
        <w:t>accessed 10 January 2019.</w:t>
      </w:r>
    </w:p>
  </w:footnote>
  <w:footnote w:id="99">
    <w:p w14:paraId="4D88F16F" w14:textId="406D5BDE" w:rsidR="00B53139" w:rsidRDefault="00B53139" w:rsidP="008F12EF">
      <w:pPr>
        <w:pStyle w:val="FootnoteText"/>
      </w:pPr>
      <w:r>
        <w:rPr>
          <w:rStyle w:val="FootnoteReference"/>
        </w:rPr>
        <w:footnoteRef/>
      </w:r>
      <w:r>
        <w:t xml:space="preserve"> </w:t>
      </w:r>
      <w:r w:rsidRPr="00C63897">
        <w:rPr>
          <w:sz w:val="18"/>
          <w:szCs w:val="18"/>
          <w:lang w:val="en-GB"/>
        </w:rPr>
        <w:t>Senate</w:t>
      </w:r>
      <w:r>
        <w:rPr>
          <w:sz w:val="18"/>
          <w:szCs w:val="18"/>
          <w:lang w:val="en-GB"/>
        </w:rPr>
        <w:t xml:space="preserve"> </w:t>
      </w:r>
      <w:r w:rsidRPr="00980BD1">
        <w:rPr>
          <w:sz w:val="18"/>
          <w:szCs w:val="18"/>
          <w:lang w:val="en-GB"/>
        </w:rPr>
        <w:t>2018</w:t>
      </w:r>
      <w:r w:rsidRPr="00C63897">
        <w:rPr>
          <w:sz w:val="18"/>
          <w:szCs w:val="18"/>
          <w:lang w:val="en-GB"/>
        </w:rPr>
        <w:t xml:space="preserve"> </w:t>
      </w:r>
      <w:r w:rsidRPr="00C63897">
        <w:rPr>
          <w:i/>
          <w:sz w:val="18"/>
          <w:szCs w:val="18"/>
          <w:lang w:val="en-GB"/>
        </w:rPr>
        <w:t>Select Committee into the Obesity Epidemic in Australia, Final Report</w:t>
      </w:r>
      <w:r>
        <w:rPr>
          <w:sz w:val="18"/>
          <w:szCs w:val="18"/>
          <w:lang w:val="en-GB"/>
        </w:rPr>
        <w:t>.</w:t>
      </w:r>
    </w:p>
  </w:footnote>
  <w:footnote w:id="100">
    <w:p w14:paraId="19A30EDC" w14:textId="77777777" w:rsidR="00B53139" w:rsidRPr="00C94F1E" w:rsidRDefault="00B53139" w:rsidP="008F12EF">
      <w:pPr>
        <w:pStyle w:val="FootnoteText"/>
        <w:rPr>
          <w:sz w:val="18"/>
          <w:szCs w:val="18"/>
        </w:rPr>
      </w:pPr>
      <w:r w:rsidRPr="00C94F1E">
        <w:rPr>
          <w:rStyle w:val="FootnoteReference"/>
          <w:szCs w:val="18"/>
        </w:rPr>
        <w:footnoteRef/>
      </w:r>
      <w:r w:rsidRPr="00C94F1E">
        <w:rPr>
          <w:sz w:val="18"/>
          <w:szCs w:val="18"/>
        </w:rPr>
        <w:t xml:space="preserve"> Silo is the FSANZ data management system that also supports both AUSNUT and the Australian Food Composition Database</w:t>
      </w:r>
      <w:r>
        <w:rPr>
          <w:sz w:val="18"/>
          <w:szCs w:val="18"/>
        </w:rPr>
        <w:t>.</w:t>
      </w:r>
    </w:p>
  </w:footnote>
  <w:footnote w:id="101">
    <w:p w14:paraId="1F7DD81A" w14:textId="5E0147C9" w:rsidR="00B53139" w:rsidRDefault="00B53139" w:rsidP="008F12EF">
      <w:pPr>
        <w:pStyle w:val="FootnoteText"/>
      </w:pPr>
      <w:r>
        <w:rPr>
          <w:rStyle w:val="FootnoteReference"/>
        </w:rPr>
        <w:footnoteRef/>
      </w:r>
      <w:r>
        <w:t xml:space="preserve"> </w:t>
      </w:r>
      <w:hyperlink r:id="rId17" w:history="1">
        <w:r w:rsidRPr="009A44E2">
          <w:rPr>
            <w:rStyle w:val="Hyperlink"/>
            <w:sz w:val="18"/>
            <w:szCs w:val="18"/>
          </w:rPr>
          <w:t>USDA Branded Food Products Database</w:t>
        </w:r>
      </w:hyperlink>
      <w:r w:rsidRPr="00C63897">
        <w:rPr>
          <w:sz w:val="18"/>
          <w:szCs w:val="18"/>
        </w:rPr>
        <w:t xml:space="preserve">, </w:t>
      </w:r>
      <w:r>
        <w:rPr>
          <w:sz w:val="18"/>
          <w:szCs w:val="18"/>
        </w:rPr>
        <w:t>accessed 10 January 2019</w:t>
      </w:r>
      <w:r w:rsidRPr="00C63897">
        <w:rPr>
          <w:sz w:val="18"/>
          <w:szCs w:val="18"/>
        </w:rPr>
        <w:t xml:space="preserve"> </w:t>
      </w:r>
      <w:r>
        <w:rPr>
          <w:sz w:val="18"/>
          <w:szCs w:val="18"/>
        </w:rPr>
        <w:t>.</w:t>
      </w:r>
    </w:p>
  </w:footnote>
  <w:footnote w:id="102">
    <w:p w14:paraId="64F4C5A4" w14:textId="2AA896A0" w:rsidR="00B53139" w:rsidRDefault="00B53139" w:rsidP="001D5779">
      <w:pPr>
        <w:pStyle w:val="FootnoteText"/>
      </w:pPr>
      <w:r>
        <w:rPr>
          <w:rStyle w:val="FootnoteReference"/>
        </w:rPr>
        <w:footnoteRef/>
      </w:r>
      <w:r>
        <w:t xml:space="preserve"> </w:t>
      </w:r>
      <w:r w:rsidRPr="00C63897">
        <w:rPr>
          <w:sz w:val="18"/>
          <w:szCs w:val="18"/>
          <w:lang w:val="en-GB"/>
        </w:rPr>
        <w:t>National Heart Foundation 201</w:t>
      </w:r>
      <w:r>
        <w:rPr>
          <w:sz w:val="18"/>
          <w:szCs w:val="18"/>
          <w:lang w:val="en-GB"/>
        </w:rPr>
        <w:t>9</w:t>
      </w:r>
      <w:r w:rsidRPr="00C63897">
        <w:rPr>
          <w:sz w:val="18"/>
          <w:szCs w:val="18"/>
          <w:lang w:val="en-GB"/>
        </w:rPr>
        <w:t xml:space="preserve"> </w:t>
      </w:r>
      <w:r w:rsidRPr="00C63897">
        <w:rPr>
          <w:i/>
          <w:sz w:val="18"/>
          <w:szCs w:val="18"/>
        </w:rPr>
        <w:t>Report on the monitoring of the implementation of the HSR System in the first four years of implementation: June 2014 to June 2018</w:t>
      </w:r>
      <w:r w:rsidRPr="00C63897">
        <w:rPr>
          <w:sz w:val="18"/>
          <w:szCs w:val="18"/>
          <w:lang w:val="en-GB"/>
        </w:rPr>
        <w:t>, prepared for the Department of Health,</w:t>
      </w:r>
      <w:r>
        <w:rPr>
          <w:sz w:val="18"/>
          <w:szCs w:val="18"/>
          <w:lang w:val="en-GB"/>
        </w:rPr>
        <w:t xml:space="preserve"> </w:t>
      </w:r>
      <w:r w:rsidRPr="00C63897">
        <w:rPr>
          <w:sz w:val="18"/>
          <w:szCs w:val="18"/>
        </w:rPr>
        <w:t>p. 26.</w:t>
      </w:r>
    </w:p>
  </w:footnote>
  <w:footnote w:id="103">
    <w:p w14:paraId="1D4F1FC3" w14:textId="722BC115" w:rsidR="00B53139" w:rsidRDefault="00B53139" w:rsidP="001D5779">
      <w:pPr>
        <w:pStyle w:val="FootnoteText"/>
      </w:pPr>
      <w:r>
        <w:rPr>
          <w:rStyle w:val="FootnoteReference"/>
        </w:rPr>
        <w:footnoteRef/>
      </w:r>
      <w:r>
        <w:t xml:space="preserve"> </w:t>
      </w:r>
      <w:r w:rsidRPr="00AB1F9B">
        <w:rPr>
          <w:sz w:val="18"/>
          <w:szCs w:val="18"/>
        </w:rPr>
        <w:t>As reported on the HSR System and MPI websites</w:t>
      </w:r>
      <w:r>
        <w:rPr>
          <w:sz w:val="18"/>
          <w:szCs w:val="18"/>
        </w:rPr>
        <w:t>.</w:t>
      </w:r>
    </w:p>
  </w:footnote>
  <w:footnote w:id="104">
    <w:p w14:paraId="1374771D" w14:textId="77777777" w:rsidR="00B53139" w:rsidRPr="006868BE" w:rsidRDefault="00B53139" w:rsidP="00405E71">
      <w:pPr>
        <w:pStyle w:val="FootnoteText"/>
        <w:rPr>
          <w:sz w:val="18"/>
          <w:szCs w:val="18"/>
        </w:rPr>
      </w:pPr>
      <w:r w:rsidRPr="006868BE">
        <w:rPr>
          <w:rStyle w:val="FootnoteReference"/>
          <w:szCs w:val="18"/>
        </w:rPr>
        <w:footnoteRef/>
      </w:r>
      <w:r w:rsidRPr="006868BE">
        <w:rPr>
          <w:sz w:val="18"/>
          <w:szCs w:val="18"/>
        </w:rPr>
        <w:t xml:space="preserve"> Butland, B, Jebb, S, Kopelman, P, McPherson, K, Mardell, J </w:t>
      </w:r>
      <w:r>
        <w:rPr>
          <w:sz w:val="18"/>
          <w:szCs w:val="18"/>
        </w:rPr>
        <w:t xml:space="preserve">&amp; </w:t>
      </w:r>
      <w:r w:rsidRPr="006868BE">
        <w:rPr>
          <w:sz w:val="18"/>
          <w:szCs w:val="18"/>
        </w:rPr>
        <w:t xml:space="preserve">Parry, V, </w:t>
      </w:r>
      <w:r w:rsidRPr="006868BE">
        <w:rPr>
          <w:i/>
          <w:sz w:val="18"/>
          <w:szCs w:val="18"/>
        </w:rPr>
        <w:t>Foresight: Tackling Obesities: Future Choices – Project Report</w:t>
      </w:r>
      <w:r>
        <w:rPr>
          <w:i/>
          <w:sz w:val="18"/>
          <w:szCs w:val="18"/>
        </w:rPr>
        <w:t xml:space="preserve">, </w:t>
      </w:r>
      <w:r w:rsidRPr="006868BE">
        <w:rPr>
          <w:sz w:val="18"/>
          <w:szCs w:val="18"/>
        </w:rPr>
        <w:t>Government Office for Science</w:t>
      </w:r>
    </w:p>
  </w:footnote>
  <w:footnote w:id="105">
    <w:p w14:paraId="7F8246FD" w14:textId="77777777"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Prime Minister and Cabinet, 2014, </w:t>
      </w:r>
      <w:r w:rsidRPr="004B07D2">
        <w:rPr>
          <w:i/>
          <w:sz w:val="18"/>
          <w:szCs w:val="18"/>
        </w:rPr>
        <w:t>The Australian Government Guide to Regulation</w:t>
      </w:r>
    </w:p>
  </w:footnote>
  <w:footnote w:id="106">
    <w:p w14:paraId="43EA5F3B" w14:textId="77777777"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NSW Government Finance, Services and Innovation, October 2016, </w:t>
      </w:r>
      <w:r w:rsidRPr="004B07D2">
        <w:rPr>
          <w:rFonts w:cstheme="minorHAnsi"/>
          <w:sz w:val="18"/>
          <w:szCs w:val="18"/>
        </w:rPr>
        <w:t>NSW Government’s Guide to Better Regulation</w:t>
      </w:r>
    </w:p>
  </w:footnote>
  <w:footnote w:id="107">
    <w:p w14:paraId="11543613" w14:textId="77777777"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New Zealand Government Department of Treasury, April 2017, Government Expectations for Good Regulatory Practice</w:t>
      </w:r>
    </w:p>
  </w:footnote>
  <w:footnote w:id="108">
    <w:p w14:paraId="66AB2FFF" w14:textId="3A3FF861" w:rsidR="00B53139" w:rsidRPr="004B07D2" w:rsidRDefault="00B53139" w:rsidP="004B07D2">
      <w:pPr>
        <w:pStyle w:val="NoSpacing"/>
        <w:rPr>
          <w:rFonts w:eastAsia="Times New Roman" w:cstheme="minorHAnsi"/>
          <w:sz w:val="18"/>
          <w:szCs w:val="18"/>
        </w:rPr>
      </w:pPr>
      <w:r w:rsidRPr="004B07D2">
        <w:rPr>
          <w:rStyle w:val="FootnoteReference"/>
          <w:szCs w:val="18"/>
        </w:rPr>
        <w:footnoteRef/>
      </w:r>
      <w:r w:rsidRPr="004B07D2">
        <w:rPr>
          <w:sz w:val="18"/>
          <w:szCs w:val="18"/>
        </w:rPr>
        <w:t xml:space="preserve"> </w:t>
      </w:r>
      <w:r w:rsidRPr="004B07D2">
        <w:rPr>
          <w:rFonts w:eastAsia="Times New Roman" w:cstheme="minorHAnsi"/>
          <w:sz w:val="18"/>
          <w:szCs w:val="18"/>
        </w:rPr>
        <w:t xml:space="preserve">OECD 2012, </w:t>
      </w:r>
      <w:r w:rsidRPr="004B07D2">
        <w:rPr>
          <w:rFonts w:eastAsia="Times New Roman" w:cstheme="minorHAnsi"/>
          <w:i/>
          <w:iCs/>
          <w:sz w:val="18"/>
          <w:szCs w:val="18"/>
        </w:rPr>
        <w:t>Recommendation of the Council on Regulatory Policy and Governance</w:t>
      </w:r>
      <w:r w:rsidRPr="004B07D2">
        <w:rPr>
          <w:rFonts w:eastAsia="Times New Roman" w:cstheme="minorHAnsi"/>
          <w:sz w:val="18"/>
          <w:szCs w:val="18"/>
        </w:rPr>
        <w:t xml:space="preserve">, prepared by the Regulatory Policy Committee following the conference </w:t>
      </w:r>
      <w:r w:rsidRPr="004B07D2">
        <w:rPr>
          <w:rFonts w:eastAsia="Times New Roman" w:cstheme="minorHAnsi"/>
          <w:i/>
          <w:iCs/>
          <w:sz w:val="18"/>
          <w:szCs w:val="18"/>
        </w:rPr>
        <w:t>Regulatory Policy: Towards a New Policy Agenda, October 2010.</w:t>
      </w:r>
    </w:p>
    <w:p w14:paraId="505D3336" w14:textId="77777777" w:rsidR="00B53139" w:rsidRDefault="00B53139" w:rsidP="001D5779">
      <w:pPr>
        <w:pStyle w:val="FootnoteText"/>
      </w:pPr>
    </w:p>
  </w:footnote>
  <w:footnote w:id="109">
    <w:p w14:paraId="228275D6" w14:textId="488BC5F0"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w:t>
      </w:r>
      <w:r w:rsidRPr="004B07D2">
        <w:rPr>
          <w:sz w:val="18"/>
          <w:szCs w:val="18"/>
          <w:lang w:val="en-GB"/>
        </w:rPr>
        <w:t xml:space="preserve">National Heart Foundation 2019, </w:t>
      </w:r>
      <w:r w:rsidRPr="004B07D2">
        <w:rPr>
          <w:i/>
          <w:sz w:val="18"/>
          <w:szCs w:val="18"/>
        </w:rPr>
        <w:t>Report on the monitoring of the implementation of the HSR System in the first four years of implementation: June 2014 to June 2018</w:t>
      </w:r>
      <w:r w:rsidRPr="004B07D2">
        <w:rPr>
          <w:sz w:val="18"/>
          <w:szCs w:val="18"/>
          <w:lang w:val="en-GB"/>
        </w:rPr>
        <w:t xml:space="preserve">, prepared for the Department of Health, </w:t>
      </w:r>
      <w:r w:rsidRPr="004B07D2">
        <w:rPr>
          <w:sz w:val="18"/>
          <w:szCs w:val="18"/>
        </w:rPr>
        <w:t>p.33.</w:t>
      </w:r>
    </w:p>
  </w:footnote>
  <w:footnote w:id="110">
    <w:p w14:paraId="55DE0790" w14:textId="5B18828F"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Codex Committee on Food Labelling 2017, </w:t>
      </w:r>
      <w:r w:rsidRPr="004B07D2">
        <w:rPr>
          <w:i/>
          <w:sz w:val="18"/>
          <w:szCs w:val="18"/>
        </w:rPr>
        <w:t>Discussion paper on consideration of issues regarding front-of-pack nutrition labelling</w:t>
      </w:r>
      <w:r w:rsidRPr="004B07D2">
        <w:rPr>
          <w:sz w:val="18"/>
          <w:szCs w:val="18"/>
        </w:rPr>
        <w:t>.</w:t>
      </w:r>
    </w:p>
  </w:footnote>
  <w:footnote w:id="111">
    <w:p w14:paraId="41D506CB" w14:textId="7AF30E26" w:rsidR="00B53139" w:rsidRPr="004B07D2" w:rsidRDefault="00B53139" w:rsidP="004B07D2">
      <w:pPr>
        <w:rPr>
          <w:rFonts w:eastAsia="Times New Roman" w:cstheme="minorHAnsi"/>
          <w:sz w:val="20"/>
          <w:szCs w:val="20"/>
        </w:rPr>
      </w:pPr>
      <w:r w:rsidRPr="004B07D2">
        <w:rPr>
          <w:rStyle w:val="FootnoteReference"/>
          <w:szCs w:val="18"/>
        </w:rPr>
        <w:footnoteRef/>
      </w:r>
      <w:r w:rsidRPr="004B07D2">
        <w:rPr>
          <w:sz w:val="18"/>
          <w:szCs w:val="18"/>
        </w:rPr>
        <w:t xml:space="preserve"> </w:t>
      </w:r>
      <w:r w:rsidRPr="004B07D2">
        <w:rPr>
          <w:rFonts w:eastAsia="Times New Roman" w:cstheme="minorHAnsi"/>
          <w:sz w:val="18"/>
          <w:szCs w:val="18"/>
        </w:rPr>
        <w:t xml:space="preserve">Kanter, R, Vanderlee, L &amp; Vandevijvere, S 2018, ‘Editorial: Front-of-package nutrition labelling policy: global progress and future directions’, </w:t>
      </w:r>
      <w:r w:rsidRPr="004B07D2">
        <w:rPr>
          <w:rFonts w:eastAsia="Times New Roman" w:cstheme="minorHAnsi"/>
          <w:i/>
          <w:sz w:val="18"/>
          <w:szCs w:val="18"/>
        </w:rPr>
        <w:t>Public Health Nutrition</w:t>
      </w:r>
      <w:r w:rsidRPr="004B07D2">
        <w:rPr>
          <w:rFonts w:eastAsia="Times New Roman" w:cstheme="minorHAnsi"/>
          <w:sz w:val="18"/>
          <w:szCs w:val="18"/>
        </w:rPr>
        <w:t>, vol. 21, no. 8, pp. 1399-1408.</w:t>
      </w:r>
    </w:p>
  </w:footnote>
  <w:footnote w:id="112">
    <w:p w14:paraId="24725E4F" w14:textId="55B34CCB" w:rsidR="00B53139" w:rsidRPr="0017608D" w:rsidRDefault="00B53139" w:rsidP="007B4E8A">
      <w:pPr>
        <w:pStyle w:val="FootnoteText"/>
        <w:rPr>
          <w:sz w:val="18"/>
          <w:szCs w:val="18"/>
        </w:rPr>
      </w:pPr>
      <w:r w:rsidRPr="005A3631">
        <w:rPr>
          <w:rStyle w:val="FootnoteReference"/>
          <w:szCs w:val="18"/>
        </w:rPr>
        <w:footnoteRef/>
      </w:r>
      <w:r w:rsidRPr="0017608D">
        <w:rPr>
          <w:sz w:val="18"/>
          <w:szCs w:val="18"/>
        </w:rPr>
        <w:t xml:space="preserve"> </w:t>
      </w:r>
      <w:r w:rsidRPr="005A3631">
        <w:rPr>
          <w:sz w:val="18"/>
          <w:szCs w:val="18"/>
        </w:rPr>
        <w:t xml:space="preserve">Vidar, </w:t>
      </w:r>
      <w:r>
        <w:rPr>
          <w:sz w:val="18"/>
          <w:szCs w:val="18"/>
        </w:rPr>
        <w:t xml:space="preserve">M </w:t>
      </w:r>
      <w:r w:rsidRPr="00A507BC">
        <w:rPr>
          <w:i/>
          <w:sz w:val="18"/>
          <w:szCs w:val="18"/>
        </w:rPr>
        <w:t>International legal frameworks for food labelling and consumer rights</w:t>
      </w:r>
      <w:r w:rsidRPr="00A507BC">
        <w:rPr>
          <w:sz w:val="18"/>
          <w:szCs w:val="18"/>
        </w:rPr>
        <w:t xml:space="preserve">, </w:t>
      </w:r>
      <w:r w:rsidRPr="005A3631">
        <w:rPr>
          <w:sz w:val="18"/>
          <w:szCs w:val="18"/>
        </w:rPr>
        <w:t>Food and Agriculture Organization of the United Nation</w:t>
      </w:r>
      <w:r w:rsidRPr="00A507BC">
        <w:rPr>
          <w:sz w:val="18"/>
          <w:szCs w:val="18"/>
        </w:rPr>
        <w:t>s (FAO), Italy, p. 33</w:t>
      </w:r>
    </w:p>
  </w:footnote>
  <w:footnote w:id="113">
    <w:p w14:paraId="5298B7E4" w14:textId="620B26FA" w:rsidR="00B53139" w:rsidRPr="0017608D" w:rsidRDefault="00B53139" w:rsidP="007B4E8A">
      <w:pPr>
        <w:pStyle w:val="FootnoteText"/>
        <w:rPr>
          <w:sz w:val="18"/>
          <w:szCs w:val="18"/>
        </w:rPr>
      </w:pPr>
      <w:r w:rsidRPr="005A3631">
        <w:rPr>
          <w:rStyle w:val="FootnoteReference"/>
          <w:szCs w:val="18"/>
        </w:rPr>
        <w:footnoteRef/>
      </w:r>
      <w:r w:rsidRPr="0017608D">
        <w:rPr>
          <w:sz w:val="18"/>
          <w:szCs w:val="18"/>
        </w:rPr>
        <w:t xml:space="preserve"> </w:t>
      </w:r>
      <w:r w:rsidRPr="005A3631">
        <w:rPr>
          <w:sz w:val="18"/>
          <w:szCs w:val="18"/>
        </w:rPr>
        <w:t xml:space="preserve">Vidar, </w:t>
      </w:r>
      <w:r>
        <w:rPr>
          <w:sz w:val="18"/>
          <w:szCs w:val="18"/>
        </w:rPr>
        <w:t xml:space="preserve">M </w:t>
      </w:r>
      <w:r w:rsidRPr="00A507BC">
        <w:rPr>
          <w:i/>
          <w:sz w:val="18"/>
          <w:szCs w:val="18"/>
        </w:rPr>
        <w:t>International legal frameworks for food labelling and consumer rights</w:t>
      </w:r>
      <w:r w:rsidRPr="00A507BC">
        <w:rPr>
          <w:sz w:val="18"/>
          <w:szCs w:val="18"/>
        </w:rPr>
        <w:t xml:space="preserve">, </w:t>
      </w:r>
      <w:r w:rsidRPr="005A3631">
        <w:rPr>
          <w:sz w:val="18"/>
          <w:szCs w:val="18"/>
        </w:rPr>
        <w:t>Food and Agriculture Organization of the United Nation</w:t>
      </w:r>
      <w:r w:rsidRPr="00A507BC">
        <w:rPr>
          <w:sz w:val="18"/>
          <w:szCs w:val="18"/>
        </w:rPr>
        <w:t>s (FAO), Italy, p. 33</w:t>
      </w:r>
    </w:p>
  </w:footnote>
  <w:footnote w:id="114">
    <w:p w14:paraId="1AAFB3F2" w14:textId="0C13D62F" w:rsidR="00B53139" w:rsidRDefault="00B53139" w:rsidP="007B4E8A">
      <w:pPr>
        <w:pStyle w:val="FootnoteText"/>
      </w:pPr>
      <w:r w:rsidRPr="005A3631">
        <w:rPr>
          <w:rStyle w:val="FootnoteReference"/>
          <w:szCs w:val="18"/>
        </w:rPr>
        <w:footnoteRef/>
      </w:r>
      <w:r w:rsidRPr="0017608D">
        <w:rPr>
          <w:sz w:val="18"/>
          <w:szCs w:val="18"/>
        </w:rPr>
        <w:t xml:space="preserve"> </w:t>
      </w:r>
      <w:hyperlink r:id="rId18" w:history="1">
        <w:r w:rsidRPr="009A44E2">
          <w:rPr>
            <w:rStyle w:val="Hyperlink"/>
            <w:sz w:val="18"/>
            <w:szCs w:val="18"/>
          </w:rPr>
          <w:t>Media article</w:t>
        </w:r>
      </w:hyperlink>
      <w:r>
        <w:rPr>
          <w:sz w:val="18"/>
          <w:szCs w:val="18"/>
        </w:rPr>
        <w:t>,</w:t>
      </w:r>
      <w:r w:rsidRPr="005A3631">
        <w:rPr>
          <w:sz w:val="18"/>
          <w:szCs w:val="18"/>
        </w:rPr>
        <w:t xml:space="preserve"> </w:t>
      </w:r>
      <w:r>
        <w:rPr>
          <w:sz w:val="18"/>
          <w:szCs w:val="18"/>
        </w:rPr>
        <w:t>accessed</w:t>
      </w:r>
      <w:r w:rsidRPr="005A3631">
        <w:rPr>
          <w:sz w:val="18"/>
          <w:szCs w:val="18"/>
        </w:rPr>
        <w:t xml:space="preserve"> on 25 January 2019</w:t>
      </w:r>
    </w:p>
  </w:footnote>
  <w:footnote w:id="115">
    <w:p w14:paraId="3748D16F" w14:textId="00FFEBBE" w:rsidR="00B53139" w:rsidRPr="00E45F4B" w:rsidRDefault="00B53139" w:rsidP="006C5FD8">
      <w:pPr>
        <w:pStyle w:val="FootnoteText"/>
        <w:rPr>
          <w:sz w:val="18"/>
          <w:szCs w:val="18"/>
        </w:rPr>
      </w:pPr>
      <w:r w:rsidRPr="00E45F4B">
        <w:rPr>
          <w:rStyle w:val="FootnoteReference"/>
          <w:szCs w:val="18"/>
        </w:rPr>
        <w:footnoteRef/>
      </w:r>
      <w:r w:rsidRPr="00E45F4B">
        <w:rPr>
          <w:sz w:val="18"/>
          <w:szCs w:val="18"/>
        </w:rPr>
        <w:t xml:space="preserve"> Colmar Brunton, 2017, </w:t>
      </w:r>
      <w:r w:rsidRPr="00E45F4B">
        <w:rPr>
          <w:i/>
          <w:sz w:val="18"/>
          <w:szCs w:val="18"/>
        </w:rPr>
        <w:t>Industry uptake of the Health Star Rating System – A qualitative exploration</w:t>
      </w:r>
      <w:r w:rsidRPr="00E45F4B">
        <w:rPr>
          <w:sz w:val="18"/>
          <w:szCs w:val="18"/>
        </w:rPr>
        <w:t>, prepared for the Ministry for Primary Industries</w:t>
      </w:r>
      <w:r>
        <w:rPr>
          <w:sz w:val="18"/>
          <w:szCs w:val="18"/>
        </w:rPr>
        <w:t>.</w:t>
      </w:r>
    </w:p>
  </w:footnote>
  <w:footnote w:id="116">
    <w:p w14:paraId="7CB4E570" w14:textId="1FCC7061" w:rsidR="00B53139" w:rsidRPr="00562878" w:rsidRDefault="00B53139" w:rsidP="001D5779">
      <w:pPr>
        <w:pStyle w:val="NoSpacing"/>
        <w:rPr>
          <w:sz w:val="18"/>
          <w:szCs w:val="18"/>
        </w:rPr>
      </w:pPr>
      <w:r w:rsidRPr="00E45F4B">
        <w:rPr>
          <w:rStyle w:val="FootnoteReference"/>
          <w:rFonts w:cstheme="minorHAnsi"/>
          <w:szCs w:val="18"/>
        </w:rPr>
        <w:footnoteRef/>
      </w:r>
      <w:r w:rsidRPr="00E45F4B">
        <w:rPr>
          <w:rFonts w:cstheme="minorHAnsi"/>
          <w:sz w:val="18"/>
          <w:szCs w:val="18"/>
        </w:rPr>
        <w:t xml:space="preserve"> Talati, Z, Norman, R, Pettigrew, S, Neal, B, Kelly, B, Dixon, H, Ball, K, Miller, C &amp; Shilton, T 2017 </w:t>
      </w:r>
      <w:r>
        <w:rPr>
          <w:rFonts w:cstheme="minorHAnsi"/>
          <w:sz w:val="18"/>
          <w:szCs w:val="18"/>
        </w:rPr>
        <w:t>‘</w:t>
      </w:r>
      <w:r w:rsidRPr="00E45F4B">
        <w:rPr>
          <w:rFonts w:cstheme="minorHAnsi"/>
          <w:sz w:val="18"/>
          <w:szCs w:val="18"/>
        </w:rPr>
        <w:t xml:space="preserve">The impact of interpretive and reductive front-of-pack labels on food choice and willingness to pay, </w:t>
      </w:r>
      <w:r w:rsidRPr="00E45F4B">
        <w:rPr>
          <w:rFonts w:cstheme="minorHAnsi"/>
          <w:i/>
          <w:iCs/>
          <w:sz w:val="18"/>
          <w:szCs w:val="18"/>
        </w:rPr>
        <w:t>International Journal of Behavioural Nutrition and Physical Activity</w:t>
      </w:r>
      <w:r w:rsidRPr="00E45F4B">
        <w:rPr>
          <w:rFonts w:cstheme="minorHAnsi"/>
          <w:sz w:val="18"/>
          <w:szCs w:val="18"/>
        </w:rPr>
        <w:t xml:space="preserve">, </w:t>
      </w:r>
      <w:r>
        <w:rPr>
          <w:rFonts w:cstheme="minorHAnsi"/>
          <w:sz w:val="18"/>
          <w:szCs w:val="18"/>
        </w:rPr>
        <w:t xml:space="preserve">vol. </w:t>
      </w:r>
      <w:r w:rsidRPr="00E45F4B">
        <w:rPr>
          <w:rFonts w:cstheme="minorHAnsi"/>
          <w:sz w:val="18"/>
          <w:szCs w:val="18"/>
        </w:rPr>
        <w:t>14, p</w:t>
      </w:r>
      <w:r>
        <w:rPr>
          <w:rFonts w:cstheme="minorHAnsi"/>
          <w:sz w:val="18"/>
          <w:szCs w:val="18"/>
        </w:rPr>
        <w:t xml:space="preserve">p. </w:t>
      </w:r>
      <w:r w:rsidRPr="00E45F4B">
        <w:rPr>
          <w:rFonts w:cstheme="minorHAnsi"/>
          <w:sz w:val="18"/>
          <w:szCs w:val="18"/>
        </w:rPr>
        <w:t>2-10</w:t>
      </w:r>
      <w:r>
        <w:rPr>
          <w:rFonts w:cstheme="minorHAnsi"/>
          <w:sz w:val="18"/>
          <w:szCs w:val="18"/>
        </w:rPr>
        <w:t>.</w:t>
      </w:r>
    </w:p>
  </w:footnote>
  <w:footnote w:id="117">
    <w:p w14:paraId="133F3B1A" w14:textId="267E22FB" w:rsidR="00B53139" w:rsidRPr="0017608D" w:rsidRDefault="00B53139" w:rsidP="00C004F2">
      <w:pPr>
        <w:pStyle w:val="FootnoteText"/>
        <w:rPr>
          <w:sz w:val="18"/>
          <w:szCs w:val="18"/>
        </w:rPr>
      </w:pPr>
      <w:r w:rsidRPr="00012057">
        <w:rPr>
          <w:rStyle w:val="FootnoteReference"/>
          <w:szCs w:val="18"/>
        </w:rPr>
        <w:footnoteRef/>
      </w:r>
      <w:r w:rsidRPr="0017608D">
        <w:rPr>
          <w:sz w:val="18"/>
          <w:szCs w:val="18"/>
        </w:rPr>
        <w:t xml:space="preserve"> </w:t>
      </w:r>
      <w:r>
        <w:rPr>
          <w:rStyle w:val="Hyperlink"/>
          <w:sz w:val="18"/>
          <w:szCs w:val="18"/>
        </w:rPr>
        <w:t>LionCo website,</w:t>
      </w:r>
      <w:r w:rsidRPr="0017608D">
        <w:rPr>
          <w:sz w:val="18"/>
          <w:szCs w:val="18"/>
        </w:rPr>
        <w:t xml:space="preserve"> </w:t>
      </w:r>
      <w:r>
        <w:rPr>
          <w:sz w:val="18"/>
          <w:szCs w:val="18"/>
        </w:rPr>
        <w:t>accessed</w:t>
      </w:r>
      <w:r w:rsidRPr="00114310">
        <w:rPr>
          <w:sz w:val="18"/>
          <w:szCs w:val="18"/>
        </w:rPr>
        <w:t xml:space="preserve"> 25 January 2019</w:t>
      </w:r>
      <w:r>
        <w:rPr>
          <w:sz w:val="18"/>
          <w:szCs w:val="18"/>
        </w:rPr>
        <w:t>.</w:t>
      </w:r>
    </w:p>
  </w:footnote>
  <w:footnote w:id="118">
    <w:p w14:paraId="47DE15B1" w14:textId="5010CC14" w:rsidR="00B53139" w:rsidRPr="004B07D2" w:rsidRDefault="00B53139">
      <w:pPr>
        <w:pStyle w:val="FootnoteText"/>
        <w:rPr>
          <w:sz w:val="18"/>
          <w:szCs w:val="18"/>
        </w:rPr>
      </w:pPr>
      <w:r w:rsidRPr="004B07D2">
        <w:rPr>
          <w:rStyle w:val="FootnoteReference"/>
          <w:szCs w:val="18"/>
        </w:rPr>
        <w:footnoteRef/>
      </w:r>
      <w:r w:rsidRPr="004B07D2">
        <w:rPr>
          <w:sz w:val="18"/>
          <w:szCs w:val="18"/>
        </w:rPr>
        <w:t xml:space="preserve"> </w:t>
      </w:r>
      <w:r w:rsidRPr="004B07D2">
        <w:rPr>
          <w:rStyle w:val="Hyperlink"/>
          <w:sz w:val="18"/>
          <w:szCs w:val="18"/>
        </w:rPr>
        <w:t>Sanitarium website</w:t>
      </w:r>
      <w:r w:rsidRPr="004B07D2">
        <w:rPr>
          <w:sz w:val="18"/>
          <w:szCs w:val="18"/>
        </w:rPr>
        <w:t>, accessed on 25 January 2019.</w:t>
      </w:r>
    </w:p>
  </w:footnote>
  <w:footnote w:id="119">
    <w:p w14:paraId="0307013B" w14:textId="2F71ED63" w:rsidR="00B53139" w:rsidRPr="004B07D2" w:rsidRDefault="00B53139">
      <w:pPr>
        <w:pStyle w:val="FootnoteText"/>
        <w:rPr>
          <w:sz w:val="18"/>
          <w:szCs w:val="18"/>
        </w:rPr>
      </w:pPr>
      <w:r w:rsidRPr="004B07D2">
        <w:rPr>
          <w:rStyle w:val="FootnoteReference"/>
          <w:szCs w:val="18"/>
        </w:rPr>
        <w:footnoteRef/>
      </w:r>
      <w:r w:rsidRPr="004B07D2">
        <w:rPr>
          <w:sz w:val="18"/>
          <w:szCs w:val="18"/>
        </w:rPr>
        <w:t xml:space="preserve"> </w:t>
      </w:r>
      <w:hyperlink r:id="rId19" w:history="1">
        <w:r w:rsidRPr="004B07D2">
          <w:rPr>
            <w:rStyle w:val="Hyperlink"/>
            <w:sz w:val="18"/>
            <w:szCs w:val="18"/>
          </w:rPr>
          <w:t>Nestle website</w:t>
        </w:r>
      </w:hyperlink>
      <w:r w:rsidRPr="004B07D2">
        <w:rPr>
          <w:sz w:val="18"/>
          <w:szCs w:val="18"/>
        </w:rPr>
        <w:t>, accessed on 25 January 2019.</w:t>
      </w:r>
    </w:p>
  </w:footnote>
  <w:footnote w:id="120">
    <w:p w14:paraId="2259A9AE" w14:textId="40ACCBCD" w:rsidR="00B53139" w:rsidRPr="004B07D2" w:rsidRDefault="00B53139">
      <w:pPr>
        <w:pStyle w:val="FootnoteText"/>
        <w:rPr>
          <w:sz w:val="18"/>
          <w:szCs w:val="18"/>
        </w:rPr>
      </w:pPr>
      <w:r w:rsidRPr="004B07D2">
        <w:rPr>
          <w:rStyle w:val="FootnoteReference"/>
          <w:szCs w:val="18"/>
        </w:rPr>
        <w:footnoteRef/>
      </w:r>
      <w:r w:rsidRPr="004B07D2">
        <w:rPr>
          <w:sz w:val="18"/>
          <w:szCs w:val="18"/>
        </w:rPr>
        <w:t xml:space="preserve"> Food Industry Taskforce on Addressing Factors Contributing to Obesity, 2018, </w:t>
      </w:r>
      <w:r w:rsidRPr="004B07D2">
        <w:rPr>
          <w:i/>
          <w:sz w:val="18"/>
          <w:szCs w:val="18"/>
        </w:rPr>
        <w:t>Final Report to Ministers of Health and Food Safety.</w:t>
      </w:r>
    </w:p>
  </w:footnote>
  <w:footnote w:id="121">
    <w:p w14:paraId="349B1CA0" w14:textId="027319BA"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w:t>
      </w:r>
      <w:hyperlink r:id="rId20" w:history="1">
        <w:r w:rsidRPr="004B07D2">
          <w:rPr>
            <w:rStyle w:val="Hyperlink"/>
            <w:sz w:val="18"/>
            <w:szCs w:val="18"/>
          </w:rPr>
          <w:t>Coles website</w:t>
        </w:r>
      </w:hyperlink>
      <w:r w:rsidRPr="004B07D2">
        <w:rPr>
          <w:sz w:val="18"/>
          <w:szCs w:val="18"/>
        </w:rPr>
        <w:t>, accessed on 25 January 2019</w:t>
      </w:r>
      <w:r>
        <w:rPr>
          <w:sz w:val="18"/>
          <w:szCs w:val="18"/>
        </w:rPr>
        <w:t>.</w:t>
      </w:r>
    </w:p>
  </w:footnote>
  <w:footnote w:id="122">
    <w:p w14:paraId="3DA5F70C" w14:textId="19873D3B" w:rsidR="00B53139" w:rsidRPr="004B07D2" w:rsidRDefault="00B53139" w:rsidP="001D5779">
      <w:pPr>
        <w:pStyle w:val="FootnoteText"/>
        <w:rPr>
          <w:sz w:val="18"/>
          <w:szCs w:val="18"/>
        </w:rPr>
      </w:pPr>
      <w:r w:rsidRPr="004B07D2">
        <w:rPr>
          <w:rStyle w:val="FootnoteReference"/>
          <w:szCs w:val="18"/>
        </w:rPr>
        <w:footnoteRef/>
      </w:r>
      <w:r w:rsidRPr="004B07D2">
        <w:rPr>
          <w:sz w:val="18"/>
          <w:szCs w:val="18"/>
        </w:rPr>
        <w:t xml:space="preserve"> </w:t>
      </w:r>
      <w:hyperlink r:id="rId21" w:history="1">
        <w:r w:rsidRPr="004B07D2">
          <w:rPr>
            <w:rStyle w:val="Hyperlink"/>
            <w:sz w:val="18"/>
            <w:szCs w:val="18"/>
          </w:rPr>
          <w:t>Foodstuffs website</w:t>
        </w:r>
      </w:hyperlink>
      <w:r w:rsidRPr="004B07D2">
        <w:rPr>
          <w:sz w:val="18"/>
          <w:szCs w:val="18"/>
        </w:rPr>
        <w:t>, accessed on 25 January 2019.</w:t>
      </w:r>
    </w:p>
  </w:footnote>
  <w:footnote w:id="123">
    <w:p w14:paraId="230367CB" w14:textId="0D68A448" w:rsidR="00B53139" w:rsidRDefault="00B53139" w:rsidP="001D5779">
      <w:pPr>
        <w:pStyle w:val="FootnoteText"/>
      </w:pPr>
      <w:r w:rsidRPr="004B07D2">
        <w:rPr>
          <w:rStyle w:val="FootnoteReference"/>
          <w:szCs w:val="18"/>
        </w:rPr>
        <w:footnoteRef/>
      </w:r>
      <w:r w:rsidRPr="004B07D2">
        <w:rPr>
          <w:sz w:val="18"/>
          <w:szCs w:val="18"/>
        </w:rPr>
        <w:t xml:space="preserve"> </w:t>
      </w:r>
      <w:hyperlink r:id="rId22" w:history="1">
        <w:r w:rsidRPr="004B07D2">
          <w:rPr>
            <w:rStyle w:val="Hyperlink"/>
            <w:sz w:val="18"/>
            <w:szCs w:val="18"/>
          </w:rPr>
          <w:t>EatWell @ IGA website</w:t>
        </w:r>
      </w:hyperlink>
      <w:r w:rsidRPr="004B07D2">
        <w:rPr>
          <w:sz w:val="18"/>
          <w:szCs w:val="18"/>
        </w:rPr>
        <w:t>, accessed on 25 January 2019.</w:t>
      </w:r>
    </w:p>
  </w:footnote>
  <w:footnote w:id="124">
    <w:p w14:paraId="54B1A7D1" w14:textId="14AEB78F" w:rsidR="00B53139" w:rsidRPr="00D34697" w:rsidRDefault="00B53139" w:rsidP="001D5779">
      <w:pPr>
        <w:pStyle w:val="FootnoteText"/>
        <w:rPr>
          <w:sz w:val="18"/>
          <w:szCs w:val="18"/>
        </w:rPr>
      </w:pPr>
      <w:r w:rsidRPr="00D34697">
        <w:rPr>
          <w:rStyle w:val="FootnoteReference"/>
          <w:szCs w:val="18"/>
        </w:rPr>
        <w:footnoteRef/>
      </w:r>
      <w:r w:rsidRPr="00D34697">
        <w:rPr>
          <w:sz w:val="18"/>
          <w:szCs w:val="18"/>
        </w:rPr>
        <w:t xml:space="preserve"> Colmar Brunton, 2017 </w:t>
      </w:r>
      <w:r w:rsidRPr="00D34697">
        <w:rPr>
          <w:i/>
          <w:sz w:val="18"/>
          <w:szCs w:val="18"/>
        </w:rPr>
        <w:t>Industry uptake of the Health Star Rating System – A qualitative exploration</w:t>
      </w:r>
      <w:r w:rsidRPr="00D34697">
        <w:rPr>
          <w:sz w:val="18"/>
          <w:szCs w:val="18"/>
        </w:rPr>
        <w:t>, prepared for the MPI</w:t>
      </w:r>
      <w:r>
        <w:rPr>
          <w:sz w:val="18"/>
          <w:szCs w:val="18"/>
        </w:rPr>
        <w:t>.</w:t>
      </w:r>
    </w:p>
  </w:footnote>
  <w:footnote w:id="125">
    <w:p w14:paraId="20552195" w14:textId="0DC4AB44" w:rsidR="00B53139" w:rsidRDefault="00B53139" w:rsidP="003F0C98">
      <w:pPr>
        <w:pStyle w:val="FootnoteText"/>
      </w:pPr>
      <w:r w:rsidRPr="00CD7880">
        <w:rPr>
          <w:rStyle w:val="FootnoteReference"/>
          <w:szCs w:val="18"/>
        </w:rPr>
        <w:footnoteRef/>
      </w:r>
      <w:r w:rsidRPr="00CD7880">
        <w:rPr>
          <w:sz w:val="18"/>
          <w:szCs w:val="18"/>
        </w:rPr>
        <w:t xml:space="preserve"> Colmar Brunton, 2017 </w:t>
      </w:r>
      <w:r w:rsidRPr="00CD7880">
        <w:rPr>
          <w:i/>
          <w:sz w:val="18"/>
          <w:szCs w:val="18"/>
        </w:rPr>
        <w:t>Industry uptake of the Health Star Rating System – A qualitative exploration</w:t>
      </w:r>
      <w:r w:rsidRPr="00CD7880">
        <w:rPr>
          <w:sz w:val="18"/>
          <w:szCs w:val="18"/>
        </w:rPr>
        <w:t xml:space="preserve">, prepared for </w:t>
      </w:r>
      <w:r>
        <w:rPr>
          <w:sz w:val="18"/>
          <w:szCs w:val="18"/>
        </w:rPr>
        <w:t>the MPI.</w:t>
      </w:r>
    </w:p>
  </w:footnote>
  <w:footnote w:id="126">
    <w:p w14:paraId="096A4978" w14:textId="7053B78A" w:rsidR="00B53139" w:rsidRPr="004B07D2" w:rsidRDefault="00B53139" w:rsidP="004B07D2">
      <w:pPr>
        <w:autoSpaceDE w:val="0"/>
        <w:autoSpaceDN w:val="0"/>
        <w:adjustRightInd w:val="0"/>
        <w:rPr>
          <w:rFonts w:cstheme="minorHAnsi"/>
          <w:sz w:val="18"/>
          <w:szCs w:val="18"/>
          <w:lang w:val="en-GB"/>
        </w:rPr>
      </w:pPr>
      <w:r w:rsidRPr="004B07D2">
        <w:rPr>
          <w:rStyle w:val="FootnoteReference"/>
          <w:szCs w:val="18"/>
        </w:rPr>
        <w:footnoteRef/>
      </w:r>
      <w:r w:rsidRPr="004B07D2">
        <w:rPr>
          <w:sz w:val="18"/>
          <w:szCs w:val="18"/>
        </w:rPr>
        <w:t xml:space="preserve"> </w:t>
      </w:r>
      <w:r w:rsidRPr="004B07D2">
        <w:rPr>
          <w:rFonts w:cstheme="minorHAnsi"/>
          <w:sz w:val="18"/>
          <w:szCs w:val="18"/>
          <w:lang w:val="en-GB"/>
        </w:rPr>
        <w:t>Jones, A, Shahid, M &amp; Neal, B 2018</w:t>
      </w:r>
      <w:r w:rsidRPr="004B07D2">
        <w:rPr>
          <w:rFonts w:cstheme="minorHAnsi"/>
          <w:i/>
          <w:iCs/>
          <w:sz w:val="18"/>
          <w:szCs w:val="18"/>
          <w:lang w:val="en-GB"/>
        </w:rPr>
        <w:t xml:space="preserve"> ‘</w:t>
      </w:r>
      <w:r w:rsidRPr="004B07D2">
        <w:rPr>
          <w:rFonts w:cstheme="minorHAnsi"/>
          <w:sz w:val="18"/>
          <w:szCs w:val="18"/>
          <w:lang w:val="en-GB"/>
        </w:rPr>
        <w:t xml:space="preserve">Uptake of Australia’s Health Star Rating System’, </w:t>
      </w:r>
      <w:r w:rsidRPr="004B07D2">
        <w:rPr>
          <w:rFonts w:cstheme="minorHAnsi"/>
          <w:i/>
          <w:iCs/>
          <w:sz w:val="18"/>
          <w:szCs w:val="18"/>
          <w:lang w:val="en-GB"/>
        </w:rPr>
        <w:t>Nutrients</w:t>
      </w:r>
      <w:r w:rsidRPr="004B07D2">
        <w:rPr>
          <w:rFonts w:cstheme="minorHAnsi"/>
          <w:sz w:val="18"/>
          <w:szCs w:val="18"/>
          <w:lang w:val="en-GB"/>
        </w:rPr>
        <w:t>, vol. 10, no. 8, 997, pp. 1-13.</w:t>
      </w:r>
    </w:p>
  </w:footnote>
  <w:footnote w:id="127">
    <w:p w14:paraId="0967EDE3" w14:textId="74682361" w:rsidR="00B53139" w:rsidRDefault="00B53139">
      <w:pPr>
        <w:pStyle w:val="FootnoteText"/>
      </w:pPr>
      <w:r w:rsidRPr="00602820">
        <w:rPr>
          <w:rStyle w:val="FootnoteReference"/>
          <w:szCs w:val="18"/>
        </w:rPr>
        <w:footnoteRef/>
      </w:r>
      <w:r w:rsidRPr="00602820">
        <w:rPr>
          <w:sz w:val="18"/>
          <w:szCs w:val="18"/>
        </w:rPr>
        <w:t xml:space="preserve"> Parker, G, Souvlis, P, Parry-Husbands, H 2015 </w:t>
      </w:r>
      <w:r w:rsidRPr="009A44E2">
        <w:rPr>
          <w:i/>
          <w:sz w:val="18"/>
          <w:szCs w:val="18"/>
        </w:rPr>
        <w:t>Health Star Rating System: Consumer use and understanding</w:t>
      </w:r>
      <w:r w:rsidRPr="00602820">
        <w:rPr>
          <w:sz w:val="18"/>
          <w:szCs w:val="18"/>
        </w:rPr>
        <w:t>, prepared by Pollinate Research for the Department of Health</w:t>
      </w:r>
      <w:r>
        <w:rPr>
          <w:sz w:val="18"/>
          <w:szCs w:val="18"/>
        </w:rPr>
        <w:t>, Sydney.</w:t>
      </w:r>
    </w:p>
  </w:footnote>
  <w:footnote w:id="128">
    <w:p w14:paraId="158379F4" w14:textId="4EF3F87A" w:rsidR="00B53139" w:rsidRPr="00E45F4B" w:rsidRDefault="00B53139" w:rsidP="00491FB9">
      <w:pPr>
        <w:pStyle w:val="FootnoteText"/>
        <w:rPr>
          <w:sz w:val="18"/>
          <w:szCs w:val="18"/>
        </w:rPr>
      </w:pPr>
      <w:r w:rsidRPr="00E45F4B">
        <w:rPr>
          <w:rStyle w:val="FootnoteReference"/>
          <w:szCs w:val="18"/>
        </w:rPr>
        <w:footnoteRef/>
      </w:r>
      <w:r w:rsidRPr="00E45F4B">
        <w:rPr>
          <w:sz w:val="18"/>
          <w:szCs w:val="18"/>
        </w:rPr>
        <w:t xml:space="preserve"> </w:t>
      </w:r>
      <w:r w:rsidRPr="00E45F4B">
        <w:rPr>
          <w:sz w:val="18"/>
          <w:szCs w:val="18"/>
          <w:lang w:val="en-GB"/>
        </w:rPr>
        <w:t xml:space="preserve">New Zealand Food Safety 2018, </w:t>
      </w:r>
      <w:r w:rsidRPr="00E45F4B">
        <w:rPr>
          <w:i/>
          <w:sz w:val="18"/>
          <w:szCs w:val="18"/>
          <w:lang w:val="en-GB"/>
        </w:rPr>
        <w:t xml:space="preserve">Health Star Rating – Monitoring implementation for the Five Year Review, </w:t>
      </w:r>
      <w:r w:rsidRPr="00E45F4B">
        <w:rPr>
          <w:sz w:val="18"/>
          <w:szCs w:val="18"/>
          <w:lang w:val="en-GB"/>
        </w:rPr>
        <w:t>New Zealand Ministry for Primary Industries, p.</w:t>
      </w:r>
      <w:r>
        <w:rPr>
          <w:sz w:val="18"/>
          <w:szCs w:val="18"/>
          <w:lang w:val="en-GB"/>
        </w:rPr>
        <w:t xml:space="preserve"> </w:t>
      </w:r>
      <w:r w:rsidRPr="00E45F4B">
        <w:rPr>
          <w:sz w:val="18"/>
          <w:szCs w:val="18"/>
          <w:lang w:val="en-GB"/>
        </w:rPr>
        <w:t>60.</w:t>
      </w:r>
    </w:p>
  </w:footnote>
  <w:footnote w:id="129">
    <w:p w14:paraId="6FEA4148" w14:textId="46C53E64" w:rsidR="00B53139" w:rsidRDefault="00B53139" w:rsidP="00491FB9">
      <w:pPr>
        <w:pStyle w:val="FootnoteText"/>
      </w:pPr>
      <w:r w:rsidRPr="00E45F4B">
        <w:rPr>
          <w:rStyle w:val="FootnoteReference"/>
          <w:szCs w:val="18"/>
        </w:rPr>
        <w:footnoteRef/>
      </w:r>
      <w:r w:rsidRPr="00E45F4B">
        <w:rPr>
          <w:sz w:val="18"/>
          <w:szCs w:val="18"/>
        </w:rPr>
        <w:t xml:space="preserve"> </w:t>
      </w:r>
      <w:r w:rsidRPr="00E45F4B">
        <w:rPr>
          <w:rFonts w:cstheme="minorHAnsi"/>
          <w:color w:val="000000"/>
          <w:sz w:val="18"/>
          <w:szCs w:val="18"/>
        </w:rPr>
        <w:t>Grunert, K, Wills, J, Fernandez-Celemin, L 2010</w:t>
      </w:r>
      <w:r>
        <w:rPr>
          <w:rFonts w:cstheme="minorHAnsi"/>
          <w:color w:val="000000"/>
          <w:sz w:val="18"/>
          <w:szCs w:val="18"/>
        </w:rPr>
        <w:t xml:space="preserve"> ‘</w:t>
      </w:r>
      <w:r w:rsidRPr="00E45F4B">
        <w:rPr>
          <w:rFonts w:cstheme="minorHAnsi"/>
          <w:color w:val="000000"/>
          <w:sz w:val="18"/>
          <w:szCs w:val="18"/>
        </w:rPr>
        <w:t>Nutrition knowledge, and use and understanding of nutrition information on food labels among consumers in the UK</w:t>
      </w:r>
      <w:r>
        <w:rPr>
          <w:rFonts w:cstheme="minorHAnsi"/>
          <w:color w:val="000000"/>
          <w:sz w:val="18"/>
          <w:szCs w:val="18"/>
        </w:rPr>
        <w:t xml:space="preserve">’, </w:t>
      </w:r>
      <w:r w:rsidRPr="00E45F4B">
        <w:rPr>
          <w:rFonts w:cstheme="minorHAnsi"/>
          <w:i/>
          <w:iCs/>
          <w:color w:val="000000"/>
          <w:sz w:val="18"/>
          <w:szCs w:val="18"/>
        </w:rPr>
        <w:t>Appetite</w:t>
      </w:r>
      <w:r w:rsidRPr="00E45F4B">
        <w:rPr>
          <w:rFonts w:cstheme="minorHAnsi"/>
          <w:color w:val="000000"/>
          <w:sz w:val="18"/>
          <w:szCs w:val="18"/>
        </w:rPr>
        <w:t>,</w:t>
      </w:r>
      <w:r>
        <w:rPr>
          <w:rFonts w:cstheme="minorHAnsi"/>
          <w:color w:val="000000"/>
          <w:sz w:val="18"/>
          <w:szCs w:val="18"/>
        </w:rPr>
        <w:t xml:space="preserve"> vol.</w:t>
      </w:r>
      <w:r w:rsidRPr="00E45F4B">
        <w:rPr>
          <w:rFonts w:cstheme="minorHAnsi"/>
          <w:color w:val="000000"/>
          <w:sz w:val="18"/>
          <w:szCs w:val="18"/>
        </w:rPr>
        <w:t xml:space="preserve"> 55</w:t>
      </w:r>
      <w:r>
        <w:rPr>
          <w:rFonts w:cstheme="minorHAnsi"/>
          <w:color w:val="000000"/>
          <w:sz w:val="18"/>
          <w:szCs w:val="18"/>
        </w:rPr>
        <w:t xml:space="preserve">, no. </w:t>
      </w:r>
      <w:r w:rsidRPr="00E45F4B">
        <w:rPr>
          <w:rFonts w:cstheme="minorHAnsi"/>
          <w:color w:val="000000"/>
          <w:sz w:val="18"/>
          <w:szCs w:val="18"/>
        </w:rPr>
        <w:t>2,</w:t>
      </w:r>
      <w:r w:rsidRPr="00E45F4B">
        <w:rPr>
          <w:rStyle w:val="apple-converted-space"/>
          <w:rFonts w:cstheme="minorHAnsi"/>
          <w:color w:val="000000"/>
          <w:sz w:val="18"/>
          <w:szCs w:val="18"/>
        </w:rPr>
        <w:t> </w:t>
      </w:r>
      <w:r w:rsidRPr="00E45F4B">
        <w:rPr>
          <w:rFonts w:cstheme="minorHAnsi"/>
          <w:color w:val="000000"/>
          <w:sz w:val="18"/>
          <w:szCs w:val="18"/>
        </w:rPr>
        <w:t>p</w:t>
      </w:r>
      <w:r>
        <w:rPr>
          <w:rFonts w:cstheme="minorHAnsi"/>
          <w:color w:val="000000"/>
          <w:sz w:val="18"/>
          <w:szCs w:val="18"/>
        </w:rPr>
        <w:t>p</w:t>
      </w:r>
      <w:r w:rsidRPr="00E45F4B">
        <w:rPr>
          <w:rFonts w:cstheme="minorHAnsi"/>
          <w:color w:val="000000"/>
          <w:sz w:val="18"/>
          <w:szCs w:val="18"/>
        </w:rPr>
        <w:t>. 177-189.</w:t>
      </w:r>
    </w:p>
  </w:footnote>
  <w:footnote w:id="130">
    <w:p w14:paraId="7D43EE5D" w14:textId="77777777" w:rsidR="00B53139" w:rsidRPr="003E0249" w:rsidRDefault="00B53139" w:rsidP="00F43B13">
      <w:pPr>
        <w:pStyle w:val="FootnoteText"/>
      </w:pPr>
      <w:r w:rsidRPr="006F3A46">
        <w:rPr>
          <w:rStyle w:val="FootnoteReference"/>
          <w:szCs w:val="18"/>
        </w:rPr>
        <w:footnoteRef/>
      </w:r>
      <w:r w:rsidRPr="006F3A46">
        <w:rPr>
          <w:sz w:val="18"/>
        </w:rPr>
        <w:t xml:space="preserve"> The Forum agreed in June 2018 to limit the application of the HSR System to the product ‘as sold.’ This decision will be implemented alongside and in the context of the Review.</w:t>
      </w:r>
    </w:p>
  </w:footnote>
  <w:footnote w:id="131">
    <w:p w14:paraId="405B7E2D" w14:textId="77777777" w:rsidR="00B53139" w:rsidRPr="009A44E2" w:rsidRDefault="00B53139" w:rsidP="009B0396">
      <w:pPr>
        <w:autoSpaceDE w:val="0"/>
        <w:autoSpaceDN w:val="0"/>
        <w:adjustRightInd w:val="0"/>
        <w:rPr>
          <w:rFonts w:cstheme="minorHAnsi"/>
          <w:color w:val="000000"/>
          <w:sz w:val="18"/>
          <w:szCs w:val="18"/>
          <w:lang w:val="en-US"/>
        </w:rPr>
      </w:pPr>
      <w:r w:rsidRPr="009A44E2">
        <w:rPr>
          <w:rStyle w:val="FootnoteReference"/>
          <w:rFonts w:cstheme="minorHAnsi"/>
          <w:szCs w:val="18"/>
        </w:rPr>
        <w:footnoteRef/>
      </w:r>
      <w:r w:rsidRPr="009A44E2">
        <w:rPr>
          <w:rFonts w:cstheme="minorHAnsi"/>
          <w:sz w:val="18"/>
          <w:szCs w:val="18"/>
        </w:rPr>
        <w:t xml:space="preserve"> </w:t>
      </w:r>
      <w:r w:rsidRPr="009A44E2">
        <w:rPr>
          <w:rFonts w:cstheme="minorHAnsi"/>
          <w:color w:val="000000"/>
          <w:sz w:val="18"/>
          <w:szCs w:val="18"/>
          <w:lang w:val="en-US"/>
        </w:rPr>
        <w:t>Neal, B, Crino, M, Dunford, E, Gao, A, Greenland, R, Li, N, Ngai, J, Ni Mhurchu, C, Pettigrew, S, Sacks, G, Webster, J &amp; Wu JHY 2017, ‘Effects of different types of Front-of-Pack Labelling information on the healthiness of food purchases – a Randomised Controlled Trial’,</w:t>
      </w:r>
      <w:r w:rsidRPr="009A44E2">
        <w:rPr>
          <w:rFonts w:cstheme="minorHAnsi"/>
          <w:i/>
          <w:iCs/>
          <w:color w:val="000000"/>
          <w:sz w:val="18"/>
          <w:szCs w:val="18"/>
          <w:lang w:val="en-US"/>
        </w:rPr>
        <w:t xml:space="preserve"> Nutrients</w:t>
      </w:r>
      <w:r w:rsidRPr="009A44E2">
        <w:rPr>
          <w:rFonts w:cstheme="minorHAnsi"/>
          <w:color w:val="000000"/>
          <w:sz w:val="18"/>
          <w:szCs w:val="18"/>
          <w:lang w:val="en-US"/>
        </w:rPr>
        <w:t>, vol. 9, no. 12, p. 1284.</w:t>
      </w:r>
    </w:p>
  </w:footnote>
  <w:footnote w:id="132">
    <w:p w14:paraId="11045F64" w14:textId="77777777" w:rsidR="00B53139" w:rsidRPr="009A44E2" w:rsidRDefault="00B53139" w:rsidP="009B0396">
      <w:pPr>
        <w:pStyle w:val="mpcNormal"/>
        <w:rPr>
          <w:sz w:val="18"/>
          <w:szCs w:val="18"/>
          <w:lang w:val="en-GB"/>
        </w:rPr>
      </w:pPr>
      <w:r w:rsidRPr="009A44E2">
        <w:rPr>
          <w:rStyle w:val="FootnoteReference"/>
          <w:szCs w:val="18"/>
        </w:rPr>
        <w:footnoteRef/>
      </w:r>
      <w:r w:rsidRPr="009A44E2">
        <w:rPr>
          <w:sz w:val="18"/>
          <w:szCs w:val="18"/>
        </w:rPr>
        <w:t xml:space="preserve"> </w:t>
      </w:r>
      <w:r w:rsidRPr="009A44E2">
        <w:rPr>
          <w:sz w:val="18"/>
          <w:szCs w:val="18"/>
          <w:lang w:val="en-GB"/>
        </w:rPr>
        <w:t xml:space="preserve">Pettigrew, S, Talati, Z, Miller, C, Dixon, H, Kelly, B, &amp; Ball, K 2017 ‘The types and aspects of front-of-pack food labelling schemes preferred by adults and children’, </w:t>
      </w:r>
      <w:r w:rsidRPr="009A44E2">
        <w:rPr>
          <w:i/>
          <w:iCs/>
          <w:sz w:val="18"/>
          <w:szCs w:val="18"/>
          <w:lang w:val="en-GB"/>
        </w:rPr>
        <w:t>Appetite</w:t>
      </w:r>
      <w:r w:rsidRPr="009A44E2">
        <w:rPr>
          <w:sz w:val="18"/>
          <w:szCs w:val="18"/>
          <w:lang w:val="en-GB"/>
        </w:rPr>
        <w:t>, vol. 109, pp. 115-123</w:t>
      </w:r>
      <w:r>
        <w:rPr>
          <w:sz w:val="18"/>
          <w:szCs w:val="18"/>
          <w:lang w:val="en-GB"/>
        </w:rPr>
        <w:t>.</w:t>
      </w:r>
    </w:p>
  </w:footnote>
  <w:footnote w:id="133">
    <w:p w14:paraId="6FCC270A" w14:textId="77777777" w:rsidR="00B53139" w:rsidRPr="009A44E2" w:rsidRDefault="00B53139" w:rsidP="009B0396">
      <w:pPr>
        <w:pStyle w:val="FootnoteText"/>
        <w:rPr>
          <w:sz w:val="18"/>
          <w:szCs w:val="18"/>
        </w:rPr>
      </w:pPr>
      <w:r w:rsidRPr="009A44E2">
        <w:rPr>
          <w:rStyle w:val="FootnoteReference"/>
          <w:szCs w:val="18"/>
        </w:rPr>
        <w:footnoteRef/>
      </w:r>
      <w:r w:rsidRPr="009A44E2">
        <w:rPr>
          <w:sz w:val="18"/>
          <w:szCs w:val="18"/>
        </w:rPr>
        <w:t xml:space="preserve"> </w:t>
      </w:r>
      <w:r w:rsidRPr="009A44E2">
        <w:rPr>
          <w:rFonts w:cstheme="minorHAnsi"/>
          <w:sz w:val="18"/>
          <w:szCs w:val="18"/>
          <w:lang w:val="en-GB"/>
        </w:rPr>
        <w:t xml:space="preserve">Talati, Z, Pettigrew, S, Kelly, B, Ball, K, Hughes, C, Kelly, B, Neal, B, &amp; Dixon, H, 2017 ‘The relative ability of different front-of-pack labels to assist consumers discriminate between healthy, moderately healthy, and unhealthy foods’, </w:t>
      </w:r>
      <w:r w:rsidRPr="009A44E2">
        <w:rPr>
          <w:rFonts w:cstheme="minorHAnsi"/>
          <w:i/>
          <w:iCs/>
          <w:sz w:val="18"/>
          <w:szCs w:val="18"/>
          <w:lang w:val="en-GB"/>
        </w:rPr>
        <w:t>Food quality and preference</w:t>
      </w:r>
      <w:r w:rsidRPr="009A44E2">
        <w:rPr>
          <w:rFonts w:cstheme="minorHAnsi"/>
          <w:sz w:val="18"/>
          <w:szCs w:val="18"/>
          <w:lang w:val="en-GB"/>
        </w:rPr>
        <w:t>, vol. 59, pp. 109-113</w:t>
      </w:r>
      <w:r>
        <w:rPr>
          <w:rFonts w:cstheme="minorHAnsi"/>
          <w:sz w:val="18"/>
          <w:szCs w:val="18"/>
          <w:lang w:val="en-GB"/>
        </w:rPr>
        <w:t>.</w:t>
      </w:r>
    </w:p>
  </w:footnote>
  <w:footnote w:id="134">
    <w:p w14:paraId="06028ED1" w14:textId="77777777" w:rsidR="00B53139" w:rsidRPr="006371E8" w:rsidRDefault="00B53139" w:rsidP="009B0396">
      <w:pPr>
        <w:pStyle w:val="FootnoteText"/>
        <w:rPr>
          <w:sz w:val="18"/>
          <w:szCs w:val="18"/>
        </w:rPr>
      </w:pPr>
      <w:r w:rsidRPr="009A44E2">
        <w:rPr>
          <w:rStyle w:val="FootnoteReference"/>
          <w:szCs w:val="18"/>
        </w:rPr>
        <w:footnoteRef/>
      </w:r>
      <w:r w:rsidRPr="009A44E2">
        <w:rPr>
          <w:sz w:val="18"/>
          <w:szCs w:val="18"/>
        </w:rPr>
        <w:t xml:space="preserve"> </w:t>
      </w:r>
      <w:r w:rsidRPr="009A44E2">
        <w:rPr>
          <w:rFonts w:cstheme="minorHAnsi"/>
          <w:sz w:val="18"/>
          <w:szCs w:val="18"/>
          <w:lang w:val="en-GB"/>
        </w:rPr>
        <w:t xml:space="preserve">Talati, Z, Norman, R, Pettigrew, S, Neal, B, Kelly, B, Dixon, H, Ball, K, Miller, C, &amp; Shilton, T 2017 ‘The impact of interpretive and reductive front-of-pack labels on food choice and willingness to pay’ </w:t>
      </w:r>
      <w:r w:rsidRPr="009A44E2">
        <w:rPr>
          <w:rFonts w:cstheme="minorHAnsi"/>
          <w:i/>
          <w:sz w:val="18"/>
          <w:szCs w:val="18"/>
          <w:lang w:val="en-GB"/>
        </w:rPr>
        <w:t>International Journal of Behavioural Nutrition and Physical Activity</w:t>
      </w:r>
      <w:r w:rsidRPr="009A44E2">
        <w:rPr>
          <w:rFonts w:cstheme="minorHAnsi"/>
          <w:sz w:val="18"/>
          <w:szCs w:val="18"/>
          <w:lang w:val="en-GB"/>
        </w:rPr>
        <w:t>, vol. 14, no. 1, p. 171</w:t>
      </w:r>
      <w:r>
        <w:rPr>
          <w:rFonts w:cstheme="minorHAnsi"/>
          <w:sz w:val="18"/>
          <w:szCs w:val="18"/>
          <w:lang w:val="en-GB"/>
        </w:rPr>
        <w:t>.</w:t>
      </w:r>
    </w:p>
  </w:footnote>
  <w:footnote w:id="135">
    <w:p w14:paraId="2B2D95DC" w14:textId="77777777" w:rsidR="00B53139" w:rsidRPr="00B43D13" w:rsidRDefault="00B53139" w:rsidP="009B0396">
      <w:pPr>
        <w:rPr>
          <w:rFonts w:cstheme="minorHAnsi"/>
          <w:color w:val="000000" w:themeColor="text1"/>
          <w:sz w:val="18"/>
          <w:szCs w:val="18"/>
        </w:rPr>
      </w:pPr>
      <w:r w:rsidRPr="00B43D13">
        <w:rPr>
          <w:rStyle w:val="FootnoteReference"/>
          <w:szCs w:val="18"/>
        </w:rPr>
        <w:footnoteRef/>
      </w:r>
      <w:r w:rsidRPr="00B43D13">
        <w:rPr>
          <w:sz w:val="18"/>
          <w:szCs w:val="18"/>
        </w:rPr>
        <w:t xml:space="preserve"> </w:t>
      </w:r>
      <w:r w:rsidRPr="00B43D13">
        <w:rPr>
          <w:rFonts w:eastAsia="Times New Roman" w:cstheme="minorHAnsi"/>
          <w:iCs/>
          <w:sz w:val="18"/>
          <w:szCs w:val="18"/>
        </w:rPr>
        <w:t>Rayner, M, Scarborough, P &amp; Lobstein, T</w:t>
      </w:r>
      <w:r w:rsidRPr="00B43D13">
        <w:rPr>
          <w:rFonts w:eastAsia="Times New Roman" w:cstheme="minorHAnsi"/>
          <w:i/>
          <w:sz w:val="18"/>
          <w:szCs w:val="18"/>
        </w:rPr>
        <w:t xml:space="preserve"> </w:t>
      </w:r>
      <w:r w:rsidRPr="00B43D13">
        <w:rPr>
          <w:rFonts w:eastAsia="Times New Roman" w:cstheme="minorHAnsi"/>
          <w:sz w:val="18"/>
          <w:szCs w:val="18"/>
        </w:rPr>
        <w:t>2009</w:t>
      </w:r>
      <w:r w:rsidRPr="00B43D13">
        <w:rPr>
          <w:rFonts w:eastAsia="Times New Roman" w:cstheme="minorHAnsi"/>
          <w:i/>
          <w:sz w:val="18"/>
          <w:szCs w:val="18"/>
        </w:rPr>
        <w:t xml:space="preserve">, </w:t>
      </w:r>
      <w:hyperlink r:id="rId23" w:history="1">
        <w:r w:rsidRPr="00B43D13">
          <w:rPr>
            <w:rStyle w:val="Hyperlink"/>
            <w:rFonts w:eastAsia="Times New Roman" w:cstheme="minorHAnsi"/>
            <w:i/>
            <w:sz w:val="18"/>
            <w:szCs w:val="18"/>
          </w:rPr>
          <w:t>The UK Ofcom Nutrient Profiling Model: Defining ‘healthy’ and ‘unhealthy’ foods and drinks for TV advertising for children</w:t>
        </w:r>
      </w:hyperlink>
      <w:r w:rsidRPr="00B43D13">
        <w:rPr>
          <w:rFonts w:eastAsia="Times New Roman" w:cstheme="minorHAnsi"/>
          <w:i/>
          <w:sz w:val="18"/>
          <w:szCs w:val="18"/>
        </w:rPr>
        <w:t xml:space="preserve">, </w:t>
      </w:r>
      <w:r w:rsidRPr="00B43D13">
        <w:rPr>
          <w:rFonts w:eastAsia="Times New Roman" w:cstheme="minorHAnsi"/>
          <w:iCs/>
          <w:sz w:val="18"/>
          <w:szCs w:val="18"/>
        </w:rPr>
        <w:t>October, accessed 17 January 2019.</w:t>
      </w:r>
    </w:p>
  </w:footnote>
  <w:footnote w:id="136">
    <w:p w14:paraId="0EDAD9AA" w14:textId="77777777" w:rsidR="00B53139" w:rsidRPr="00B43D13" w:rsidRDefault="00B53139" w:rsidP="009B0396">
      <w:pPr>
        <w:pStyle w:val="NoSpacing"/>
        <w:rPr>
          <w:rFonts w:cstheme="minorHAnsi"/>
          <w:sz w:val="20"/>
          <w:szCs w:val="20"/>
          <w:lang w:val="en-GB"/>
        </w:rPr>
      </w:pPr>
      <w:r w:rsidRPr="00B43D13">
        <w:rPr>
          <w:rStyle w:val="FootnoteReference"/>
          <w:szCs w:val="18"/>
        </w:rPr>
        <w:footnoteRef/>
      </w:r>
      <w:r w:rsidRPr="00B43D13">
        <w:rPr>
          <w:sz w:val="18"/>
          <w:szCs w:val="18"/>
        </w:rPr>
        <w:t xml:space="preserve"> </w:t>
      </w:r>
      <w:r w:rsidRPr="00B43D13">
        <w:rPr>
          <w:rFonts w:cstheme="minorHAnsi"/>
          <w:sz w:val="18"/>
          <w:szCs w:val="18"/>
          <w:lang w:val="en-GB"/>
        </w:rPr>
        <w:t xml:space="preserve">Ni Mhurchu, C, Eyles, H &amp; Choi, Y, 2017 ‘Effects of a Voluntary Front-of-Pack Nutrition Labelling System on packaged food reformulation: the Health Star Rating system in New Zealand’, </w:t>
      </w:r>
      <w:r w:rsidRPr="00B43D13">
        <w:rPr>
          <w:rFonts w:cstheme="minorHAnsi"/>
          <w:i/>
          <w:iCs/>
          <w:sz w:val="18"/>
          <w:szCs w:val="18"/>
          <w:lang w:val="en-GB"/>
        </w:rPr>
        <w:t>Nutrients</w:t>
      </w:r>
      <w:r w:rsidRPr="00B43D13">
        <w:rPr>
          <w:rFonts w:cstheme="minorHAnsi"/>
          <w:sz w:val="18"/>
          <w:szCs w:val="18"/>
          <w:lang w:val="en-GB"/>
        </w:rPr>
        <w:t>, vol. 9, no. 918.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AC00C" w14:textId="77777777" w:rsidR="00B53139" w:rsidRDefault="00B53139" w:rsidP="00B36208">
    <w:pPr>
      <w:pStyle w:val="Header"/>
      <w:jc w:val="right"/>
      <w:rPr>
        <w:rFonts w:ascii="Cambria" w:hAnsi="Cambria"/>
        <w:b/>
        <w:sz w:val="20"/>
        <w:szCs w:val="20"/>
      </w:rPr>
    </w:pPr>
    <w:r>
      <w:rPr>
        <w:rFonts w:ascii="Cambria" w:hAnsi="Cambria"/>
        <w:b/>
        <w:noProof/>
        <w:sz w:val="20"/>
        <w:szCs w:val="20"/>
        <w:lang w:eastAsia="en-AU"/>
      </w:rPr>
      <w:drawing>
        <wp:inline distT="0" distB="0" distL="0" distR="0" wp14:anchorId="1AB4B257" wp14:editId="18279AA3">
          <wp:extent cx="1454468" cy="255793"/>
          <wp:effectExtent l="0" t="0" r="0" b="0"/>
          <wp:docPr id="44" name="Picture 44" descr="mpconsult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pc-logo grey green.jpg"/>
                  <pic:cNvPicPr/>
                </pic:nvPicPr>
                <pic:blipFill>
                  <a:blip r:embed="rId1">
                    <a:extLst>
                      <a:ext uri="{28A0092B-C50C-407E-A947-70E740481C1C}">
                        <a14:useLocalDpi xmlns:a14="http://schemas.microsoft.com/office/drawing/2010/main" val="0"/>
                      </a:ext>
                    </a:extLst>
                  </a:blip>
                  <a:stretch>
                    <a:fillRect/>
                  </a:stretch>
                </pic:blipFill>
                <pic:spPr>
                  <a:xfrm>
                    <a:off x="0" y="0"/>
                    <a:ext cx="1530715" cy="269202"/>
                  </a:xfrm>
                  <a:prstGeom prst="rect">
                    <a:avLst/>
                  </a:prstGeom>
                </pic:spPr>
              </pic:pic>
            </a:graphicData>
          </a:graphic>
        </wp:inline>
      </w:drawing>
    </w:r>
  </w:p>
  <w:p w14:paraId="00164DA0" w14:textId="77777777" w:rsidR="00B53139" w:rsidRPr="002C2A25" w:rsidRDefault="00B53139" w:rsidP="00B36208">
    <w:pPr>
      <w:pStyle w:val="Header"/>
      <w:rPr>
        <w:rFonts w:ascii="Cambria" w:hAnsi="Cambria"/>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D84250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2816C3"/>
    <w:multiLevelType w:val="hybridMultilevel"/>
    <w:tmpl w:val="D0E2EC06"/>
    <w:lvl w:ilvl="0" w:tplc="6B5AB52C">
      <w:start w:val="1"/>
      <w:numFmt w:val="bullet"/>
      <w:pStyle w:val="FSBullet"/>
      <w:lvlText w:val=""/>
      <w:lvlJc w:val="left"/>
      <w:pPr>
        <w:ind w:left="720" w:hanging="360"/>
      </w:pPr>
      <w:rPr>
        <w:rFonts w:ascii="Symbol" w:hAnsi="Symbol" w:hint="default"/>
        <w:sz w:val="22"/>
      </w:rPr>
    </w:lvl>
    <w:lvl w:ilvl="1" w:tplc="0C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E607DC"/>
    <w:multiLevelType w:val="hybridMultilevel"/>
    <w:tmpl w:val="5CEE92D2"/>
    <w:lvl w:ilvl="0" w:tplc="04090001">
      <w:start w:val="1"/>
      <w:numFmt w:val="bullet"/>
      <w:lvlText w:val=""/>
      <w:lvlJc w:val="left"/>
      <w:pPr>
        <w:ind w:left="360" w:hanging="360"/>
      </w:pPr>
      <w:rPr>
        <w:rFonts w:ascii="Symbol" w:hAnsi="Symbol" w:hint="default"/>
      </w:rPr>
    </w:lvl>
    <w:lvl w:ilvl="1" w:tplc="81704BC2">
      <w:start w:val="1"/>
      <w:numFmt w:val="decimal"/>
      <w:lvlText w:val="%2)"/>
      <w:lvlJc w:val="left"/>
      <w:pPr>
        <w:ind w:left="1080" w:hanging="360"/>
      </w:pPr>
      <w:rPr>
        <w:rFonts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03312976"/>
    <w:multiLevelType w:val="hybridMultilevel"/>
    <w:tmpl w:val="B560B850"/>
    <w:lvl w:ilvl="0" w:tplc="487400BC">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E01D7F"/>
    <w:multiLevelType w:val="hybridMultilevel"/>
    <w:tmpl w:val="FDB82CDE"/>
    <w:lvl w:ilvl="0" w:tplc="9B4C3D8E">
      <w:start w:val="1"/>
      <w:numFmt w:val="decimal"/>
      <w:lvlText w:val="%1."/>
      <w:lvlJc w:val="left"/>
      <w:pPr>
        <w:ind w:left="360" w:hanging="360"/>
      </w:pPr>
      <w:rPr>
        <w:rFonts w:hint="default"/>
        <w:b/>
      </w:rPr>
    </w:lvl>
    <w:lvl w:ilvl="1" w:tplc="0C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AF46776"/>
    <w:multiLevelType w:val="hybridMultilevel"/>
    <w:tmpl w:val="DFF42E98"/>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356CF3"/>
    <w:multiLevelType w:val="hybridMultilevel"/>
    <w:tmpl w:val="095EA4EE"/>
    <w:lvl w:ilvl="0" w:tplc="CEE82A64">
      <w:start w:val="1"/>
      <w:numFmt w:val="decimal"/>
      <w:pStyle w:val="mpcnumberedlist1"/>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ED3151"/>
    <w:multiLevelType w:val="hybridMultilevel"/>
    <w:tmpl w:val="B4F49D6A"/>
    <w:lvl w:ilvl="0" w:tplc="820C9EF8">
      <w:start w:val="1"/>
      <w:numFmt w:val="bullet"/>
      <w:pStyle w:val="mpcbullets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04D7CCF"/>
    <w:multiLevelType w:val="hybridMultilevel"/>
    <w:tmpl w:val="A44A240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13597B62"/>
    <w:multiLevelType w:val="hybridMultilevel"/>
    <w:tmpl w:val="FAC62F22"/>
    <w:lvl w:ilvl="0" w:tplc="8A80B146">
      <w:start w:val="1"/>
      <w:numFmt w:val="decimal"/>
      <w:lvlText w:val="%1."/>
      <w:lvlJc w:val="left"/>
      <w:pPr>
        <w:ind w:left="360" w:hanging="360"/>
      </w:pPr>
      <w:rPr>
        <w:b/>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4DB54F8"/>
    <w:multiLevelType w:val="hybridMultilevel"/>
    <w:tmpl w:val="ED94F920"/>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DAE41DB"/>
    <w:multiLevelType w:val="hybridMultilevel"/>
    <w:tmpl w:val="5C3E125E"/>
    <w:lvl w:ilvl="0" w:tplc="8C506B3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4260D9"/>
    <w:multiLevelType w:val="hybridMultilevel"/>
    <w:tmpl w:val="3CDE5A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C5614"/>
    <w:multiLevelType w:val="hybridMultilevel"/>
    <w:tmpl w:val="A56004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1C536CA"/>
    <w:multiLevelType w:val="hybridMultilevel"/>
    <w:tmpl w:val="2F760D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3250199"/>
    <w:multiLevelType w:val="hybridMultilevel"/>
    <w:tmpl w:val="61767060"/>
    <w:lvl w:ilvl="0" w:tplc="A93018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3D0055"/>
    <w:multiLevelType w:val="hybridMultilevel"/>
    <w:tmpl w:val="C0F647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29E917EE"/>
    <w:multiLevelType w:val="hybridMultilevel"/>
    <w:tmpl w:val="8604E022"/>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83201B"/>
    <w:multiLevelType w:val="hybridMultilevel"/>
    <w:tmpl w:val="CC1A85CA"/>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4794508"/>
    <w:multiLevelType w:val="hybridMultilevel"/>
    <w:tmpl w:val="09F2D0DA"/>
    <w:lvl w:ilvl="0" w:tplc="BB7C2CF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9BA63CF"/>
    <w:multiLevelType w:val="hybridMultilevel"/>
    <w:tmpl w:val="AEEC2E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3BD63B9A"/>
    <w:multiLevelType w:val="hybridMultilevel"/>
    <w:tmpl w:val="6AF22E04"/>
    <w:lvl w:ilvl="0" w:tplc="0C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CE44268"/>
    <w:multiLevelType w:val="hybridMultilevel"/>
    <w:tmpl w:val="BA6EB1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EFC05EC"/>
    <w:multiLevelType w:val="hybridMultilevel"/>
    <w:tmpl w:val="FBE89E44"/>
    <w:lvl w:ilvl="0" w:tplc="1DAA6CE2">
      <w:start w:val="1"/>
      <w:numFmt w:val="lowerLetter"/>
      <w:pStyle w:val="mpcnumberedlist2"/>
      <w:lvlText w:val="%1."/>
      <w:lvlJc w:val="left"/>
      <w:pPr>
        <w:ind w:left="717" w:hanging="360"/>
      </w:pPr>
      <w:rPr>
        <w:rFonts w:hint="default"/>
      </w:rPr>
    </w:lvl>
    <w:lvl w:ilvl="1" w:tplc="74789970">
      <w:start w:val="1"/>
      <w:numFmt w:val="bullet"/>
      <w:lvlText w:val=""/>
      <w:lvlJc w:val="left"/>
      <w:pPr>
        <w:ind w:left="1437" w:hanging="360"/>
      </w:pPr>
      <w:rPr>
        <w:rFonts w:ascii="Symbol" w:hAnsi="Symbol"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24" w15:restartNumberingAfterBreak="0">
    <w:nsid w:val="40D860DA"/>
    <w:multiLevelType w:val="hybridMultilevel"/>
    <w:tmpl w:val="009002C8"/>
    <w:lvl w:ilvl="0" w:tplc="3586A482">
      <w:start w:val="1"/>
      <w:numFmt w:val="bullet"/>
      <w:lvlText w:val="–"/>
      <w:lvlJc w:val="left"/>
      <w:pPr>
        <w:ind w:left="720" w:hanging="360"/>
      </w:pPr>
      <w:rPr>
        <w:rFonts w:ascii="Cambria" w:hAnsi="Cambria"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420C09"/>
    <w:multiLevelType w:val="hybridMultilevel"/>
    <w:tmpl w:val="0D20DB72"/>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5B32BAD"/>
    <w:multiLevelType w:val="hybridMultilevel"/>
    <w:tmpl w:val="A5007A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7856AA5"/>
    <w:multiLevelType w:val="hybridMultilevel"/>
    <w:tmpl w:val="F8C09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AE74DBE"/>
    <w:multiLevelType w:val="hybridMultilevel"/>
    <w:tmpl w:val="56E4CFC0"/>
    <w:lvl w:ilvl="0" w:tplc="7F5A40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B9723E3"/>
    <w:multiLevelType w:val="hybridMultilevel"/>
    <w:tmpl w:val="D9AC535E"/>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E67795F"/>
    <w:multiLevelType w:val="hybridMultilevel"/>
    <w:tmpl w:val="884EC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FE37C74"/>
    <w:multiLevelType w:val="multilevel"/>
    <w:tmpl w:val="9DFAF43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2" w15:restartNumberingAfterBreak="0">
    <w:nsid w:val="54BB504D"/>
    <w:multiLevelType w:val="hybridMultilevel"/>
    <w:tmpl w:val="DC9A80C0"/>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5DF06DF"/>
    <w:multiLevelType w:val="hybridMultilevel"/>
    <w:tmpl w:val="992A6186"/>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73E379E"/>
    <w:multiLevelType w:val="hybridMultilevel"/>
    <w:tmpl w:val="7EB0C8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7BA3DDC"/>
    <w:multiLevelType w:val="hybridMultilevel"/>
    <w:tmpl w:val="C59A458A"/>
    <w:lvl w:ilvl="0" w:tplc="7438F8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510BD1"/>
    <w:multiLevelType w:val="hybridMultilevel"/>
    <w:tmpl w:val="DF2C56C4"/>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7057D71"/>
    <w:multiLevelType w:val="hybridMultilevel"/>
    <w:tmpl w:val="435A4B40"/>
    <w:lvl w:ilvl="0" w:tplc="04090001">
      <w:start w:val="1"/>
      <w:numFmt w:val="bullet"/>
      <w:lvlText w:val=""/>
      <w:lvlJc w:val="left"/>
      <w:pPr>
        <w:ind w:left="360" w:hanging="360"/>
      </w:pPr>
      <w:rPr>
        <w:rFonts w:ascii="Symbol" w:hAnsi="Symbol" w:hint="default"/>
      </w:rPr>
    </w:lvl>
    <w:lvl w:ilvl="1" w:tplc="7A36FB6C">
      <w:start w:val="20"/>
      <w:numFmt w:val="bullet"/>
      <w:lvlText w:val="–"/>
      <w:lvlJc w:val="left"/>
      <w:pPr>
        <w:ind w:left="1080" w:hanging="360"/>
      </w:pPr>
      <w:rPr>
        <w:rFonts w:ascii="Times New Roman" w:eastAsia="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9FA6252"/>
    <w:multiLevelType w:val="hybridMultilevel"/>
    <w:tmpl w:val="7C2E70F0"/>
    <w:lvl w:ilvl="0" w:tplc="FFB8C984">
      <w:start w:val="1"/>
      <w:numFmt w:val="bullet"/>
      <w:lvlText w:val=""/>
      <w:lvlJc w:val="left"/>
      <w:pPr>
        <w:ind w:left="360" w:hanging="360"/>
      </w:pPr>
      <w:rPr>
        <w:rFonts w:ascii="Symbol" w:hAnsi="Symbol" w:hint="default"/>
        <w:b w:val="0"/>
        <w:color w:val="000000" w:themeColor="text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AB454FC"/>
    <w:multiLevelType w:val="hybridMultilevel"/>
    <w:tmpl w:val="1BFAA240"/>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DD55926"/>
    <w:multiLevelType w:val="hybridMultilevel"/>
    <w:tmpl w:val="A224A9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0B93A7D"/>
    <w:multiLevelType w:val="hybridMultilevel"/>
    <w:tmpl w:val="871A9380"/>
    <w:lvl w:ilvl="0" w:tplc="0C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D057EE"/>
    <w:multiLevelType w:val="hybridMultilevel"/>
    <w:tmpl w:val="0E44C7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95B6613"/>
    <w:multiLevelType w:val="hybridMultilevel"/>
    <w:tmpl w:val="8BD4D0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AB70426"/>
    <w:multiLevelType w:val="hybridMultilevel"/>
    <w:tmpl w:val="99FA8B70"/>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CD31109"/>
    <w:multiLevelType w:val="hybridMultilevel"/>
    <w:tmpl w:val="E9B42E8A"/>
    <w:lvl w:ilvl="0" w:tplc="3586A482">
      <w:start w:val="1"/>
      <w:numFmt w:val="bullet"/>
      <w:lvlText w:val="–"/>
      <w:lvlJc w:val="left"/>
      <w:pPr>
        <w:ind w:left="360" w:hanging="360"/>
      </w:pPr>
      <w:rPr>
        <w:rFonts w:ascii="Cambria" w:hAnsi="Cambria" w:hint="default"/>
        <w:b w:val="0"/>
        <w:color w:val="000000" w:themeColor="text1"/>
      </w:rPr>
    </w:lvl>
    <w:lvl w:ilvl="1" w:tplc="D890C9B6">
      <w:start w:val="1"/>
      <w:numFmt w:val="bullet"/>
      <w:pStyle w:val="mpcbullets3"/>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DF57A22"/>
    <w:multiLevelType w:val="hybridMultilevel"/>
    <w:tmpl w:val="8FDA24E8"/>
    <w:lvl w:ilvl="0" w:tplc="04090001">
      <w:start w:val="1"/>
      <w:numFmt w:val="bullet"/>
      <w:lvlText w:val=""/>
      <w:lvlJc w:val="left"/>
      <w:pPr>
        <w:ind w:left="360" w:hanging="360"/>
      </w:pPr>
      <w:rPr>
        <w:rFonts w:ascii="Symbol" w:hAnsi="Symbol" w:hint="default"/>
      </w:rPr>
    </w:lvl>
    <w:lvl w:ilvl="1" w:tplc="2CB44730">
      <w:start w:val="20"/>
      <w:numFmt w:val="bullet"/>
      <w:pStyle w:val="mpcbullets2"/>
      <w:lvlText w:val="–"/>
      <w:lvlJc w:val="left"/>
      <w:pPr>
        <w:ind w:left="1080" w:hanging="360"/>
      </w:pPr>
      <w:rPr>
        <w:rFonts w:ascii="Times New Roman" w:eastAsia="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23"/>
  </w:num>
  <w:num w:numId="3">
    <w:abstractNumId w:val="31"/>
  </w:num>
  <w:num w:numId="4">
    <w:abstractNumId w:val="46"/>
  </w:num>
  <w:num w:numId="5">
    <w:abstractNumId w:val="36"/>
  </w:num>
  <w:num w:numId="6">
    <w:abstractNumId w:val="9"/>
  </w:num>
  <w:num w:numId="7">
    <w:abstractNumId w:val="28"/>
  </w:num>
  <w:num w:numId="8">
    <w:abstractNumId w:val="11"/>
  </w:num>
  <w:num w:numId="9">
    <w:abstractNumId w:val="43"/>
  </w:num>
  <w:num w:numId="10">
    <w:abstractNumId w:val="4"/>
  </w:num>
  <w:num w:numId="11">
    <w:abstractNumId w:val="18"/>
  </w:num>
  <w:num w:numId="12">
    <w:abstractNumId w:val="15"/>
  </w:num>
  <w:num w:numId="13">
    <w:abstractNumId w:val="42"/>
  </w:num>
  <w:num w:numId="14">
    <w:abstractNumId w:val="25"/>
  </w:num>
  <w:num w:numId="15">
    <w:abstractNumId w:val="20"/>
  </w:num>
  <w:num w:numId="16">
    <w:abstractNumId w:val="16"/>
  </w:num>
  <w:num w:numId="17">
    <w:abstractNumId w:val="8"/>
  </w:num>
  <w:num w:numId="18">
    <w:abstractNumId w:val="7"/>
  </w:num>
  <w:num w:numId="19">
    <w:abstractNumId w:val="45"/>
  </w:num>
  <w:num w:numId="20">
    <w:abstractNumId w:val="38"/>
  </w:num>
  <w:num w:numId="21">
    <w:abstractNumId w:val="13"/>
  </w:num>
  <w:num w:numId="22">
    <w:abstractNumId w:val="40"/>
  </w:num>
  <w:num w:numId="23">
    <w:abstractNumId w:val="22"/>
  </w:num>
  <w:num w:numId="24">
    <w:abstractNumId w:val="14"/>
  </w:num>
  <w:num w:numId="25">
    <w:abstractNumId w:val="26"/>
  </w:num>
  <w:num w:numId="26">
    <w:abstractNumId w:val="30"/>
  </w:num>
  <w:num w:numId="27">
    <w:abstractNumId w:val="41"/>
  </w:num>
  <w:num w:numId="28">
    <w:abstractNumId w:val="44"/>
  </w:num>
  <w:num w:numId="29">
    <w:abstractNumId w:val="24"/>
  </w:num>
  <w:num w:numId="30">
    <w:abstractNumId w:val="17"/>
  </w:num>
  <w:num w:numId="31">
    <w:abstractNumId w:val="27"/>
  </w:num>
  <w:num w:numId="32">
    <w:abstractNumId w:val="5"/>
  </w:num>
  <w:num w:numId="33">
    <w:abstractNumId w:val="37"/>
  </w:num>
  <w:num w:numId="34">
    <w:abstractNumId w:val="1"/>
  </w:num>
  <w:num w:numId="35">
    <w:abstractNumId w:val="2"/>
  </w:num>
  <w:num w:numId="36">
    <w:abstractNumId w:val="32"/>
  </w:num>
  <w:num w:numId="37">
    <w:abstractNumId w:val="39"/>
  </w:num>
  <w:num w:numId="38">
    <w:abstractNumId w:val="12"/>
  </w:num>
  <w:num w:numId="39">
    <w:abstractNumId w:val="19"/>
  </w:num>
  <w:num w:numId="40">
    <w:abstractNumId w:val="34"/>
  </w:num>
  <w:num w:numId="41">
    <w:abstractNumId w:val="21"/>
  </w:num>
  <w:num w:numId="42">
    <w:abstractNumId w:val="29"/>
  </w:num>
  <w:num w:numId="43">
    <w:abstractNumId w:val="10"/>
  </w:num>
  <w:num w:numId="44">
    <w:abstractNumId w:val="35"/>
  </w:num>
  <w:num w:numId="45">
    <w:abstractNumId w:val="33"/>
  </w:num>
  <w:num w:numId="46">
    <w:abstractNumId w:val="0"/>
  </w:num>
  <w:num w:numId="47">
    <w:abstractNumId w:val="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AU" w:vendorID="64" w:dllVersion="4096" w:nlCheck="1" w:checkStyle="0"/>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131078" w:nlCheck="1" w:checkStyle="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6B3"/>
    <w:rsid w:val="00000266"/>
    <w:rsid w:val="00000934"/>
    <w:rsid w:val="00000D21"/>
    <w:rsid w:val="00003C86"/>
    <w:rsid w:val="00005FAE"/>
    <w:rsid w:val="0000694B"/>
    <w:rsid w:val="00010926"/>
    <w:rsid w:val="00012057"/>
    <w:rsid w:val="00014C55"/>
    <w:rsid w:val="0002092F"/>
    <w:rsid w:val="000254CF"/>
    <w:rsid w:val="00030B3A"/>
    <w:rsid w:val="00030E35"/>
    <w:rsid w:val="000318F2"/>
    <w:rsid w:val="0003295B"/>
    <w:rsid w:val="000329B3"/>
    <w:rsid w:val="00037EC7"/>
    <w:rsid w:val="00043D4E"/>
    <w:rsid w:val="00044B56"/>
    <w:rsid w:val="00047047"/>
    <w:rsid w:val="00052B3F"/>
    <w:rsid w:val="00063F3C"/>
    <w:rsid w:val="000645B8"/>
    <w:rsid w:val="00064740"/>
    <w:rsid w:val="00071CC5"/>
    <w:rsid w:val="000777AB"/>
    <w:rsid w:val="000779B8"/>
    <w:rsid w:val="0008334F"/>
    <w:rsid w:val="00090135"/>
    <w:rsid w:val="00090904"/>
    <w:rsid w:val="00091684"/>
    <w:rsid w:val="00095744"/>
    <w:rsid w:val="000A09A2"/>
    <w:rsid w:val="000A22C3"/>
    <w:rsid w:val="000A3464"/>
    <w:rsid w:val="000B0350"/>
    <w:rsid w:val="000B2F42"/>
    <w:rsid w:val="000C64AF"/>
    <w:rsid w:val="000D0FB9"/>
    <w:rsid w:val="000D16D8"/>
    <w:rsid w:val="000D5D35"/>
    <w:rsid w:val="000D5F6E"/>
    <w:rsid w:val="000E0CA2"/>
    <w:rsid w:val="000E5810"/>
    <w:rsid w:val="000F2904"/>
    <w:rsid w:val="000F3BFE"/>
    <w:rsid w:val="001016F4"/>
    <w:rsid w:val="001017C5"/>
    <w:rsid w:val="0010360F"/>
    <w:rsid w:val="001071F4"/>
    <w:rsid w:val="00107901"/>
    <w:rsid w:val="0011085C"/>
    <w:rsid w:val="00114310"/>
    <w:rsid w:val="00114AB4"/>
    <w:rsid w:val="001177B4"/>
    <w:rsid w:val="00121238"/>
    <w:rsid w:val="001220E4"/>
    <w:rsid w:val="00122130"/>
    <w:rsid w:val="00123A09"/>
    <w:rsid w:val="00130112"/>
    <w:rsid w:val="0013165D"/>
    <w:rsid w:val="00133D90"/>
    <w:rsid w:val="0013787C"/>
    <w:rsid w:val="00141A52"/>
    <w:rsid w:val="001439DA"/>
    <w:rsid w:val="00143F7D"/>
    <w:rsid w:val="00150D25"/>
    <w:rsid w:val="00153CBD"/>
    <w:rsid w:val="001611DD"/>
    <w:rsid w:val="001704C0"/>
    <w:rsid w:val="00175CE9"/>
    <w:rsid w:val="0017608D"/>
    <w:rsid w:val="0018075C"/>
    <w:rsid w:val="00180ED0"/>
    <w:rsid w:val="001824D7"/>
    <w:rsid w:val="00196244"/>
    <w:rsid w:val="00196593"/>
    <w:rsid w:val="001A02FD"/>
    <w:rsid w:val="001B1618"/>
    <w:rsid w:val="001B1DA6"/>
    <w:rsid w:val="001B5DEE"/>
    <w:rsid w:val="001C7B7D"/>
    <w:rsid w:val="001D2331"/>
    <w:rsid w:val="001D5779"/>
    <w:rsid w:val="001D77BC"/>
    <w:rsid w:val="001E1E1A"/>
    <w:rsid w:val="001E4580"/>
    <w:rsid w:val="001F1A1F"/>
    <w:rsid w:val="001F53B9"/>
    <w:rsid w:val="001F7522"/>
    <w:rsid w:val="002038E8"/>
    <w:rsid w:val="00226420"/>
    <w:rsid w:val="00227857"/>
    <w:rsid w:val="0022792E"/>
    <w:rsid w:val="00235639"/>
    <w:rsid w:val="00235D47"/>
    <w:rsid w:val="002439E8"/>
    <w:rsid w:val="00243FD7"/>
    <w:rsid w:val="00247967"/>
    <w:rsid w:val="002558E8"/>
    <w:rsid w:val="002614EC"/>
    <w:rsid w:val="0026160D"/>
    <w:rsid w:val="00276EB3"/>
    <w:rsid w:val="002801A0"/>
    <w:rsid w:val="00282758"/>
    <w:rsid w:val="002862B6"/>
    <w:rsid w:val="00287EDC"/>
    <w:rsid w:val="00291DF1"/>
    <w:rsid w:val="002941A9"/>
    <w:rsid w:val="002963D5"/>
    <w:rsid w:val="002B0455"/>
    <w:rsid w:val="002C3CBC"/>
    <w:rsid w:val="002D01CF"/>
    <w:rsid w:val="002D0C2D"/>
    <w:rsid w:val="002D14BA"/>
    <w:rsid w:val="002E732B"/>
    <w:rsid w:val="002F0EC0"/>
    <w:rsid w:val="002F15ED"/>
    <w:rsid w:val="002F6706"/>
    <w:rsid w:val="003024ED"/>
    <w:rsid w:val="0030513A"/>
    <w:rsid w:val="00306C53"/>
    <w:rsid w:val="00313A51"/>
    <w:rsid w:val="00317B7D"/>
    <w:rsid w:val="0032757F"/>
    <w:rsid w:val="00331057"/>
    <w:rsid w:val="00334E5A"/>
    <w:rsid w:val="00335668"/>
    <w:rsid w:val="00336DB3"/>
    <w:rsid w:val="0033730F"/>
    <w:rsid w:val="00340091"/>
    <w:rsid w:val="00342794"/>
    <w:rsid w:val="003456BC"/>
    <w:rsid w:val="003520D6"/>
    <w:rsid w:val="003527A6"/>
    <w:rsid w:val="00357932"/>
    <w:rsid w:val="00363447"/>
    <w:rsid w:val="00364BC9"/>
    <w:rsid w:val="00371922"/>
    <w:rsid w:val="00372E4A"/>
    <w:rsid w:val="003731B5"/>
    <w:rsid w:val="0037327D"/>
    <w:rsid w:val="00390C30"/>
    <w:rsid w:val="003918E8"/>
    <w:rsid w:val="00392A84"/>
    <w:rsid w:val="003A051A"/>
    <w:rsid w:val="003A148F"/>
    <w:rsid w:val="003B4777"/>
    <w:rsid w:val="003C07F6"/>
    <w:rsid w:val="003D0E9A"/>
    <w:rsid w:val="003D0FFA"/>
    <w:rsid w:val="003D6879"/>
    <w:rsid w:val="003D6DE1"/>
    <w:rsid w:val="003E58EB"/>
    <w:rsid w:val="003F0C98"/>
    <w:rsid w:val="003F32EB"/>
    <w:rsid w:val="003F4952"/>
    <w:rsid w:val="003F6E52"/>
    <w:rsid w:val="003F7FF4"/>
    <w:rsid w:val="00405E71"/>
    <w:rsid w:val="00410C6F"/>
    <w:rsid w:val="00411BCB"/>
    <w:rsid w:val="00412F92"/>
    <w:rsid w:val="00413DFF"/>
    <w:rsid w:val="00420839"/>
    <w:rsid w:val="00427BAB"/>
    <w:rsid w:val="004354DC"/>
    <w:rsid w:val="00446CC4"/>
    <w:rsid w:val="004505FF"/>
    <w:rsid w:val="0045557C"/>
    <w:rsid w:val="004560A4"/>
    <w:rsid w:val="004672E4"/>
    <w:rsid w:val="0047070C"/>
    <w:rsid w:val="0047435F"/>
    <w:rsid w:val="00480D19"/>
    <w:rsid w:val="00484E15"/>
    <w:rsid w:val="00491FB9"/>
    <w:rsid w:val="004A22EE"/>
    <w:rsid w:val="004A56B3"/>
    <w:rsid w:val="004A580D"/>
    <w:rsid w:val="004A62C2"/>
    <w:rsid w:val="004A6A27"/>
    <w:rsid w:val="004B07D2"/>
    <w:rsid w:val="004B53A8"/>
    <w:rsid w:val="004C4894"/>
    <w:rsid w:val="004D0222"/>
    <w:rsid w:val="004D0A24"/>
    <w:rsid w:val="004D1F22"/>
    <w:rsid w:val="004D2427"/>
    <w:rsid w:val="004D3AE1"/>
    <w:rsid w:val="004D4525"/>
    <w:rsid w:val="004E0963"/>
    <w:rsid w:val="004E2064"/>
    <w:rsid w:val="004E2574"/>
    <w:rsid w:val="004E4FDB"/>
    <w:rsid w:val="004E7558"/>
    <w:rsid w:val="004F658E"/>
    <w:rsid w:val="004F6651"/>
    <w:rsid w:val="004F7D86"/>
    <w:rsid w:val="005025E8"/>
    <w:rsid w:val="0051574D"/>
    <w:rsid w:val="005163DA"/>
    <w:rsid w:val="005235DE"/>
    <w:rsid w:val="00527A1E"/>
    <w:rsid w:val="0053488F"/>
    <w:rsid w:val="00545159"/>
    <w:rsid w:val="00554AE9"/>
    <w:rsid w:val="00555968"/>
    <w:rsid w:val="0055696F"/>
    <w:rsid w:val="00560CB6"/>
    <w:rsid w:val="00567B9C"/>
    <w:rsid w:val="005711B7"/>
    <w:rsid w:val="00574DAF"/>
    <w:rsid w:val="0057780D"/>
    <w:rsid w:val="00581759"/>
    <w:rsid w:val="005821CC"/>
    <w:rsid w:val="005846A5"/>
    <w:rsid w:val="00591593"/>
    <w:rsid w:val="00591AAD"/>
    <w:rsid w:val="00594A6F"/>
    <w:rsid w:val="00594E2F"/>
    <w:rsid w:val="0059693D"/>
    <w:rsid w:val="00597937"/>
    <w:rsid w:val="005A2431"/>
    <w:rsid w:val="005A25A2"/>
    <w:rsid w:val="005A3631"/>
    <w:rsid w:val="005B428E"/>
    <w:rsid w:val="005C3022"/>
    <w:rsid w:val="005C5B56"/>
    <w:rsid w:val="005C75BB"/>
    <w:rsid w:val="005D75D3"/>
    <w:rsid w:val="005D7CEC"/>
    <w:rsid w:val="005F07CA"/>
    <w:rsid w:val="005F0E30"/>
    <w:rsid w:val="005F7DB9"/>
    <w:rsid w:val="00602820"/>
    <w:rsid w:val="006044C5"/>
    <w:rsid w:val="006057F0"/>
    <w:rsid w:val="00607D1F"/>
    <w:rsid w:val="006125C9"/>
    <w:rsid w:val="00612D78"/>
    <w:rsid w:val="00614EF5"/>
    <w:rsid w:val="006254E5"/>
    <w:rsid w:val="00625B49"/>
    <w:rsid w:val="00633485"/>
    <w:rsid w:val="00633AE0"/>
    <w:rsid w:val="00654C50"/>
    <w:rsid w:val="00656682"/>
    <w:rsid w:val="00672C60"/>
    <w:rsid w:val="00672D99"/>
    <w:rsid w:val="0067385B"/>
    <w:rsid w:val="00677D90"/>
    <w:rsid w:val="00695624"/>
    <w:rsid w:val="006A1351"/>
    <w:rsid w:val="006A60A2"/>
    <w:rsid w:val="006B0997"/>
    <w:rsid w:val="006B14BD"/>
    <w:rsid w:val="006B1529"/>
    <w:rsid w:val="006B356E"/>
    <w:rsid w:val="006B534D"/>
    <w:rsid w:val="006B6015"/>
    <w:rsid w:val="006B6F9F"/>
    <w:rsid w:val="006C4209"/>
    <w:rsid w:val="006C5FD8"/>
    <w:rsid w:val="006C6A0E"/>
    <w:rsid w:val="006D135E"/>
    <w:rsid w:val="006E0577"/>
    <w:rsid w:val="006E11D3"/>
    <w:rsid w:val="006E5A4E"/>
    <w:rsid w:val="006F198B"/>
    <w:rsid w:val="006F3A46"/>
    <w:rsid w:val="006F617E"/>
    <w:rsid w:val="00710029"/>
    <w:rsid w:val="0071420D"/>
    <w:rsid w:val="00715BAB"/>
    <w:rsid w:val="0072416F"/>
    <w:rsid w:val="0073120E"/>
    <w:rsid w:val="00736456"/>
    <w:rsid w:val="00744408"/>
    <w:rsid w:val="007463E6"/>
    <w:rsid w:val="00750858"/>
    <w:rsid w:val="00752513"/>
    <w:rsid w:val="00752C4B"/>
    <w:rsid w:val="0075417C"/>
    <w:rsid w:val="00761C34"/>
    <w:rsid w:val="00761CA4"/>
    <w:rsid w:val="00767B1E"/>
    <w:rsid w:val="007704B5"/>
    <w:rsid w:val="00771605"/>
    <w:rsid w:val="00771C5A"/>
    <w:rsid w:val="00774CBB"/>
    <w:rsid w:val="00775030"/>
    <w:rsid w:val="00783B01"/>
    <w:rsid w:val="007841EF"/>
    <w:rsid w:val="00784518"/>
    <w:rsid w:val="00791C3E"/>
    <w:rsid w:val="00794BF7"/>
    <w:rsid w:val="007A46E5"/>
    <w:rsid w:val="007B4E8A"/>
    <w:rsid w:val="007C0F8A"/>
    <w:rsid w:val="007C3E73"/>
    <w:rsid w:val="007D3FE5"/>
    <w:rsid w:val="007E06AF"/>
    <w:rsid w:val="007E3016"/>
    <w:rsid w:val="007F59B2"/>
    <w:rsid w:val="007F6914"/>
    <w:rsid w:val="007F7247"/>
    <w:rsid w:val="007F7F96"/>
    <w:rsid w:val="008162A1"/>
    <w:rsid w:val="00824A5F"/>
    <w:rsid w:val="00830C60"/>
    <w:rsid w:val="00830F6A"/>
    <w:rsid w:val="00841185"/>
    <w:rsid w:val="00851ECF"/>
    <w:rsid w:val="00861EC1"/>
    <w:rsid w:val="00862FD6"/>
    <w:rsid w:val="0086346E"/>
    <w:rsid w:val="00865490"/>
    <w:rsid w:val="00865666"/>
    <w:rsid w:val="0086701F"/>
    <w:rsid w:val="00875F28"/>
    <w:rsid w:val="00880923"/>
    <w:rsid w:val="00885AF1"/>
    <w:rsid w:val="00890BB4"/>
    <w:rsid w:val="008A0CFB"/>
    <w:rsid w:val="008A3672"/>
    <w:rsid w:val="008A5DC5"/>
    <w:rsid w:val="008B0993"/>
    <w:rsid w:val="008B408B"/>
    <w:rsid w:val="008B6118"/>
    <w:rsid w:val="008B7566"/>
    <w:rsid w:val="008C432B"/>
    <w:rsid w:val="008C5CBA"/>
    <w:rsid w:val="008C60AC"/>
    <w:rsid w:val="008C6958"/>
    <w:rsid w:val="008E630B"/>
    <w:rsid w:val="008E75BC"/>
    <w:rsid w:val="008F12EF"/>
    <w:rsid w:val="008F2270"/>
    <w:rsid w:val="008F2A53"/>
    <w:rsid w:val="008F5D93"/>
    <w:rsid w:val="008F7FE1"/>
    <w:rsid w:val="00903A11"/>
    <w:rsid w:val="00913EE8"/>
    <w:rsid w:val="00935651"/>
    <w:rsid w:val="009374A6"/>
    <w:rsid w:val="009426E9"/>
    <w:rsid w:val="00946B3A"/>
    <w:rsid w:val="00953CC0"/>
    <w:rsid w:val="00953ED9"/>
    <w:rsid w:val="00954492"/>
    <w:rsid w:val="00955189"/>
    <w:rsid w:val="00962ED2"/>
    <w:rsid w:val="00963D76"/>
    <w:rsid w:val="009645C4"/>
    <w:rsid w:val="009728F1"/>
    <w:rsid w:val="00975FE3"/>
    <w:rsid w:val="0097703A"/>
    <w:rsid w:val="0097756D"/>
    <w:rsid w:val="00980BD1"/>
    <w:rsid w:val="00986FA3"/>
    <w:rsid w:val="009879E2"/>
    <w:rsid w:val="00992796"/>
    <w:rsid w:val="00992F11"/>
    <w:rsid w:val="00993480"/>
    <w:rsid w:val="009952BB"/>
    <w:rsid w:val="009959A5"/>
    <w:rsid w:val="009A44E2"/>
    <w:rsid w:val="009A5449"/>
    <w:rsid w:val="009A5CC5"/>
    <w:rsid w:val="009B0396"/>
    <w:rsid w:val="009B03FB"/>
    <w:rsid w:val="009B344A"/>
    <w:rsid w:val="009C688D"/>
    <w:rsid w:val="009D0978"/>
    <w:rsid w:val="009D7C9F"/>
    <w:rsid w:val="009D7DE1"/>
    <w:rsid w:val="009E06FA"/>
    <w:rsid w:val="009E50B1"/>
    <w:rsid w:val="009E656C"/>
    <w:rsid w:val="00A00F47"/>
    <w:rsid w:val="00A04B25"/>
    <w:rsid w:val="00A04D2E"/>
    <w:rsid w:val="00A05327"/>
    <w:rsid w:val="00A25D38"/>
    <w:rsid w:val="00A26266"/>
    <w:rsid w:val="00A26FC9"/>
    <w:rsid w:val="00A2712A"/>
    <w:rsid w:val="00A27699"/>
    <w:rsid w:val="00A337CA"/>
    <w:rsid w:val="00A3540B"/>
    <w:rsid w:val="00A35EB9"/>
    <w:rsid w:val="00A43A3D"/>
    <w:rsid w:val="00A454F2"/>
    <w:rsid w:val="00A46252"/>
    <w:rsid w:val="00A50093"/>
    <w:rsid w:val="00A507BC"/>
    <w:rsid w:val="00A52DC1"/>
    <w:rsid w:val="00A54775"/>
    <w:rsid w:val="00A57C12"/>
    <w:rsid w:val="00A6237D"/>
    <w:rsid w:val="00A648C4"/>
    <w:rsid w:val="00A7212B"/>
    <w:rsid w:val="00A72405"/>
    <w:rsid w:val="00A7282B"/>
    <w:rsid w:val="00A77D9B"/>
    <w:rsid w:val="00A816AF"/>
    <w:rsid w:val="00A84FB4"/>
    <w:rsid w:val="00A90016"/>
    <w:rsid w:val="00A9464C"/>
    <w:rsid w:val="00A97C97"/>
    <w:rsid w:val="00AA300F"/>
    <w:rsid w:val="00AA346B"/>
    <w:rsid w:val="00AA6842"/>
    <w:rsid w:val="00AA6C39"/>
    <w:rsid w:val="00AB4632"/>
    <w:rsid w:val="00AB58D7"/>
    <w:rsid w:val="00AC4451"/>
    <w:rsid w:val="00AC4620"/>
    <w:rsid w:val="00AC4A48"/>
    <w:rsid w:val="00AD0D0A"/>
    <w:rsid w:val="00AD2567"/>
    <w:rsid w:val="00AD4AAD"/>
    <w:rsid w:val="00AE5CE0"/>
    <w:rsid w:val="00AE7B1D"/>
    <w:rsid w:val="00AF3738"/>
    <w:rsid w:val="00B005CA"/>
    <w:rsid w:val="00B06350"/>
    <w:rsid w:val="00B13977"/>
    <w:rsid w:val="00B14B64"/>
    <w:rsid w:val="00B21062"/>
    <w:rsid w:val="00B255C3"/>
    <w:rsid w:val="00B27122"/>
    <w:rsid w:val="00B30755"/>
    <w:rsid w:val="00B33DA3"/>
    <w:rsid w:val="00B33EE3"/>
    <w:rsid w:val="00B36208"/>
    <w:rsid w:val="00B42A76"/>
    <w:rsid w:val="00B43D13"/>
    <w:rsid w:val="00B44157"/>
    <w:rsid w:val="00B53139"/>
    <w:rsid w:val="00B634CB"/>
    <w:rsid w:val="00B63DF7"/>
    <w:rsid w:val="00B664F4"/>
    <w:rsid w:val="00B7170F"/>
    <w:rsid w:val="00B76A4B"/>
    <w:rsid w:val="00B81192"/>
    <w:rsid w:val="00B81C91"/>
    <w:rsid w:val="00B850E7"/>
    <w:rsid w:val="00B85ABC"/>
    <w:rsid w:val="00B87C0F"/>
    <w:rsid w:val="00B939EF"/>
    <w:rsid w:val="00B96215"/>
    <w:rsid w:val="00BA0AFA"/>
    <w:rsid w:val="00BA35A1"/>
    <w:rsid w:val="00BA5B0C"/>
    <w:rsid w:val="00BA6DB7"/>
    <w:rsid w:val="00BB141A"/>
    <w:rsid w:val="00BB1774"/>
    <w:rsid w:val="00BB38C9"/>
    <w:rsid w:val="00BB3D84"/>
    <w:rsid w:val="00BB5F09"/>
    <w:rsid w:val="00BB7312"/>
    <w:rsid w:val="00BC0D2A"/>
    <w:rsid w:val="00BC2240"/>
    <w:rsid w:val="00BC22AC"/>
    <w:rsid w:val="00BC7E73"/>
    <w:rsid w:val="00BD6E51"/>
    <w:rsid w:val="00BF11EE"/>
    <w:rsid w:val="00BF3A3D"/>
    <w:rsid w:val="00BF433B"/>
    <w:rsid w:val="00BF7A8D"/>
    <w:rsid w:val="00C004F2"/>
    <w:rsid w:val="00C05BF5"/>
    <w:rsid w:val="00C14D9F"/>
    <w:rsid w:val="00C31764"/>
    <w:rsid w:val="00C3358C"/>
    <w:rsid w:val="00C3403E"/>
    <w:rsid w:val="00C3405C"/>
    <w:rsid w:val="00C344BD"/>
    <w:rsid w:val="00C34CE7"/>
    <w:rsid w:val="00C36AA4"/>
    <w:rsid w:val="00C37F9F"/>
    <w:rsid w:val="00C41380"/>
    <w:rsid w:val="00C529B5"/>
    <w:rsid w:val="00C52B5B"/>
    <w:rsid w:val="00C5314A"/>
    <w:rsid w:val="00C60199"/>
    <w:rsid w:val="00C616A3"/>
    <w:rsid w:val="00C61F04"/>
    <w:rsid w:val="00C626CB"/>
    <w:rsid w:val="00C66E03"/>
    <w:rsid w:val="00C72273"/>
    <w:rsid w:val="00C7293D"/>
    <w:rsid w:val="00C771A6"/>
    <w:rsid w:val="00C81394"/>
    <w:rsid w:val="00C82D90"/>
    <w:rsid w:val="00C8439B"/>
    <w:rsid w:val="00C84928"/>
    <w:rsid w:val="00C85324"/>
    <w:rsid w:val="00C8700B"/>
    <w:rsid w:val="00C9086B"/>
    <w:rsid w:val="00C92175"/>
    <w:rsid w:val="00C931BD"/>
    <w:rsid w:val="00C94F1E"/>
    <w:rsid w:val="00C97B3A"/>
    <w:rsid w:val="00CB0A32"/>
    <w:rsid w:val="00CB56DE"/>
    <w:rsid w:val="00CB6158"/>
    <w:rsid w:val="00CC1ADD"/>
    <w:rsid w:val="00CC410F"/>
    <w:rsid w:val="00CC6DA9"/>
    <w:rsid w:val="00CD1F86"/>
    <w:rsid w:val="00CD44AD"/>
    <w:rsid w:val="00CD7880"/>
    <w:rsid w:val="00CE2AD9"/>
    <w:rsid w:val="00CE34EA"/>
    <w:rsid w:val="00CE5F55"/>
    <w:rsid w:val="00CF0666"/>
    <w:rsid w:val="00CF0CDF"/>
    <w:rsid w:val="00CF3274"/>
    <w:rsid w:val="00CF62B5"/>
    <w:rsid w:val="00D13928"/>
    <w:rsid w:val="00D144E6"/>
    <w:rsid w:val="00D23F54"/>
    <w:rsid w:val="00D34697"/>
    <w:rsid w:val="00D359AB"/>
    <w:rsid w:val="00D36202"/>
    <w:rsid w:val="00D42DD2"/>
    <w:rsid w:val="00D42FCE"/>
    <w:rsid w:val="00D45C82"/>
    <w:rsid w:val="00D66188"/>
    <w:rsid w:val="00D701D5"/>
    <w:rsid w:val="00D725AF"/>
    <w:rsid w:val="00D73F33"/>
    <w:rsid w:val="00D8013B"/>
    <w:rsid w:val="00D81AD0"/>
    <w:rsid w:val="00D83FE0"/>
    <w:rsid w:val="00D860BB"/>
    <w:rsid w:val="00D91887"/>
    <w:rsid w:val="00D9417D"/>
    <w:rsid w:val="00D94638"/>
    <w:rsid w:val="00DA6F26"/>
    <w:rsid w:val="00DB1788"/>
    <w:rsid w:val="00DB418C"/>
    <w:rsid w:val="00DB42F9"/>
    <w:rsid w:val="00DC4980"/>
    <w:rsid w:val="00DC778B"/>
    <w:rsid w:val="00DD0E98"/>
    <w:rsid w:val="00DD78A3"/>
    <w:rsid w:val="00DE336D"/>
    <w:rsid w:val="00E060E2"/>
    <w:rsid w:val="00E068C4"/>
    <w:rsid w:val="00E07CA7"/>
    <w:rsid w:val="00E103FE"/>
    <w:rsid w:val="00E11933"/>
    <w:rsid w:val="00E20DA2"/>
    <w:rsid w:val="00E27B2C"/>
    <w:rsid w:val="00E40243"/>
    <w:rsid w:val="00E4192F"/>
    <w:rsid w:val="00E45F4B"/>
    <w:rsid w:val="00E47909"/>
    <w:rsid w:val="00E506E7"/>
    <w:rsid w:val="00E66A39"/>
    <w:rsid w:val="00E677BF"/>
    <w:rsid w:val="00E75932"/>
    <w:rsid w:val="00E7786C"/>
    <w:rsid w:val="00E8024A"/>
    <w:rsid w:val="00E81A16"/>
    <w:rsid w:val="00E95B2D"/>
    <w:rsid w:val="00EA210B"/>
    <w:rsid w:val="00EA42C5"/>
    <w:rsid w:val="00EA54C6"/>
    <w:rsid w:val="00EA6643"/>
    <w:rsid w:val="00EA6D6D"/>
    <w:rsid w:val="00EA77C9"/>
    <w:rsid w:val="00EB456A"/>
    <w:rsid w:val="00EB4A2F"/>
    <w:rsid w:val="00EC300D"/>
    <w:rsid w:val="00EC669C"/>
    <w:rsid w:val="00ED17B0"/>
    <w:rsid w:val="00ED1F73"/>
    <w:rsid w:val="00ED63A2"/>
    <w:rsid w:val="00EE36B0"/>
    <w:rsid w:val="00EE3B9C"/>
    <w:rsid w:val="00EE5EC4"/>
    <w:rsid w:val="00F03198"/>
    <w:rsid w:val="00F06495"/>
    <w:rsid w:val="00F07287"/>
    <w:rsid w:val="00F101DD"/>
    <w:rsid w:val="00F10D97"/>
    <w:rsid w:val="00F117C1"/>
    <w:rsid w:val="00F16B33"/>
    <w:rsid w:val="00F17BDF"/>
    <w:rsid w:val="00F20183"/>
    <w:rsid w:val="00F2022C"/>
    <w:rsid w:val="00F20CE4"/>
    <w:rsid w:val="00F26AAA"/>
    <w:rsid w:val="00F43B13"/>
    <w:rsid w:val="00F47F2A"/>
    <w:rsid w:val="00F502F9"/>
    <w:rsid w:val="00F54C40"/>
    <w:rsid w:val="00F61F35"/>
    <w:rsid w:val="00F62606"/>
    <w:rsid w:val="00F720A0"/>
    <w:rsid w:val="00F726E8"/>
    <w:rsid w:val="00F80E8A"/>
    <w:rsid w:val="00F83638"/>
    <w:rsid w:val="00F851BC"/>
    <w:rsid w:val="00F85531"/>
    <w:rsid w:val="00F904AA"/>
    <w:rsid w:val="00F93322"/>
    <w:rsid w:val="00F97BBA"/>
    <w:rsid w:val="00FA0B93"/>
    <w:rsid w:val="00FB707A"/>
    <w:rsid w:val="00FB7FB0"/>
    <w:rsid w:val="00FC088C"/>
    <w:rsid w:val="00FC782A"/>
    <w:rsid w:val="00FD1D97"/>
    <w:rsid w:val="00FD3847"/>
    <w:rsid w:val="00FD3F05"/>
    <w:rsid w:val="00FE54AF"/>
    <w:rsid w:val="00FF1972"/>
    <w:rsid w:val="00FF36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FC39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C41380"/>
    <w:rPr>
      <w:lang w:val="en-AU"/>
    </w:rPr>
  </w:style>
  <w:style w:type="paragraph" w:styleId="Heading1">
    <w:name w:val="heading 1"/>
    <w:basedOn w:val="Normal"/>
    <w:next w:val="Normal"/>
    <w:link w:val="Heading1Char"/>
    <w:uiPriority w:val="9"/>
    <w:qFormat/>
    <w:rsid w:val="001220E4"/>
    <w:pPr>
      <w:spacing w:before="1440" w:after="200" w:line="288" w:lineRule="auto"/>
      <w:outlineLvl w:val="0"/>
    </w:pPr>
    <w:rPr>
      <w:rFonts w:ascii="Arial" w:eastAsiaTheme="minorEastAsia" w:hAnsi="Arial" w:cs="Arial"/>
      <w:b/>
      <w:color w:val="FFFFFF" w:themeColor="background1"/>
      <w:sz w:val="96"/>
      <w:szCs w:val="96"/>
      <w:lang w:val="en-US" w:eastAsia="ja-JP"/>
    </w:rPr>
  </w:style>
  <w:style w:type="paragraph" w:styleId="Heading2">
    <w:name w:val="heading 2"/>
    <w:basedOn w:val="Normal"/>
    <w:next w:val="Normal"/>
    <w:link w:val="Heading2Char"/>
    <w:uiPriority w:val="9"/>
    <w:semiHidden/>
    <w:unhideWhenUsed/>
    <w:rsid w:val="00C4138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63DF7"/>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41380"/>
    <w:pPr>
      <w:tabs>
        <w:tab w:val="center" w:pos="4513"/>
        <w:tab w:val="right" w:pos="9026"/>
      </w:tabs>
    </w:pPr>
  </w:style>
  <w:style w:type="character" w:customStyle="1" w:styleId="HeaderChar">
    <w:name w:val="Header Char"/>
    <w:basedOn w:val="DefaultParagraphFont"/>
    <w:link w:val="Header"/>
    <w:uiPriority w:val="99"/>
    <w:rsid w:val="00C41380"/>
    <w:rPr>
      <w:lang w:val="en-US"/>
    </w:rPr>
  </w:style>
  <w:style w:type="paragraph" w:styleId="Footer">
    <w:name w:val="footer"/>
    <w:basedOn w:val="Normal"/>
    <w:link w:val="FooterChar"/>
    <w:uiPriority w:val="99"/>
    <w:unhideWhenUsed/>
    <w:rsid w:val="00C41380"/>
    <w:pPr>
      <w:tabs>
        <w:tab w:val="center" w:pos="4513"/>
        <w:tab w:val="right" w:pos="9026"/>
      </w:tabs>
    </w:pPr>
  </w:style>
  <w:style w:type="character" w:customStyle="1" w:styleId="FooterChar">
    <w:name w:val="Footer Char"/>
    <w:basedOn w:val="DefaultParagraphFont"/>
    <w:link w:val="Footer"/>
    <w:uiPriority w:val="99"/>
    <w:rsid w:val="00C41380"/>
    <w:rPr>
      <w:lang w:val="en-US"/>
    </w:rPr>
  </w:style>
  <w:style w:type="character" w:styleId="PageNumber">
    <w:name w:val="page number"/>
    <w:basedOn w:val="DefaultParagraphFont"/>
    <w:uiPriority w:val="99"/>
    <w:unhideWhenUsed/>
    <w:rsid w:val="00C41380"/>
  </w:style>
  <w:style w:type="paragraph" w:customStyle="1" w:styleId="mpcheading1">
    <w:name w:val="mpc heading 1"/>
    <w:qFormat/>
    <w:rsid w:val="00F61F35"/>
    <w:pPr>
      <w:pBdr>
        <w:bottom w:val="single" w:sz="12" w:space="1" w:color="auto"/>
      </w:pBdr>
      <w:spacing w:after="240"/>
      <w:outlineLvl w:val="0"/>
    </w:pPr>
    <w:rPr>
      <w:b/>
      <w:sz w:val="36"/>
      <w:szCs w:val="36"/>
      <w:lang w:val="en-AU"/>
    </w:rPr>
  </w:style>
  <w:style w:type="paragraph" w:customStyle="1" w:styleId="mpcheading2">
    <w:name w:val="mpc heading 2"/>
    <w:qFormat/>
    <w:rsid w:val="009952BB"/>
    <w:pPr>
      <w:pBdr>
        <w:top w:val="single" w:sz="4" w:space="1" w:color="auto"/>
        <w:left w:val="single" w:sz="4" w:space="4" w:color="auto"/>
        <w:bottom w:val="single" w:sz="4" w:space="1" w:color="auto"/>
        <w:right w:val="single" w:sz="4" w:space="4" w:color="auto"/>
      </w:pBdr>
      <w:shd w:val="clear" w:color="auto" w:fill="4CB99B"/>
      <w:spacing w:after="240"/>
    </w:pPr>
    <w:rPr>
      <w:rFonts w:eastAsia="Cambria" w:cs="Times New Roman"/>
      <w:b/>
      <w:bCs/>
      <w:iCs/>
      <w:color w:val="FFFFFF"/>
      <w:szCs w:val="28"/>
      <w:lang w:val="en-AU"/>
    </w:rPr>
  </w:style>
  <w:style w:type="paragraph" w:customStyle="1" w:styleId="mpcbullets1">
    <w:name w:val="mpc bullets 1"/>
    <w:basedOn w:val="ListParagraph"/>
    <w:autoRedefine/>
    <w:qFormat/>
    <w:rsid w:val="00F720A0"/>
    <w:pPr>
      <w:numPr>
        <w:numId w:val="18"/>
      </w:numPr>
      <w:ind w:left="357" w:hanging="357"/>
    </w:pPr>
    <w:rPr>
      <w:rFonts w:eastAsia="Times New Roman" w:cstheme="minorHAnsi"/>
      <w:color w:val="000000"/>
      <w:sz w:val="22"/>
      <w:szCs w:val="22"/>
    </w:rPr>
  </w:style>
  <w:style w:type="paragraph" w:customStyle="1" w:styleId="mpcbullets2">
    <w:name w:val="mpc bullets 2"/>
    <w:basedOn w:val="mpcNormal"/>
    <w:qFormat/>
    <w:rsid w:val="00CD7880"/>
    <w:pPr>
      <w:numPr>
        <w:ilvl w:val="1"/>
        <w:numId w:val="4"/>
      </w:numPr>
      <w:ind w:left="851" w:hanging="425"/>
    </w:pPr>
  </w:style>
  <w:style w:type="paragraph" w:customStyle="1" w:styleId="mpcbullets3">
    <w:name w:val="mpc bullets 3"/>
    <w:basedOn w:val="mpcbullets1"/>
    <w:qFormat/>
    <w:rsid w:val="00CD7880"/>
    <w:pPr>
      <w:numPr>
        <w:ilvl w:val="1"/>
        <w:numId w:val="19"/>
      </w:numPr>
      <w:ind w:left="1276" w:hanging="425"/>
    </w:pPr>
  </w:style>
  <w:style w:type="paragraph" w:customStyle="1" w:styleId="mpcnumberedlist1">
    <w:name w:val="mpc numbered list 1"/>
    <w:qFormat/>
    <w:rsid w:val="00247967"/>
    <w:pPr>
      <w:numPr>
        <w:numId w:val="1"/>
      </w:numPr>
    </w:pPr>
    <w:rPr>
      <w:rFonts w:cs="Verdana"/>
      <w:lang w:val="en-AU"/>
    </w:rPr>
  </w:style>
  <w:style w:type="paragraph" w:customStyle="1" w:styleId="mpcNormal">
    <w:name w:val="mpc Normal"/>
    <w:basedOn w:val="Normal"/>
    <w:qFormat/>
    <w:rsid w:val="003A051A"/>
    <w:pPr>
      <w:keepNext/>
    </w:pPr>
    <w:rPr>
      <w:rFonts w:cstheme="minorHAnsi"/>
      <w:sz w:val="22"/>
      <w:szCs w:val="22"/>
    </w:rPr>
  </w:style>
  <w:style w:type="paragraph" w:customStyle="1" w:styleId="mpcheading3">
    <w:name w:val="mpc heading 3"/>
    <w:autoRedefine/>
    <w:qFormat/>
    <w:rsid w:val="00143F7D"/>
    <w:pPr>
      <w:pBdr>
        <w:top w:val="single" w:sz="4" w:space="1" w:color="auto"/>
        <w:left w:val="single" w:sz="4" w:space="4" w:color="auto"/>
        <w:bottom w:val="single" w:sz="4" w:space="1" w:color="auto"/>
        <w:right w:val="single" w:sz="4" w:space="4" w:color="auto"/>
      </w:pBdr>
    </w:pPr>
    <w:rPr>
      <w:rFonts w:cstheme="minorHAnsi"/>
      <w:b/>
      <w:bCs/>
      <w:iCs/>
      <w:sz w:val="22"/>
      <w:szCs w:val="22"/>
      <w:lang w:val="en-AU"/>
    </w:rPr>
  </w:style>
  <w:style w:type="paragraph" w:customStyle="1" w:styleId="mpcheading4">
    <w:name w:val="mpc heading 4"/>
    <w:basedOn w:val="NormalWeb"/>
    <w:qFormat/>
    <w:rsid w:val="006F3A46"/>
    <w:pPr>
      <w:keepNext/>
      <w:spacing w:before="0" w:beforeAutospacing="0" w:after="0" w:afterAutospacing="0"/>
    </w:pPr>
    <w:rPr>
      <w:rFonts w:asciiTheme="minorHAnsi" w:hAnsiTheme="minorHAnsi" w:cstheme="minorBidi"/>
      <w:b/>
      <w:color w:val="000000" w:themeColor="text1"/>
      <w:sz w:val="22"/>
      <w:szCs w:val="22"/>
      <w:lang w:val="en-AU" w:eastAsia="en-US"/>
    </w:rPr>
  </w:style>
  <w:style w:type="paragraph" w:styleId="TOC1">
    <w:name w:val="toc 1"/>
    <w:basedOn w:val="Normal"/>
    <w:next w:val="Normal"/>
    <w:autoRedefine/>
    <w:uiPriority w:val="39"/>
    <w:unhideWhenUsed/>
    <w:rsid w:val="00851ECF"/>
    <w:pPr>
      <w:tabs>
        <w:tab w:val="right" w:leader="dot" w:pos="9736"/>
      </w:tabs>
      <w:spacing w:before="120"/>
    </w:pPr>
    <w:rPr>
      <w:b/>
      <w:bCs/>
    </w:rPr>
  </w:style>
  <w:style w:type="paragraph" w:styleId="TOC2">
    <w:name w:val="toc 2"/>
    <w:basedOn w:val="Normal"/>
    <w:next w:val="Normal"/>
    <w:autoRedefine/>
    <w:uiPriority w:val="39"/>
    <w:unhideWhenUsed/>
    <w:rsid w:val="00C14D9F"/>
    <w:pPr>
      <w:tabs>
        <w:tab w:val="right" w:leader="dot" w:pos="9736"/>
      </w:tabs>
      <w:ind w:left="240"/>
    </w:pPr>
    <w:rPr>
      <w:rFonts w:cstheme="minorHAnsi"/>
      <w:bCs/>
      <w:noProof/>
      <w:sz w:val="21"/>
      <w:szCs w:val="22"/>
    </w:rPr>
  </w:style>
  <w:style w:type="paragraph" w:styleId="TOC3">
    <w:name w:val="toc 3"/>
    <w:basedOn w:val="Normal"/>
    <w:next w:val="Normal"/>
    <w:autoRedefine/>
    <w:uiPriority w:val="39"/>
    <w:unhideWhenUsed/>
    <w:rsid w:val="00C41380"/>
    <w:pPr>
      <w:ind w:left="480"/>
    </w:pPr>
    <w:rPr>
      <w:sz w:val="22"/>
      <w:szCs w:val="22"/>
    </w:rPr>
  </w:style>
  <w:style w:type="paragraph" w:customStyle="1" w:styleId="mpcheading5">
    <w:name w:val="mpc heading 5"/>
    <w:basedOn w:val="Normal"/>
    <w:qFormat/>
    <w:rsid w:val="00F61F35"/>
    <w:pPr>
      <w:spacing w:after="240"/>
    </w:pPr>
    <w:rPr>
      <w:i/>
      <w:u w:val="single"/>
    </w:rPr>
  </w:style>
  <w:style w:type="paragraph" w:styleId="ListParagraph">
    <w:name w:val="List Paragraph"/>
    <w:aliases w:val="dot point 1,Bullet point,Bullets,CV text,Dot pt,F5 List Paragraph,FooterText,L,List Paragraph1,List Paragraph11,List Paragraph111,List Paragraph2,Medium Grid 1 - Accent 21,NAST Quote,NFP GP Bulleted List,Numbered Paragraph,Recommendation"/>
    <w:basedOn w:val="Normal"/>
    <w:link w:val="ListParagraphChar"/>
    <w:uiPriority w:val="34"/>
    <w:qFormat/>
    <w:rsid w:val="00C41380"/>
    <w:pPr>
      <w:ind w:left="720"/>
      <w:contextualSpacing/>
    </w:pPr>
  </w:style>
  <w:style w:type="character" w:customStyle="1" w:styleId="Heading2Char">
    <w:name w:val="Heading 2 Char"/>
    <w:basedOn w:val="DefaultParagraphFont"/>
    <w:link w:val="Heading2"/>
    <w:uiPriority w:val="9"/>
    <w:semiHidden/>
    <w:rsid w:val="00C41380"/>
    <w:rPr>
      <w:rFonts w:asciiTheme="majorHAnsi" w:eastAsiaTheme="majorEastAsia" w:hAnsiTheme="majorHAnsi" w:cstheme="majorBidi"/>
      <w:color w:val="2F5496" w:themeColor="accent1" w:themeShade="BF"/>
      <w:sz w:val="26"/>
      <w:szCs w:val="26"/>
      <w:lang w:val="en-US"/>
    </w:rPr>
  </w:style>
  <w:style w:type="character" w:customStyle="1" w:styleId="Heading1Char">
    <w:name w:val="Heading 1 Char"/>
    <w:basedOn w:val="DefaultParagraphFont"/>
    <w:link w:val="Heading1"/>
    <w:uiPriority w:val="9"/>
    <w:rsid w:val="001220E4"/>
    <w:rPr>
      <w:rFonts w:ascii="Arial" w:eastAsiaTheme="minorEastAsia" w:hAnsi="Arial" w:cs="Arial"/>
      <w:b/>
      <w:color w:val="FFFFFF" w:themeColor="background1"/>
      <w:sz w:val="96"/>
      <w:szCs w:val="96"/>
      <w:lang w:val="en-US" w:eastAsia="ja-JP"/>
    </w:rPr>
  </w:style>
  <w:style w:type="paragraph" w:styleId="NoSpacing">
    <w:name w:val="No Spacing"/>
    <w:link w:val="NoSpacingChar"/>
    <w:uiPriority w:val="1"/>
    <w:qFormat/>
    <w:rsid w:val="002D14BA"/>
    <w:rPr>
      <w:rFonts w:eastAsiaTheme="minorEastAsia"/>
      <w:sz w:val="22"/>
      <w:szCs w:val="22"/>
      <w:lang w:val="en-US" w:eastAsia="zh-CN"/>
    </w:rPr>
  </w:style>
  <w:style w:type="character" w:customStyle="1" w:styleId="NoSpacingChar">
    <w:name w:val="No Spacing Char"/>
    <w:basedOn w:val="DefaultParagraphFont"/>
    <w:link w:val="NoSpacing"/>
    <w:uiPriority w:val="1"/>
    <w:rsid w:val="002D14BA"/>
    <w:rPr>
      <w:rFonts w:eastAsiaTheme="minorEastAsia"/>
      <w:sz w:val="22"/>
      <w:szCs w:val="22"/>
      <w:lang w:val="en-US" w:eastAsia="zh-CN"/>
    </w:rPr>
  </w:style>
  <w:style w:type="paragraph" w:customStyle="1" w:styleId="mpctitle1">
    <w:name w:val="mpc title 1"/>
    <w:qFormat/>
    <w:rsid w:val="001071F4"/>
    <w:pPr>
      <w:ind w:left="284"/>
    </w:pPr>
    <w:rPr>
      <w:rFonts w:eastAsiaTheme="minorEastAsia" w:cs="Arial"/>
      <w:color w:val="FFFFFF" w:themeColor="background1"/>
      <w:sz w:val="56"/>
      <w:szCs w:val="56"/>
      <w:lang w:val="en-US" w:eastAsia="ja-JP"/>
    </w:rPr>
  </w:style>
  <w:style w:type="paragraph" w:customStyle="1" w:styleId="mpctitle2">
    <w:name w:val="mpc title 2"/>
    <w:basedOn w:val="Heading1"/>
    <w:qFormat/>
    <w:rsid w:val="00420839"/>
    <w:pPr>
      <w:spacing w:after="800"/>
      <w:ind w:left="284"/>
    </w:pPr>
    <w:rPr>
      <w:rFonts w:asciiTheme="minorHAnsi" w:hAnsiTheme="minorHAnsi"/>
      <w:b w:val="0"/>
      <w:sz w:val="36"/>
      <w:szCs w:val="36"/>
    </w:rPr>
  </w:style>
  <w:style w:type="paragraph" w:styleId="TOC4">
    <w:name w:val="toc 4"/>
    <w:basedOn w:val="Normal"/>
    <w:next w:val="Normal"/>
    <w:autoRedefine/>
    <w:uiPriority w:val="39"/>
    <w:unhideWhenUsed/>
    <w:rsid w:val="00A27699"/>
    <w:pPr>
      <w:ind w:left="720"/>
    </w:pPr>
    <w:rPr>
      <w:sz w:val="22"/>
    </w:rPr>
  </w:style>
  <w:style w:type="paragraph" w:styleId="TOC5">
    <w:name w:val="toc 5"/>
    <w:basedOn w:val="Normal"/>
    <w:next w:val="Normal"/>
    <w:autoRedefine/>
    <w:uiPriority w:val="39"/>
    <w:unhideWhenUsed/>
    <w:rsid w:val="00A27699"/>
    <w:pPr>
      <w:ind w:left="960"/>
    </w:pPr>
    <w:rPr>
      <w:sz w:val="22"/>
    </w:rPr>
  </w:style>
  <w:style w:type="paragraph" w:styleId="TOC6">
    <w:name w:val="toc 6"/>
    <w:basedOn w:val="Normal"/>
    <w:next w:val="Normal"/>
    <w:autoRedefine/>
    <w:uiPriority w:val="39"/>
    <w:unhideWhenUsed/>
    <w:rsid w:val="00A27699"/>
    <w:pPr>
      <w:ind w:left="1200"/>
    </w:pPr>
    <w:rPr>
      <w:sz w:val="22"/>
    </w:rPr>
  </w:style>
  <w:style w:type="paragraph" w:styleId="TOC7">
    <w:name w:val="toc 7"/>
    <w:basedOn w:val="Normal"/>
    <w:next w:val="Normal"/>
    <w:autoRedefine/>
    <w:uiPriority w:val="39"/>
    <w:unhideWhenUsed/>
    <w:rsid w:val="00A27699"/>
    <w:pPr>
      <w:ind w:left="1440"/>
    </w:pPr>
    <w:rPr>
      <w:sz w:val="22"/>
    </w:rPr>
  </w:style>
  <w:style w:type="paragraph" w:styleId="TOC8">
    <w:name w:val="toc 8"/>
    <w:basedOn w:val="Normal"/>
    <w:next w:val="Normal"/>
    <w:autoRedefine/>
    <w:uiPriority w:val="39"/>
    <w:unhideWhenUsed/>
    <w:rsid w:val="00A27699"/>
    <w:pPr>
      <w:ind w:left="1680"/>
    </w:pPr>
    <w:rPr>
      <w:sz w:val="22"/>
    </w:rPr>
  </w:style>
  <w:style w:type="paragraph" w:styleId="TOC9">
    <w:name w:val="toc 9"/>
    <w:basedOn w:val="Normal"/>
    <w:next w:val="Normal"/>
    <w:autoRedefine/>
    <w:uiPriority w:val="39"/>
    <w:unhideWhenUsed/>
    <w:rsid w:val="00A27699"/>
    <w:pPr>
      <w:ind w:left="1920"/>
    </w:pPr>
    <w:rPr>
      <w:sz w:val="22"/>
    </w:rPr>
  </w:style>
  <w:style w:type="paragraph" w:customStyle="1" w:styleId="mpcnumberedlist2">
    <w:name w:val="mpc numbered list 2"/>
    <w:next w:val="mpcnumberedlist1"/>
    <w:qFormat/>
    <w:rsid w:val="00A9464C"/>
    <w:pPr>
      <w:numPr>
        <w:numId w:val="2"/>
      </w:numPr>
    </w:pPr>
    <w:rPr>
      <w:lang w:val="en-AU"/>
    </w:rPr>
  </w:style>
  <w:style w:type="paragraph" w:styleId="FootnoteText">
    <w:name w:val="footnote text"/>
    <w:aliases w:val="Footnotes Text,FSFootnotes Text"/>
    <w:basedOn w:val="Normal"/>
    <w:link w:val="FootnoteTextChar"/>
    <w:unhideWhenUsed/>
    <w:qFormat/>
    <w:rsid w:val="0045557C"/>
    <w:rPr>
      <w:sz w:val="20"/>
      <w:szCs w:val="20"/>
    </w:rPr>
  </w:style>
  <w:style w:type="character" w:customStyle="1" w:styleId="FootnoteTextChar">
    <w:name w:val="Footnote Text Char"/>
    <w:aliases w:val="Footnotes Text Char,FSFootnotes Text Char"/>
    <w:basedOn w:val="DefaultParagraphFont"/>
    <w:link w:val="FootnoteText"/>
    <w:rsid w:val="0045557C"/>
    <w:rPr>
      <w:sz w:val="20"/>
      <w:szCs w:val="20"/>
      <w:lang w:val="en-AU"/>
    </w:rPr>
  </w:style>
  <w:style w:type="character" w:styleId="FootnoteReference">
    <w:name w:val="footnote reference"/>
    <w:basedOn w:val="DefaultParagraphFont"/>
    <w:unhideWhenUsed/>
    <w:rsid w:val="006F3A46"/>
    <w:rPr>
      <w:rFonts w:asciiTheme="minorHAnsi" w:hAnsiTheme="minorHAnsi"/>
      <w:sz w:val="18"/>
      <w:vertAlign w:val="superscript"/>
    </w:rPr>
  </w:style>
  <w:style w:type="paragraph" w:styleId="Caption">
    <w:name w:val="caption"/>
    <w:basedOn w:val="Normal"/>
    <w:next w:val="Normal"/>
    <w:unhideWhenUsed/>
    <w:rsid w:val="0045557C"/>
    <w:pPr>
      <w:keepNext/>
      <w:spacing w:before="40" w:after="40" w:line="280" w:lineRule="atLeast"/>
    </w:pPr>
    <w:rPr>
      <w:b/>
      <w:iCs/>
      <w:sz w:val="18"/>
      <w:szCs w:val="18"/>
    </w:rPr>
  </w:style>
  <w:style w:type="paragraph" w:customStyle="1" w:styleId="Tabletext">
    <w:name w:val="Table text"/>
    <w:basedOn w:val="Normal"/>
    <w:link w:val="TabletextChar"/>
    <w:rsid w:val="0045557C"/>
    <w:pPr>
      <w:spacing w:before="60" w:after="60" w:line="240" w:lineRule="atLeast"/>
    </w:pPr>
    <w:rPr>
      <w:sz w:val="20"/>
      <w:szCs w:val="18"/>
    </w:rPr>
  </w:style>
  <w:style w:type="character" w:customStyle="1" w:styleId="TabletextChar">
    <w:name w:val="Table text Char"/>
    <w:link w:val="Tabletext"/>
    <w:rsid w:val="0045557C"/>
    <w:rPr>
      <w:sz w:val="20"/>
      <w:szCs w:val="18"/>
      <w:lang w:val="en-AU"/>
    </w:rPr>
  </w:style>
  <w:style w:type="table" w:customStyle="1" w:styleId="HeartFdn">
    <w:name w:val="HeartFdn"/>
    <w:basedOn w:val="TableNormal"/>
    <w:uiPriority w:val="99"/>
    <w:rsid w:val="0045557C"/>
    <w:pPr>
      <w:spacing w:before="120"/>
    </w:pPr>
    <w:rPr>
      <w:sz w:val="20"/>
      <w:szCs w:val="20"/>
      <w:lang w:val="en-A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60" w:beforeAutospacing="0" w:afterLines="0" w:after="60" w:afterAutospacing="0"/>
      </w:pPr>
      <w:rPr>
        <w:b/>
        <w:bCs/>
        <w:color w:val="FFFFFF" w:themeColor="background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4472C4" w:themeFill="accent1"/>
      </w:tcPr>
    </w:tblStylePr>
    <w:tblStylePr w:type="lastRow">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pPr>
        <w:wordWrap/>
      </w:pPr>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figurenotes">
    <w:name w:val="Table-figure notes"/>
    <w:basedOn w:val="Normal"/>
    <w:link w:val="Table-figurenotesChar"/>
    <w:uiPriority w:val="4"/>
    <w:rsid w:val="0045557C"/>
    <w:pPr>
      <w:autoSpaceDE w:val="0"/>
      <w:autoSpaceDN w:val="0"/>
      <w:adjustRightInd w:val="0"/>
      <w:spacing w:before="120" w:line="240" w:lineRule="atLeast"/>
    </w:pPr>
    <w:rPr>
      <w:rFonts w:cs="Optima"/>
      <w:bCs/>
      <w:color w:val="000000"/>
      <w:sz w:val="18"/>
      <w:szCs w:val="18"/>
      <w:lang w:bidi="ar-DZ"/>
    </w:rPr>
  </w:style>
  <w:style w:type="character" w:customStyle="1" w:styleId="Table-figurenotesChar">
    <w:name w:val="Table-figure notes Char"/>
    <w:basedOn w:val="DefaultParagraphFont"/>
    <w:link w:val="Table-figurenotes"/>
    <w:uiPriority w:val="4"/>
    <w:rsid w:val="0045557C"/>
    <w:rPr>
      <w:rFonts w:cs="Optima"/>
      <w:bCs/>
      <w:color w:val="000000"/>
      <w:sz w:val="18"/>
      <w:szCs w:val="18"/>
      <w:lang w:val="en-AU" w:bidi="ar-DZ"/>
    </w:rPr>
  </w:style>
  <w:style w:type="character" w:customStyle="1" w:styleId="Heading3Char">
    <w:name w:val="Heading 3 Char"/>
    <w:basedOn w:val="DefaultParagraphFont"/>
    <w:link w:val="Heading3"/>
    <w:uiPriority w:val="9"/>
    <w:semiHidden/>
    <w:rsid w:val="00B63DF7"/>
    <w:rPr>
      <w:rFonts w:asciiTheme="majorHAnsi" w:eastAsiaTheme="majorEastAsia" w:hAnsiTheme="majorHAnsi" w:cstheme="majorBidi"/>
      <w:color w:val="1F3763" w:themeColor="accent1" w:themeShade="7F"/>
      <w:lang w:val="en-AU"/>
    </w:rPr>
  </w:style>
  <w:style w:type="paragraph" w:customStyle="1" w:styleId="Tableheading">
    <w:name w:val="Table heading"/>
    <w:basedOn w:val="Heading3"/>
    <w:link w:val="TableheadingChar"/>
    <w:rsid w:val="00B63DF7"/>
    <w:pPr>
      <w:keepLines w:val="0"/>
      <w:tabs>
        <w:tab w:val="left" w:pos="993"/>
      </w:tabs>
      <w:spacing w:before="120" w:after="120" w:line="260" w:lineRule="atLeast"/>
      <w:ind w:left="993" w:hanging="992"/>
      <w:outlineLvl w:val="9"/>
    </w:pPr>
    <w:rPr>
      <w:rFonts w:asciiTheme="minorHAnsi" w:eastAsiaTheme="minorHAnsi" w:hAnsiTheme="minorHAnsi" w:cstheme="minorBidi"/>
      <w:color w:val="FFFFFF" w:themeColor="background1"/>
      <w:sz w:val="20"/>
      <w:szCs w:val="20"/>
      <w:lang w:bidi="ar-DZ"/>
    </w:rPr>
  </w:style>
  <w:style w:type="character" w:customStyle="1" w:styleId="TableheadingChar">
    <w:name w:val="Table heading Char"/>
    <w:link w:val="Tableheading"/>
    <w:rsid w:val="00B63DF7"/>
    <w:rPr>
      <w:color w:val="FFFFFF" w:themeColor="background1"/>
      <w:sz w:val="20"/>
      <w:szCs w:val="20"/>
      <w:lang w:val="en-AU" w:bidi="ar-DZ"/>
    </w:rPr>
  </w:style>
  <w:style w:type="table" w:styleId="TableGrid">
    <w:name w:val="Table Grid"/>
    <w:basedOn w:val="TableNormal"/>
    <w:uiPriority w:val="39"/>
    <w:rsid w:val="003275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ctableheading">
    <w:name w:val="mpc table heading"/>
    <w:qFormat/>
    <w:rsid w:val="003F7FF4"/>
    <w:rPr>
      <w:b/>
      <w:iCs/>
      <w:sz w:val="22"/>
      <w:szCs w:val="18"/>
      <w:lang w:val="en-AU"/>
    </w:rPr>
  </w:style>
  <w:style w:type="paragraph" w:customStyle="1" w:styleId="mpctabletext">
    <w:name w:val="mpc table text"/>
    <w:qFormat/>
    <w:rsid w:val="00BB1774"/>
    <w:rPr>
      <w:sz w:val="20"/>
      <w:szCs w:val="18"/>
      <w:lang w:val="en-AU"/>
    </w:rPr>
  </w:style>
  <w:style w:type="paragraph" w:customStyle="1" w:styleId="ms-rteelement-p">
    <w:name w:val="ms-rteelement-p"/>
    <w:basedOn w:val="Normal"/>
    <w:rsid w:val="00F43B13"/>
    <w:pPr>
      <w:spacing w:before="100" w:beforeAutospacing="1" w:after="100" w:afterAutospacing="1"/>
    </w:pPr>
    <w:rPr>
      <w:rFonts w:ascii="Times New Roman" w:eastAsia="Times New Roman" w:hAnsi="Times New Roman" w:cs="Times New Roman"/>
      <w:lang w:eastAsia="zh-CN"/>
    </w:rPr>
  </w:style>
  <w:style w:type="character" w:styleId="Hyperlink">
    <w:name w:val="Hyperlink"/>
    <w:basedOn w:val="DefaultParagraphFont"/>
    <w:uiPriority w:val="99"/>
    <w:unhideWhenUsed/>
    <w:rsid w:val="00F43B13"/>
    <w:rPr>
      <w:color w:val="0000FF"/>
      <w:u w:val="single"/>
    </w:rPr>
  </w:style>
  <w:style w:type="character" w:customStyle="1" w:styleId="ListParagraphChar">
    <w:name w:val="List Paragraph Char"/>
    <w:aliases w:val="dot point 1 Char,Bullet point Char,Bullets Char,CV text Char,Dot pt Char,F5 List Paragraph Char,FooterText Char,L Char,List Paragraph1 Char,List Paragraph11 Char,List Paragraph111 Char,List Paragraph2 Char,NAST Quote Char"/>
    <w:basedOn w:val="DefaultParagraphFont"/>
    <w:link w:val="ListParagraph"/>
    <w:uiPriority w:val="34"/>
    <w:qFormat/>
    <w:rsid w:val="00F43B13"/>
    <w:rPr>
      <w:lang w:val="en-AU"/>
    </w:rPr>
  </w:style>
  <w:style w:type="paragraph" w:styleId="NormalWeb">
    <w:name w:val="Normal (Web)"/>
    <w:basedOn w:val="Normal"/>
    <w:uiPriority w:val="99"/>
    <w:unhideWhenUsed/>
    <w:rsid w:val="00F43B13"/>
    <w:pPr>
      <w:spacing w:before="100" w:beforeAutospacing="1" w:after="100" w:afterAutospacing="1"/>
    </w:pPr>
    <w:rPr>
      <w:rFonts w:ascii="Times New Roman" w:hAnsi="Times New Roman" w:cs="Times New Roman"/>
      <w:lang w:val="en-GB" w:eastAsia="en-GB"/>
    </w:rPr>
  </w:style>
  <w:style w:type="paragraph" w:customStyle="1" w:styleId="Default">
    <w:name w:val="Default"/>
    <w:rsid w:val="00B36208"/>
    <w:pPr>
      <w:autoSpaceDE w:val="0"/>
      <w:autoSpaceDN w:val="0"/>
      <w:adjustRightInd w:val="0"/>
    </w:pPr>
    <w:rPr>
      <w:rFonts w:ascii="Verdana" w:hAnsi="Verdana" w:cs="Verdana"/>
      <w:color w:val="000000"/>
      <w:lang w:val="en-US"/>
    </w:rPr>
  </w:style>
  <w:style w:type="character" w:customStyle="1" w:styleId="apple-converted-space">
    <w:name w:val="apple-converted-space"/>
    <w:basedOn w:val="DefaultParagraphFont"/>
    <w:rsid w:val="001D5779"/>
  </w:style>
  <w:style w:type="character" w:customStyle="1" w:styleId="UnresolvedMention">
    <w:name w:val="Unresolved Mention"/>
    <w:basedOn w:val="DefaultParagraphFont"/>
    <w:uiPriority w:val="99"/>
    <w:rsid w:val="006F3A46"/>
    <w:rPr>
      <w:color w:val="605E5C"/>
      <w:shd w:val="clear" w:color="auto" w:fill="E1DFDD"/>
    </w:rPr>
  </w:style>
  <w:style w:type="character" w:styleId="Strong">
    <w:name w:val="Strong"/>
    <w:basedOn w:val="DefaultParagraphFont"/>
    <w:uiPriority w:val="22"/>
    <w:qFormat/>
    <w:rsid w:val="00143F7D"/>
    <w:rPr>
      <w:b/>
      <w:bCs/>
    </w:rPr>
  </w:style>
  <w:style w:type="character" w:styleId="Emphasis">
    <w:name w:val="Emphasis"/>
    <w:basedOn w:val="DefaultParagraphFont"/>
    <w:qFormat/>
    <w:rsid w:val="00143F7D"/>
    <w:rPr>
      <w:i/>
      <w:iCs/>
    </w:rPr>
  </w:style>
  <w:style w:type="paragraph" w:styleId="BodyText">
    <w:name w:val="Body Text"/>
    <w:basedOn w:val="Normal"/>
    <w:link w:val="BodyTextChar"/>
    <w:uiPriority w:val="1"/>
    <w:qFormat/>
    <w:rsid w:val="00143F7D"/>
    <w:pPr>
      <w:widowControl w:val="0"/>
      <w:ind w:left="840"/>
    </w:pPr>
    <w:rPr>
      <w:rFonts w:ascii="Times New Roman" w:eastAsia="Times New Roman" w:hAnsi="Times New Roman"/>
      <w:lang w:val="en-US"/>
    </w:rPr>
  </w:style>
  <w:style w:type="character" w:customStyle="1" w:styleId="BodyTextChar">
    <w:name w:val="Body Text Char"/>
    <w:basedOn w:val="DefaultParagraphFont"/>
    <w:link w:val="BodyText"/>
    <w:uiPriority w:val="1"/>
    <w:rsid w:val="00143F7D"/>
    <w:rPr>
      <w:rFonts w:ascii="Times New Roman" w:eastAsia="Times New Roman" w:hAnsi="Times New Roman"/>
      <w:lang w:val="en-US"/>
    </w:rPr>
  </w:style>
  <w:style w:type="paragraph" w:customStyle="1" w:styleId="body">
    <w:name w:val="body"/>
    <w:basedOn w:val="Normal"/>
    <w:uiPriority w:val="99"/>
    <w:rsid w:val="00143F7D"/>
    <w:pPr>
      <w:widowControl w:val="0"/>
      <w:suppressAutoHyphens/>
      <w:autoSpaceDE w:val="0"/>
      <w:autoSpaceDN w:val="0"/>
      <w:adjustRightInd w:val="0"/>
      <w:spacing w:after="113" w:line="230" w:lineRule="atLeast"/>
      <w:textAlignment w:val="center"/>
    </w:pPr>
    <w:rPr>
      <w:rFonts w:ascii="TimesNewRomanPSMT" w:eastAsia="Times New Roman" w:hAnsi="TimesNewRomanPSMT" w:cs="TimesNewRomanPSMT"/>
      <w:color w:val="000000"/>
      <w:sz w:val="19"/>
      <w:szCs w:val="19"/>
      <w:lang w:val="en-GB"/>
    </w:rPr>
  </w:style>
  <w:style w:type="paragraph" w:customStyle="1" w:styleId="bodytext0">
    <w:name w:val="bodytext"/>
    <w:basedOn w:val="Normal"/>
    <w:rsid w:val="00143F7D"/>
    <w:pPr>
      <w:spacing w:before="100" w:beforeAutospacing="1" w:after="100" w:afterAutospacing="1"/>
    </w:pPr>
    <w:rPr>
      <w:rFonts w:ascii="Times New Roman" w:eastAsia="Times New Roman" w:hAnsi="Times New Roman" w:cs="Times New Roman"/>
    </w:rPr>
  </w:style>
  <w:style w:type="paragraph" w:customStyle="1" w:styleId="trt0xe">
    <w:name w:val="trt0xe"/>
    <w:basedOn w:val="Normal"/>
    <w:rsid w:val="00143F7D"/>
    <w:pPr>
      <w:spacing w:before="100" w:beforeAutospacing="1" w:after="100" w:afterAutospacing="1"/>
    </w:pPr>
    <w:rPr>
      <w:rFonts w:ascii="Times New Roman" w:eastAsia="Times New Roman" w:hAnsi="Times New Roman" w:cs="Times New Roman"/>
    </w:rPr>
  </w:style>
  <w:style w:type="character" w:styleId="CommentReference">
    <w:name w:val="annotation reference"/>
    <w:basedOn w:val="DefaultParagraphFont"/>
    <w:unhideWhenUsed/>
    <w:rsid w:val="00340091"/>
    <w:rPr>
      <w:sz w:val="16"/>
      <w:szCs w:val="16"/>
    </w:rPr>
  </w:style>
  <w:style w:type="paragraph" w:styleId="CommentText">
    <w:name w:val="annotation text"/>
    <w:basedOn w:val="Normal"/>
    <w:link w:val="CommentTextChar"/>
    <w:unhideWhenUsed/>
    <w:rsid w:val="00340091"/>
    <w:pPr>
      <w:spacing w:after="120"/>
    </w:pPr>
    <w:rPr>
      <w:rFonts w:ascii="Century Gothic" w:eastAsia="Times New Roman" w:hAnsi="Century Gothic" w:cs="Times New Roman"/>
      <w:sz w:val="20"/>
      <w:szCs w:val="20"/>
    </w:rPr>
  </w:style>
  <w:style w:type="character" w:customStyle="1" w:styleId="CommentTextChar">
    <w:name w:val="Comment Text Char"/>
    <w:basedOn w:val="DefaultParagraphFont"/>
    <w:link w:val="CommentText"/>
    <w:rsid w:val="00340091"/>
    <w:rPr>
      <w:rFonts w:ascii="Century Gothic" w:eastAsia="Times New Roman" w:hAnsi="Century Gothic" w:cs="Times New Roman"/>
      <w:sz w:val="20"/>
      <w:szCs w:val="20"/>
      <w:lang w:val="en-AU"/>
    </w:rPr>
  </w:style>
  <w:style w:type="paragraph" w:styleId="BalloonText">
    <w:name w:val="Balloon Text"/>
    <w:basedOn w:val="Normal"/>
    <w:link w:val="BalloonTextChar"/>
    <w:uiPriority w:val="99"/>
    <w:semiHidden/>
    <w:unhideWhenUsed/>
    <w:rsid w:val="0034009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40091"/>
    <w:rPr>
      <w:rFonts w:ascii="Times New Roman" w:hAnsi="Times New Roman" w:cs="Times New Roman"/>
      <w:sz w:val="18"/>
      <w:szCs w:val="18"/>
      <w:lang w:val="en-AU"/>
    </w:rPr>
  </w:style>
  <w:style w:type="character" w:styleId="FollowedHyperlink">
    <w:name w:val="FollowedHyperlink"/>
    <w:basedOn w:val="DefaultParagraphFont"/>
    <w:uiPriority w:val="99"/>
    <w:semiHidden/>
    <w:unhideWhenUsed/>
    <w:rsid w:val="009E50B1"/>
    <w:rPr>
      <w:color w:val="954F72" w:themeColor="followedHyperlink"/>
      <w:u w:val="single"/>
    </w:rPr>
  </w:style>
  <w:style w:type="paragraph" w:styleId="EndnoteText">
    <w:name w:val="endnote text"/>
    <w:basedOn w:val="Normal"/>
    <w:link w:val="EndnoteTextChar"/>
    <w:uiPriority w:val="99"/>
    <w:semiHidden/>
    <w:unhideWhenUsed/>
    <w:rsid w:val="000A3464"/>
    <w:rPr>
      <w:sz w:val="20"/>
      <w:szCs w:val="20"/>
    </w:rPr>
  </w:style>
  <w:style w:type="character" w:customStyle="1" w:styleId="EndnoteTextChar">
    <w:name w:val="Endnote Text Char"/>
    <w:basedOn w:val="DefaultParagraphFont"/>
    <w:link w:val="EndnoteText"/>
    <w:uiPriority w:val="99"/>
    <w:semiHidden/>
    <w:rsid w:val="000A3464"/>
    <w:rPr>
      <w:sz w:val="20"/>
      <w:szCs w:val="20"/>
      <w:lang w:val="en-AU"/>
    </w:rPr>
  </w:style>
  <w:style w:type="character" w:styleId="EndnoteReference">
    <w:name w:val="endnote reference"/>
    <w:basedOn w:val="DefaultParagraphFont"/>
    <w:uiPriority w:val="99"/>
    <w:semiHidden/>
    <w:unhideWhenUsed/>
    <w:rsid w:val="000A3464"/>
    <w:rPr>
      <w:vertAlign w:val="superscript"/>
    </w:rPr>
  </w:style>
  <w:style w:type="paragraph" w:customStyle="1" w:styleId="p1">
    <w:name w:val="p1"/>
    <w:basedOn w:val="Normal"/>
    <w:rsid w:val="000A3464"/>
    <w:pPr>
      <w:spacing w:after="30" w:line="300" w:lineRule="atLeast"/>
      <w:ind w:left="90"/>
    </w:pPr>
    <w:rPr>
      <w:rFonts w:ascii="Helvetica Neue" w:eastAsia="Times New Roman" w:hAnsi="Helvetica Neue" w:cs="Times New Roman"/>
      <w:color w:val="000000"/>
      <w:sz w:val="18"/>
      <w:szCs w:val="18"/>
      <w:lang w:val="en-GB" w:eastAsia="en-GB"/>
    </w:rPr>
  </w:style>
  <w:style w:type="paragraph" w:customStyle="1" w:styleId="mpcbullets10">
    <w:name w:val="mpcbullets1"/>
    <w:basedOn w:val="Normal"/>
    <w:rsid w:val="000A3464"/>
    <w:pPr>
      <w:spacing w:before="100" w:beforeAutospacing="1" w:after="100" w:afterAutospacing="1"/>
    </w:pPr>
    <w:rPr>
      <w:rFonts w:ascii="Times New Roman" w:eastAsia="Times New Roman" w:hAnsi="Times New Roman" w:cs="Times New Roman"/>
    </w:rPr>
  </w:style>
  <w:style w:type="character" w:customStyle="1" w:styleId="visually-hidden">
    <w:name w:val="visually-hidden"/>
    <w:basedOn w:val="DefaultParagraphFont"/>
    <w:rsid w:val="000A3464"/>
  </w:style>
  <w:style w:type="paragraph" w:customStyle="1" w:styleId="FSBullet">
    <w:name w:val="FS Bullet"/>
    <w:basedOn w:val="Normal"/>
    <w:next w:val="Normal"/>
    <w:link w:val="FSBulletChar"/>
    <w:rsid w:val="004F7D86"/>
    <w:pPr>
      <w:widowControl w:val="0"/>
      <w:numPr>
        <w:numId w:val="34"/>
      </w:numPr>
      <w:spacing w:before="120" w:after="120"/>
    </w:pPr>
    <w:rPr>
      <w:rFonts w:ascii="Arial" w:eastAsia="Times New Roman" w:hAnsi="Arial" w:cs="Arial"/>
      <w:sz w:val="22"/>
      <w:lang w:val="x-none" w:bidi="en-US"/>
    </w:rPr>
  </w:style>
  <w:style w:type="character" w:customStyle="1" w:styleId="FSBulletChar">
    <w:name w:val="FS Bullet Char"/>
    <w:link w:val="FSBullet"/>
    <w:rsid w:val="004F7D86"/>
    <w:rPr>
      <w:rFonts w:ascii="Arial" w:eastAsia="Times New Roman" w:hAnsi="Arial" w:cs="Arial"/>
      <w:sz w:val="22"/>
      <w:lang w:val="x-none" w:bidi="en-US"/>
    </w:rPr>
  </w:style>
  <w:style w:type="character" w:customStyle="1" w:styleId="highwire-cite-doi">
    <w:name w:val="highwire-cite-doi"/>
    <w:basedOn w:val="DefaultParagraphFont"/>
    <w:rsid w:val="00E45F4B"/>
  </w:style>
  <w:style w:type="character" w:customStyle="1" w:styleId="highwire-cite-date">
    <w:name w:val="highwire-cite-date"/>
    <w:basedOn w:val="DefaultParagraphFont"/>
    <w:rsid w:val="00E45F4B"/>
  </w:style>
  <w:style w:type="paragraph" w:styleId="Revision">
    <w:name w:val="Revision"/>
    <w:hidden/>
    <w:uiPriority w:val="99"/>
    <w:semiHidden/>
    <w:rsid w:val="001B5DEE"/>
    <w:rPr>
      <w:lang w:val="en-AU"/>
    </w:rPr>
  </w:style>
  <w:style w:type="paragraph" w:styleId="ListBullet">
    <w:name w:val="List Bullet"/>
    <w:basedOn w:val="Normal"/>
    <w:uiPriority w:val="99"/>
    <w:unhideWhenUsed/>
    <w:rsid w:val="009374A6"/>
    <w:pPr>
      <w:numPr>
        <w:numId w:val="46"/>
      </w:numPr>
      <w:spacing w:before="120" w:line="260" w:lineRule="atLeast"/>
      <w:contextualSpacing/>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69">
      <w:bodyDiv w:val="1"/>
      <w:marLeft w:val="0"/>
      <w:marRight w:val="0"/>
      <w:marTop w:val="0"/>
      <w:marBottom w:val="0"/>
      <w:divBdr>
        <w:top w:val="none" w:sz="0" w:space="0" w:color="auto"/>
        <w:left w:val="none" w:sz="0" w:space="0" w:color="auto"/>
        <w:bottom w:val="none" w:sz="0" w:space="0" w:color="auto"/>
        <w:right w:val="none" w:sz="0" w:space="0" w:color="auto"/>
      </w:divBdr>
    </w:div>
    <w:div w:id="175661581">
      <w:bodyDiv w:val="1"/>
      <w:marLeft w:val="0"/>
      <w:marRight w:val="0"/>
      <w:marTop w:val="0"/>
      <w:marBottom w:val="0"/>
      <w:divBdr>
        <w:top w:val="none" w:sz="0" w:space="0" w:color="auto"/>
        <w:left w:val="none" w:sz="0" w:space="0" w:color="auto"/>
        <w:bottom w:val="none" w:sz="0" w:space="0" w:color="auto"/>
        <w:right w:val="none" w:sz="0" w:space="0" w:color="auto"/>
      </w:divBdr>
    </w:div>
    <w:div w:id="526258419">
      <w:bodyDiv w:val="1"/>
      <w:marLeft w:val="0"/>
      <w:marRight w:val="0"/>
      <w:marTop w:val="0"/>
      <w:marBottom w:val="0"/>
      <w:divBdr>
        <w:top w:val="none" w:sz="0" w:space="0" w:color="auto"/>
        <w:left w:val="none" w:sz="0" w:space="0" w:color="auto"/>
        <w:bottom w:val="none" w:sz="0" w:space="0" w:color="auto"/>
        <w:right w:val="none" w:sz="0" w:space="0" w:color="auto"/>
      </w:divBdr>
    </w:div>
    <w:div w:id="655384020">
      <w:bodyDiv w:val="1"/>
      <w:marLeft w:val="0"/>
      <w:marRight w:val="0"/>
      <w:marTop w:val="0"/>
      <w:marBottom w:val="0"/>
      <w:divBdr>
        <w:top w:val="none" w:sz="0" w:space="0" w:color="auto"/>
        <w:left w:val="none" w:sz="0" w:space="0" w:color="auto"/>
        <w:bottom w:val="none" w:sz="0" w:space="0" w:color="auto"/>
        <w:right w:val="none" w:sz="0" w:space="0" w:color="auto"/>
      </w:divBdr>
    </w:div>
    <w:div w:id="846747226">
      <w:bodyDiv w:val="1"/>
      <w:marLeft w:val="0"/>
      <w:marRight w:val="0"/>
      <w:marTop w:val="0"/>
      <w:marBottom w:val="0"/>
      <w:divBdr>
        <w:top w:val="none" w:sz="0" w:space="0" w:color="auto"/>
        <w:left w:val="none" w:sz="0" w:space="0" w:color="auto"/>
        <w:bottom w:val="none" w:sz="0" w:space="0" w:color="auto"/>
        <w:right w:val="none" w:sz="0" w:space="0" w:color="auto"/>
      </w:divBdr>
    </w:div>
    <w:div w:id="962269650">
      <w:bodyDiv w:val="1"/>
      <w:marLeft w:val="0"/>
      <w:marRight w:val="0"/>
      <w:marTop w:val="0"/>
      <w:marBottom w:val="0"/>
      <w:divBdr>
        <w:top w:val="none" w:sz="0" w:space="0" w:color="auto"/>
        <w:left w:val="none" w:sz="0" w:space="0" w:color="auto"/>
        <w:bottom w:val="none" w:sz="0" w:space="0" w:color="auto"/>
        <w:right w:val="none" w:sz="0" w:space="0" w:color="auto"/>
      </w:divBdr>
    </w:div>
    <w:div w:id="1000044170">
      <w:bodyDiv w:val="1"/>
      <w:marLeft w:val="0"/>
      <w:marRight w:val="0"/>
      <w:marTop w:val="0"/>
      <w:marBottom w:val="0"/>
      <w:divBdr>
        <w:top w:val="none" w:sz="0" w:space="0" w:color="auto"/>
        <w:left w:val="none" w:sz="0" w:space="0" w:color="auto"/>
        <w:bottom w:val="none" w:sz="0" w:space="0" w:color="auto"/>
        <w:right w:val="none" w:sz="0" w:space="0" w:color="auto"/>
      </w:divBdr>
    </w:div>
    <w:div w:id="1032993558">
      <w:bodyDiv w:val="1"/>
      <w:marLeft w:val="0"/>
      <w:marRight w:val="0"/>
      <w:marTop w:val="0"/>
      <w:marBottom w:val="0"/>
      <w:divBdr>
        <w:top w:val="none" w:sz="0" w:space="0" w:color="auto"/>
        <w:left w:val="none" w:sz="0" w:space="0" w:color="auto"/>
        <w:bottom w:val="none" w:sz="0" w:space="0" w:color="auto"/>
        <w:right w:val="none" w:sz="0" w:space="0" w:color="auto"/>
      </w:divBdr>
    </w:div>
    <w:div w:id="1100179564">
      <w:bodyDiv w:val="1"/>
      <w:marLeft w:val="0"/>
      <w:marRight w:val="0"/>
      <w:marTop w:val="0"/>
      <w:marBottom w:val="0"/>
      <w:divBdr>
        <w:top w:val="none" w:sz="0" w:space="0" w:color="auto"/>
        <w:left w:val="none" w:sz="0" w:space="0" w:color="auto"/>
        <w:bottom w:val="none" w:sz="0" w:space="0" w:color="auto"/>
        <w:right w:val="none" w:sz="0" w:space="0" w:color="auto"/>
      </w:divBdr>
      <w:divsChild>
        <w:div w:id="175578496">
          <w:marLeft w:val="0"/>
          <w:marRight w:val="0"/>
          <w:marTop w:val="0"/>
          <w:marBottom w:val="0"/>
          <w:divBdr>
            <w:top w:val="none" w:sz="0" w:space="0" w:color="auto"/>
            <w:left w:val="none" w:sz="0" w:space="0" w:color="auto"/>
            <w:bottom w:val="none" w:sz="0" w:space="0" w:color="auto"/>
            <w:right w:val="none" w:sz="0" w:space="0" w:color="auto"/>
          </w:divBdr>
          <w:divsChild>
            <w:div w:id="862942103">
              <w:marLeft w:val="0"/>
              <w:marRight w:val="0"/>
              <w:marTop w:val="0"/>
              <w:marBottom w:val="0"/>
              <w:divBdr>
                <w:top w:val="none" w:sz="0" w:space="0" w:color="auto"/>
                <w:left w:val="none" w:sz="0" w:space="0" w:color="auto"/>
                <w:bottom w:val="none" w:sz="0" w:space="0" w:color="auto"/>
                <w:right w:val="none" w:sz="0" w:space="0" w:color="auto"/>
              </w:divBdr>
              <w:divsChild>
                <w:div w:id="2033067566">
                  <w:marLeft w:val="0"/>
                  <w:marRight w:val="0"/>
                  <w:marTop w:val="0"/>
                  <w:marBottom w:val="0"/>
                  <w:divBdr>
                    <w:top w:val="none" w:sz="0" w:space="0" w:color="auto"/>
                    <w:left w:val="none" w:sz="0" w:space="0" w:color="auto"/>
                    <w:bottom w:val="none" w:sz="0" w:space="0" w:color="auto"/>
                    <w:right w:val="none" w:sz="0" w:space="0" w:color="auto"/>
                  </w:divBdr>
                  <w:divsChild>
                    <w:div w:id="30424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7511874">
      <w:bodyDiv w:val="1"/>
      <w:marLeft w:val="0"/>
      <w:marRight w:val="0"/>
      <w:marTop w:val="0"/>
      <w:marBottom w:val="0"/>
      <w:divBdr>
        <w:top w:val="none" w:sz="0" w:space="0" w:color="auto"/>
        <w:left w:val="none" w:sz="0" w:space="0" w:color="auto"/>
        <w:bottom w:val="none" w:sz="0" w:space="0" w:color="auto"/>
        <w:right w:val="none" w:sz="0" w:space="0" w:color="auto"/>
      </w:divBdr>
    </w:div>
    <w:div w:id="1163206218">
      <w:bodyDiv w:val="1"/>
      <w:marLeft w:val="0"/>
      <w:marRight w:val="0"/>
      <w:marTop w:val="0"/>
      <w:marBottom w:val="0"/>
      <w:divBdr>
        <w:top w:val="none" w:sz="0" w:space="0" w:color="auto"/>
        <w:left w:val="none" w:sz="0" w:space="0" w:color="auto"/>
        <w:bottom w:val="none" w:sz="0" w:space="0" w:color="auto"/>
        <w:right w:val="none" w:sz="0" w:space="0" w:color="auto"/>
      </w:divBdr>
    </w:div>
    <w:div w:id="1370647254">
      <w:bodyDiv w:val="1"/>
      <w:marLeft w:val="0"/>
      <w:marRight w:val="0"/>
      <w:marTop w:val="0"/>
      <w:marBottom w:val="0"/>
      <w:divBdr>
        <w:top w:val="none" w:sz="0" w:space="0" w:color="auto"/>
        <w:left w:val="none" w:sz="0" w:space="0" w:color="auto"/>
        <w:bottom w:val="none" w:sz="0" w:space="0" w:color="auto"/>
        <w:right w:val="none" w:sz="0" w:space="0" w:color="auto"/>
      </w:divBdr>
    </w:div>
    <w:div w:id="1568999397">
      <w:bodyDiv w:val="1"/>
      <w:marLeft w:val="0"/>
      <w:marRight w:val="0"/>
      <w:marTop w:val="0"/>
      <w:marBottom w:val="0"/>
      <w:divBdr>
        <w:top w:val="none" w:sz="0" w:space="0" w:color="auto"/>
        <w:left w:val="none" w:sz="0" w:space="0" w:color="auto"/>
        <w:bottom w:val="none" w:sz="0" w:space="0" w:color="auto"/>
        <w:right w:val="none" w:sz="0" w:space="0" w:color="auto"/>
      </w:divBdr>
    </w:div>
    <w:div w:id="1577939120">
      <w:bodyDiv w:val="1"/>
      <w:marLeft w:val="0"/>
      <w:marRight w:val="0"/>
      <w:marTop w:val="0"/>
      <w:marBottom w:val="0"/>
      <w:divBdr>
        <w:top w:val="none" w:sz="0" w:space="0" w:color="auto"/>
        <w:left w:val="none" w:sz="0" w:space="0" w:color="auto"/>
        <w:bottom w:val="none" w:sz="0" w:space="0" w:color="auto"/>
        <w:right w:val="none" w:sz="0" w:space="0" w:color="auto"/>
      </w:divBdr>
      <w:divsChild>
        <w:div w:id="82070152">
          <w:marLeft w:val="0"/>
          <w:marRight w:val="0"/>
          <w:marTop w:val="0"/>
          <w:marBottom w:val="0"/>
          <w:divBdr>
            <w:top w:val="none" w:sz="0" w:space="0" w:color="auto"/>
            <w:left w:val="none" w:sz="0" w:space="0" w:color="auto"/>
            <w:bottom w:val="none" w:sz="0" w:space="0" w:color="auto"/>
            <w:right w:val="none" w:sz="0" w:space="0" w:color="auto"/>
          </w:divBdr>
          <w:divsChild>
            <w:div w:id="1878470109">
              <w:marLeft w:val="0"/>
              <w:marRight w:val="0"/>
              <w:marTop w:val="0"/>
              <w:marBottom w:val="0"/>
              <w:divBdr>
                <w:top w:val="none" w:sz="0" w:space="0" w:color="auto"/>
                <w:left w:val="none" w:sz="0" w:space="0" w:color="auto"/>
                <w:bottom w:val="none" w:sz="0" w:space="0" w:color="auto"/>
                <w:right w:val="none" w:sz="0" w:space="0" w:color="auto"/>
              </w:divBdr>
              <w:divsChild>
                <w:div w:id="531580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20860">
      <w:bodyDiv w:val="1"/>
      <w:marLeft w:val="0"/>
      <w:marRight w:val="0"/>
      <w:marTop w:val="0"/>
      <w:marBottom w:val="0"/>
      <w:divBdr>
        <w:top w:val="none" w:sz="0" w:space="0" w:color="auto"/>
        <w:left w:val="none" w:sz="0" w:space="0" w:color="auto"/>
        <w:bottom w:val="none" w:sz="0" w:space="0" w:color="auto"/>
        <w:right w:val="none" w:sz="0" w:space="0" w:color="auto"/>
      </w:divBdr>
      <w:divsChild>
        <w:div w:id="2434892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72464890">
              <w:marLeft w:val="0"/>
              <w:marRight w:val="0"/>
              <w:marTop w:val="0"/>
              <w:marBottom w:val="0"/>
              <w:divBdr>
                <w:top w:val="none" w:sz="0" w:space="0" w:color="auto"/>
                <w:left w:val="none" w:sz="0" w:space="0" w:color="auto"/>
                <w:bottom w:val="none" w:sz="0" w:space="0" w:color="auto"/>
                <w:right w:val="none" w:sz="0" w:space="0" w:color="auto"/>
              </w:divBdr>
              <w:divsChild>
                <w:div w:id="2046516318">
                  <w:marLeft w:val="0"/>
                  <w:marRight w:val="0"/>
                  <w:marTop w:val="0"/>
                  <w:marBottom w:val="0"/>
                  <w:divBdr>
                    <w:top w:val="none" w:sz="0" w:space="0" w:color="auto"/>
                    <w:left w:val="none" w:sz="0" w:space="0" w:color="auto"/>
                    <w:bottom w:val="none" w:sz="0" w:space="0" w:color="auto"/>
                    <w:right w:val="none" w:sz="0" w:space="0" w:color="auto"/>
                  </w:divBdr>
                  <w:divsChild>
                    <w:div w:id="38549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64032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ilever.com.au/news/news-and-features/2015/understanding-the-health-star-rating-system.html" TargetMode="External"/><Relationship Id="rId21" Type="http://schemas.openxmlformats.org/officeDocument/2006/relationships/hyperlink" Target="http://www.healthstarrating.gov.au/internet/healthstarrating/publishing.nsf/content/guide-for-industry-document" TargetMode="External"/><Relationship Id="rId42" Type="http://schemas.openxmlformats.org/officeDocument/2006/relationships/image" Target="media/image13.tiff"/><Relationship Id="rId63" Type="http://schemas.openxmlformats.org/officeDocument/2006/relationships/image" Target="media/image23.tiff"/><Relationship Id="rId84" Type="http://schemas.openxmlformats.org/officeDocument/2006/relationships/footer" Target="footer2.xml"/><Relationship Id="rId138" Type="http://schemas.openxmlformats.org/officeDocument/2006/relationships/hyperlink" Target="http://www.abs.gov.au/ausstats/abs@.nsf/Lookup/4363.0.55.001Chapter65062011-13" TargetMode="External"/><Relationship Id="rId159" Type="http://schemas.openxmlformats.org/officeDocument/2006/relationships/hyperlink" Target="http://sydney.edu.au/medicine/public-health/prevention-research/news/reports/PANORG%20Sugar%20&amp;%20Health%20Rapid%20Evid%20Review%2009102015%20Web.pdf" TargetMode="External"/><Relationship Id="rId170" Type="http://schemas.openxmlformats.org/officeDocument/2006/relationships/hyperlink" Target="http://iris.paho.org/xmlui/bitstream/handle/123456789/18621/9789275118733_eng.pdf" TargetMode="External"/><Relationship Id="rId191" Type="http://schemas.openxmlformats.org/officeDocument/2006/relationships/hyperlink" Target="https://www.news.com.au/lifestyle/food/eat/nestle-drops-milos-45-health-star-rating-after-criticism-from-health-experts/news-story/e7f5c81ce450b8843b1df1dd505baf2c" TargetMode="External"/><Relationship Id="rId196" Type="http://schemas.openxmlformats.org/officeDocument/2006/relationships/hyperlink" Target="http://www.healthstarrating.gov.au/internet/healthstarrating/publishing.nsf/Content/651EEFA223A6A659CA257DA500196046/$File/HSR%20Style%20Guide-v5.pdf" TargetMode="External"/><Relationship Id="rId200" Type="http://schemas.openxmlformats.org/officeDocument/2006/relationships/hyperlink" Target="http://www.eatforhealth.gov.au/" TargetMode="External"/><Relationship Id="rId16" Type="http://schemas.openxmlformats.org/officeDocument/2006/relationships/image" Target="media/image5.tiff"/><Relationship Id="rId107" Type="http://schemas.openxmlformats.org/officeDocument/2006/relationships/hyperlink" Target="https://www.nestle.com.au/nhw/foodlabelling/health-star-ratings" TargetMode="External"/><Relationship Id="rId11" Type="http://schemas.openxmlformats.org/officeDocument/2006/relationships/hyperlink" Target="https://www.legislation.gov.au/Details/F2018C00942" TargetMode="External"/><Relationship Id="rId32" Type="http://schemas.openxmlformats.org/officeDocument/2006/relationships/hyperlink" Target="http://www.healthstarrating.gov.au/internet/healthstarrating/publishing.nsf/Content/hff" TargetMode="External"/><Relationship Id="rId37" Type="http://schemas.openxmlformats.org/officeDocument/2006/relationships/hyperlink" Target="http://www.mpconsulting.com.au/hsr-system-enhancements-consultation/" TargetMode="External"/><Relationship Id="rId53" Type="http://schemas.openxmlformats.org/officeDocument/2006/relationships/hyperlink" Target="http://www.eatforhealth.gov.au/" TargetMode="External"/><Relationship Id="rId58" Type="http://schemas.openxmlformats.org/officeDocument/2006/relationships/hyperlink" Target="https://www.eatwellatiga.com.au/" TargetMode="External"/><Relationship Id="rId74" Type="http://schemas.openxmlformats.org/officeDocument/2006/relationships/hyperlink" Target="http://healthstarrating.gov.au/internet/healthstarrating/publishing.nsf/Content/health-star-rating-campaign" TargetMode="External"/><Relationship Id="rId79" Type="http://schemas.openxmlformats.org/officeDocument/2006/relationships/hyperlink" Target="https://ndb.nal.usda.gov/ndb/" TargetMode="External"/><Relationship Id="rId102" Type="http://schemas.openxmlformats.org/officeDocument/2006/relationships/hyperlink" Target="https://www.eatwellatiga.com.au/" TargetMode="External"/><Relationship Id="rId123" Type="http://schemas.openxmlformats.org/officeDocument/2006/relationships/hyperlink" Target="https://foodwatch.com.au/blog/additives-and-labels/item/the-health-star-rating-what-is-it-and-what-does-it-mean-for-you.html" TargetMode="External"/><Relationship Id="rId128" Type="http://schemas.openxmlformats.org/officeDocument/2006/relationships/hyperlink" Target="https://www.glnc.org.au/resources/consumers/" TargetMode="External"/><Relationship Id="rId144" Type="http://schemas.openxmlformats.org/officeDocument/2006/relationships/hyperlink" Target="https://www.heartfoundation.org.au/for-professionals/food-and-nutrition/what-is-foodtrack" TargetMode="External"/><Relationship Id="rId149" Type="http://schemas.openxmlformats.org/officeDocument/2006/relationships/hyperlink" Target="https://www.health.govt.nz/system/files/documents/publications/eating-activity-guidelines-for-new-zealand-adults-oct15_0.pdf" TargetMode="External"/><Relationship Id="rId5" Type="http://schemas.openxmlformats.org/officeDocument/2006/relationships/webSettings" Target="webSettings.xml"/><Relationship Id="rId90" Type="http://schemas.openxmlformats.org/officeDocument/2006/relationships/hyperlink" Target="https://www.health.nsw.gov.au/heal/Pages/healthy-food-framework.aspx" TargetMode="External"/><Relationship Id="rId95" Type="http://schemas.openxmlformats.org/officeDocument/2006/relationships/hyperlink" Target="https://www.countdown.co.nz/food-hub/healthy-hub/health-star-rating" TargetMode="External"/><Relationship Id="rId160" Type="http://schemas.openxmlformats.org/officeDocument/2006/relationships/hyperlink" Target="https://webarchive.nationalarchives.gov.uk/20120403230459/http:/www.food.gov.uk/multimedia/pdfs/quantrationale.pdf" TargetMode="External"/><Relationship Id="rId165" Type="http://schemas.openxmlformats.org/officeDocument/2006/relationships/hyperlink" Target="https://www.vichealth.vic.gov.au/-/media/Images/VicHealth/Images-and-Files/MediaResources/Publications/HealthyEating/State-of-Salt/AppendixC_Salt-Reduction-Vic_Economic-business-case_June15.pdf?la=en&amp;hash=31C6D146B70B46CCF1B3425B546D8569F0C1EFDB" TargetMode="External"/><Relationship Id="rId181" Type="http://schemas.openxmlformats.org/officeDocument/2006/relationships/hyperlink" Target="http://wcrf.org/frontofpack" TargetMode="External"/><Relationship Id="rId186" Type="http://schemas.openxmlformats.org/officeDocument/2006/relationships/hyperlink" Target="https://www.smh.com.au/healthcare/nestle-wipes-4-5-health-star-rating-off-flagship-milo-product-20180301-p4z295.html" TargetMode="External"/><Relationship Id="rId22" Type="http://schemas.openxmlformats.org/officeDocument/2006/relationships/hyperlink" Target="http://www.healthstarrating.gov.au/internet/healthstarrating/publishing.nsf/content/guide-for-industry-document" TargetMode="External"/><Relationship Id="rId27" Type="http://schemas.openxmlformats.org/officeDocument/2006/relationships/hyperlink" Target="http://healthstarrating.gov.au/internet/healthstarrating/publishing.nsf/Content/style-guide" TargetMode="External"/><Relationship Id="rId43" Type="http://schemas.openxmlformats.org/officeDocument/2006/relationships/hyperlink" Target="http://www.healthstarrating.gov.au/internet/healthstarrating/publishing.nsf/Content/formative-research" TargetMode="External"/><Relationship Id="rId48" Type="http://schemas.openxmlformats.org/officeDocument/2006/relationships/image" Target="media/image16.jpeg"/><Relationship Id="rId64" Type="http://schemas.openxmlformats.org/officeDocument/2006/relationships/image" Target="media/image24.tiff"/><Relationship Id="rId69" Type="http://schemas.openxmlformats.org/officeDocument/2006/relationships/image" Target="media/image26.tiff"/><Relationship Id="rId113" Type="http://schemas.openxmlformats.org/officeDocument/2006/relationships/hyperlink" Target="https://www.simplot.com.au/health-nutrition/healthy-choices/" TargetMode="External"/><Relationship Id="rId118" Type="http://schemas.openxmlformats.org/officeDocument/2006/relationships/hyperlink" Target="https://www.woolworths.com.au/shop/discover/healthy-eating/health-star-rating" TargetMode="External"/><Relationship Id="rId134" Type="http://schemas.openxmlformats.org/officeDocument/2006/relationships/hyperlink" Target="http://foodregulation.gov.au/internet/fr/publishing.nsf/Content/forum-members" TargetMode="External"/><Relationship Id="rId139" Type="http://schemas.openxmlformats.org/officeDocument/2006/relationships/hyperlink" Target="http://www.foodstandards.gov.au/code/Pages/default.aspx" TargetMode="External"/><Relationship Id="rId80" Type="http://schemas.openxmlformats.org/officeDocument/2006/relationships/hyperlink" Target="https://www.pmc.gov.au/sites/default/files/publications/Australian_Government_Guide_to_Regulation.pdf" TargetMode="External"/><Relationship Id="rId85" Type="http://schemas.openxmlformats.org/officeDocument/2006/relationships/hyperlink" Target="https://consultations.health.gov.au/" TargetMode="External"/><Relationship Id="rId150" Type="http://schemas.openxmlformats.org/officeDocument/2006/relationships/hyperlink" Target="http://healthstarrating.gov.au/internet/healthstarrating/publishing.nsf/content/hsr-technical-advisory-group" TargetMode="External"/><Relationship Id="rId155" Type="http://schemas.openxmlformats.org/officeDocument/2006/relationships/hyperlink" Target="http://www.healthstarrating.gov.au/internet/healthstarrating/publishing.nsf/Content/style-guide" TargetMode="External"/><Relationship Id="rId171" Type="http://schemas.openxmlformats.org/officeDocument/2006/relationships/hyperlink" Target="https://assets.publishing.service.gov.uk/government/uploads/system/uploads/attachment_data/file/750782/consultation_on_the_UK_nutrient_profiling_model_2018_review_summary_of_consultation_responses.pdf" TargetMode="External"/><Relationship Id="rId176" Type="http://schemas.openxmlformats.org/officeDocument/2006/relationships/hyperlink" Target="https://assets.publishing.service.gov.uk/government/uploads/system/uploads/attachment_data/file/445503/SACN_Carbohydrates_and_Health.pdf" TargetMode="External"/><Relationship Id="rId192" Type="http://schemas.openxmlformats.org/officeDocument/2006/relationships/hyperlink" Target="https://www.euractiv.com/section/agriculture-food/news/france-opts-for-colour-coded-nutrition-labelling/" TargetMode="External"/><Relationship Id="rId197" Type="http://schemas.openxmlformats.org/officeDocument/2006/relationships/hyperlink" Target="http://www.health.gov.au/internet/fr/publishing.nsf/Content/C6995F10A56B5D56CA2581EE00177CA8/$File/ISLA2017.pdf" TargetMode="External"/><Relationship Id="rId201" Type="http://schemas.openxmlformats.org/officeDocument/2006/relationships/fontTable" Target="fontTable.xml"/><Relationship Id="rId12" Type="http://schemas.openxmlformats.org/officeDocument/2006/relationships/hyperlink" Target="https://www.legislation.gov.au/Series/F2015L00475" TargetMode="External"/><Relationship Id="rId17" Type="http://schemas.openxmlformats.org/officeDocument/2006/relationships/image" Target="media/image6.tiff"/><Relationship Id="rId33" Type="http://schemas.openxmlformats.org/officeDocument/2006/relationships/hyperlink" Target="http://healthstarrating.gov.au/internet/healthstarrating/publishing.nsf/Content/monitoring" TargetMode="External"/><Relationship Id="rId38" Type="http://schemas.openxmlformats.org/officeDocument/2006/relationships/hyperlink" Target="http://healthstarrating.gov.au/internet/healthstarrating/publishing.nsf/Content/guide-for-industry-document" TargetMode="External"/><Relationship Id="rId59" Type="http://schemas.openxmlformats.org/officeDocument/2006/relationships/hyperlink" Target="https://www.eatwellatiga.com.au/" TargetMode="External"/><Relationship Id="rId103" Type="http://schemas.openxmlformats.org/officeDocument/2006/relationships/hyperlink" Target="https://www.kelloggs.com.au/en_AU/hcp/healthprofessional/our-food/hsr.html" TargetMode="External"/><Relationship Id="rId108" Type="http://schemas.openxmlformats.org/officeDocument/2006/relationships/hyperlink" Target="https://www.fgc.org.nz/product-labelling-consumer-information-education/" TargetMode="External"/><Relationship Id="rId124" Type="http://schemas.openxmlformats.org/officeDocument/2006/relationships/hyperlink" Target="https://healthy-kids.com.au/health-star-rating-scheme-2/" TargetMode="External"/><Relationship Id="rId129" Type="http://schemas.openxmlformats.org/officeDocument/2006/relationships/hyperlink" Target="https://www.nutsforlife.com.au/wp_super_faq/what-are-the-health-star-ratings-for-nuts/" TargetMode="External"/><Relationship Id="rId54" Type="http://schemas.openxmlformats.org/officeDocument/2006/relationships/hyperlink" Target="https://www.legislation.gov.au/Details/F2018C00942" TargetMode="External"/><Relationship Id="rId70" Type="http://schemas.openxmlformats.org/officeDocument/2006/relationships/hyperlink" Target="https://www.legislation.gov.au/Details/F2017C00721" TargetMode="External"/><Relationship Id="rId75" Type="http://schemas.openxmlformats.org/officeDocument/2006/relationships/hyperlink" Target="http://healthstarrating.gov.au/internet/healthstarrating/publishing.nsf/Content/monitoring" TargetMode="External"/><Relationship Id="rId91" Type="http://schemas.openxmlformats.org/officeDocument/2006/relationships/hyperlink" Target="https://www.sahealth.sa.gov.au/wps/wcm/connect/1216d280492a309e8a0afe7675638bd8/Consumer+Resource+Order+Form+Dec+2018.pdf?MOD=AJPERES&amp;CACHEID=ROOTWORKSPACE-1216d280492a309e8a0afe7675638bd8-mwBZTd9" TargetMode="External"/><Relationship Id="rId96" Type="http://schemas.openxmlformats.org/officeDocument/2006/relationships/hyperlink" Target="https://www.countdown.co.nz/media/8939/countdown-health-and-nutrition-targets-2017.pdf" TargetMode="External"/><Relationship Id="rId140" Type="http://schemas.openxmlformats.org/officeDocument/2006/relationships/hyperlink" Target="http://www.fao.org/home/en/" TargetMode="External"/><Relationship Id="rId145" Type="http://schemas.openxmlformats.org/officeDocument/2006/relationships/hyperlink" Target="http://healthstarrating.gov.au/internet/healthstarrating/publishing.nsf/Content/guide-for-industry-document" TargetMode="External"/><Relationship Id="rId161" Type="http://schemas.openxmlformats.org/officeDocument/2006/relationships/hyperlink" Target="http://foodregulation.gov.au/internet/fr/publishing.nsf/Content/E6C6919B62C492BCCA257F720076F4C8/$File/HSR%20system%20for%20small%20business.pdf" TargetMode="External"/><Relationship Id="rId166" Type="http://schemas.openxmlformats.org/officeDocument/2006/relationships/hyperlink" Target="https://www.glnc.org.au/index.php?wlmfile=2011/07/GoGrainsReport220410.pdf" TargetMode="External"/><Relationship Id="rId182" Type="http://schemas.openxmlformats.org/officeDocument/2006/relationships/hyperlink" Target="https://www.abc.net.au/news/2018-06-25/soft-drink-industry-pledge-to-cut-sugar-criticised-by-ama/9906502" TargetMode="External"/><Relationship Id="rId187" Type="http://schemas.openxmlformats.org/officeDocument/2006/relationships/hyperlink" Target="https://www.smh.com.au/healthcare/nestle-wipes-4-5-health-star-rating-off-flagship-milo-product-20180301-p4z295.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legislation.gov.au/Details/F2018C00942" TargetMode="External"/><Relationship Id="rId28" Type="http://schemas.openxmlformats.org/officeDocument/2006/relationships/hyperlink" Target="http://www.healthstarrating.gov.au/internet/healthstarrating/publishing.nsf/Content/873516DC76D23EC2CA257DA500196043/$File/Process%20for%20assessing%20a%20potential%20anomaly.pdf" TargetMode="External"/><Relationship Id="rId49" Type="http://schemas.openxmlformats.org/officeDocument/2006/relationships/image" Target="media/image17.jpeg"/><Relationship Id="rId114" Type="http://schemas.openxmlformats.org/officeDocument/2006/relationships/hyperlink" Target="https://www.tegel.co.nz/our-story/" TargetMode="External"/><Relationship Id="rId119" Type="http://schemas.openxmlformats.org/officeDocument/2006/relationships/hyperlink" Target="https://www.cancercouncil.com.au/22267/cancer-prevention/diet-exercise/nutrition-policy/food-labelling/reading-food-labels/" TargetMode="External"/><Relationship Id="rId44" Type="http://schemas.openxmlformats.org/officeDocument/2006/relationships/image" Target="media/image14.tiff"/><Relationship Id="rId60" Type="http://schemas.openxmlformats.org/officeDocument/2006/relationships/image" Target="media/image20.tiff"/><Relationship Id="rId65" Type="http://schemas.openxmlformats.org/officeDocument/2006/relationships/hyperlink" Target="http://www.mpconsulting.com.au/hsr-system-enhancements-consultation/" TargetMode="External"/><Relationship Id="rId81" Type="http://schemas.openxmlformats.org/officeDocument/2006/relationships/hyperlink" Target="http://productivity.nsw.gov.au/sites/default/files/2018-05/Guide_to_Better_Regulation-October_2016.pdf" TargetMode="External"/><Relationship Id="rId86" Type="http://schemas.openxmlformats.org/officeDocument/2006/relationships/hyperlink" Target="https://consultations.health.gov.au/" TargetMode="External"/><Relationship Id="rId130" Type="http://schemas.openxmlformats.org/officeDocument/2006/relationships/hyperlink" Target="http://sarahmoorewellness.com.au/health-star-rating-how-to/" TargetMode="External"/><Relationship Id="rId135" Type="http://schemas.openxmlformats.org/officeDocument/2006/relationships/hyperlink" Target="https://www.eatforhealth.gov.au/guidelines" TargetMode="External"/><Relationship Id="rId151" Type="http://schemas.openxmlformats.org/officeDocument/2006/relationships/hyperlink" Target="https://www.health.govt.nz/system/files/documents/publications/eating-activity-guidelines-for-new-zealand-adults-oct15_0.pdf" TargetMode="External"/><Relationship Id="rId156" Type="http://schemas.openxmlformats.org/officeDocument/2006/relationships/hyperlink" Target="http://foodregulation.gov.au/internet/fr/publishing.nsf/Content/7F1E2F73C65A6463CA25801B0010D7FB/$File/2009-10-Forum-Policy%20Statement-Front%20of%20Pack%20Labelling.pdf" TargetMode="External"/><Relationship Id="rId177" Type="http://schemas.openxmlformats.org/officeDocument/2006/relationships/hyperlink" Target="https://www.foodstandards.gov.au/consumer/labelling/nutrition/documents/P293%20PFAR%20Att%202%20-%20Technical%20Report%20Consumer%20Research.pdf" TargetMode="External"/><Relationship Id="rId198" Type="http://schemas.openxmlformats.org/officeDocument/2006/relationships/hyperlink" Target="http://www.foodstandards.gov.au/science/monitoringnutrients/ausnut/foodnutrient/Pages/Determining-the-amount-of-added-sugars-and-free-sugars-in-foods-listed-in-the-AUSNUT-201113-dataset.aspx" TargetMode="External"/><Relationship Id="rId172" Type="http://schemas.openxmlformats.org/officeDocument/2006/relationships/hyperlink" Target="https://www.desarrollando-ideas.com/wp-content/uploads/sites/5/2016/05/160504_DI_report_food_chile_ENG.pdf" TargetMode="External"/><Relationship Id="rId193" Type="http://schemas.openxmlformats.org/officeDocument/2006/relationships/hyperlink" Target="https://www.fda.gov/Food/GuidanceRegulation/GuidanceDocumentsRegulatoryInformation/LabelingNutrition/ucm385663.htm" TargetMode="External"/><Relationship Id="rId202" Type="http://schemas.openxmlformats.org/officeDocument/2006/relationships/theme" Target="theme/theme1.xml"/><Relationship Id="rId13" Type="http://schemas.openxmlformats.org/officeDocument/2006/relationships/hyperlink" Target="http://www.healthstarrating.gov.au/internet/healthstarrating/publishing.nsf/Content/style-guide" TargetMode="External"/><Relationship Id="rId18" Type="http://schemas.openxmlformats.org/officeDocument/2006/relationships/image" Target="media/image7.tiff"/><Relationship Id="rId39" Type="http://schemas.openxmlformats.org/officeDocument/2006/relationships/hyperlink" Target="http://www.abs.gov.au/ausstats/abs@.nsf/Lookup/4363.0.55.001Chapter65062011-13" TargetMode="External"/><Relationship Id="rId109" Type="http://schemas.openxmlformats.org/officeDocument/2006/relationships/hyperlink" Target="https://www.nzbeveragecouncil.co.nz/positions/labelling/" TargetMode="External"/><Relationship Id="rId34" Type="http://schemas.openxmlformats.org/officeDocument/2006/relationships/hyperlink" Target="http://healthstarrating.gov.au/internet/healthstarrating/publishing.nsf/Content/formal-review-of-the-system-after-five-years" TargetMode="External"/><Relationship Id="rId50" Type="http://schemas.openxmlformats.org/officeDocument/2006/relationships/image" Target="media/image18.jpeg"/><Relationship Id="rId55" Type="http://schemas.openxmlformats.org/officeDocument/2006/relationships/hyperlink" Target="http://healthstarrating.gov.au/internet/healthstarrating/publishing.nsf/Content/6B596250A88252E0CA257FAE0004CD0F/$File/As%20prepared%20discussion%20paper%20-%20second%20round%20of%20public%20workshops.pdf" TargetMode="External"/><Relationship Id="rId76" Type="http://schemas.openxmlformats.org/officeDocument/2006/relationships/hyperlink" Target="http://www.healthstarrating.gov.au/internet/healthstarrating/publishing.nsf/Content/Applying-to-your-products" TargetMode="External"/><Relationship Id="rId97" Type="http://schemas.openxmlformats.org/officeDocument/2006/relationships/hyperlink" Target="http://dailyjuice.com.au/health-star-rating" TargetMode="External"/><Relationship Id="rId104" Type="http://schemas.openxmlformats.org/officeDocument/2006/relationships/hyperlink" Target="http://lionco.com/sociability-living-well/tips-for-living-well/reading-food-labels" TargetMode="External"/><Relationship Id="rId120" Type="http://schemas.openxmlformats.org/officeDocument/2006/relationships/hyperlink" Target="https://www.choice.com.au/food-and-drink/nutrition/food-labelling/articles/health-star-ratings-5-year-review" TargetMode="External"/><Relationship Id="rId125" Type="http://schemas.openxmlformats.org/officeDocument/2006/relationships/hyperlink" Target="http://www.opc.org.au/downloads/policy-briefs/improving-the-effectiveness-of-the-health-star-rating-system.pdf" TargetMode="External"/><Relationship Id="rId141" Type="http://schemas.openxmlformats.org/officeDocument/2006/relationships/hyperlink" Target="http://www.who.int/en/" TargetMode="External"/><Relationship Id="rId146" Type="http://schemas.openxmlformats.org/officeDocument/2006/relationships/hyperlink" Target="http://healthstarrating.gov.au/internet/healthstarrating/publishing.nsf/Content/style-guide" TargetMode="External"/><Relationship Id="rId167" Type="http://schemas.openxmlformats.org/officeDocument/2006/relationships/hyperlink" Target="https://www.glnc.org.au/codeofpractice/" TargetMode="External"/><Relationship Id="rId188" Type="http://schemas.openxmlformats.org/officeDocument/2006/relationships/hyperlink" Target="https://www.nutritionandactivity.govt.nz/health-star-ratings" TargetMode="External"/><Relationship Id="rId7" Type="http://schemas.openxmlformats.org/officeDocument/2006/relationships/endnotes" Target="endnotes.xml"/><Relationship Id="rId71" Type="http://schemas.openxmlformats.org/officeDocument/2006/relationships/hyperlink" Target="https://www.legislation.gov.au/Series/F2015L00442" TargetMode="External"/><Relationship Id="rId92" Type="http://schemas.openxmlformats.org/officeDocument/2006/relationships/hyperlink" Target="https://www.anchordairy.com/nz/en/nutrition-stories/health-star-rating.html" TargetMode="External"/><Relationship Id="rId162" Type="http://schemas.openxmlformats.org/officeDocument/2006/relationships/hyperlink" Target="https://assets.publishing.service.gov.uk/government/uploads/system/uploads/attachment_data/file/566251/FoP_Nutrition_labelling_UK_guidance.pdf" TargetMode="External"/><Relationship Id="rId183" Type="http://schemas.openxmlformats.org/officeDocument/2006/relationships/hyperlink" Target="https://www.gov.uk/government/news/final-design-of-consistent-nutritional-labelling-system-given-green-light" TargetMode="External"/><Relationship Id="rId2" Type="http://schemas.openxmlformats.org/officeDocument/2006/relationships/numbering" Target="numbering.xml"/><Relationship Id="rId29" Type="http://schemas.openxmlformats.org/officeDocument/2006/relationships/hyperlink" Target="http://www.healthstarrating.gov.au/internet/healthstarrating/publishing.nsf/Content/873516DC76D23EC2CA257DA500196043/$File/Form%20for%20submission%20of%20anomalies.pdf" TargetMode="External"/><Relationship Id="rId24" Type="http://schemas.openxmlformats.org/officeDocument/2006/relationships/image" Target="media/image10.tiff"/><Relationship Id="rId40" Type="http://schemas.openxmlformats.org/officeDocument/2006/relationships/image" Target="media/image11.tiff"/><Relationship Id="rId45" Type="http://schemas.openxmlformats.org/officeDocument/2006/relationships/image" Target="media/image15.tiff"/><Relationship Id="rId66" Type="http://schemas.openxmlformats.org/officeDocument/2006/relationships/hyperlink" Target="http://www.mpconsulting.com.au/hsr-system-enhancements-consultation/" TargetMode="External"/><Relationship Id="rId87" Type="http://schemas.openxmlformats.org/officeDocument/2006/relationships/hyperlink" Target="http://www.mpconsulting.com.au/hsr-system-enhancements-consultation/" TargetMode="External"/><Relationship Id="rId110" Type="http://schemas.openxmlformats.org/officeDocument/2006/relationships/hyperlink" Target="http://www.pepsico.com.au/purpose/human/" TargetMode="External"/><Relationship Id="rId115" Type="http://schemas.openxmlformats.org/officeDocument/2006/relationships/hyperlink" Target="https://happysnackcompany.com.au/5-star-health-rating/" TargetMode="External"/><Relationship Id="rId131" Type="http://schemas.openxmlformats.org/officeDocument/2006/relationships/hyperlink" Target="https://www.legislation.gov.au/Details/F2017C00721" TargetMode="External"/><Relationship Id="rId136" Type="http://schemas.openxmlformats.org/officeDocument/2006/relationships/hyperlink" Target="https://www.eatforhealth.gov.au/guidelines/australian-guide-healthy-eating" TargetMode="External"/><Relationship Id="rId157" Type="http://schemas.openxmlformats.org/officeDocument/2006/relationships/hyperlink" Target="https://www.cereal4brekkie.org.au/wp-content/uploads/2017/08/ABCMF_2017_Bowled_over_at_Breakfast.pdf" TargetMode="External"/><Relationship Id="rId178" Type="http://schemas.openxmlformats.org/officeDocument/2006/relationships/hyperlink" Target="https://unpackthesalt.com.au/wp-content/uploads/2017/08/HFO0012-Advocacy-Leaflet-A5_V7_LoRes.pdf" TargetMode="External"/><Relationship Id="rId61" Type="http://schemas.openxmlformats.org/officeDocument/2006/relationships/image" Target="media/image21.tiff"/><Relationship Id="rId82" Type="http://schemas.openxmlformats.org/officeDocument/2006/relationships/hyperlink" Target="https://treasury.govt.nz/sites/default/files/2015-09/good-reg-practice.pdf" TargetMode="External"/><Relationship Id="rId152" Type="http://schemas.openxmlformats.org/officeDocument/2006/relationships/hyperlink" Target="https://www.eatforhealth.gov.au/sites/default/files/content/n55_australian_dietary_guidelines.pdf" TargetMode="External"/><Relationship Id="rId173" Type="http://schemas.openxmlformats.org/officeDocument/2006/relationships/hyperlink" Target="https://www.researchgate.net/publication/266447771_Nutrient_profiles_Development_of_Final_Model_Final_Report/download" TargetMode="External"/><Relationship Id="rId194" Type="http://schemas.openxmlformats.org/officeDocument/2006/relationships/hyperlink" Target="http://www.fao.org/fao-who-codexalimentarius/sh-proxy/es/?lnk=1&amp;url=https%253A%252F%252Fworkspace.fao.org%252Fsites%252Fcodex%252FStandards%252FCAC%2BGL%2B2-1985%252FCXG_002e.pdf" TargetMode="External"/><Relationship Id="rId199" Type="http://schemas.openxmlformats.org/officeDocument/2006/relationships/hyperlink" Target="http://www.foodstandards.gov.au/code/proposals/Pages/P1047.aspx" TargetMode="External"/><Relationship Id="rId19" Type="http://schemas.openxmlformats.org/officeDocument/2006/relationships/image" Target="media/image8.png"/><Relationship Id="rId14" Type="http://schemas.openxmlformats.org/officeDocument/2006/relationships/image" Target="media/image3.tiff"/><Relationship Id="rId30" Type="http://schemas.openxmlformats.org/officeDocument/2006/relationships/hyperlink" Target="http://www.healthstarrating.gov.au/internet/healthstarrating/publishing.nsf/Content/873516DC76D23EC2CA257DA500196043/$File/Register%20of%20Potential%20Anomalies.pdf" TargetMode="External"/><Relationship Id="rId35" Type="http://schemas.openxmlformats.org/officeDocument/2006/relationships/hyperlink" Target="http://healthstarrating.gov.au/internet/healthstarrating/publishing.nsf/Content/formal-review-of-the-system-after-five-years" TargetMode="External"/><Relationship Id="rId56" Type="http://schemas.openxmlformats.org/officeDocument/2006/relationships/hyperlink" Target="http://www.mpconsulting.com.au/hsr-system-enhancements-consultation/" TargetMode="External"/><Relationship Id="rId77" Type="http://schemas.openxmlformats.org/officeDocument/2006/relationships/hyperlink" Target="http://www.healthstarrating.gov.au/internet/healthstarrating/publishing.nsf/Content/hsr-in-store" TargetMode="External"/><Relationship Id="rId100" Type="http://schemas.openxmlformats.org/officeDocument/2006/relationships/hyperlink" Target="https://www.gonatural.com.au/nutrition-wellness/health-star-rating-system" TargetMode="External"/><Relationship Id="rId105" Type="http://schemas.openxmlformats.org/officeDocument/2006/relationships/hyperlink" Target="https://www.mhfco.com.au/" TargetMode="External"/><Relationship Id="rId126" Type="http://schemas.openxmlformats.org/officeDocument/2006/relationships/hyperlink" Target="https://www.georgeinstitute.org.au/media-coverage/health-star-rating-measures-up" TargetMode="External"/><Relationship Id="rId147" Type="http://schemas.openxmlformats.org/officeDocument/2006/relationships/hyperlink" Target="http://www.foodstandards.gov.au/consumer/labelling/panels/Pages/default.aspx" TargetMode="External"/><Relationship Id="rId168" Type="http://schemas.openxmlformats.org/officeDocument/2006/relationships/hyperlink" Target="https://consultations.health.gov.au/population-health-and-sport-division-1/hfp-reformulation/user_uploads/final-reformulation-rationale-paper---final-for-consultation-v3--at-3-sept-2018.pdf" TargetMode="External"/><Relationship Id="rId8" Type="http://schemas.openxmlformats.org/officeDocument/2006/relationships/image" Target="media/image1.png"/><Relationship Id="rId51" Type="http://schemas.openxmlformats.org/officeDocument/2006/relationships/hyperlink" Target="https://www.mpi.govt.nz/food-safety/food-safety-for-consumers/food-labelling/health-star-ratings/monitoring-implementation/" TargetMode="External"/><Relationship Id="rId72" Type="http://schemas.openxmlformats.org/officeDocument/2006/relationships/image" Target="media/image27.tiff"/><Relationship Id="rId93" Type="http://schemas.openxmlformats.org/officeDocument/2006/relationships/hyperlink" Target="https://www.arnotts.com/nutrition/understanding-food-labels/guide-to-health-star-ratings/" TargetMode="External"/><Relationship Id="rId98" Type="http://schemas.openxmlformats.org/officeDocument/2006/relationships/hyperlink" Target="https://www.foodstuffs.co.nz/corporate-responsibility/foodstuffs&#8217;-pledge-to-promote-healthier-eating/health-star-ratings/" TargetMode="External"/><Relationship Id="rId121" Type="http://schemas.openxmlformats.org/officeDocument/2006/relationships/hyperlink" Target="https://www.choice.com.au/food-and-drink/nutrition/food-labelling/articles/health-star-ratings-faq" TargetMode="External"/><Relationship Id="rId142" Type="http://schemas.openxmlformats.org/officeDocument/2006/relationships/hyperlink" Target="http://www.foodstandards.gov.au/Pages/default.aspx" TargetMode="External"/><Relationship Id="rId163" Type="http://schemas.openxmlformats.org/officeDocument/2006/relationships/hyperlink" Target="https://www.vzbv.de/sites/default/files/.../beuc_foodstuffs_labelling_09_2005.pdf" TargetMode="External"/><Relationship Id="rId184" Type="http://schemas.openxmlformats.org/officeDocument/2006/relationships/hyperlink" Target="https://www.eatforhealth.gov.au/eating-well/how-understand-food-labels" TargetMode="External"/><Relationship Id="rId189" Type="http://schemas.openxmlformats.org/officeDocument/2006/relationships/hyperlink" Target="https://livelighter.com.au/assets/resource/wallet-card/LiveLighter_Wallet_card_REVISED_JUNE_13_FINAL.pdf" TargetMode="External"/><Relationship Id="rId3" Type="http://schemas.openxmlformats.org/officeDocument/2006/relationships/styles" Target="styles.xml"/><Relationship Id="rId25" Type="http://schemas.openxmlformats.org/officeDocument/2006/relationships/hyperlink" Target="http://healthstarrating.gov.au/internet/healthstarrating/publishing.nsf/Content/guide-for-industry-document" TargetMode="External"/><Relationship Id="rId46" Type="http://schemas.openxmlformats.org/officeDocument/2006/relationships/hyperlink" Target="http://healthstarrating.gov.au/internet/healthstarrating/publishing.nsf/Content/formative-research" TargetMode="External"/><Relationship Id="rId67" Type="http://schemas.openxmlformats.org/officeDocument/2006/relationships/image" Target="media/image25.tiff"/><Relationship Id="rId116" Type="http://schemas.openxmlformats.org/officeDocument/2006/relationships/hyperlink" Target="https://www.uncletobys.com.au/health-nutrition/nutritional-labelling/read-health-stars" TargetMode="External"/><Relationship Id="rId137" Type="http://schemas.openxmlformats.org/officeDocument/2006/relationships/hyperlink" Target="http://www.abs.gov.au/australianhealthsurvey" TargetMode="External"/><Relationship Id="rId158" Type="http://schemas.openxmlformats.org/officeDocument/2006/relationships/hyperlink" Target="http://www.health.gov.au/internet/fr/publishing.nsf/Content/C6995F10A56B5D56CA2581EE00177CA8/$File/Policy%20Context%202017.pdf" TargetMode="External"/><Relationship Id="rId20" Type="http://schemas.openxmlformats.org/officeDocument/2006/relationships/image" Target="media/image9.png"/><Relationship Id="rId41" Type="http://schemas.openxmlformats.org/officeDocument/2006/relationships/image" Target="media/image12.tiff"/><Relationship Id="rId62" Type="http://schemas.openxmlformats.org/officeDocument/2006/relationships/image" Target="media/image22.tiff"/><Relationship Id="rId83" Type="http://schemas.openxmlformats.org/officeDocument/2006/relationships/hyperlink" Target="https://www.oecd.org/governance/regulatory-policy/49990817.pdf" TargetMode="External"/><Relationship Id="rId88" Type="http://schemas.openxmlformats.org/officeDocument/2006/relationships/hyperlink" Target="http://healthstarrating.gov.au/internet/healthstarrating/publishing.nsf/Content/E380CCCA07E1E42FCA257DA500196044/$File/Guide%20for%20Industry%20to%20the%20Health%20Star%20Rating%20Calculator.pdf" TargetMode="External"/><Relationship Id="rId111" Type="http://schemas.openxmlformats.org/officeDocument/2006/relationships/hyperlink" Target="https://www.picspeanutbutter.com/au/pics-peanut-butter-products/peanut-butter-slugs" TargetMode="External"/><Relationship Id="rId132" Type="http://schemas.openxmlformats.org/officeDocument/2006/relationships/hyperlink" Target="https://www.legislation.gov.au/Series/F2015L00442" TargetMode="External"/><Relationship Id="rId153" Type="http://schemas.openxmlformats.org/officeDocument/2006/relationships/hyperlink" Target="https://apps.who.int/iris/bitstream/handle/10665/149782/9789241549028_eng.pdf;jsessionid=BA20C7DB38820DF2647A214EFB2B0466?sequence=1" TargetMode="External"/><Relationship Id="rId174" Type="http://schemas.openxmlformats.org/officeDocument/2006/relationships/hyperlink" Target="https://www.ndph.ox.ac.uk/cpnp/files/about/uk-ofcom-nutrient-profile-model.pdf" TargetMode="External"/><Relationship Id="rId179" Type="http://schemas.openxmlformats.org/officeDocument/2006/relationships/hyperlink" Target="https://unpackthesalt.com.au/salt-reformulation-in-australia/" TargetMode="External"/><Relationship Id="rId195" Type="http://schemas.openxmlformats.org/officeDocument/2006/relationships/hyperlink" Target="http://www.healthstarrating.gov.au/internet/healthstarrating/publishing.nsf/Content/E380CCCA07E1E42FCA257DA500196044/$File/Guide%20for%20Industry%20to%20the%20Health%20Star%20Rating%20Calculator.pdf" TargetMode="External"/><Relationship Id="rId190" Type="http://schemas.openxmlformats.org/officeDocument/2006/relationships/hyperlink" Target="https://www.abc.net.au/news/2018-03-01/milos-4.5-health-star-rating-stripped-away-by-nestle/9496890" TargetMode="External"/><Relationship Id="rId15" Type="http://schemas.openxmlformats.org/officeDocument/2006/relationships/image" Target="media/image4.tiff"/><Relationship Id="rId36" Type="http://schemas.openxmlformats.org/officeDocument/2006/relationships/hyperlink" Target="http://healthstarrating.gov.au/internet/healthstarrating/publishing.nsf/Content/formal-review-of-the-system-after-five-years" TargetMode="External"/><Relationship Id="rId57" Type="http://schemas.openxmlformats.org/officeDocument/2006/relationships/image" Target="media/image19.jpeg"/><Relationship Id="rId106" Type="http://schemas.openxmlformats.org/officeDocument/2006/relationships/hyperlink" Target="https://www.smh.com.au/business/small-business/monster-health-food-company-upstages-rivals-after-aiming-for-the-stars-20140415-36pmp.html" TargetMode="External"/><Relationship Id="rId127" Type="http://schemas.openxmlformats.org/officeDocument/2006/relationships/hyperlink" Target="https://www.foodswitch.com.au/" TargetMode="External"/><Relationship Id="rId10" Type="http://schemas.openxmlformats.org/officeDocument/2006/relationships/footer" Target="footer1.xml"/><Relationship Id="rId31" Type="http://schemas.openxmlformats.org/officeDocument/2006/relationships/hyperlink" Target="http://www.healthstarrating.gov.au/internet/healthstarrating/publishing.nsf/Content/873516DC76D23EC2CA257DA500196043/$File/Final%20Dispute%20Resolution%20Proces.pdf" TargetMode="External"/><Relationship Id="rId52" Type="http://schemas.openxmlformats.org/officeDocument/2006/relationships/hyperlink" Target="https://www.hpa.org.nz/" TargetMode="External"/><Relationship Id="rId73" Type="http://schemas.openxmlformats.org/officeDocument/2006/relationships/hyperlink" Target="http://healthstarrating.gov.au/internet/healthstarrating/publishing.nsf/Content/Governance" TargetMode="External"/><Relationship Id="rId78" Type="http://schemas.openxmlformats.org/officeDocument/2006/relationships/hyperlink" Target="http://www.mpconsulting.com.au/hsr-system-enhancements-consultation/" TargetMode="External"/><Relationship Id="rId94" Type="http://schemas.openxmlformats.org/officeDocument/2006/relationships/hyperlink" Target="https://www.coles.com.au/corporate-responsibility/community/healthy-communities" TargetMode="External"/><Relationship Id="rId99" Type="http://schemas.openxmlformats.org/officeDocument/2006/relationships/hyperlink" Target="https://frucorsuntory.com/percentage-daily-intake-guide/" TargetMode="External"/><Relationship Id="rId101" Type="http://schemas.openxmlformats.org/officeDocument/2006/relationships/hyperlink" Target="https://gr8start.com.au/our-cereal/" TargetMode="External"/><Relationship Id="rId122" Type="http://schemas.openxmlformats.org/officeDocument/2006/relationships/hyperlink" Target="https://diabetesnsw.com.au/about-us/blog/making-sense-of-the-health-star-rating-2/" TargetMode="External"/><Relationship Id="rId143" Type="http://schemas.openxmlformats.org/officeDocument/2006/relationships/hyperlink" Target="https://www.foodswitch.com.au/" TargetMode="External"/><Relationship Id="rId148" Type="http://schemas.openxmlformats.org/officeDocument/2006/relationships/hyperlink" Target="http://www.foodstandards.gov.au/industry/labelling/Pages/Consumer-guide-to-NPSC.aspx" TargetMode="External"/><Relationship Id="rId164" Type="http://schemas.openxmlformats.org/officeDocument/2006/relationships/hyperlink" Target="https://www.fda.gov/downloads/Food/GuidanceRegulation/GuidanceDocumentsRegulatoryInformation/UCM535372.pdf" TargetMode="External"/><Relationship Id="rId169" Type="http://schemas.openxmlformats.org/officeDocument/2006/relationships/hyperlink" Target="https://wholegrainscouncil.org/sites/default/.../WGResearchSummary_WGCJan09.pdf" TargetMode="External"/><Relationship Id="rId185" Type="http://schemas.openxmlformats.org/officeDocument/2006/relationships/hyperlink" Target="https://guidingstars.ca/about/"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s://www.vichealth.vic.gov.au/media-and-resources/media-releases/state-of-salt-in-victoria" TargetMode="External"/><Relationship Id="rId26" Type="http://schemas.openxmlformats.org/officeDocument/2006/relationships/hyperlink" Target="http://healthstarrating.gov.au/internet/healthstarrating/publishing.nsf/Content/calculator" TargetMode="External"/><Relationship Id="rId47" Type="http://schemas.openxmlformats.org/officeDocument/2006/relationships/hyperlink" Target="https://www.youtube.com/watch?v=3lgo_uaLUKg&amp;index=6&amp;list=PLFuNzCi2KRzdSHeVKyfS_N1mxdn1sr05u" TargetMode="External"/><Relationship Id="rId68" Type="http://schemas.openxmlformats.org/officeDocument/2006/relationships/chart" Target="charts/chart1.xml"/><Relationship Id="rId89" Type="http://schemas.openxmlformats.org/officeDocument/2006/relationships/hyperlink" Target="https://www.health.nsw.gov.au/heal/Pages/healthy-school-canteens.aspx" TargetMode="External"/><Relationship Id="rId112" Type="http://schemas.openxmlformats.org/officeDocument/2006/relationships/hyperlink" Target="https://www.woolworths.com.au/shop/discover/healthy-eating/health-star-rating" TargetMode="External"/><Relationship Id="rId133" Type="http://schemas.openxmlformats.org/officeDocument/2006/relationships/hyperlink" Target="http://www.foodstandards.gov.au/code/fofr/pages/default.aspx" TargetMode="External"/><Relationship Id="rId154" Type="http://schemas.openxmlformats.org/officeDocument/2006/relationships/hyperlink" Target="http://www.healthstarrating.gov.au/internet/healthstarrating/publishing.nsf/Content/guide-for-industry-document" TargetMode="External"/><Relationship Id="rId175" Type="http://schemas.openxmlformats.org/officeDocument/2006/relationships/hyperlink" Target="https://www.wto.org/english/tratop_e/tbt_e/8_Chile_e.pdf"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eatforhealth.gov.au/" TargetMode="External"/><Relationship Id="rId13" Type="http://schemas.openxmlformats.org/officeDocument/2006/relationships/hyperlink" Target="file:///C:\Users\downje\AppData\Local\Packages\Microsoft.MicrosoftEdge_8wekyb3d8bbwe\TempState\Downloads\accessed%20at%20https:\www.legislation.gov.au\Details\F2017C00711" TargetMode="External"/><Relationship Id="rId18" Type="http://schemas.openxmlformats.org/officeDocument/2006/relationships/hyperlink" Target="https://www.smh.com.au/healthcare/nestle-wipes-4-5-health-star-rating-off-flagship-milo-product-20180301-p4z295.html" TargetMode="External"/><Relationship Id="rId3" Type="http://schemas.openxmlformats.org/officeDocument/2006/relationships/hyperlink" Target="http://www.healthstarrating.gov.au/internet/healthstarrating/publishing.nsf/Content/651EEFA223A6A659CA257DA500196046/$File/HSR%20Style%20Guide-v5.pdf" TargetMode="External"/><Relationship Id="rId21" Type="http://schemas.openxmlformats.org/officeDocument/2006/relationships/hyperlink" Target="http://foodstuffs.co.nz/corporate-responsibility/foodstuffs&#8217;-pledge-to-promote-healthier-eating/health-star-ratings/" TargetMode="External"/><Relationship Id="rId7" Type="http://schemas.openxmlformats.org/officeDocument/2006/relationships/hyperlink" Target="http://www.nrv.gov.au/" TargetMode="External"/><Relationship Id="rId12" Type="http://schemas.openxmlformats.org/officeDocument/2006/relationships/hyperlink" Target="file:///C:\Users\downje\AppData\Local\Packages\Microsoft.MicrosoftEdge_8wekyb3d8bbwe\TempState\Downloads\accessed%20at%20https:\www.legislation.gov.au\Details\F2017C00711" TargetMode="External"/><Relationship Id="rId17" Type="http://schemas.openxmlformats.org/officeDocument/2006/relationships/hyperlink" Target="https://data.nal.usda.gov/dataset/usda-branded-food-products-database" TargetMode="External"/><Relationship Id="rId2" Type="http://schemas.openxmlformats.org/officeDocument/2006/relationships/hyperlink" Target="http://foodregulation.gov.au/internet/fr/publishing.nsf/Content/7F1E2F73C65A6463CA25801B0010D7FB/$File/2009-10-Forum-Policy%20Statement-Front%20of%20Pack%20Labelling.pdf" TargetMode="External"/><Relationship Id="rId16" Type="http://schemas.openxmlformats.org/officeDocument/2006/relationships/hyperlink" Target="https://data.nal.usda.gov/dataset/usda-branded-food-products-database" TargetMode="External"/><Relationship Id="rId20" Type="http://schemas.openxmlformats.org/officeDocument/2006/relationships/hyperlink" Target="https://www.coles.com.au/corporate-responsibility/community/healthy-communities" TargetMode="External"/><Relationship Id="rId1" Type="http://schemas.openxmlformats.org/officeDocument/2006/relationships/hyperlink" Target="http://wcrf.org/frontofpack" TargetMode="External"/><Relationship Id="rId6" Type="http://schemas.openxmlformats.org/officeDocument/2006/relationships/hyperlink" Target="http://www.foodstandards.gov.au/code/proposals/Documents/P293%20Health%20Claims%20FAR%20Attach%206%20FINAL.pdf" TargetMode="External"/><Relationship Id="rId11" Type="http://schemas.openxmlformats.org/officeDocument/2006/relationships/hyperlink" Target="http://www.foodstandards.gov.au/code/proposals/Pages/P1047.aspx" TargetMode="External"/><Relationship Id="rId5" Type="http://schemas.openxmlformats.org/officeDocument/2006/relationships/hyperlink" Target="http://healthstarrating.gov.au/internet/healthstarrating/publishing.nsf/Content/news-20180808" TargetMode="External"/><Relationship Id="rId15" Type="http://schemas.openxmlformats.org/officeDocument/2006/relationships/hyperlink" Target="https://www.legislation.gov.au/Details/F2017C00711" TargetMode="External"/><Relationship Id="rId23" Type="http://schemas.openxmlformats.org/officeDocument/2006/relationships/hyperlink" Target="https://www.ndph.ox.ac.uk/cpnp/files/about/uk-ofcom-nutrient-profile-model.pdf" TargetMode="External"/><Relationship Id="rId10" Type="http://schemas.openxmlformats.org/officeDocument/2006/relationships/hyperlink" Target="https://www.health.govt.nz/system/files/documents/publications/eating-activity-guidelines-for-new-zealand-adults-oct15_0.pdf" TargetMode="External"/><Relationship Id="rId19" Type="http://schemas.openxmlformats.org/officeDocument/2006/relationships/hyperlink" Target="https://www.nestle.com.au/media/newsandfeatures/milo-and-the-health-star-rating" TargetMode="External"/><Relationship Id="rId4" Type="http://schemas.openxmlformats.org/officeDocument/2006/relationships/hyperlink" Target="http://healthstarrating.gov.au/internet/healthstarrating/publishing.nsf/Content/health-star-rating-campaign" TargetMode="External"/><Relationship Id="rId9" Type="http://schemas.openxmlformats.org/officeDocument/2006/relationships/hyperlink" Target="https://www.legislation.gov.au/Details/F2018C00912" TargetMode="External"/><Relationship Id="rId14" Type="http://schemas.openxmlformats.org/officeDocument/2006/relationships/hyperlink" Target="https://www.legislation.gov.au/Details/F2017C00711" TargetMode="External"/><Relationship Id="rId22" Type="http://schemas.openxmlformats.org/officeDocument/2006/relationships/hyperlink" Target="https://www.eatwellatiga.com.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Users\ashleighkennedy\Dropbox\HSR%20Health%20Star%20Rating\13.%20Submissions%20to%20the%20Review\Modelling%20results\Final%20Test%20Calculators\20190131%20-%20total%20enhancements,%20sodium%20options%20-%20DEIDENTIFIED%20-%20fixed%20aga....xlsb"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mn-lt"/>
                <a:ea typeface="+mn-ea"/>
                <a:cs typeface="+mn-cs"/>
              </a:defRPr>
            </a:pPr>
            <a:r>
              <a:rPr lang="en-US" sz="1200" b="1">
                <a:solidFill>
                  <a:schemeClr val="tx1"/>
                </a:solidFill>
              </a:rPr>
              <a:t>Proportion of products in the TAG database impacted by recommendations for System enhancements</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mn-lt"/>
              <a:ea typeface="+mn-ea"/>
              <a:cs typeface="+mn-cs"/>
            </a:defRPr>
          </a:pPr>
          <a:endParaRPr lang="en-US"/>
        </a:p>
      </c:txPr>
    </c:title>
    <c:autoTitleDeleted val="0"/>
    <c:plotArea>
      <c:layout/>
      <c:pieChart>
        <c:varyColors val="1"/>
        <c:ser>
          <c:idx val="0"/>
          <c:order val="0"/>
          <c:tx>
            <c:strRef>
              <c:f>Sheet1!$C$3</c:f>
              <c:strCache>
                <c:ptCount val="1"/>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1D3-E74C-8B71-5DD137D4D26E}"/>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51D3-E74C-8B71-5DD137D4D26E}"/>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51D3-E74C-8B71-5DD137D4D26E}"/>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Sheet1!$B$4:$B$6</c:f>
              <c:strCache>
                <c:ptCount val="3"/>
                <c:pt idx="0">
                  <c:v>Increased HSR</c:v>
                </c:pt>
                <c:pt idx="1">
                  <c:v>Decreased HSR</c:v>
                </c:pt>
                <c:pt idx="2">
                  <c:v>Unchanged HSR</c:v>
                </c:pt>
              </c:strCache>
            </c:strRef>
          </c:cat>
          <c:val>
            <c:numRef>
              <c:f>Sheet1!$C$4:$C$6</c:f>
              <c:numCache>
                <c:formatCode>0%</c:formatCode>
                <c:ptCount val="3"/>
                <c:pt idx="0">
                  <c:v>0.15</c:v>
                </c:pt>
                <c:pt idx="1">
                  <c:v>0.08</c:v>
                </c:pt>
                <c:pt idx="2">
                  <c:v>0.77</c:v>
                </c:pt>
              </c:numCache>
            </c:numRef>
          </c:val>
          <c:extLst>
            <c:ext xmlns:c16="http://schemas.microsoft.com/office/drawing/2014/chart" uri="{C3380CC4-5D6E-409C-BE32-E72D297353CC}">
              <c16:uniqueId val="{00000006-51D3-E74C-8B71-5DD137D4D26E}"/>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5001946049519477"/>
          <c:y val="0.43023467046934094"/>
          <c:w val="0.22020318990237361"/>
          <c:h val="0.2500347999631036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7A5AE1B-0440-4842-A5D9-FAAD9E602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51982</Words>
  <Characters>296300</Characters>
  <Application>Microsoft Office Word</Application>
  <DocSecurity>0</DocSecurity>
  <Lines>2469</Lines>
  <Paragraphs>695</Paragraphs>
  <ScaleCrop>false</ScaleCrop>
  <HeadingPairs>
    <vt:vector size="2" baseType="variant">
      <vt:variant>
        <vt:lpstr>Title</vt:lpstr>
      </vt:variant>
      <vt:variant>
        <vt:i4>1</vt:i4>
      </vt:variant>
    </vt:vector>
  </HeadingPairs>
  <TitlesOfParts>
    <vt:vector size="1" baseType="lpstr">
      <vt:lpstr>Health Star Rating System Five Year Review Report</vt:lpstr>
    </vt:vector>
  </TitlesOfParts>
  <Manager/>
  <Company>mpconsulting</Company>
  <LinksUpToDate>false</LinksUpToDate>
  <CharactersWithSpaces>347587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Health Star Rating System Five Year Review Report</dc:title>
  <dc:subject/>
  <dc:creator>mpconsulting</dc:creator>
  <cp:keywords/>
  <dc:description/>
  <cp:lastModifiedBy>DOWN, Jessica</cp:lastModifiedBy>
  <cp:revision>2</cp:revision>
  <cp:lastPrinted>2019-02-21T05:45:00Z</cp:lastPrinted>
  <dcterms:created xsi:type="dcterms:W3CDTF">2019-02-25T01:13:00Z</dcterms:created>
  <dcterms:modified xsi:type="dcterms:W3CDTF">2019-02-25T01:13:00Z</dcterms:modified>
  <cp:category/>
</cp:coreProperties>
</file>