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5B189" w14:textId="77777777" w:rsidR="009A5D87" w:rsidRPr="00B0768E" w:rsidRDefault="009A5D87" w:rsidP="00B0768E">
      <w:pPr>
        <w:pStyle w:val="Title"/>
      </w:pPr>
      <w:bookmarkStart w:id="0" w:name="_GoBack"/>
      <w:bookmarkEnd w:id="0"/>
      <w:r w:rsidRPr="00B0768E">
        <w:t>Health Star Rating (HSR) Advisory Committee (HSRAC)</w:t>
      </w:r>
    </w:p>
    <w:p w14:paraId="0D42ED50" w14:textId="77777777" w:rsidR="00103B68" w:rsidRPr="00B0768E" w:rsidRDefault="00103B68" w:rsidP="00B0768E">
      <w:pPr>
        <w:pStyle w:val="Title"/>
      </w:pPr>
      <w:r w:rsidRPr="00B0768E">
        <w:t>Form of the food (‘as prepared’) rules for the HSR system</w:t>
      </w:r>
    </w:p>
    <w:p w14:paraId="16A89609" w14:textId="77777777" w:rsidR="00E5043D" w:rsidRDefault="009A5D87" w:rsidP="00B0768E">
      <w:pPr>
        <w:pStyle w:val="Title"/>
      </w:pPr>
      <w:r w:rsidRPr="00B0768E">
        <w:t>Discussion paper</w:t>
      </w:r>
    </w:p>
    <w:p w14:paraId="6B5DDED7" w14:textId="77777777" w:rsidR="00B0768E" w:rsidRPr="00B0768E" w:rsidRDefault="00B0768E" w:rsidP="00B0768E"/>
    <w:sdt>
      <w:sdtPr>
        <w:id w:val="-1523310093"/>
        <w:docPartObj>
          <w:docPartGallery w:val="Table of Contents"/>
          <w:docPartUnique/>
        </w:docPartObj>
      </w:sdtPr>
      <w:sdtEndPr>
        <w:rPr>
          <w:b/>
          <w:bCs/>
          <w:noProof/>
        </w:rPr>
      </w:sdtEndPr>
      <w:sdtContent>
        <w:p w14:paraId="41B7AF07" w14:textId="2135BB69" w:rsidR="007D695A" w:rsidRPr="007D695A" w:rsidRDefault="00250896" w:rsidP="005938E2">
          <w:pPr>
            <w:spacing w:after="240"/>
            <w:rPr>
              <w:rFonts w:ascii="Arial" w:hAnsi="Arial" w:cs="Arial"/>
              <w:b/>
              <w:bCs/>
              <w:kern w:val="28"/>
              <w:sz w:val="28"/>
              <w:szCs w:val="32"/>
            </w:rPr>
          </w:pPr>
          <w:r w:rsidRPr="007D695A">
            <w:rPr>
              <w:rFonts w:ascii="Arial" w:hAnsi="Arial" w:cs="Arial"/>
              <w:b/>
              <w:bCs/>
              <w:kern w:val="28"/>
              <w:sz w:val="28"/>
              <w:szCs w:val="32"/>
            </w:rPr>
            <w:t>Contents</w:t>
          </w:r>
        </w:p>
        <w:p w14:paraId="46D580F0" w14:textId="77777777" w:rsidR="000257F4" w:rsidRDefault="00250896">
          <w:pPr>
            <w:pStyle w:val="TOC1"/>
            <w:tabs>
              <w:tab w:val="right" w:leader="dot" w:pos="829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511309260" w:history="1">
            <w:r w:rsidR="000257F4" w:rsidRPr="00DE5F86">
              <w:rPr>
                <w:rStyle w:val="Hyperlink"/>
                <w:noProof/>
              </w:rPr>
              <w:t>Summary</w:t>
            </w:r>
            <w:r w:rsidR="000257F4">
              <w:rPr>
                <w:noProof/>
                <w:webHidden/>
              </w:rPr>
              <w:tab/>
            </w:r>
            <w:r w:rsidR="000257F4">
              <w:rPr>
                <w:noProof/>
                <w:webHidden/>
              </w:rPr>
              <w:fldChar w:fldCharType="begin"/>
            </w:r>
            <w:r w:rsidR="000257F4">
              <w:rPr>
                <w:noProof/>
                <w:webHidden/>
              </w:rPr>
              <w:instrText xml:space="preserve"> PAGEREF _Toc511309260 \h </w:instrText>
            </w:r>
            <w:r w:rsidR="000257F4">
              <w:rPr>
                <w:noProof/>
                <w:webHidden/>
              </w:rPr>
            </w:r>
            <w:r w:rsidR="000257F4">
              <w:rPr>
                <w:noProof/>
                <w:webHidden/>
              </w:rPr>
              <w:fldChar w:fldCharType="separate"/>
            </w:r>
            <w:r w:rsidR="00A6498A">
              <w:rPr>
                <w:noProof/>
                <w:webHidden/>
              </w:rPr>
              <w:t>2</w:t>
            </w:r>
            <w:r w:rsidR="000257F4">
              <w:rPr>
                <w:noProof/>
                <w:webHidden/>
              </w:rPr>
              <w:fldChar w:fldCharType="end"/>
            </w:r>
          </w:hyperlink>
        </w:p>
        <w:p w14:paraId="07C04006" w14:textId="77777777" w:rsidR="000257F4" w:rsidRDefault="00F30159">
          <w:pPr>
            <w:pStyle w:val="TOC1"/>
            <w:tabs>
              <w:tab w:val="right" w:leader="dot" w:pos="8296"/>
            </w:tabs>
            <w:rPr>
              <w:rFonts w:asciiTheme="minorHAnsi" w:eastAsiaTheme="minorEastAsia" w:hAnsiTheme="minorHAnsi" w:cstheme="minorBidi"/>
              <w:noProof/>
              <w:sz w:val="22"/>
              <w:szCs w:val="22"/>
              <w:lang w:eastAsia="en-AU"/>
            </w:rPr>
          </w:pPr>
          <w:hyperlink w:anchor="_Toc511309261" w:history="1">
            <w:r w:rsidR="000257F4" w:rsidRPr="00DE5F86">
              <w:rPr>
                <w:rStyle w:val="Hyperlink"/>
                <w:noProof/>
              </w:rPr>
              <w:t>Introduction</w:t>
            </w:r>
            <w:r w:rsidR="000257F4">
              <w:rPr>
                <w:noProof/>
                <w:webHidden/>
              </w:rPr>
              <w:tab/>
            </w:r>
            <w:r w:rsidR="000257F4">
              <w:rPr>
                <w:noProof/>
                <w:webHidden/>
              </w:rPr>
              <w:fldChar w:fldCharType="begin"/>
            </w:r>
            <w:r w:rsidR="000257F4">
              <w:rPr>
                <w:noProof/>
                <w:webHidden/>
              </w:rPr>
              <w:instrText xml:space="preserve"> PAGEREF _Toc511309261 \h </w:instrText>
            </w:r>
            <w:r w:rsidR="000257F4">
              <w:rPr>
                <w:noProof/>
                <w:webHidden/>
              </w:rPr>
            </w:r>
            <w:r w:rsidR="000257F4">
              <w:rPr>
                <w:noProof/>
                <w:webHidden/>
              </w:rPr>
              <w:fldChar w:fldCharType="separate"/>
            </w:r>
            <w:r w:rsidR="00A6498A">
              <w:rPr>
                <w:noProof/>
                <w:webHidden/>
              </w:rPr>
              <w:t>3</w:t>
            </w:r>
            <w:r w:rsidR="000257F4">
              <w:rPr>
                <w:noProof/>
                <w:webHidden/>
              </w:rPr>
              <w:fldChar w:fldCharType="end"/>
            </w:r>
          </w:hyperlink>
        </w:p>
        <w:p w14:paraId="7564C892"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2" w:history="1">
            <w:r w:rsidR="000257F4" w:rsidRPr="00DE5F86">
              <w:rPr>
                <w:rStyle w:val="Hyperlink"/>
                <w:noProof/>
              </w:rPr>
              <w:t>The ‘as prepared’ rules</w:t>
            </w:r>
            <w:r w:rsidR="000257F4">
              <w:rPr>
                <w:noProof/>
                <w:webHidden/>
              </w:rPr>
              <w:tab/>
            </w:r>
            <w:r w:rsidR="000257F4">
              <w:rPr>
                <w:noProof/>
                <w:webHidden/>
              </w:rPr>
              <w:fldChar w:fldCharType="begin"/>
            </w:r>
            <w:r w:rsidR="000257F4">
              <w:rPr>
                <w:noProof/>
                <w:webHidden/>
              </w:rPr>
              <w:instrText xml:space="preserve"> PAGEREF _Toc511309262 \h </w:instrText>
            </w:r>
            <w:r w:rsidR="000257F4">
              <w:rPr>
                <w:noProof/>
                <w:webHidden/>
              </w:rPr>
            </w:r>
            <w:r w:rsidR="000257F4">
              <w:rPr>
                <w:noProof/>
                <w:webHidden/>
              </w:rPr>
              <w:fldChar w:fldCharType="separate"/>
            </w:r>
            <w:r w:rsidR="00A6498A">
              <w:rPr>
                <w:noProof/>
                <w:webHidden/>
              </w:rPr>
              <w:t>3</w:t>
            </w:r>
            <w:r w:rsidR="000257F4">
              <w:rPr>
                <w:noProof/>
                <w:webHidden/>
              </w:rPr>
              <w:fldChar w:fldCharType="end"/>
            </w:r>
          </w:hyperlink>
        </w:p>
        <w:p w14:paraId="366F7131"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3" w:history="1">
            <w:r w:rsidR="000257F4" w:rsidRPr="00DE5F86">
              <w:rPr>
                <w:rStyle w:val="Hyperlink"/>
                <w:noProof/>
              </w:rPr>
              <w:t>Application of the ‘as prepared’ rules</w:t>
            </w:r>
            <w:r w:rsidR="000257F4">
              <w:rPr>
                <w:noProof/>
                <w:webHidden/>
              </w:rPr>
              <w:tab/>
            </w:r>
            <w:r w:rsidR="000257F4">
              <w:rPr>
                <w:noProof/>
                <w:webHidden/>
              </w:rPr>
              <w:fldChar w:fldCharType="begin"/>
            </w:r>
            <w:r w:rsidR="000257F4">
              <w:rPr>
                <w:noProof/>
                <w:webHidden/>
              </w:rPr>
              <w:instrText xml:space="preserve"> PAGEREF _Toc511309263 \h </w:instrText>
            </w:r>
            <w:r w:rsidR="000257F4">
              <w:rPr>
                <w:noProof/>
                <w:webHidden/>
              </w:rPr>
            </w:r>
            <w:r w:rsidR="000257F4">
              <w:rPr>
                <w:noProof/>
                <w:webHidden/>
              </w:rPr>
              <w:fldChar w:fldCharType="separate"/>
            </w:r>
            <w:r w:rsidR="00A6498A">
              <w:rPr>
                <w:noProof/>
                <w:webHidden/>
              </w:rPr>
              <w:t>5</w:t>
            </w:r>
            <w:r w:rsidR="000257F4">
              <w:rPr>
                <w:noProof/>
                <w:webHidden/>
              </w:rPr>
              <w:fldChar w:fldCharType="end"/>
            </w:r>
          </w:hyperlink>
        </w:p>
        <w:p w14:paraId="6C562AB5"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4" w:history="1">
            <w:r w:rsidR="000257F4" w:rsidRPr="00DE5F86">
              <w:rPr>
                <w:rStyle w:val="Hyperlink"/>
                <w:noProof/>
              </w:rPr>
              <w:t>Consumer use and understanding of HSRs ‘as prepared’</w:t>
            </w:r>
            <w:r w:rsidR="000257F4">
              <w:rPr>
                <w:noProof/>
                <w:webHidden/>
              </w:rPr>
              <w:tab/>
            </w:r>
            <w:r w:rsidR="000257F4">
              <w:rPr>
                <w:noProof/>
                <w:webHidden/>
              </w:rPr>
              <w:fldChar w:fldCharType="begin"/>
            </w:r>
            <w:r w:rsidR="000257F4">
              <w:rPr>
                <w:noProof/>
                <w:webHidden/>
              </w:rPr>
              <w:instrText xml:space="preserve"> PAGEREF _Toc511309264 \h </w:instrText>
            </w:r>
            <w:r w:rsidR="000257F4">
              <w:rPr>
                <w:noProof/>
                <w:webHidden/>
              </w:rPr>
            </w:r>
            <w:r w:rsidR="000257F4">
              <w:rPr>
                <w:noProof/>
                <w:webHidden/>
              </w:rPr>
              <w:fldChar w:fldCharType="separate"/>
            </w:r>
            <w:r w:rsidR="00A6498A">
              <w:rPr>
                <w:noProof/>
                <w:webHidden/>
              </w:rPr>
              <w:t>7</w:t>
            </w:r>
            <w:r w:rsidR="000257F4">
              <w:rPr>
                <w:noProof/>
                <w:webHidden/>
              </w:rPr>
              <w:fldChar w:fldCharType="end"/>
            </w:r>
          </w:hyperlink>
        </w:p>
        <w:p w14:paraId="40B14DA7"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5" w:history="1">
            <w:r w:rsidR="000257F4" w:rsidRPr="00DE5F86">
              <w:rPr>
                <w:rStyle w:val="Hyperlink"/>
                <w:noProof/>
              </w:rPr>
              <w:t>Alignment with system objectives and priorities</w:t>
            </w:r>
            <w:r w:rsidR="000257F4">
              <w:rPr>
                <w:noProof/>
                <w:webHidden/>
              </w:rPr>
              <w:tab/>
            </w:r>
            <w:r w:rsidR="000257F4">
              <w:rPr>
                <w:noProof/>
                <w:webHidden/>
              </w:rPr>
              <w:fldChar w:fldCharType="begin"/>
            </w:r>
            <w:r w:rsidR="000257F4">
              <w:rPr>
                <w:noProof/>
                <w:webHidden/>
              </w:rPr>
              <w:instrText xml:space="preserve"> PAGEREF _Toc511309265 \h </w:instrText>
            </w:r>
            <w:r w:rsidR="000257F4">
              <w:rPr>
                <w:noProof/>
                <w:webHidden/>
              </w:rPr>
            </w:r>
            <w:r w:rsidR="000257F4">
              <w:rPr>
                <w:noProof/>
                <w:webHidden/>
              </w:rPr>
              <w:fldChar w:fldCharType="separate"/>
            </w:r>
            <w:r w:rsidR="00A6498A">
              <w:rPr>
                <w:noProof/>
                <w:webHidden/>
              </w:rPr>
              <w:t>9</w:t>
            </w:r>
            <w:r w:rsidR="000257F4">
              <w:rPr>
                <w:noProof/>
                <w:webHidden/>
              </w:rPr>
              <w:fldChar w:fldCharType="end"/>
            </w:r>
          </w:hyperlink>
        </w:p>
        <w:p w14:paraId="6CFCC8B8"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6" w:history="1">
            <w:r w:rsidR="000257F4" w:rsidRPr="00DE5F86">
              <w:rPr>
                <w:rStyle w:val="Hyperlink"/>
                <w:noProof/>
              </w:rPr>
              <w:t>Reappraising the ‘as prepared’ rules</w:t>
            </w:r>
            <w:r w:rsidR="000257F4">
              <w:rPr>
                <w:noProof/>
                <w:webHidden/>
              </w:rPr>
              <w:tab/>
            </w:r>
            <w:r w:rsidR="000257F4">
              <w:rPr>
                <w:noProof/>
                <w:webHidden/>
              </w:rPr>
              <w:fldChar w:fldCharType="begin"/>
            </w:r>
            <w:r w:rsidR="000257F4">
              <w:rPr>
                <w:noProof/>
                <w:webHidden/>
              </w:rPr>
              <w:instrText xml:space="preserve"> PAGEREF _Toc511309266 \h </w:instrText>
            </w:r>
            <w:r w:rsidR="000257F4">
              <w:rPr>
                <w:noProof/>
                <w:webHidden/>
              </w:rPr>
            </w:r>
            <w:r w:rsidR="000257F4">
              <w:rPr>
                <w:noProof/>
                <w:webHidden/>
              </w:rPr>
              <w:fldChar w:fldCharType="separate"/>
            </w:r>
            <w:r w:rsidR="00A6498A">
              <w:rPr>
                <w:noProof/>
                <w:webHidden/>
              </w:rPr>
              <w:t>10</w:t>
            </w:r>
            <w:r w:rsidR="000257F4">
              <w:rPr>
                <w:noProof/>
                <w:webHidden/>
              </w:rPr>
              <w:fldChar w:fldCharType="end"/>
            </w:r>
          </w:hyperlink>
        </w:p>
        <w:p w14:paraId="38AD3EDE"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7" w:history="1">
            <w:r w:rsidR="000257F4" w:rsidRPr="00DE5F86">
              <w:rPr>
                <w:rStyle w:val="Hyperlink"/>
                <w:noProof/>
              </w:rPr>
              <w:t>Stakeholder consultation</w:t>
            </w:r>
            <w:r w:rsidR="000257F4">
              <w:rPr>
                <w:noProof/>
                <w:webHidden/>
              </w:rPr>
              <w:tab/>
            </w:r>
            <w:r w:rsidR="000257F4">
              <w:rPr>
                <w:noProof/>
                <w:webHidden/>
              </w:rPr>
              <w:fldChar w:fldCharType="begin"/>
            </w:r>
            <w:r w:rsidR="000257F4">
              <w:rPr>
                <w:noProof/>
                <w:webHidden/>
              </w:rPr>
              <w:instrText xml:space="preserve"> PAGEREF _Toc511309267 \h </w:instrText>
            </w:r>
            <w:r w:rsidR="000257F4">
              <w:rPr>
                <w:noProof/>
                <w:webHidden/>
              </w:rPr>
            </w:r>
            <w:r w:rsidR="000257F4">
              <w:rPr>
                <w:noProof/>
                <w:webHidden/>
              </w:rPr>
              <w:fldChar w:fldCharType="separate"/>
            </w:r>
            <w:r w:rsidR="00A6498A">
              <w:rPr>
                <w:noProof/>
                <w:webHidden/>
              </w:rPr>
              <w:t>10</w:t>
            </w:r>
            <w:r w:rsidR="000257F4">
              <w:rPr>
                <w:noProof/>
                <w:webHidden/>
              </w:rPr>
              <w:fldChar w:fldCharType="end"/>
            </w:r>
          </w:hyperlink>
        </w:p>
        <w:p w14:paraId="6951A66F" w14:textId="77777777" w:rsidR="000257F4" w:rsidRDefault="00F30159">
          <w:pPr>
            <w:pStyle w:val="TOC1"/>
            <w:tabs>
              <w:tab w:val="right" w:leader="dot" w:pos="8296"/>
            </w:tabs>
            <w:rPr>
              <w:rFonts w:asciiTheme="minorHAnsi" w:eastAsiaTheme="minorEastAsia" w:hAnsiTheme="minorHAnsi" w:cstheme="minorBidi"/>
              <w:noProof/>
              <w:sz w:val="22"/>
              <w:szCs w:val="22"/>
              <w:lang w:eastAsia="en-AU"/>
            </w:rPr>
          </w:pPr>
          <w:hyperlink w:anchor="_Toc511309268" w:history="1">
            <w:r w:rsidR="000257F4" w:rsidRPr="00DE5F86">
              <w:rPr>
                <w:rStyle w:val="Hyperlink"/>
                <w:noProof/>
              </w:rPr>
              <w:t>Options for consideration</w:t>
            </w:r>
            <w:r w:rsidR="000257F4">
              <w:rPr>
                <w:noProof/>
                <w:webHidden/>
              </w:rPr>
              <w:tab/>
            </w:r>
            <w:r w:rsidR="000257F4">
              <w:rPr>
                <w:noProof/>
                <w:webHidden/>
              </w:rPr>
              <w:fldChar w:fldCharType="begin"/>
            </w:r>
            <w:r w:rsidR="000257F4">
              <w:rPr>
                <w:noProof/>
                <w:webHidden/>
              </w:rPr>
              <w:instrText xml:space="preserve"> PAGEREF _Toc511309268 \h </w:instrText>
            </w:r>
            <w:r w:rsidR="000257F4">
              <w:rPr>
                <w:noProof/>
                <w:webHidden/>
              </w:rPr>
            </w:r>
            <w:r w:rsidR="000257F4">
              <w:rPr>
                <w:noProof/>
                <w:webHidden/>
              </w:rPr>
              <w:fldChar w:fldCharType="separate"/>
            </w:r>
            <w:r w:rsidR="00A6498A">
              <w:rPr>
                <w:noProof/>
                <w:webHidden/>
              </w:rPr>
              <w:t>12</w:t>
            </w:r>
            <w:r w:rsidR="000257F4">
              <w:rPr>
                <w:noProof/>
                <w:webHidden/>
              </w:rPr>
              <w:fldChar w:fldCharType="end"/>
            </w:r>
          </w:hyperlink>
        </w:p>
        <w:p w14:paraId="7C6ADDB7" w14:textId="60FCB876"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69" w:history="1">
            <w:r w:rsidR="000257F4">
              <w:rPr>
                <w:rStyle w:val="Hyperlink"/>
                <w:noProof/>
              </w:rPr>
              <w:t>‘A</w:t>
            </w:r>
            <w:r w:rsidR="000257F4" w:rsidRPr="00DE5F86">
              <w:rPr>
                <w:rStyle w:val="Hyperlink"/>
                <w:noProof/>
              </w:rPr>
              <w:t>s sold’ with specific exemptions for rehydration and dilution with water and draining of water</w:t>
            </w:r>
            <w:r w:rsidR="000257F4">
              <w:rPr>
                <w:noProof/>
                <w:webHidden/>
              </w:rPr>
              <w:tab/>
            </w:r>
            <w:r w:rsidR="000257F4">
              <w:rPr>
                <w:noProof/>
                <w:webHidden/>
              </w:rPr>
              <w:fldChar w:fldCharType="begin"/>
            </w:r>
            <w:r w:rsidR="000257F4">
              <w:rPr>
                <w:noProof/>
                <w:webHidden/>
              </w:rPr>
              <w:instrText xml:space="preserve"> PAGEREF _Toc511309269 \h </w:instrText>
            </w:r>
            <w:r w:rsidR="000257F4">
              <w:rPr>
                <w:noProof/>
                <w:webHidden/>
              </w:rPr>
            </w:r>
            <w:r w:rsidR="000257F4">
              <w:rPr>
                <w:noProof/>
                <w:webHidden/>
              </w:rPr>
              <w:fldChar w:fldCharType="separate"/>
            </w:r>
            <w:r w:rsidR="00A6498A">
              <w:rPr>
                <w:noProof/>
                <w:webHidden/>
              </w:rPr>
              <w:t>13</w:t>
            </w:r>
            <w:r w:rsidR="000257F4">
              <w:rPr>
                <w:noProof/>
                <w:webHidden/>
              </w:rPr>
              <w:fldChar w:fldCharType="end"/>
            </w:r>
          </w:hyperlink>
        </w:p>
        <w:p w14:paraId="2AC8BD2D" w14:textId="77777777" w:rsidR="000257F4" w:rsidRDefault="00F30159">
          <w:pPr>
            <w:pStyle w:val="TOC2"/>
            <w:tabs>
              <w:tab w:val="right" w:leader="dot" w:pos="8296"/>
            </w:tabs>
            <w:rPr>
              <w:rFonts w:asciiTheme="minorHAnsi" w:eastAsiaTheme="minorEastAsia" w:hAnsiTheme="minorHAnsi" w:cstheme="minorBidi"/>
              <w:noProof/>
              <w:sz w:val="22"/>
              <w:szCs w:val="22"/>
              <w:lang w:eastAsia="en-AU"/>
            </w:rPr>
          </w:pPr>
          <w:hyperlink w:anchor="_Toc511309270" w:history="1">
            <w:r w:rsidR="000257F4" w:rsidRPr="00DE5F86">
              <w:rPr>
                <w:rStyle w:val="Hyperlink"/>
                <w:noProof/>
              </w:rPr>
              <w:t>Provide supporting guidance for interpreting the current ‘as prepared’ rules</w:t>
            </w:r>
            <w:r w:rsidR="000257F4">
              <w:rPr>
                <w:noProof/>
                <w:webHidden/>
              </w:rPr>
              <w:tab/>
            </w:r>
            <w:r w:rsidR="000257F4">
              <w:rPr>
                <w:noProof/>
                <w:webHidden/>
              </w:rPr>
              <w:fldChar w:fldCharType="begin"/>
            </w:r>
            <w:r w:rsidR="000257F4">
              <w:rPr>
                <w:noProof/>
                <w:webHidden/>
              </w:rPr>
              <w:instrText xml:space="preserve"> PAGEREF _Toc511309270 \h </w:instrText>
            </w:r>
            <w:r w:rsidR="000257F4">
              <w:rPr>
                <w:noProof/>
                <w:webHidden/>
              </w:rPr>
            </w:r>
            <w:r w:rsidR="000257F4">
              <w:rPr>
                <w:noProof/>
                <w:webHidden/>
              </w:rPr>
              <w:fldChar w:fldCharType="separate"/>
            </w:r>
            <w:r w:rsidR="00A6498A">
              <w:rPr>
                <w:noProof/>
                <w:webHidden/>
              </w:rPr>
              <w:t>15</w:t>
            </w:r>
            <w:r w:rsidR="000257F4">
              <w:rPr>
                <w:noProof/>
                <w:webHidden/>
              </w:rPr>
              <w:fldChar w:fldCharType="end"/>
            </w:r>
          </w:hyperlink>
        </w:p>
        <w:p w14:paraId="720E3F63" w14:textId="77777777" w:rsidR="000257F4" w:rsidRDefault="00F30159">
          <w:pPr>
            <w:pStyle w:val="TOC1"/>
            <w:tabs>
              <w:tab w:val="right" w:leader="dot" w:pos="8296"/>
            </w:tabs>
            <w:rPr>
              <w:rFonts w:asciiTheme="minorHAnsi" w:eastAsiaTheme="minorEastAsia" w:hAnsiTheme="minorHAnsi" w:cstheme="minorBidi"/>
              <w:noProof/>
              <w:sz w:val="22"/>
              <w:szCs w:val="22"/>
              <w:lang w:eastAsia="en-AU"/>
            </w:rPr>
          </w:pPr>
          <w:hyperlink w:anchor="_Toc511309271" w:history="1">
            <w:r w:rsidR="000257F4" w:rsidRPr="00DE5F86">
              <w:rPr>
                <w:rStyle w:val="Hyperlink"/>
                <w:noProof/>
              </w:rPr>
              <w:t>Next steps</w:t>
            </w:r>
            <w:r w:rsidR="000257F4">
              <w:rPr>
                <w:noProof/>
                <w:webHidden/>
              </w:rPr>
              <w:tab/>
            </w:r>
            <w:r w:rsidR="000257F4">
              <w:rPr>
                <w:noProof/>
                <w:webHidden/>
              </w:rPr>
              <w:fldChar w:fldCharType="begin"/>
            </w:r>
            <w:r w:rsidR="000257F4">
              <w:rPr>
                <w:noProof/>
                <w:webHidden/>
              </w:rPr>
              <w:instrText xml:space="preserve"> PAGEREF _Toc511309271 \h </w:instrText>
            </w:r>
            <w:r w:rsidR="000257F4">
              <w:rPr>
                <w:noProof/>
                <w:webHidden/>
              </w:rPr>
            </w:r>
            <w:r w:rsidR="000257F4">
              <w:rPr>
                <w:noProof/>
                <w:webHidden/>
              </w:rPr>
              <w:fldChar w:fldCharType="separate"/>
            </w:r>
            <w:r w:rsidR="00A6498A">
              <w:rPr>
                <w:noProof/>
                <w:webHidden/>
              </w:rPr>
              <w:t>18</w:t>
            </w:r>
            <w:r w:rsidR="000257F4">
              <w:rPr>
                <w:noProof/>
                <w:webHidden/>
              </w:rPr>
              <w:fldChar w:fldCharType="end"/>
            </w:r>
          </w:hyperlink>
        </w:p>
        <w:p w14:paraId="27A2A337" w14:textId="77777777" w:rsidR="000257F4" w:rsidRDefault="00F30159">
          <w:pPr>
            <w:pStyle w:val="TOC1"/>
            <w:tabs>
              <w:tab w:val="right" w:leader="dot" w:pos="8296"/>
            </w:tabs>
            <w:rPr>
              <w:rFonts w:asciiTheme="minorHAnsi" w:eastAsiaTheme="minorEastAsia" w:hAnsiTheme="minorHAnsi" w:cstheme="minorBidi"/>
              <w:noProof/>
              <w:sz w:val="22"/>
              <w:szCs w:val="22"/>
              <w:lang w:eastAsia="en-AU"/>
            </w:rPr>
          </w:pPr>
          <w:hyperlink w:anchor="_Toc511309272" w:history="1">
            <w:r w:rsidR="000257F4" w:rsidRPr="00DE5F86">
              <w:rPr>
                <w:rStyle w:val="Hyperlink"/>
                <w:noProof/>
              </w:rPr>
              <w:t>Consultation questions</w:t>
            </w:r>
            <w:r w:rsidR="000257F4">
              <w:rPr>
                <w:noProof/>
                <w:webHidden/>
              </w:rPr>
              <w:tab/>
            </w:r>
            <w:r w:rsidR="000257F4">
              <w:rPr>
                <w:noProof/>
                <w:webHidden/>
              </w:rPr>
              <w:fldChar w:fldCharType="begin"/>
            </w:r>
            <w:r w:rsidR="000257F4">
              <w:rPr>
                <w:noProof/>
                <w:webHidden/>
              </w:rPr>
              <w:instrText xml:space="preserve"> PAGEREF _Toc511309272 \h </w:instrText>
            </w:r>
            <w:r w:rsidR="000257F4">
              <w:rPr>
                <w:noProof/>
                <w:webHidden/>
              </w:rPr>
            </w:r>
            <w:r w:rsidR="000257F4">
              <w:rPr>
                <w:noProof/>
                <w:webHidden/>
              </w:rPr>
              <w:fldChar w:fldCharType="separate"/>
            </w:r>
            <w:r w:rsidR="00A6498A">
              <w:rPr>
                <w:noProof/>
                <w:webHidden/>
              </w:rPr>
              <w:t>19</w:t>
            </w:r>
            <w:r w:rsidR="000257F4">
              <w:rPr>
                <w:noProof/>
                <w:webHidden/>
              </w:rPr>
              <w:fldChar w:fldCharType="end"/>
            </w:r>
          </w:hyperlink>
        </w:p>
        <w:p w14:paraId="255C3E30" w14:textId="77777777" w:rsidR="000257F4" w:rsidRDefault="00F30159">
          <w:pPr>
            <w:pStyle w:val="TOC1"/>
            <w:tabs>
              <w:tab w:val="right" w:leader="dot" w:pos="8296"/>
            </w:tabs>
            <w:rPr>
              <w:rFonts w:asciiTheme="minorHAnsi" w:eastAsiaTheme="minorEastAsia" w:hAnsiTheme="minorHAnsi" w:cstheme="minorBidi"/>
              <w:noProof/>
              <w:sz w:val="22"/>
              <w:szCs w:val="22"/>
              <w:lang w:eastAsia="en-AU"/>
            </w:rPr>
          </w:pPr>
          <w:hyperlink w:anchor="_Toc511309273" w:history="1">
            <w:r w:rsidR="000257F4" w:rsidRPr="00DE5F86">
              <w:rPr>
                <w:rStyle w:val="Hyperlink"/>
                <w:noProof/>
              </w:rPr>
              <w:t>Appendices</w:t>
            </w:r>
            <w:r w:rsidR="000257F4">
              <w:rPr>
                <w:noProof/>
                <w:webHidden/>
              </w:rPr>
              <w:tab/>
            </w:r>
            <w:r w:rsidR="000257F4">
              <w:rPr>
                <w:noProof/>
                <w:webHidden/>
              </w:rPr>
              <w:fldChar w:fldCharType="begin"/>
            </w:r>
            <w:r w:rsidR="000257F4">
              <w:rPr>
                <w:noProof/>
                <w:webHidden/>
              </w:rPr>
              <w:instrText xml:space="preserve"> PAGEREF _Toc511309273 \h </w:instrText>
            </w:r>
            <w:r w:rsidR="000257F4">
              <w:rPr>
                <w:noProof/>
                <w:webHidden/>
              </w:rPr>
            </w:r>
            <w:r w:rsidR="000257F4">
              <w:rPr>
                <w:noProof/>
                <w:webHidden/>
              </w:rPr>
              <w:fldChar w:fldCharType="separate"/>
            </w:r>
            <w:r w:rsidR="00A6498A">
              <w:rPr>
                <w:noProof/>
                <w:webHidden/>
              </w:rPr>
              <w:t>20</w:t>
            </w:r>
            <w:r w:rsidR="000257F4">
              <w:rPr>
                <w:noProof/>
                <w:webHidden/>
              </w:rPr>
              <w:fldChar w:fldCharType="end"/>
            </w:r>
          </w:hyperlink>
        </w:p>
        <w:p w14:paraId="166981F2" w14:textId="2D7C0895" w:rsidR="00C17831" w:rsidRDefault="00250896">
          <w:pPr>
            <w:rPr>
              <w:b/>
              <w:bCs/>
              <w:noProof/>
            </w:rPr>
          </w:pPr>
          <w:r>
            <w:rPr>
              <w:b/>
              <w:bCs/>
              <w:noProof/>
            </w:rPr>
            <w:fldChar w:fldCharType="end"/>
          </w:r>
        </w:p>
      </w:sdtContent>
    </w:sdt>
    <w:p w14:paraId="53F0170F" w14:textId="786B81BD" w:rsidR="00787D5D" w:rsidRDefault="002C1A16" w:rsidP="000257F4">
      <w:pPr>
        <w:spacing w:before="360" w:after="120"/>
        <w:rPr>
          <w:sz w:val="22"/>
          <w:szCs w:val="22"/>
        </w:rPr>
      </w:pPr>
      <w:r>
        <w:rPr>
          <w:sz w:val="22"/>
          <w:szCs w:val="22"/>
        </w:rPr>
        <w:t>A</w:t>
      </w:r>
      <w:r w:rsidR="000257F4" w:rsidRPr="000257F4">
        <w:rPr>
          <w:sz w:val="22"/>
          <w:szCs w:val="22"/>
        </w:rPr>
        <w:t>ppendices are available in a single document</w:t>
      </w:r>
      <w:r w:rsidR="00787D5D">
        <w:rPr>
          <w:sz w:val="22"/>
          <w:szCs w:val="22"/>
        </w:rPr>
        <w:t xml:space="preserve"> on the </w:t>
      </w:r>
      <w:hyperlink r:id="rId9" w:history="1">
        <w:r w:rsidR="00787D5D">
          <w:rPr>
            <w:rStyle w:val="Hyperlink"/>
            <w:sz w:val="22"/>
            <w:szCs w:val="22"/>
          </w:rPr>
          <w:t>HSR Stakeholder Workshops</w:t>
        </w:r>
      </w:hyperlink>
      <w:r w:rsidR="00787D5D">
        <w:rPr>
          <w:sz w:val="22"/>
          <w:szCs w:val="22"/>
        </w:rPr>
        <w:t xml:space="preserve"> page.</w:t>
      </w:r>
    </w:p>
    <w:p w14:paraId="0A61FDFF" w14:textId="77777777" w:rsidR="00C17831" w:rsidRDefault="00C17831">
      <w:pPr>
        <w:rPr>
          <w:b/>
          <w:bCs/>
          <w:noProof/>
        </w:rPr>
      </w:pPr>
      <w:r>
        <w:rPr>
          <w:b/>
          <w:bCs/>
          <w:noProof/>
        </w:rPr>
        <w:br w:type="page"/>
      </w:r>
    </w:p>
    <w:p w14:paraId="68AAD7E9" w14:textId="77777777" w:rsidR="00E84525" w:rsidRDefault="00E84525" w:rsidP="00E84525">
      <w:pPr>
        <w:pStyle w:val="Heading1"/>
      </w:pPr>
      <w:bookmarkStart w:id="1" w:name="_Toc511309260"/>
      <w:bookmarkStart w:id="2" w:name="_Hlk509244459"/>
      <w:r>
        <w:lastRenderedPageBreak/>
        <w:t>Summary</w:t>
      </w:r>
      <w:bookmarkEnd w:id="1"/>
    </w:p>
    <w:p w14:paraId="234421FA" w14:textId="43F3CF30" w:rsidR="007A4898" w:rsidRPr="003C7A24" w:rsidRDefault="007A4898" w:rsidP="00BA577D">
      <w:pPr>
        <w:spacing w:after="240"/>
        <w:rPr>
          <w:lang w:eastAsia="en-AU"/>
        </w:rPr>
      </w:pPr>
      <w:r w:rsidRPr="003C7A24">
        <w:rPr>
          <w:lang w:eastAsia="en-AU"/>
        </w:rPr>
        <w:t xml:space="preserve">The Health Star Rating (HSR) Advisory Committee (HSRAC) is currently reappraising the </w:t>
      </w:r>
      <w:r w:rsidR="00070536" w:rsidRPr="003C7A24">
        <w:rPr>
          <w:lang w:eastAsia="en-AU"/>
        </w:rPr>
        <w:t>‘as prepared’</w:t>
      </w:r>
      <w:r w:rsidRPr="003C7A24">
        <w:rPr>
          <w:lang w:eastAsia="en-AU"/>
        </w:rPr>
        <w:t xml:space="preserve"> rules in </w:t>
      </w:r>
      <w:r w:rsidR="0008607D" w:rsidRPr="003C7A24">
        <w:rPr>
          <w:lang w:eastAsia="en-AU"/>
        </w:rPr>
        <w:t xml:space="preserve">the HSR system. These rules allow </w:t>
      </w:r>
      <w:r w:rsidR="00070536" w:rsidRPr="003C7A24">
        <w:rPr>
          <w:lang w:eastAsia="en-AU"/>
        </w:rPr>
        <w:t xml:space="preserve">some products which are normally </w:t>
      </w:r>
      <w:r w:rsidR="0008607D" w:rsidRPr="003C7A24">
        <w:rPr>
          <w:lang w:eastAsia="en-AU"/>
        </w:rPr>
        <w:t xml:space="preserve">prepared with other </w:t>
      </w:r>
      <w:r w:rsidR="00962657" w:rsidRPr="003C7A24">
        <w:rPr>
          <w:lang w:eastAsia="en-AU"/>
        </w:rPr>
        <w:t>foods</w:t>
      </w:r>
      <w:r w:rsidR="0008607D" w:rsidRPr="003C7A24">
        <w:rPr>
          <w:lang w:eastAsia="en-AU"/>
        </w:rPr>
        <w:t xml:space="preserve"> prior to consumption to</w:t>
      </w:r>
      <w:r w:rsidR="00070536" w:rsidRPr="003C7A24">
        <w:rPr>
          <w:lang w:eastAsia="en-AU"/>
        </w:rPr>
        <w:t xml:space="preserve"> include these</w:t>
      </w:r>
      <w:r w:rsidR="00962657" w:rsidRPr="003C7A24">
        <w:rPr>
          <w:lang w:eastAsia="en-AU"/>
        </w:rPr>
        <w:t xml:space="preserve"> ingredients</w:t>
      </w:r>
      <w:r w:rsidR="00070536" w:rsidRPr="003C7A24">
        <w:rPr>
          <w:lang w:eastAsia="en-AU"/>
        </w:rPr>
        <w:t xml:space="preserve"> </w:t>
      </w:r>
      <w:r w:rsidR="0008607D" w:rsidRPr="003C7A24">
        <w:rPr>
          <w:lang w:eastAsia="en-AU"/>
        </w:rPr>
        <w:t>in</w:t>
      </w:r>
      <w:r w:rsidR="00070536" w:rsidRPr="003C7A24">
        <w:rPr>
          <w:lang w:eastAsia="en-AU"/>
        </w:rPr>
        <w:t xml:space="preserve"> </w:t>
      </w:r>
      <w:r w:rsidR="0008607D" w:rsidRPr="003C7A24">
        <w:rPr>
          <w:lang w:eastAsia="en-AU"/>
        </w:rPr>
        <w:t>the calculation of</w:t>
      </w:r>
      <w:r w:rsidR="00787D5D">
        <w:rPr>
          <w:lang w:eastAsia="en-AU"/>
        </w:rPr>
        <w:t xml:space="preserve"> a HSR.</w:t>
      </w:r>
    </w:p>
    <w:p w14:paraId="36D5404C" w14:textId="4D782D49" w:rsidR="0008607D" w:rsidRPr="003C7A24" w:rsidRDefault="0008607D" w:rsidP="001258E3">
      <w:pPr>
        <w:spacing w:after="120"/>
        <w:rPr>
          <w:lang w:eastAsia="en-AU"/>
        </w:rPr>
      </w:pPr>
      <w:r w:rsidRPr="003C7A24">
        <w:rPr>
          <w:lang w:eastAsia="en-AU"/>
        </w:rPr>
        <w:t>P</w:t>
      </w:r>
      <w:r w:rsidR="00E84525" w:rsidRPr="003C7A24">
        <w:rPr>
          <w:lang w:eastAsia="en-AU"/>
        </w:rPr>
        <w:t xml:space="preserve">ublic consultation on options to resolve concerns </w:t>
      </w:r>
      <w:r w:rsidRPr="003C7A24">
        <w:rPr>
          <w:lang w:eastAsia="en-AU"/>
        </w:rPr>
        <w:t>that</w:t>
      </w:r>
      <w:r w:rsidR="00E84525" w:rsidRPr="003C7A24">
        <w:rPr>
          <w:lang w:eastAsia="en-AU"/>
        </w:rPr>
        <w:t xml:space="preserve"> the</w:t>
      </w:r>
      <w:r w:rsidRPr="003C7A24">
        <w:rPr>
          <w:lang w:eastAsia="en-AU"/>
        </w:rPr>
        <w:t xml:space="preserve"> rules are</w:t>
      </w:r>
      <w:r w:rsidR="007A4898" w:rsidRPr="003C7A24">
        <w:rPr>
          <w:lang w:eastAsia="en-AU"/>
        </w:rPr>
        <w:t xml:space="preserve"> </w:t>
      </w:r>
      <w:r w:rsidRPr="003C7A24">
        <w:rPr>
          <w:lang w:eastAsia="en-AU"/>
        </w:rPr>
        <w:t>confusing and/or misleading identified a simplified rule</w:t>
      </w:r>
      <w:r w:rsidR="003C7A24">
        <w:rPr>
          <w:lang w:eastAsia="en-AU"/>
        </w:rPr>
        <w:t xml:space="preserve">, </w:t>
      </w:r>
      <w:r w:rsidRPr="003C7A24">
        <w:rPr>
          <w:lang w:eastAsia="en-AU"/>
        </w:rPr>
        <w:t xml:space="preserve">‘as sold’ with specific exemptions for rehydration or dilution </w:t>
      </w:r>
      <w:r w:rsidR="003C7A24">
        <w:rPr>
          <w:lang w:eastAsia="en-AU"/>
        </w:rPr>
        <w:t>with water or draining of water,</w:t>
      </w:r>
      <w:r w:rsidRPr="003C7A24">
        <w:rPr>
          <w:lang w:eastAsia="en-AU"/>
        </w:rPr>
        <w:t xml:space="preserve"> as the most viable option.</w:t>
      </w:r>
      <w:r w:rsidR="007C7D67" w:rsidRPr="003C7A24">
        <w:rPr>
          <w:lang w:eastAsia="en-AU"/>
        </w:rPr>
        <w:t xml:space="preserve"> </w:t>
      </w:r>
      <w:r w:rsidR="007A4898" w:rsidRPr="003C7A24">
        <w:rPr>
          <w:lang w:eastAsia="en-AU"/>
        </w:rPr>
        <w:t>HSRAC asked the HSR Technical Advisory Group (TAG) to model the impact of implementing th</w:t>
      </w:r>
      <w:r w:rsidRPr="003C7A24">
        <w:rPr>
          <w:lang w:eastAsia="en-AU"/>
        </w:rPr>
        <w:t>is option, with results indicating that:</w:t>
      </w:r>
    </w:p>
    <w:p w14:paraId="44724801" w14:textId="399741C3" w:rsidR="001258E3" w:rsidRPr="003C7A24" w:rsidRDefault="001258E3" w:rsidP="001258E3">
      <w:pPr>
        <w:pStyle w:val="ListParagraph"/>
        <w:numPr>
          <w:ilvl w:val="0"/>
          <w:numId w:val="45"/>
        </w:numPr>
        <w:spacing w:after="240"/>
        <w:rPr>
          <w:lang w:eastAsia="en-AU"/>
        </w:rPr>
      </w:pPr>
      <w:r w:rsidRPr="003C7A24">
        <w:t>Many product categories which</w:t>
      </w:r>
      <w:r w:rsidR="00027536" w:rsidRPr="003C7A24">
        <w:t xml:space="preserve"> would</w:t>
      </w:r>
      <w:r w:rsidRPr="003C7A24">
        <w:t xml:space="preserve"> tend to receive a lower HSR ‘as sold’ currently receive higher HSR scores ‘as prepared’ </w:t>
      </w:r>
    </w:p>
    <w:p w14:paraId="25AA5BBA" w14:textId="30ED10CA" w:rsidR="001258E3" w:rsidRPr="003C7A24" w:rsidRDefault="001258E3" w:rsidP="003C7A24">
      <w:pPr>
        <w:pStyle w:val="ListParagraph"/>
        <w:numPr>
          <w:ilvl w:val="0"/>
          <w:numId w:val="45"/>
        </w:numPr>
        <w:spacing w:after="120"/>
        <w:ind w:left="357" w:hanging="357"/>
        <w:rPr>
          <w:lang w:eastAsia="en-AU"/>
        </w:rPr>
      </w:pPr>
      <w:r w:rsidRPr="003C7A24">
        <w:t>Restricting products to ‘as sold’ would tend to align with dietary guidelines</w:t>
      </w:r>
      <w:r w:rsidR="0008607D" w:rsidRPr="003C7A24">
        <w:t>, with ‘</w:t>
      </w:r>
      <w:r w:rsidRPr="003C7A24">
        <w:t>core</w:t>
      </w:r>
      <w:r w:rsidR="0008607D" w:rsidRPr="003C7A24">
        <w:t>’</w:t>
      </w:r>
      <w:r w:rsidRPr="003C7A24">
        <w:t xml:space="preserve"> foods </w:t>
      </w:r>
      <w:r w:rsidR="0086265A" w:rsidRPr="003C7A24">
        <w:t>generally</w:t>
      </w:r>
      <w:r w:rsidR="0008607D" w:rsidRPr="003C7A24">
        <w:t xml:space="preserve"> receiving</w:t>
      </w:r>
      <w:r w:rsidRPr="003C7A24">
        <w:t xml:space="preserve"> higher HSRs and</w:t>
      </w:r>
      <w:r w:rsidR="0008607D" w:rsidRPr="003C7A24">
        <w:t xml:space="preserve"> ‘discretionary’ foods lower HSRs</w:t>
      </w:r>
      <w:r w:rsidR="00962657" w:rsidRPr="003C7A24">
        <w:t>.</w:t>
      </w:r>
    </w:p>
    <w:p w14:paraId="608797FD" w14:textId="01B43DAA" w:rsidR="007A4898" w:rsidRPr="003C7A24" w:rsidRDefault="00E84525" w:rsidP="00BA577D">
      <w:pPr>
        <w:spacing w:after="240"/>
        <w:rPr>
          <w:lang w:eastAsia="en-AU"/>
        </w:rPr>
      </w:pPr>
      <w:r w:rsidRPr="003C7A24">
        <w:rPr>
          <w:lang w:eastAsia="en-AU"/>
        </w:rPr>
        <w:t xml:space="preserve">An alternative option </w:t>
      </w:r>
      <w:r w:rsidR="00B75812" w:rsidRPr="003C7A24">
        <w:rPr>
          <w:lang w:eastAsia="en-AU"/>
        </w:rPr>
        <w:t xml:space="preserve">that </w:t>
      </w:r>
      <w:r w:rsidR="007A4898" w:rsidRPr="003C7A24">
        <w:rPr>
          <w:lang w:eastAsia="en-AU"/>
        </w:rPr>
        <w:t>provides supporting guidance around</w:t>
      </w:r>
      <w:r w:rsidRPr="003C7A24">
        <w:rPr>
          <w:lang w:eastAsia="en-AU"/>
        </w:rPr>
        <w:t xml:space="preserve"> the ‘as prepared’ rules has also been proposed</w:t>
      </w:r>
      <w:r w:rsidR="00306AA3" w:rsidRPr="003C7A24">
        <w:rPr>
          <w:lang w:eastAsia="en-AU"/>
        </w:rPr>
        <w:t xml:space="preserve"> by the Australian Food and Grocery Council (AFGC)</w:t>
      </w:r>
      <w:r w:rsidR="00FC40D0" w:rsidRPr="003C7A24">
        <w:rPr>
          <w:lang w:eastAsia="en-AU"/>
        </w:rPr>
        <w:t xml:space="preserve"> after initial public consultations</w:t>
      </w:r>
      <w:r w:rsidR="007C7D67" w:rsidRPr="003C7A24">
        <w:rPr>
          <w:lang w:eastAsia="en-AU"/>
        </w:rPr>
        <w:t xml:space="preserve">. This aims </w:t>
      </w:r>
      <w:r w:rsidR="001258E3" w:rsidRPr="003C7A24">
        <w:rPr>
          <w:lang w:eastAsia="en-AU"/>
        </w:rPr>
        <w:t>to provide clear guidance to assist application of the HSR system to products</w:t>
      </w:r>
      <w:r w:rsidR="0086265A" w:rsidRPr="003C7A24">
        <w:rPr>
          <w:lang w:eastAsia="en-AU"/>
        </w:rPr>
        <w:t xml:space="preserve"> </w:t>
      </w:r>
      <w:r w:rsidR="0008607D" w:rsidRPr="003C7A24">
        <w:rPr>
          <w:lang w:eastAsia="en-AU"/>
        </w:rPr>
        <w:t xml:space="preserve">that require preparation with other </w:t>
      </w:r>
      <w:r w:rsidR="007C7D67" w:rsidRPr="003C7A24">
        <w:rPr>
          <w:lang w:eastAsia="en-AU"/>
        </w:rPr>
        <w:t>ingredients</w:t>
      </w:r>
      <w:r w:rsidR="0008607D" w:rsidRPr="003C7A24">
        <w:rPr>
          <w:lang w:eastAsia="en-AU"/>
        </w:rPr>
        <w:t xml:space="preserve"> prior to consumption</w:t>
      </w:r>
      <w:r w:rsidR="007C7D67" w:rsidRPr="003C7A24">
        <w:rPr>
          <w:lang w:eastAsia="en-AU"/>
        </w:rPr>
        <w:t xml:space="preserve"> and </w:t>
      </w:r>
      <w:r w:rsidR="00962657" w:rsidRPr="003C7A24">
        <w:rPr>
          <w:lang w:eastAsia="en-AU"/>
        </w:rPr>
        <w:t xml:space="preserve">places the onus of responsibility on the manufacturer to consider what provides the most useful information to consumers. This approach </w:t>
      </w:r>
      <w:r w:rsidR="007C7D67" w:rsidRPr="003C7A24">
        <w:rPr>
          <w:lang w:eastAsia="en-AU"/>
        </w:rPr>
        <w:t>may allay concerns that a change to the ‘as prepared’ rules will treat certain product categories unfairly</w:t>
      </w:r>
      <w:r w:rsidR="0008607D" w:rsidRPr="003C7A24">
        <w:rPr>
          <w:lang w:eastAsia="en-AU"/>
        </w:rPr>
        <w:t>.</w:t>
      </w:r>
    </w:p>
    <w:p w14:paraId="4C4C9440" w14:textId="038FA3C3" w:rsidR="00C17831" w:rsidRPr="003C7A24" w:rsidRDefault="00E84525" w:rsidP="00BA577D">
      <w:pPr>
        <w:spacing w:after="240"/>
        <w:rPr>
          <w:lang w:eastAsia="en-AU"/>
        </w:rPr>
      </w:pPr>
      <w:r w:rsidRPr="003C7A24">
        <w:rPr>
          <w:lang w:eastAsia="en-AU"/>
        </w:rPr>
        <w:t>HSRAC is seeking additional stakeholder feedback on these two options before agreeing on a preferred option to recommend to Australian and New Zealand Food Regulation</w:t>
      </w:r>
      <w:r w:rsidR="005938E2" w:rsidRPr="003C7A24">
        <w:rPr>
          <w:lang w:eastAsia="en-AU"/>
        </w:rPr>
        <w:t xml:space="preserve"> Ministers for implementation.</w:t>
      </w:r>
    </w:p>
    <w:p w14:paraId="507DDE9E" w14:textId="4D488847" w:rsidR="001258E3" w:rsidRPr="003C7A24" w:rsidRDefault="00FC40D0" w:rsidP="00BA577D">
      <w:pPr>
        <w:spacing w:after="240"/>
        <w:rPr>
          <w:lang w:eastAsia="en-AU"/>
        </w:rPr>
      </w:pPr>
      <w:r w:rsidRPr="003C7A24">
        <w:rPr>
          <w:lang w:eastAsia="en-AU"/>
        </w:rPr>
        <w:t>From these consultations</w:t>
      </w:r>
      <w:r w:rsidR="001258E3" w:rsidRPr="003C7A24">
        <w:rPr>
          <w:lang w:eastAsia="en-AU"/>
        </w:rPr>
        <w:t xml:space="preserve"> HSRAC is </w:t>
      </w:r>
      <w:r w:rsidRPr="003C7A24">
        <w:rPr>
          <w:lang w:eastAsia="en-AU"/>
        </w:rPr>
        <w:t xml:space="preserve">specifically </w:t>
      </w:r>
      <w:r w:rsidR="001258E3" w:rsidRPr="003C7A24">
        <w:rPr>
          <w:lang w:eastAsia="en-AU"/>
        </w:rPr>
        <w:t xml:space="preserve">looking </w:t>
      </w:r>
      <w:r w:rsidRPr="003C7A24">
        <w:rPr>
          <w:lang w:eastAsia="en-AU"/>
        </w:rPr>
        <w:t>to answer</w:t>
      </w:r>
      <w:r w:rsidR="001258E3" w:rsidRPr="003C7A24">
        <w:rPr>
          <w:lang w:eastAsia="en-AU"/>
        </w:rPr>
        <w:t xml:space="preserve"> the following key questions:</w:t>
      </w:r>
    </w:p>
    <w:p w14:paraId="364D66DE"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Which option better aligns with the objectives of the HSR system and dietary guidelines?</w:t>
      </w:r>
    </w:p>
    <w:p w14:paraId="5270145C"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Is either option an acceptable resolution of the ‘as prepared’ issue?</w:t>
      </w:r>
    </w:p>
    <w:p w14:paraId="30C9F2BA"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Is either option robust enough to withstand significant scrutiny?</w:t>
      </w:r>
    </w:p>
    <w:p w14:paraId="4E719339"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Which option would provide greater clarity and certainty for industry?</w:t>
      </w:r>
    </w:p>
    <w:p w14:paraId="7629E0BF"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Which option would improve trust in and credibility of the system for consumers and public health and consumer organisations?</w:t>
      </w:r>
    </w:p>
    <w:p w14:paraId="3FA006EF" w14:textId="77777777"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Which option would better minimise ambiguities in and potential for misinterpretation or misapplication of HSR system guidance?</w:t>
      </w:r>
    </w:p>
    <w:p w14:paraId="7936C8ED" w14:textId="1FED9A22" w:rsidR="001258E3" w:rsidRPr="003C7A24" w:rsidRDefault="001258E3" w:rsidP="001258E3">
      <w:pPr>
        <w:pStyle w:val="ListParagraph"/>
        <w:numPr>
          <w:ilvl w:val="0"/>
          <w:numId w:val="42"/>
        </w:numPr>
        <w:spacing w:after="240"/>
        <w:ind w:left="351" w:hanging="357"/>
        <w:contextualSpacing w:val="0"/>
        <w:rPr>
          <w:color w:val="000000" w:themeColor="text1"/>
        </w:rPr>
      </w:pPr>
      <w:r w:rsidRPr="003C7A24">
        <w:rPr>
          <w:color w:val="000000" w:themeColor="text1"/>
        </w:rPr>
        <w:t>Are the proposed implementation timeframes reasonable and appropriate?</w:t>
      </w:r>
    </w:p>
    <w:p w14:paraId="490B76CB" w14:textId="77777777" w:rsidR="00C17831" w:rsidRDefault="00C17831">
      <w:pPr>
        <w:rPr>
          <w:lang w:eastAsia="en-AU"/>
        </w:rPr>
      </w:pPr>
      <w:r>
        <w:rPr>
          <w:lang w:eastAsia="en-AU"/>
        </w:rPr>
        <w:br w:type="page"/>
      </w:r>
    </w:p>
    <w:p w14:paraId="30E03B16" w14:textId="77777777" w:rsidR="00563878" w:rsidRDefault="00C0781E" w:rsidP="00250896">
      <w:pPr>
        <w:pStyle w:val="Heading1"/>
      </w:pPr>
      <w:bookmarkStart w:id="3" w:name="_Toc511309261"/>
      <w:r>
        <w:lastRenderedPageBreak/>
        <w:t>Introduction</w:t>
      </w:r>
      <w:bookmarkEnd w:id="2"/>
      <w:bookmarkEnd w:id="3"/>
    </w:p>
    <w:p w14:paraId="25477AAF" w14:textId="77777777" w:rsidR="009A5D87" w:rsidRDefault="009A5D87" w:rsidP="00700ED2">
      <w:pPr>
        <w:spacing w:after="240"/>
        <w:rPr>
          <w:lang w:eastAsia="en-AU"/>
        </w:rPr>
      </w:pPr>
      <w:r w:rsidRPr="00A21C14">
        <w:rPr>
          <w:lang w:eastAsia="en-AU"/>
        </w:rPr>
        <w:t xml:space="preserve">The </w:t>
      </w:r>
      <w:r w:rsidRPr="009A11CF">
        <w:rPr>
          <w:i/>
          <w:lang w:eastAsia="en-AU"/>
        </w:rPr>
        <w:t xml:space="preserve">Guide for Industry to the </w:t>
      </w:r>
      <w:r>
        <w:rPr>
          <w:i/>
          <w:lang w:eastAsia="en-AU"/>
        </w:rPr>
        <w:t>Health Star Rating</w:t>
      </w:r>
      <w:r w:rsidRPr="009A11CF">
        <w:rPr>
          <w:i/>
          <w:lang w:eastAsia="en-AU"/>
        </w:rPr>
        <w:t xml:space="preserve"> Calculator</w:t>
      </w:r>
      <w:r>
        <w:rPr>
          <w:lang w:eastAsia="en-AU"/>
        </w:rPr>
        <w:t xml:space="preserve"> (the Guide for Industry)</w:t>
      </w:r>
      <w:r w:rsidRPr="00A21C14">
        <w:rPr>
          <w:lang w:eastAsia="en-AU"/>
        </w:rPr>
        <w:t xml:space="preserve"> includes provisions for products</w:t>
      </w:r>
      <w:r>
        <w:rPr>
          <w:lang w:eastAsia="en-AU"/>
        </w:rPr>
        <w:t xml:space="preserve"> that must be prepared prior to consumption, known as the form of the food (or ‘as prepared’) rules. To qualify, instructions for food preparation must be provided on product labels. </w:t>
      </w:r>
    </w:p>
    <w:p w14:paraId="423A4E30" w14:textId="34A95FF2" w:rsidR="009A5D87" w:rsidRDefault="009A5D87" w:rsidP="00700ED2">
      <w:pPr>
        <w:spacing w:after="240"/>
      </w:pPr>
      <w:r w:rsidRPr="000C6CFD">
        <w:rPr>
          <w:lang w:eastAsia="en-AU"/>
        </w:rPr>
        <w:t xml:space="preserve">The intention of the current ‘as prepared’ rules is to permit an appropriate comparison between final products as they are consumed, as </w:t>
      </w:r>
      <w:r w:rsidR="00D746DF">
        <w:rPr>
          <w:lang w:eastAsia="en-AU"/>
        </w:rPr>
        <w:t xml:space="preserve">intended by the </w:t>
      </w:r>
      <w:r w:rsidRPr="000C6CFD">
        <w:rPr>
          <w:lang w:eastAsia="en-AU"/>
        </w:rPr>
        <w:t xml:space="preserve">manufacturer/retailer </w:t>
      </w:r>
      <w:r w:rsidR="00D746DF">
        <w:rPr>
          <w:lang w:eastAsia="en-AU"/>
        </w:rPr>
        <w:t xml:space="preserve">through </w:t>
      </w:r>
      <w:r w:rsidRPr="000C6CFD">
        <w:rPr>
          <w:lang w:eastAsia="en-AU"/>
        </w:rPr>
        <w:t>directions on-pack. This may not, however, take into account the way that consumers are actually preparing and consuming such foods, with many products able to be prepared in various ways and with the possible addition of a wide range of other ingredients.</w:t>
      </w:r>
      <w:r w:rsidRPr="000C6CFD">
        <w:t xml:space="preserve"> </w:t>
      </w:r>
      <w:r w:rsidRPr="000C6CFD">
        <w:rPr>
          <w:lang w:eastAsia="en-AU"/>
        </w:rPr>
        <w:t>As a result, there is some concern that consumers may not appropriately and accurately consider the nutritional value of a product with a HSR ‘as prepared’ when the product is not prepared according to the on-pack instructions.</w:t>
      </w:r>
    </w:p>
    <w:p w14:paraId="51D64D45" w14:textId="77777777" w:rsidR="006B02FF" w:rsidRDefault="0094404F" w:rsidP="00700ED2">
      <w:pPr>
        <w:spacing w:after="240"/>
        <w:rPr>
          <w:color w:val="222222"/>
          <w:lang w:eastAsia="en-AU"/>
        </w:rPr>
      </w:pPr>
      <w:r>
        <w:rPr>
          <w:lang w:eastAsia="en-AU"/>
        </w:rPr>
        <w:t>Th</w:t>
      </w:r>
      <w:r w:rsidR="007024DC">
        <w:rPr>
          <w:color w:val="222222"/>
          <w:lang w:eastAsia="en-AU"/>
        </w:rPr>
        <w:t>e</w:t>
      </w:r>
      <w:r w:rsidR="007024DC" w:rsidRPr="00FD7D50">
        <w:rPr>
          <w:color w:val="222222"/>
          <w:lang w:eastAsia="en-AU"/>
        </w:rPr>
        <w:t xml:space="preserve"> </w:t>
      </w:r>
      <w:r w:rsidR="009A5D87">
        <w:rPr>
          <w:color w:val="222222"/>
          <w:lang w:eastAsia="en-AU"/>
        </w:rPr>
        <w:t>HSRAC</w:t>
      </w:r>
      <w:r w:rsidR="007024DC">
        <w:rPr>
          <w:color w:val="222222"/>
          <w:lang w:eastAsia="en-AU"/>
        </w:rPr>
        <w:t xml:space="preserve">, </w:t>
      </w:r>
      <w:r w:rsidR="007024DC" w:rsidRPr="0026527E">
        <w:t>responsible for overseeing the implementation</w:t>
      </w:r>
      <w:r w:rsidR="007024DC">
        <w:t>, monitoring</w:t>
      </w:r>
      <w:r w:rsidR="007024DC" w:rsidRPr="0026527E">
        <w:t xml:space="preserve"> and evaluation</w:t>
      </w:r>
      <w:r w:rsidR="007024DC">
        <w:t xml:space="preserve"> of the HSR system,</w:t>
      </w:r>
      <w:r w:rsidR="007024DC">
        <w:rPr>
          <w:color w:val="222222"/>
          <w:lang w:eastAsia="en-AU"/>
        </w:rPr>
        <w:t xml:space="preserve"> is </w:t>
      </w:r>
      <w:r w:rsidR="00251DA8">
        <w:rPr>
          <w:color w:val="222222"/>
          <w:lang w:eastAsia="en-AU"/>
        </w:rPr>
        <w:t xml:space="preserve">currently </w:t>
      </w:r>
      <w:r w:rsidR="007024DC">
        <w:rPr>
          <w:color w:val="222222"/>
          <w:lang w:eastAsia="en-AU"/>
        </w:rPr>
        <w:t xml:space="preserve">reappraising the ‘as prepared’ </w:t>
      </w:r>
      <w:r w:rsidR="007024DC" w:rsidRPr="00FD7D50">
        <w:rPr>
          <w:color w:val="222222"/>
          <w:lang w:eastAsia="en-AU"/>
        </w:rPr>
        <w:t>rules</w:t>
      </w:r>
      <w:r w:rsidR="00190677">
        <w:rPr>
          <w:color w:val="222222"/>
          <w:lang w:eastAsia="en-AU"/>
        </w:rPr>
        <w:t xml:space="preserve">. </w:t>
      </w:r>
      <w:r w:rsidR="00190677" w:rsidRPr="000C6CFD">
        <w:rPr>
          <w:color w:val="222222"/>
          <w:lang w:eastAsia="en-AU"/>
        </w:rPr>
        <w:t>Members agreed that both the technical and consumer perception aspects of this issue need to be considered, particularly in the context of trust in and credibility of the HSR system.</w:t>
      </w:r>
    </w:p>
    <w:p w14:paraId="255F34FF" w14:textId="5760DCAD" w:rsidR="009453EA" w:rsidRPr="002770F5" w:rsidRDefault="006B02FF" w:rsidP="002770F5">
      <w:pPr>
        <w:spacing w:after="240"/>
        <w:contextualSpacing/>
        <w:rPr>
          <w:i/>
          <w:color w:val="222222"/>
          <w:lang w:eastAsia="en-AU"/>
        </w:rPr>
      </w:pPr>
      <w:r w:rsidRPr="006B02FF">
        <w:rPr>
          <w:i/>
          <w:color w:val="222222"/>
          <w:lang w:eastAsia="en-AU"/>
        </w:rPr>
        <w:t>This paper uses the Australian Dietary Guidelines</w:t>
      </w:r>
      <w:r w:rsidR="00962657">
        <w:rPr>
          <w:i/>
          <w:color w:val="222222"/>
          <w:lang w:eastAsia="en-AU"/>
        </w:rPr>
        <w:t xml:space="preserve"> (ADGs)</w:t>
      </w:r>
      <w:r w:rsidRPr="006B02FF">
        <w:rPr>
          <w:i/>
          <w:color w:val="222222"/>
          <w:lang w:eastAsia="en-AU"/>
        </w:rPr>
        <w:t xml:space="preserve"> classification of ‘core’ and ‘discretionary’ foods to </w:t>
      </w:r>
      <w:r w:rsidR="006B5C1D">
        <w:rPr>
          <w:i/>
          <w:color w:val="222222"/>
          <w:lang w:eastAsia="en-AU"/>
        </w:rPr>
        <w:t xml:space="preserve">describe products and </w:t>
      </w:r>
      <w:r w:rsidRPr="006B02FF">
        <w:rPr>
          <w:i/>
          <w:color w:val="222222"/>
          <w:lang w:eastAsia="en-AU"/>
        </w:rPr>
        <w:t xml:space="preserve">assess alignment with dietary guidelines in both Australia and New Zealand. </w:t>
      </w:r>
      <w:r w:rsidR="00864DF5">
        <w:rPr>
          <w:i/>
          <w:color w:val="222222"/>
          <w:lang w:eastAsia="en-AU"/>
        </w:rPr>
        <w:t>F</w:t>
      </w:r>
      <w:r w:rsidRPr="006B02FF">
        <w:rPr>
          <w:i/>
          <w:color w:val="222222"/>
          <w:lang w:eastAsia="en-AU"/>
        </w:rPr>
        <w:t>oods and drinks recommended to be consumed daily from the Four (New Zealand) or Five (Australia) Food Groups</w:t>
      </w:r>
      <w:r w:rsidR="00864DF5">
        <w:rPr>
          <w:i/>
          <w:color w:val="222222"/>
          <w:lang w:eastAsia="en-AU"/>
        </w:rPr>
        <w:t xml:space="preserve"> are referred to here as core</w:t>
      </w:r>
      <w:r w:rsidRPr="006B02FF">
        <w:rPr>
          <w:i/>
          <w:color w:val="222222"/>
          <w:lang w:eastAsia="en-AU"/>
        </w:rPr>
        <w:t>. Discretionary refers to foods and drinks recommended to be limited because they are high in saturated fat, added sugar</w:t>
      </w:r>
      <w:r w:rsidR="008935ED">
        <w:rPr>
          <w:i/>
          <w:color w:val="222222"/>
          <w:lang w:eastAsia="en-AU"/>
        </w:rPr>
        <w:t>s</w:t>
      </w:r>
      <w:r w:rsidRPr="006B02FF">
        <w:rPr>
          <w:i/>
          <w:color w:val="222222"/>
          <w:lang w:eastAsia="en-AU"/>
        </w:rPr>
        <w:t xml:space="preserve"> and</w:t>
      </w:r>
      <w:r w:rsidR="008935ED">
        <w:rPr>
          <w:i/>
          <w:color w:val="222222"/>
          <w:lang w:eastAsia="en-AU"/>
        </w:rPr>
        <w:t>/or</w:t>
      </w:r>
      <w:r w:rsidRPr="006B02FF">
        <w:rPr>
          <w:i/>
          <w:color w:val="222222"/>
          <w:lang w:eastAsia="en-AU"/>
        </w:rPr>
        <w:t xml:space="preserve"> added salt.</w:t>
      </w:r>
    </w:p>
    <w:p w14:paraId="5080E7D0" w14:textId="77777777" w:rsidR="00DD457D" w:rsidRDefault="00DD457D" w:rsidP="00B0768E">
      <w:pPr>
        <w:pStyle w:val="Heading2"/>
      </w:pPr>
      <w:bookmarkStart w:id="4" w:name="_Hlk509244430"/>
      <w:bookmarkStart w:id="5" w:name="_Toc511309262"/>
      <w:r>
        <w:t xml:space="preserve">The </w:t>
      </w:r>
      <w:r w:rsidR="009A5D87">
        <w:t>‘</w:t>
      </w:r>
      <w:r>
        <w:t>as prepared</w:t>
      </w:r>
      <w:r w:rsidR="009A5D87">
        <w:t>’</w:t>
      </w:r>
      <w:r>
        <w:t xml:space="preserve"> rules</w:t>
      </w:r>
      <w:bookmarkEnd w:id="4"/>
      <w:bookmarkEnd w:id="5"/>
    </w:p>
    <w:p w14:paraId="7C49F3D8" w14:textId="7AD53D94" w:rsidR="009A5D87" w:rsidRDefault="009A5D87" w:rsidP="00700ED2">
      <w:pPr>
        <w:spacing w:after="240"/>
        <w:rPr>
          <w:lang w:eastAsia="en-AU"/>
        </w:rPr>
      </w:pPr>
      <w:r>
        <w:rPr>
          <w:lang w:eastAsia="en-AU"/>
        </w:rPr>
        <w:t>In the Guide for Industry</w:t>
      </w:r>
      <w:r>
        <w:rPr>
          <w:rStyle w:val="FootnoteReference"/>
          <w:lang w:eastAsia="en-AU"/>
        </w:rPr>
        <w:footnoteReference w:id="1"/>
      </w:r>
      <w:r>
        <w:rPr>
          <w:lang w:eastAsia="en-AU"/>
        </w:rPr>
        <w:t>, step 2 of the process to calculate a HSR considers the form of the food, and hence the nutrient content values, that are used to determine a HSR. This is known as the ‘as prepared’ rules. This HSR guidance information was deriv</w:t>
      </w:r>
      <w:r w:rsidRPr="006E4495">
        <w:rPr>
          <w:lang w:eastAsia="en-AU"/>
        </w:rPr>
        <w:t>ed</w:t>
      </w:r>
      <w:r>
        <w:rPr>
          <w:lang w:eastAsia="en-AU"/>
        </w:rPr>
        <w:t xml:space="preserve"> from the</w:t>
      </w:r>
      <w:r w:rsidR="00306AA3">
        <w:rPr>
          <w:lang w:eastAsia="en-AU"/>
        </w:rPr>
        <w:t xml:space="preserve"> Food Standards Code</w:t>
      </w:r>
      <w:r>
        <w:rPr>
          <w:lang w:eastAsia="en-AU"/>
        </w:rPr>
        <w:t xml:space="preserve"> </w:t>
      </w:r>
      <w:r w:rsidR="00306AA3">
        <w:rPr>
          <w:lang w:eastAsia="en-AU"/>
        </w:rPr>
        <w:t>(</w:t>
      </w:r>
      <w:r>
        <w:rPr>
          <w:lang w:eastAsia="en-AU"/>
        </w:rPr>
        <w:t>FSC</w:t>
      </w:r>
      <w:r w:rsidR="00306AA3">
        <w:rPr>
          <w:lang w:eastAsia="en-AU"/>
        </w:rPr>
        <w:t>)</w:t>
      </w:r>
      <w:r>
        <w:rPr>
          <w:lang w:eastAsia="en-AU"/>
        </w:rPr>
        <w:t xml:space="preserve"> Standard 1.2.7 - Nutrition, health &amp; relation claims, clause 7, which prescribes the form of the food applicable for making nutrition claims. Such foods must also display the Nutrition Information Panel (NIP) according to FSC Standard 1.2.8 – Nutrition information r</w:t>
      </w:r>
      <w:r w:rsidR="00323448">
        <w:rPr>
          <w:lang w:eastAsia="en-AU"/>
        </w:rPr>
        <w:t>equirements. Refer to Appendices 1 and 2</w:t>
      </w:r>
      <w:r>
        <w:rPr>
          <w:lang w:eastAsia="en-AU"/>
        </w:rPr>
        <w:t xml:space="preserve"> for </w:t>
      </w:r>
      <w:r w:rsidRPr="00DE3F7A">
        <w:rPr>
          <w:lang w:eastAsia="en-AU"/>
        </w:rPr>
        <w:t xml:space="preserve">HSR and FSC guidance </w:t>
      </w:r>
      <w:r>
        <w:rPr>
          <w:lang w:eastAsia="en-AU"/>
        </w:rPr>
        <w:t xml:space="preserve">on ‘as prepared’ </w:t>
      </w:r>
      <w:r w:rsidR="00556923">
        <w:rPr>
          <w:lang w:eastAsia="en-AU"/>
        </w:rPr>
        <w:t>products</w:t>
      </w:r>
      <w:r>
        <w:rPr>
          <w:lang w:eastAsia="en-AU"/>
        </w:rPr>
        <w:t>.</w:t>
      </w:r>
    </w:p>
    <w:p w14:paraId="2205EC52" w14:textId="49F12182" w:rsidR="008C4347" w:rsidRDefault="009A5D87" w:rsidP="00700ED2">
      <w:pPr>
        <w:spacing w:after="240"/>
      </w:pPr>
      <w:r>
        <w:rPr>
          <w:lang w:eastAsia="en-AU"/>
        </w:rPr>
        <w:t>It is common and longstanding practice for manufacturers/retailers to display recipes or other directions for use on the product label</w:t>
      </w:r>
      <w:r w:rsidR="00730C10">
        <w:rPr>
          <w:lang w:eastAsia="en-AU"/>
        </w:rPr>
        <w:t xml:space="preserve">. </w:t>
      </w:r>
      <w:r>
        <w:rPr>
          <w:lang w:eastAsia="en-AU"/>
        </w:rPr>
        <w:t>The HSR</w:t>
      </w:r>
      <w:r w:rsidR="004D778A">
        <w:rPr>
          <w:lang w:eastAsia="en-AU"/>
        </w:rPr>
        <w:t xml:space="preserve"> ‘as prepared’</w:t>
      </w:r>
      <w:r>
        <w:rPr>
          <w:lang w:eastAsia="en-AU"/>
        </w:rPr>
        <w:t xml:space="preserve"> </w:t>
      </w:r>
      <w:r w:rsidRPr="00A21C14">
        <w:rPr>
          <w:lang w:eastAsia="en-AU"/>
        </w:rPr>
        <w:t>rules</w:t>
      </w:r>
      <w:r>
        <w:rPr>
          <w:lang w:eastAsia="en-AU"/>
        </w:rPr>
        <w:t xml:space="preserve"> </w:t>
      </w:r>
      <w:r w:rsidR="004D778A">
        <w:rPr>
          <w:lang w:eastAsia="en-AU"/>
        </w:rPr>
        <w:t>currently</w:t>
      </w:r>
      <w:r w:rsidRPr="00A21C14">
        <w:rPr>
          <w:lang w:eastAsia="en-AU"/>
        </w:rPr>
        <w:t xml:space="preserve"> </w:t>
      </w:r>
      <w:r>
        <w:rPr>
          <w:lang w:eastAsia="en-AU"/>
        </w:rPr>
        <w:t>apply</w:t>
      </w:r>
      <w:r w:rsidR="00306AA3">
        <w:rPr>
          <w:lang w:eastAsia="en-AU"/>
        </w:rPr>
        <w:t xml:space="preserve"> </w:t>
      </w:r>
      <w:r w:rsidR="00306AA3" w:rsidRPr="00D10740">
        <w:rPr>
          <w:lang w:eastAsia="en-AU"/>
        </w:rPr>
        <w:t>only</w:t>
      </w:r>
      <w:r>
        <w:rPr>
          <w:lang w:eastAsia="en-AU"/>
        </w:rPr>
        <w:t xml:space="preserve"> if the food is intended to be prepared </w:t>
      </w:r>
      <w:r w:rsidR="00D10740">
        <w:rPr>
          <w:lang w:eastAsia="en-AU"/>
        </w:rPr>
        <w:t xml:space="preserve">according to such directions prior to </w:t>
      </w:r>
      <w:r>
        <w:rPr>
          <w:lang w:eastAsia="en-AU"/>
        </w:rPr>
        <w:t>consum</w:t>
      </w:r>
      <w:r w:rsidR="00D10740">
        <w:rPr>
          <w:lang w:eastAsia="en-AU"/>
        </w:rPr>
        <w:t>ption</w:t>
      </w:r>
      <w:r w:rsidRPr="00A21C14">
        <w:rPr>
          <w:lang w:eastAsia="en-AU"/>
        </w:rPr>
        <w:t xml:space="preserve">. </w:t>
      </w:r>
      <w:r w:rsidR="0016542F">
        <w:rPr>
          <w:lang w:eastAsia="en-AU"/>
        </w:rPr>
        <w:t>This</w:t>
      </w:r>
      <w:r w:rsidRPr="00A21C14">
        <w:rPr>
          <w:lang w:eastAsia="en-AU"/>
        </w:rPr>
        <w:t xml:space="preserve"> cover</w:t>
      </w:r>
      <w:r w:rsidR="0016542F">
        <w:rPr>
          <w:lang w:eastAsia="en-AU"/>
        </w:rPr>
        <w:t>s</w:t>
      </w:r>
      <w:r w:rsidRPr="00A21C14">
        <w:rPr>
          <w:lang w:eastAsia="en-AU"/>
        </w:rPr>
        <w:t xml:space="preserve"> </w:t>
      </w:r>
      <w:r w:rsidR="004D778A">
        <w:rPr>
          <w:lang w:eastAsia="en-AU"/>
        </w:rPr>
        <w:t>products</w:t>
      </w:r>
      <w:r>
        <w:rPr>
          <w:lang w:eastAsia="en-AU"/>
        </w:rPr>
        <w:t xml:space="preserve"> </w:t>
      </w:r>
      <w:r w:rsidRPr="00FD7D50">
        <w:rPr>
          <w:color w:val="222222"/>
          <w:lang w:eastAsia="en-AU"/>
        </w:rPr>
        <w:t>such as powdered soup, sauce mixes or drink flavourings</w:t>
      </w:r>
      <w:r w:rsidRPr="00A21C14">
        <w:rPr>
          <w:lang w:eastAsia="en-AU"/>
        </w:rPr>
        <w:t xml:space="preserve"> </w:t>
      </w:r>
      <w:r w:rsidR="00D10740">
        <w:rPr>
          <w:lang w:eastAsia="en-AU"/>
        </w:rPr>
        <w:t>but</w:t>
      </w:r>
      <w:r w:rsidR="00864DF5">
        <w:rPr>
          <w:lang w:eastAsia="en-AU"/>
        </w:rPr>
        <w:t xml:space="preserve"> not </w:t>
      </w:r>
      <w:r w:rsidR="004D778A">
        <w:rPr>
          <w:lang w:eastAsia="en-AU"/>
        </w:rPr>
        <w:t>foods</w:t>
      </w:r>
      <w:r w:rsidR="00864DF5">
        <w:rPr>
          <w:lang w:eastAsia="en-AU"/>
        </w:rPr>
        <w:t xml:space="preserve"> </w:t>
      </w:r>
      <w:r w:rsidR="00D10740">
        <w:rPr>
          <w:lang w:eastAsia="en-AU"/>
        </w:rPr>
        <w:t>which require preparation</w:t>
      </w:r>
      <w:r w:rsidR="004D778A">
        <w:rPr>
          <w:lang w:eastAsia="en-AU"/>
        </w:rPr>
        <w:t>/cooking</w:t>
      </w:r>
      <w:r w:rsidR="00D10740">
        <w:rPr>
          <w:lang w:eastAsia="en-AU"/>
        </w:rPr>
        <w:t xml:space="preserve"> </w:t>
      </w:r>
      <w:r w:rsidR="003158B7">
        <w:rPr>
          <w:lang w:eastAsia="en-AU"/>
        </w:rPr>
        <w:t>without</w:t>
      </w:r>
      <w:r w:rsidR="00D10740">
        <w:rPr>
          <w:lang w:eastAsia="en-AU"/>
        </w:rPr>
        <w:t xml:space="preserve"> the addition or draining of other ingredients, e.g. </w:t>
      </w:r>
      <w:r w:rsidR="00864DF5">
        <w:rPr>
          <w:lang w:eastAsia="en-AU"/>
        </w:rPr>
        <w:t>bacon, frozen pizzas and ready meals</w:t>
      </w:r>
      <w:r w:rsidRPr="00A21C14">
        <w:rPr>
          <w:lang w:eastAsia="en-AU"/>
        </w:rPr>
        <w:t>. The</w:t>
      </w:r>
      <w:r>
        <w:rPr>
          <w:lang w:eastAsia="en-AU"/>
        </w:rPr>
        <w:t xml:space="preserve"> ‘as prepared’</w:t>
      </w:r>
      <w:r w:rsidRPr="00A21C14">
        <w:rPr>
          <w:lang w:eastAsia="en-AU"/>
        </w:rPr>
        <w:t xml:space="preserve"> rules a</w:t>
      </w:r>
      <w:r w:rsidRPr="00A21C14">
        <w:t xml:space="preserve">llow </w:t>
      </w:r>
      <w:r w:rsidR="0016542F">
        <w:t>eligible</w:t>
      </w:r>
      <w:r w:rsidRPr="00A21C14">
        <w:t xml:space="preserve"> products to calculate their HSR based on 100g</w:t>
      </w:r>
      <w:r>
        <w:t>/</w:t>
      </w:r>
      <w:r w:rsidRPr="00A21C14">
        <w:t>m</w:t>
      </w:r>
      <w:r>
        <w:t>L</w:t>
      </w:r>
      <w:r w:rsidRPr="00A21C14">
        <w:t xml:space="preserve"> of the product prepared according to the instructions on the product </w:t>
      </w:r>
      <w:r>
        <w:t>packaging</w:t>
      </w:r>
      <w:r w:rsidRPr="00A21C14">
        <w:t>.</w:t>
      </w:r>
      <w:r w:rsidR="008C4347">
        <w:t xml:space="preserve"> </w:t>
      </w:r>
      <w:r w:rsidR="008C4347">
        <w:lastRenderedPageBreak/>
        <w:t>Appendix 3</w:t>
      </w:r>
      <w:r w:rsidR="008C4347" w:rsidRPr="008C4347">
        <w:t xml:space="preserve"> </w:t>
      </w:r>
      <w:r w:rsidR="008C4347">
        <w:t>provides</w:t>
      </w:r>
      <w:r w:rsidR="008C4347" w:rsidRPr="008C4347">
        <w:t xml:space="preserve"> </w:t>
      </w:r>
      <w:r w:rsidR="008C4347">
        <w:t xml:space="preserve">an overview of how HSRs may change between </w:t>
      </w:r>
      <w:r w:rsidR="008C4347" w:rsidRPr="008C4347">
        <w:t>‘as sold’ and ‘as prepared’ forms of the same food</w:t>
      </w:r>
      <w:r w:rsidR="008C4347">
        <w:t>.</w:t>
      </w:r>
    </w:p>
    <w:p w14:paraId="32DE5FB7" w14:textId="77777777" w:rsidR="001E25F3" w:rsidRPr="00700ED2" w:rsidRDefault="008B123F" w:rsidP="00700ED2">
      <w:pPr>
        <w:spacing w:after="240"/>
        <w:rPr>
          <w:lang w:eastAsia="en-AU"/>
        </w:rPr>
      </w:pPr>
      <w:r>
        <w:rPr>
          <w:lang w:eastAsia="en-AU"/>
        </w:rPr>
        <w:t>The</w:t>
      </w:r>
      <w:r w:rsidR="009A5D87">
        <w:rPr>
          <w:lang w:eastAsia="en-AU"/>
        </w:rPr>
        <w:t xml:space="preserve"> ‘as prepared’ rules,</w:t>
      </w:r>
      <w:r w:rsidR="009A5D87" w:rsidRPr="00A21C14">
        <w:rPr>
          <w:lang w:eastAsia="en-AU"/>
        </w:rPr>
        <w:t xml:space="preserve"> </w:t>
      </w:r>
      <w:r w:rsidR="009A5D87">
        <w:rPr>
          <w:lang w:eastAsia="en-AU"/>
        </w:rPr>
        <w:t>as currently written, mean that a HSR may</w:t>
      </w:r>
      <w:r w:rsidR="009A5D87" w:rsidRPr="00A21C14">
        <w:rPr>
          <w:lang w:eastAsia="en-AU"/>
        </w:rPr>
        <w:t xml:space="preserve"> be altered by the nutritional components of </w:t>
      </w:r>
      <w:r w:rsidR="009A5D87">
        <w:rPr>
          <w:lang w:eastAsia="en-AU"/>
        </w:rPr>
        <w:t>ingredient/s added according to the instructions provided (noting that many products cannot or are not intended to be consumed as sold)</w:t>
      </w:r>
      <w:r w:rsidR="009A5D87" w:rsidRPr="00A21C14">
        <w:rPr>
          <w:lang w:eastAsia="en-AU"/>
        </w:rPr>
        <w:t xml:space="preserve">. For example, the HSR </w:t>
      </w:r>
      <w:r w:rsidR="009A5D87">
        <w:rPr>
          <w:lang w:eastAsia="en-AU"/>
        </w:rPr>
        <w:t>of a recipe mix may</w:t>
      </w:r>
      <w:r w:rsidR="009A5D87" w:rsidRPr="00A21C14">
        <w:rPr>
          <w:lang w:eastAsia="en-AU"/>
        </w:rPr>
        <w:t xml:space="preserve"> be </w:t>
      </w:r>
      <w:r w:rsidR="009A5D87">
        <w:rPr>
          <w:lang w:eastAsia="en-AU"/>
        </w:rPr>
        <w:t>higher</w:t>
      </w:r>
      <w:r w:rsidR="009A5D87" w:rsidRPr="00A21C14">
        <w:rPr>
          <w:lang w:eastAsia="en-AU"/>
        </w:rPr>
        <w:t xml:space="preserve"> when calculated </w:t>
      </w:r>
      <w:r w:rsidR="009A5D87">
        <w:rPr>
          <w:lang w:eastAsia="en-AU"/>
        </w:rPr>
        <w:t>as a final product</w:t>
      </w:r>
      <w:r w:rsidR="009A5D87" w:rsidRPr="00A21C14">
        <w:rPr>
          <w:lang w:eastAsia="en-AU"/>
        </w:rPr>
        <w:t xml:space="preserve"> prepared with </w:t>
      </w:r>
      <w:r w:rsidR="009A5D87">
        <w:rPr>
          <w:lang w:eastAsia="en-AU"/>
        </w:rPr>
        <w:t xml:space="preserve">lean </w:t>
      </w:r>
      <w:r w:rsidR="009A5D87" w:rsidRPr="00A21C14">
        <w:rPr>
          <w:lang w:eastAsia="en-AU"/>
        </w:rPr>
        <w:t>meat and vegetables</w:t>
      </w:r>
      <w:r w:rsidR="009A5D87">
        <w:rPr>
          <w:lang w:eastAsia="en-AU"/>
        </w:rPr>
        <w:t>,</w:t>
      </w:r>
      <w:r w:rsidR="009A5D87" w:rsidRPr="00A21C14">
        <w:rPr>
          <w:lang w:eastAsia="en-AU"/>
        </w:rPr>
        <w:t xml:space="preserve"> </w:t>
      </w:r>
      <w:r w:rsidR="009A5D87">
        <w:rPr>
          <w:lang w:eastAsia="en-AU"/>
        </w:rPr>
        <w:t xml:space="preserve">or powdered drink mixes may receive a higher HSR score when skim milk is added. </w:t>
      </w:r>
      <w:r w:rsidR="009A5D87" w:rsidRPr="004201C5">
        <w:t>In sum</w:t>
      </w:r>
      <w:r w:rsidR="009A5D87">
        <w:t>mary</w:t>
      </w:r>
      <w:r w:rsidR="009A5D87" w:rsidRPr="004201C5">
        <w:t xml:space="preserve">, nutrient profiles and thus </w:t>
      </w:r>
      <w:r w:rsidR="009A5D87">
        <w:t>HSRs</w:t>
      </w:r>
      <w:r w:rsidR="009A5D87" w:rsidRPr="004201C5">
        <w:t xml:space="preserve"> </w:t>
      </w:r>
      <w:r w:rsidR="009A5D87">
        <w:t xml:space="preserve">may </w:t>
      </w:r>
      <w:r w:rsidR="009A5D87" w:rsidRPr="004201C5">
        <w:t xml:space="preserve">improve when products are </w:t>
      </w:r>
      <w:r w:rsidR="009A5D87">
        <w:t>prepared</w:t>
      </w:r>
      <w:r w:rsidR="009A5D87" w:rsidRPr="004201C5">
        <w:t xml:space="preserve"> with additions that contribute positive nutrients such as protein or dilute negative nutrients such as sodium.</w:t>
      </w:r>
    </w:p>
    <w:p w14:paraId="180ACEF1" w14:textId="668A91F3" w:rsidR="009A5D87" w:rsidRDefault="008B123F" w:rsidP="00700ED2">
      <w:pPr>
        <w:spacing w:after="240"/>
        <w:rPr>
          <w:color w:val="222222"/>
          <w:lang w:eastAsia="en-AU"/>
        </w:rPr>
      </w:pPr>
      <w:r w:rsidRPr="000C6CFD">
        <w:rPr>
          <w:color w:val="222222"/>
          <w:lang w:eastAsia="en-AU"/>
        </w:rPr>
        <w:t>However,</w:t>
      </w:r>
      <w:r w:rsidR="00730C10">
        <w:rPr>
          <w:color w:val="222222"/>
          <w:lang w:eastAsia="en-AU"/>
        </w:rPr>
        <w:t xml:space="preserve"> </w:t>
      </w:r>
      <w:r w:rsidR="003158B7">
        <w:rPr>
          <w:color w:val="222222"/>
          <w:lang w:eastAsia="en-AU"/>
        </w:rPr>
        <w:t>many</w:t>
      </w:r>
      <w:r w:rsidRPr="000C6CFD">
        <w:rPr>
          <w:color w:val="222222"/>
          <w:lang w:eastAsia="en-AU"/>
        </w:rPr>
        <w:t xml:space="preserve"> p</w:t>
      </w:r>
      <w:r w:rsidR="001E25F3" w:rsidRPr="000C6CFD">
        <w:rPr>
          <w:color w:val="222222"/>
          <w:lang w:eastAsia="en-AU"/>
        </w:rPr>
        <w:t>roducts may</w:t>
      </w:r>
      <w:r w:rsidR="009C026D" w:rsidRPr="000C6CFD">
        <w:rPr>
          <w:color w:val="222222"/>
          <w:lang w:eastAsia="en-AU"/>
        </w:rPr>
        <w:t xml:space="preserve"> be prepared in multiple ways</w:t>
      </w:r>
      <w:r w:rsidR="001E25F3" w:rsidRPr="000C6CFD">
        <w:rPr>
          <w:color w:val="222222"/>
          <w:lang w:eastAsia="en-AU"/>
        </w:rPr>
        <w:t xml:space="preserve"> despite specific directions or instructions for preparation. As a consequence</w:t>
      </w:r>
      <w:r w:rsidR="009A5D87" w:rsidRPr="000C6CFD">
        <w:rPr>
          <w:color w:val="222222"/>
          <w:lang w:eastAsia="en-AU"/>
        </w:rPr>
        <w:t>,</w:t>
      </w:r>
      <w:r w:rsidR="001E25F3" w:rsidRPr="000C6CFD">
        <w:rPr>
          <w:color w:val="222222"/>
          <w:lang w:eastAsia="en-AU"/>
        </w:rPr>
        <w:t xml:space="preserve"> the HSR</w:t>
      </w:r>
      <w:r w:rsidR="009A5D87" w:rsidRPr="000C6CFD">
        <w:rPr>
          <w:color w:val="222222"/>
          <w:lang w:eastAsia="en-AU"/>
        </w:rPr>
        <w:t xml:space="preserve"> </w:t>
      </w:r>
      <w:r w:rsidR="001E25F3" w:rsidRPr="000C6CFD">
        <w:rPr>
          <w:color w:val="222222"/>
          <w:lang w:eastAsia="en-AU"/>
        </w:rPr>
        <w:t xml:space="preserve">may not </w:t>
      </w:r>
      <w:r w:rsidR="007471B6">
        <w:rPr>
          <w:color w:val="222222"/>
          <w:lang w:eastAsia="en-AU"/>
        </w:rPr>
        <w:t xml:space="preserve">always </w:t>
      </w:r>
      <w:r w:rsidR="001E25F3" w:rsidRPr="000C6CFD">
        <w:rPr>
          <w:color w:val="222222"/>
          <w:lang w:eastAsia="en-AU"/>
        </w:rPr>
        <w:t xml:space="preserve">be representative of the way that the product is being prepared </w:t>
      </w:r>
      <w:r w:rsidR="009A5D87" w:rsidRPr="000C6CFD">
        <w:rPr>
          <w:color w:val="222222"/>
          <w:lang w:eastAsia="en-AU"/>
        </w:rPr>
        <w:t>and consumers may not be able to appropriately compare at the point of purchase between products as consumed.</w:t>
      </w:r>
    </w:p>
    <w:p w14:paraId="71B1B6C2" w14:textId="77777777" w:rsidR="00FD39EB" w:rsidRDefault="009A5D87" w:rsidP="00700ED2">
      <w:pPr>
        <w:spacing w:after="240"/>
        <w:rPr>
          <w:lang w:eastAsia="en-AU"/>
        </w:rPr>
      </w:pPr>
      <w:r w:rsidRPr="00A21C14">
        <w:t>The ‘as prepared’ provision</w:t>
      </w:r>
      <w:r>
        <w:t>s</w:t>
      </w:r>
      <w:r w:rsidRPr="00A21C14">
        <w:t xml:space="preserve"> </w:t>
      </w:r>
      <w:r>
        <w:t>have</w:t>
      </w:r>
      <w:r w:rsidRPr="00A21C14">
        <w:t xml:space="preserve"> been raised by </w:t>
      </w:r>
      <w:r>
        <w:t xml:space="preserve">a range of stakeholders who seek clarity around the intention and application of HSR system guidance on ‘as prepared’ products. </w:t>
      </w:r>
      <w:r w:rsidRPr="00A21C14">
        <w:t xml:space="preserve">There has </w:t>
      </w:r>
      <w:r>
        <w:t xml:space="preserve">also </w:t>
      </w:r>
      <w:r w:rsidRPr="00A21C14">
        <w:t xml:space="preserve">been criticism in </w:t>
      </w:r>
      <w:r>
        <w:t xml:space="preserve">the </w:t>
      </w:r>
      <w:r w:rsidRPr="00A21C14">
        <w:t>m</w:t>
      </w:r>
      <w:r>
        <w:t xml:space="preserve">edia and on social media of the HSR system, </w:t>
      </w:r>
      <w:r>
        <w:rPr>
          <w:lang w:eastAsia="en-AU"/>
        </w:rPr>
        <w:t>claiming that the ‘as prepared’</w:t>
      </w:r>
      <w:r w:rsidRPr="00A21C14">
        <w:rPr>
          <w:lang w:eastAsia="en-AU"/>
        </w:rPr>
        <w:t xml:space="preserve"> </w:t>
      </w:r>
      <w:r>
        <w:rPr>
          <w:lang w:eastAsia="en-AU"/>
        </w:rPr>
        <w:t>rules</w:t>
      </w:r>
      <w:r w:rsidRPr="00A21C14">
        <w:rPr>
          <w:lang w:eastAsia="en-AU"/>
        </w:rPr>
        <w:t xml:space="preserve"> </w:t>
      </w:r>
      <w:r>
        <w:rPr>
          <w:lang w:eastAsia="en-AU"/>
        </w:rPr>
        <w:t>lead to</w:t>
      </w:r>
      <w:r w:rsidRPr="00A21C14">
        <w:rPr>
          <w:lang w:eastAsia="en-AU"/>
        </w:rPr>
        <w:t xml:space="preserve"> misleading</w:t>
      </w:r>
      <w:r>
        <w:rPr>
          <w:lang w:eastAsia="en-AU"/>
        </w:rPr>
        <w:t xml:space="preserve"> results</w:t>
      </w:r>
      <w:r w:rsidRPr="00A21C14">
        <w:rPr>
          <w:lang w:eastAsia="en-AU"/>
        </w:rPr>
        <w:t xml:space="preserve"> </w:t>
      </w:r>
      <w:r>
        <w:rPr>
          <w:lang w:eastAsia="en-AU"/>
        </w:rPr>
        <w:t>and/or are contrary to the stated aims of the HSR system, and t</w:t>
      </w:r>
      <w:r w:rsidRPr="00F83D4E">
        <w:rPr>
          <w:lang w:eastAsia="en-AU"/>
        </w:rPr>
        <w:t xml:space="preserve">here </w:t>
      </w:r>
      <w:r>
        <w:rPr>
          <w:lang w:eastAsia="en-AU"/>
        </w:rPr>
        <w:t>are</w:t>
      </w:r>
      <w:r w:rsidRPr="00F83D4E">
        <w:rPr>
          <w:lang w:eastAsia="en-AU"/>
        </w:rPr>
        <w:t xml:space="preserve"> concern</w:t>
      </w:r>
      <w:r>
        <w:rPr>
          <w:lang w:eastAsia="en-AU"/>
        </w:rPr>
        <w:t>s</w:t>
      </w:r>
      <w:r w:rsidRPr="00F83D4E">
        <w:rPr>
          <w:lang w:eastAsia="en-AU"/>
        </w:rPr>
        <w:t xml:space="preserve"> that consumer confidence in the HSR system may be undermined by th</w:t>
      </w:r>
      <w:r>
        <w:rPr>
          <w:lang w:eastAsia="en-AU"/>
        </w:rPr>
        <w:t xml:space="preserve">is issue. Public submissions and workshops on the ‘as prepared’ rules have reiterated these concerns. </w:t>
      </w:r>
    </w:p>
    <w:p w14:paraId="49BD2E0E" w14:textId="77777777" w:rsidR="009A5D87" w:rsidRDefault="009A5D87" w:rsidP="00700ED2">
      <w:pPr>
        <w:spacing w:after="240"/>
        <w:rPr>
          <w:lang w:eastAsia="en-AU"/>
        </w:rPr>
      </w:pPr>
      <w:r>
        <w:rPr>
          <w:lang w:eastAsia="en-AU"/>
        </w:rPr>
        <w:t>Food regulation ministers have requested</w:t>
      </w:r>
      <w:r w:rsidRPr="00A21C14">
        <w:rPr>
          <w:lang w:eastAsia="en-AU"/>
        </w:rPr>
        <w:t xml:space="preserve"> that </w:t>
      </w:r>
      <w:r>
        <w:rPr>
          <w:lang w:eastAsia="en-AU"/>
        </w:rPr>
        <w:t xml:space="preserve">this issue </w:t>
      </w:r>
      <w:r w:rsidRPr="00A21C14">
        <w:rPr>
          <w:lang w:eastAsia="en-AU"/>
        </w:rPr>
        <w:t xml:space="preserve">be addressed </w:t>
      </w:r>
      <w:r>
        <w:rPr>
          <w:lang w:eastAsia="en-AU"/>
        </w:rPr>
        <w:t>as a priority</w:t>
      </w:r>
      <w:r w:rsidR="00FD39EB">
        <w:rPr>
          <w:lang w:eastAsia="en-AU"/>
        </w:rPr>
        <w:t>, and</w:t>
      </w:r>
      <w:r>
        <w:t xml:space="preserve"> HSRAC </w:t>
      </w:r>
      <w:r w:rsidRPr="009A5D87">
        <w:rPr>
          <w:lang w:eastAsia="en-AU"/>
        </w:rPr>
        <w:t xml:space="preserve">acknowledges that the application of </w:t>
      </w:r>
      <w:r>
        <w:rPr>
          <w:lang w:eastAsia="en-AU"/>
        </w:rPr>
        <w:t>the HSR system to some products</w:t>
      </w:r>
      <w:r w:rsidR="00FD39EB">
        <w:rPr>
          <w:lang w:eastAsia="en-AU"/>
        </w:rPr>
        <w:t xml:space="preserve"> ‘as prepared’ has</w:t>
      </w:r>
      <w:r w:rsidRPr="009A5D87">
        <w:rPr>
          <w:lang w:eastAsia="en-AU"/>
        </w:rPr>
        <w:t xml:space="preserve"> affected </w:t>
      </w:r>
      <w:r w:rsidR="00FD39EB">
        <w:rPr>
          <w:lang w:eastAsia="en-AU"/>
        </w:rPr>
        <w:t>perceptions of and</w:t>
      </w:r>
      <w:r w:rsidRPr="009A5D87">
        <w:rPr>
          <w:lang w:eastAsia="en-AU"/>
        </w:rPr>
        <w:t xml:space="preserve"> trust in the system.</w:t>
      </w:r>
    </w:p>
    <w:p w14:paraId="799CB968" w14:textId="4F339BBA" w:rsidR="00744D49" w:rsidRDefault="009A5D87" w:rsidP="00700ED2">
      <w:pPr>
        <w:spacing w:after="240"/>
      </w:pPr>
      <w:r w:rsidRPr="000C6CFD">
        <w:t>The HSR ‘as prepared’ guidance does not apply to serving suggestions on food labels</w:t>
      </w:r>
      <w:r w:rsidR="0016542F">
        <w:t>.</w:t>
      </w:r>
      <w:r w:rsidRPr="000C6CFD">
        <w:t xml:space="preserve"> The current rules also explicitly exclude breakfast cereals and “products that can be used in a number of ways by the purchaser, such as breadcrumbs,”</w:t>
      </w:r>
      <w:r w:rsidR="003158B7">
        <w:rPr>
          <w:rStyle w:val="FootnoteReference"/>
        </w:rPr>
        <w:footnoteReference w:id="2"/>
      </w:r>
      <w:r w:rsidRPr="000C6CFD">
        <w:t xml:space="preserve"> which indicates that the potential confusion caused by the ‘as prepared’ rules is already acknowledged and accepted in HSR system guidance.</w:t>
      </w:r>
    </w:p>
    <w:p w14:paraId="09EA10F5" w14:textId="77777777" w:rsidR="00744D49" w:rsidRDefault="00744D49">
      <w:r>
        <w:br w:type="page"/>
      </w:r>
    </w:p>
    <w:p w14:paraId="0C81C152" w14:textId="77777777" w:rsidR="009A5D87" w:rsidRPr="00250896" w:rsidRDefault="009A5D87" w:rsidP="00B0768E">
      <w:pPr>
        <w:pStyle w:val="Heading2"/>
      </w:pPr>
      <w:bookmarkStart w:id="6" w:name="_Toc511309263"/>
      <w:r>
        <w:lastRenderedPageBreak/>
        <w:t>Application of the ‘as prepared’ rules</w:t>
      </w:r>
      <w:bookmarkEnd w:id="6"/>
    </w:p>
    <w:p w14:paraId="68E2280D" w14:textId="77777777" w:rsidR="009A5D87" w:rsidRDefault="009A5D87" w:rsidP="00700ED2">
      <w:pPr>
        <w:spacing w:after="240"/>
        <w:rPr>
          <w:lang w:eastAsia="en-AU"/>
        </w:rPr>
      </w:pPr>
      <w:r>
        <w:rPr>
          <w:lang w:eastAsia="en-AU"/>
        </w:rPr>
        <w:t xml:space="preserve">The ‘as prepared’ rules may </w:t>
      </w:r>
      <w:r w:rsidRPr="00ED73EE">
        <w:rPr>
          <w:lang w:eastAsia="en-AU"/>
        </w:rPr>
        <w:t>appl</w:t>
      </w:r>
      <w:r>
        <w:rPr>
          <w:lang w:eastAsia="en-AU"/>
        </w:rPr>
        <w:t>y</w:t>
      </w:r>
      <w:r w:rsidRPr="00ED73EE">
        <w:rPr>
          <w:lang w:eastAsia="en-AU"/>
        </w:rPr>
        <w:t xml:space="preserve"> to products that </w:t>
      </w:r>
      <w:r>
        <w:rPr>
          <w:lang w:eastAsia="en-AU"/>
        </w:rPr>
        <w:t>are intended to</w:t>
      </w:r>
      <w:r w:rsidRPr="00ED73EE">
        <w:rPr>
          <w:lang w:eastAsia="en-AU"/>
        </w:rPr>
        <w:t xml:space="preserve"> be prepared prior to</w:t>
      </w:r>
      <w:r>
        <w:rPr>
          <w:lang w:eastAsia="en-AU"/>
        </w:rPr>
        <w:t xml:space="preserve"> consumption, including but not limited to those product categories listed in Table 1.</w:t>
      </w:r>
    </w:p>
    <w:p w14:paraId="47275C94" w14:textId="77777777" w:rsidR="009A5D87" w:rsidRDefault="009A5D87" w:rsidP="00700ED2">
      <w:pPr>
        <w:pStyle w:val="Default"/>
        <w:spacing w:before="240" w:after="120"/>
        <w:rPr>
          <w:lang w:eastAsia="en-AU"/>
        </w:rPr>
      </w:pPr>
      <w:r w:rsidRPr="00B210EA">
        <w:rPr>
          <w:b/>
          <w:sz w:val="22"/>
        </w:rPr>
        <w:t xml:space="preserve">Table </w:t>
      </w:r>
      <w:r>
        <w:rPr>
          <w:b/>
          <w:sz w:val="22"/>
        </w:rPr>
        <w:t>1</w:t>
      </w:r>
      <w:r w:rsidRPr="00476787">
        <w:rPr>
          <w:sz w:val="22"/>
        </w:rPr>
        <w:t xml:space="preserve">: </w:t>
      </w:r>
      <w:r>
        <w:rPr>
          <w:bCs/>
          <w:sz w:val="22"/>
        </w:rPr>
        <w:t>Possible ‘as prepared’ product categories and typical preparations</w:t>
      </w:r>
    </w:p>
    <w:tbl>
      <w:tblPr>
        <w:tblW w:w="9039" w:type="dxa"/>
        <w:jc w:val="center"/>
        <w:tblLook w:val="04A0" w:firstRow="1" w:lastRow="0" w:firstColumn="1" w:lastColumn="0" w:noHBand="0" w:noVBand="1"/>
      </w:tblPr>
      <w:tblGrid>
        <w:gridCol w:w="5070"/>
        <w:gridCol w:w="3969"/>
      </w:tblGrid>
      <w:tr w:rsidR="009A5D87" w14:paraId="4797E81C" w14:textId="77777777" w:rsidTr="00A0097C">
        <w:trPr>
          <w:cantSplit/>
          <w:trHeight w:val="340"/>
          <w:jc w:val="center"/>
        </w:trPr>
        <w:tc>
          <w:tcPr>
            <w:tcW w:w="50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77C25" w14:textId="6F63F727" w:rsidR="009A5D87" w:rsidRPr="00EE4F81" w:rsidRDefault="009A5D87" w:rsidP="009A5D87">
            <w:pPr>
              <w:rPr>
                <w:b/>
                <w:bCs/>
                <w:color w:val="000000"/>
                <w:sz w:val="20"/>
                <w:szCs w:val="20"/>
                <w:lang w:eastAsia="en-GB"/>
              </w:rPr>
            </w:pPr>
            <w:r w:rsidRPr="00EE4F81">
              <w:rPr>
                <w:b/>
                <w:bCs/>
                <w:color w:val="000000"/>
                <w:sz w:val="20"/>
                <w:szCs w:val="20"/>
              </w:rPr>
              <w:t>Products</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C02843D" w14:textId="77777777" w:rsidR="009A5D87" w:rsidRPr="00EE4F81" w:rsidRDefault="009A5D87" w:rsidP="009A5D87">
            <w:pPr>
              <w:rPr>
                <w:b/>
                <w:bCs/>
                <w:color w:val="000000"/>
                <w:sz w:val="20"/>
                <w:szCs w:val="20"/>
              </w:rPr>
            </w:pPr>
            <w:r w:rsidRPr="00EE4F81">
              <w:rPr>
                <w:b/>
                <w:bCs/>
                <w:color w:val="000000"/>
                <w:sz w:val="20"/>
                <w:szCs w:val="20"/>
              </w:rPr>
              <w:t>Typically  prepared with</w:t>
            </w:r>
          </w:p>
        </w:tc>
      </w:tr>
      <w:tr w:rsidR="009A5D87" w14:paraId="33DB9AD6" w14:textId="77777777" w:rsidTr="00A0097C">
        <w:trPr>
          <w:trHeight w:val="525"/>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9B04CBF" w14:textId="77777777" w:rsidR="009A5D87" w:rsidRPr="00261159" w:rsidRDefault="009A5D87" w:rsidP="009A5D87">
            <w:pPr>
              <w:rPr>
                <w:color w:val="000000"/>
                <w:sz w:val="22"/>
                <w:szCs w:val="22"/>
              </w:rPr>
            </w:pPr>
            <w:r w:rsidRPr="00261159">
              <w:rPr>
                <w:color w:val="000000"/>
                <w:sz w:val="22"/>
                <w:szCs w:val="22"/>
              </w:rPr>
              <w:t>Cake mixes/pancake mixes</w:t>
            </w:r>
          </w:p>
        </w:tc>
        <w:tc>
          <w:tcPr>
            <w:tcW w:w="3969" w:type="dxa"/>
            <w:tcBorders>
              <w:top w:val="nil"/>
              <w:left w:val="nil"/>
              <w:bottom w:val="single" w:sz="4" w:space="0" w:color="auto"/>
              <w:right w:val="single" w:sz="4" w:space="0" w:color="auto"/>
            </w:tcBorders>
            <w:shd w:val="clear" w:color="auto" w:fill="auto"/>
            <w:vAlign w:val="bottom"/>
            <w:hideMark/>
          </w:tcPr>
          <w:p w14:paraId="6B7CF54E" w14:textId="77777777" w:rsidR="009A5D87" w:rsidRPr="00261159" w:rsidRDefault="009A5D87" w:rsidP="009A5D87">
            <w:pPr>
              <w:rPr>
                <w:color w:val="000000"/>
                <w:sz w:val="22"/>
                <w:szCs w:val="22"/>
              </w:rPr>
            </w:pPr>
            <w:r w:rsidRPr="00261159">
              <w:rPr>
                <w:color w:val="000000"/>
                <w:sz w:val="22"/>
                <w:szCs w:val="22"/>
              </w:rPr>
              <w:t>Cakes - milk and/or water, egg, fat</w:t>
            </w:r>
            <w:r w:rsidRPr="00261159">
              <w:rPr>
                <w:color w:val="000000"/>
                <w:sz w:val="22"/>
                <w:szCs w:val="22"/>
              </w:rPr>
              <w:br/>
              <w:t>Pancakes -  milk and/or water, egg, fat</w:t>
            </w:r>
          </w:p>
        </w:tc>
      </w:tr>
      <w:tr w:rsidR="009A5D87" w14:paraId="619695DB"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0ACFD3FE" w14:textId="77777777" w:rsidR="009A5D87" w:rsidRPr="00261159" w:rsidRDefault="009A5D87" w:rsidP="009A5D87">
            <w:pPr>
              <w:rPr>
                <w:color w:val="000000"/>
                <w:sz w:val="22"/>
                <w:szCs w:val="22"/>
              </w:rPr>
            </w:pPr>
            <w:r w:rsidRPr="00261159">
              <w:rPr>
                <w:color w:val="000000"/>
                <w:sz w:val="22"/>
                <w:szCs w:val="22"/>
              </w:rPr>
              <w:t>Canned soups</w:t>
            </w:r>
          </w:p>
        </w:tc>
        <w:tc>
          <w:tcPr>
            <w:tcW w:w="3969" w:type="dxa"/>
            <w:tcBorders>
              <w:top w:val="nil"/>
              <w:left w:val="nil"/>
              <w:bottom w:val="single" w:sz="4" w:space="0" w:color="auto"/>
              <w:right w:val="single" w:sz="4" w:space="0" w:color="auto"/>
            </w:tcBorders>
            <w:shd w:val="clear" w:color="auto" w:fill="auto"/>
            <w:noWrap/>
            <w:vAlign w:val="bottom"/>
            <w:hideMark/>
          </w:tcPr>
          <w:p w14:paraId="62047F5A" w14:textId="77777777" w:rsidR="009A5D87" w:rsidRPr="00261159" w:rsidRDefault="009A5D87" w:rsidP="009A5D87">
            <w:pPr>
              <w:rPr>
                <w:color w:val="000000"/>
                <w:sz w:val="22"/>
                <w:szCs w:val="22"/>
              </w:rPr>
            </w:pPr>
            <w:r w:rsidRPr="00261159">
              <w:rPr>
                <w:color w:val="000000"/>
                <w:sz w:val="22"/>
                <w:szCs w:val="22"/>
              </w:rPr>
              <w:t>Milk and/or water</w:t>
            </w:r>
          </w:p>
        </w:tc>
      </w:tr>
      <w:tr w:rsidR="009A5D87" w14:paraId="43AA0FEC"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68FFDD8E" w14:textId="77777777" w:rsidR="009A5D87" w:rsidRPr="00261159" w:rsidRDefault="009A5D87" w:rsidP="009A5D87">
            <w:pPr>
              <w:rPr>
                <w:color w:val="000000"/>
                <w:sz w:val="22"/>
                <w:szCs w:val="22"/>
              </w:rPr>
            </w:pPr>
            <w:r w:rsidRPr="00261159">
              <w:rPr>
                <w:color w:val="000000"/>
                <w:sz w:val="22"/>
                <w:szCs w:val="22"/>
              </w:rPr>
              <w:t>Coffee powder mixes</w:t>
            </w:r>
          </w:p>
        </w:tc>
        <w:tc>
          <w:tcPr>
            <w:tcW w:w="3969" w:type="dxa"/>
            <w:tcBorders>
              <w:top w:val="nil"/>
              <w:left w:val="nil"/>
              <w:bottom w:val="single" w:sz="4" w:space="0" w:color="auto"/>
              <w:right w:val="single" w:sz="4" w:space="0" w:color="auto"/>
            </w:tcBorders>
            <w:shd w:val="clear" w:color="auto" w:fill="auto"/>
            <w:noWrap/>
            <w:vAlign w:val="bottom"/>
            <w:hideMark/>
          </w:tcPr>
          <w:p w14:paraId="3AE3791D" w14:textId="77777777" w:rsidR="009A5D87" w:rsidRPr="00261159" w:rsidRDefault="009A5D87" w:rsidP="009A5D87">
            <w:pPr>
              <w:rPr>
                <w:color w:val="000000"/>
                <w:sz w:val="22"/>
                <w:szCs w:val="22"/>
              </w:rPr>
            </w:pPr>
            <w:r w:rsidRPr="00261159">
              <w:rPr>
                <w:color w:val="000000"/>
                <w:sz w:val="22"/>
                <w:szCs w:val="22"/>
              </w:rPr>
              <w:t>Milk and/or water</w:t>
            </w:r>
          </w:p>
        </w:tc>
      </w:tr>
      <w:tr w:rsidR="009A5D87" w14:paraId="0314F103"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6E31A806" w14:textId="77777777" w:rsidR="009A5D87" w:rsidRPr="00261159" w:rsidRDefault="009A5D87" w:rsidP="009A5D87">
            <w:pPr>
              <w:rPr>
                <w:color w:val="000000"/>
                <w:sz w:val="22"/>
                <w:szCs w:val="22"/>
              </w:rPr>
            </w:pPr>
            <w:r w:rsidRPr="00261159">
              <w:rPr>
                <w:color w:val="000000"/>
                <w:sz w:val="22"/>
                <w:szCs w:val="22"/>
              </w:rPr>
              <w:t>Cordial (made with water)</w:t>
            </w:r>
          </w:p>
        </w:tc>
        <w:tc>
          <w:tcPr>
            <w:tcW w:w="3969" w:type="dxa"/>
            <w:tcBorders>
              <w:top w:val="nil"/>
              <w:left w:val="nil"/>
              <w:bottom w:val="single" w:sz="4" w:space="0" w:color="auto"/>
              <w:right w:val="single" w:sz="4" w:space="0" w:color="auto"/>
            </w:tcBorders>
            <w:shd w:val="clear" w:color="auto" w:fill="auto"/>
            <w:noWrap/>
            <w:vAlign w:val="bottom"/>
            <w:hideMark/>
          </w:tcPr>
          <w:p w14:paraId="0207DF7A" w14:textId="77777777" w:rsidR="009A5D87" w:rsidRPr="00261159" w:rsidRDefault="009A5D87" w:rsidP="009A5D87">
            <w:pPr>
              <w:rPr>
                <w:color w:val="000000"/>
                <w:sz w:val="22"/>
                <w:szCs w:val="22"/>
              </w:rPr>
            </w:pPr>
            <w:r w:rsidRPr="00261159">
              <w:rPr>
                <w:color w:val="000000"/>
                <w:sz w:val="22"/>
                <w:szCs w:val="22"/>
              </w:rPr>
              <w:t>Water</w:t>
            </w:r>
          </w:p>
        </w:tc>
      </w:tr>
      <w:tr w:rsidR="009A5D87" w14:paraId="03623A92"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556EC194" w14:textId="77777777" w:rsidR="009A5D87" w:rsidRPr="00261159" w:rsidRDefault="009A5D87" w:rsidP="009A5D87">
            <w:pPr>
              <w:rPr>
                <w:color w:val="000000"/>
                <w:sz w:val="22"/>
                <w:szCs w:val="22"/>
              </w:rPr>
            </w:pPr>
            <w:r w:rsidRPr="00261159">
              <w:rPr>
                <w:color w:val="000000"/>
                <w:sz w:val="22"/>
                <w:szCs w:val="22"/>
              </w:rPr>
              <w:t>Dehydrated powdered pasta and rice products</w:t>
            </w:r>
          </w:p>
        </w:tc>
        <w:tc>
          <w:tcPr>
            <w:tcW w:w="3969" w:type="dxa"/>
            <w:tcBorders>
              <w:top w:val="nil"/>
              <w:left w:val="nil"/>
              <w:bottom w:val="single" w:sz="4" w:space="0" w:color="auto"/>
              <w:right w:val="single" w:sz="4" w:space="0" w:color="auto"/>
            </w:tcBorders>
            <w:shd w:val="clear" w:color="auto" w:fill="auto"/>
            <w:noWrap/>
            <w:vAlign w:val="bottom"/>
            <w:hideMark/>
          </w:tcPr>
          <w:p w14:paraId="1505322A" w14:textId="77777777" w:rsidR="009A5D87" w:rsidRPr="00261159" w:rsidRDefault="009A5D87" w:rsidP="009A5D87">
            <w:pPr>
              <w:rPr>
                <w:color w:val="000000"/>
                <w:sz w:val="22"/>
                <w:szCs w:val="22"/>
              </w:rPr>
            </w:pPr>
            <w:r w:rsidRPr="00261159">
              <w:rPr>
                <w:color w:val="000000"/>
                <w:sz w:val="22"/>
                <w:szCs w:val="22"/>
              </w:rPr>
              <w:t>Milk and/or water, fat</w:t>
            </w:r>
          </w:p>
        </w:tc>
      </w:tr>
      <w:tr w:rsidR="009A5D87" w14:paraId="0AD17789"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6A6DA730" w14:textId="77777777" w:rsidR="009A5D87" w:rsidRPr="00261159" w:rsidRDefault="009A5D87" w:rsidP="009A5D87">
            <w:pPr>
              <w:rPr>
                <w:color w:val="000000"/>
                <w:sz w:val="22"/>
                <w:szCs w:val="22"/>
              </w:rPr>
            </w:pPr>
            <w:r w:rsidRPr="00261159">
              <w:rPr>
                <w:color w:val="000000"/>
                <w:sz w:val="22"/>
                <w:szCs w:val="22"/>
              </w:rPr>
              <w:t>Dehydrated vegetables</w:t>
            </w:r>
          </w:p>
        </w:tc>
        <w:tc>
          <w:tcPr>
            <w:tcW w:w="3969" w:type="dxa"/>
            <w:tcBorders>
              <w:top w:val="nil"/>
              <w:left w:val="nil"/>
              <w:bottom w:val="single" w:sz="4" w:space="0" w:color="auto"/>
              <w:right w:val="single" w:sz="4" w:space="0" w:color="auto"/>
            </w:tcBorders>
            <w:shd w:val="clear" w:color="auto" w:fill="auto"/>
            <w:noWrap/>
            <w:vAlign w:val="bottom"/>
            <w:hideMark/>
          </w:tcPr>
          <w:p w14:paraId="0BB3C677" w14:textId="77777777" w:rsidR="009A5D87" w:rsidRPr="00261159" w:rsidRDefault="009A5D87" w:rsidP="009A5D87">
            <w:pPr>
              <w:rPr>
                <w:color w:val="000000"/>
                <w:sz w:val="22"/>
                <w:szCs w:val="22"/>
              </w:rPr>
            </w:pPr>
            <w:r w:rsidRPr="00261159">
              <w:rPr>
                <w:color w:val="000000"/>
                <w:sz w:val="22"/>
                <w:szCs w:val="22"/>
              </w:rPr>
              <w:t>Water</w:t>
            </w:r>
          </w:p>
        </w:tc>
      </w:tr>
      <w:tr w:rsidR="009A5D87" w14:paraId="2878675E"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0E36E01" w14:textId="77777777" w:rsidR="009A5D87" w:rsidRPr="00261159" w:rsidRDefault="009A5D87" w:rsidP="009A5D87">
            <w:pPr>
              <w:rPr>
                <w:color w:val="000000"/>
                <w:sz w:val="22"/>
                <w:szCs w:val="22"/>
              </w:rPr>
            </w:pPr>
            <w:r w:rsidRPr="00261159">
              <w:rPr>
                <w:color w:val="000000"/>
                <w:sz w:val="22"/>
                <w:szCs w:val="22"/>
              </w:rPr>
              <w:t>Gravy (usually mixed with water)</w:t>
            </w:r>
          </w:p>
        </w:tc>
        <w:tc>
          <w:tcPr>
            <w:tcW w:w="3969" w:type="dxa"/>
            <w:tcBorders>
              <w:top w:val="nil"/>
              <w:left w:val="nil"/>
              <w:bottom w:val="single" w:sz="4" w:space="0" w:color="auto"/>
              <w:right w:val="single" w:sz="4" w:space="0" w:color="auto"/>
            </w:tcBorders>
            <w:shd w:val="clear" w:color="auto" w:fill="auto"/>
            <w:noWrap/>
            <w:vAlign w:val="bottom"/>
            <w:hideMark/>
          </w:tcPr>
          <w:p w14:paraId="4FFFEEC9" w14:textId="77777777" w:rsidR="009A5D87" w:rsidRPr="00261159" w:rsidRDefault="009A5D87" w:rsidP="009A5D87">
            <w:pPr>
              <w:rPr>
                <w:color w:val="000000"/>
                <w:sz w:val="22"/>
                <w:szCs w:val="22"/>
              </w:rPr>
            </w:pPr>
            <w:r w:rsidRPr="00261159">
              <w:rPr>
                <w:color w:val="000000"/>
                <w:sz w:val="22"/>
                <w:szCs w:val="22"/>
              </w:rPr>
              <w:t>Water</w:t>
            </w:r>
          </w:p>
        </w:tc>
      </w:tr>
      <w:tr w:rsidR="009A5D87" w14:paraId="1CA7F19F"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E224C87" w14:textId="77777777" w:rsidR="009A5D87" w:rsidRPr="00261159" w:rsidRDefault="009A5D87" w:rsidP="009A5D87">
            <w:pPr>
              <w:rPr>
                <w:color w:val="000000"/>
                <w:sz w:val="22"/>
                <w:szCs w:val="22"/>
              </w:rPr>
            </w:pPr>
            <w:r w:rsidRPr="00261159">
              <w:rPr>
                <w:color w:val="000000"/>
                <w:sz w:val="22"/>
                <w:szCs w:val="22"/>
              </w:rPr>
              <w:t>Hot chocolate mixes</w:t>
            </w:r>
          </w:p>
        </w:tc>
        <w:tc>
          <w:tcPr>
            <w:tcW w:w="3969" w:type="dxa"/>
            <w:tcBorders>
              <w:top w:val="nil"/>
              <w:left w:val="nil"/>
              <w:bottom w:val="single" w:sz="4" w:space="0" w:color="auto"/>
              <w:right w:val="single" w:sz="4" w:space="0" w:color="auto"/>
            </w:tcBorders>
            <w:shd w:val="clear" w:color="auto" w:fill="auto"/>
            <w:noWrap/>
            <w:vAlign w:val="bottom"/>
            <w:hideMark/>
          </w:tcPr>
          <w:p w14:paraId="74DEA68A" w14:textId="77777777" w:rsidR="009A5D87" w:rsidRPr="00261159" w:rsidRDefault="009A5D87" w:rsidP="009A5D87">
            <w:pPr>
              <w:rPr>
                <w:color w:val="000000"/>
                <w:sz w:val="22"/>
                <w:szCs w:val="22"/>
              </w:rPr>
            </w:pPr>
            <w:r w:rsidRPr="00261159">
              <w:rPr>
                <w:color w:val="000000"/>
                <w:sz w:val="22"/>
                <w:szCs w:val="22"/>
              </w:rPr>
              <w:t>Milk and/or water</w:t>
            </w:r>
          </w:p>
        </w:tc>
      </w:tr>
      <w:tr w:rsidR="009A5D87" w14:paraId="4DD98C6F"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71ED3368" w14:textId="77777777" w:rsidR="009A5D87" w:rsidRPr="00261159" w:rsidRDefault="009A5D87" w:rsidP="009A5D87">
            <w:pPr>
              <w:rPr>
                <w:color w:val="000000"/>
                <w:sz w:val="22"/>
                <w:szCs w:val="22"/>
              </w:rPr>
            </w:pPr>
            <w:r w:rsidRPr="00261159">
              <w:rPr>
                <w:color w:val="000000"/>
                <w:sz w:val="22"/>
                <w:szCs w:val="22"/>
              </w:rPr>
              <w:t>Milk powders</w:t>
            </w:r>
          </w:p>
        </w:tc>
        <w:tc>
          <w:tcPr>
            <w:tcW w:w="3969" w:type="dxa"/>
            <w:tcBorders>
              <w:top w:val="nil"/>
              <w:left w:val="nil"/>
              <w:bottom w:val="single" w:sz="4" w:space="0" w:color="auto"/>
              <w:right w:val="single" w:sz="4" w:space="0" w:color="auto"/>
            </w:tcBorders>
            <w:shd w:val="clear" w:color="auto" w:fill="auto"/>
            <w:noWrap/>
            <w:vAlign w:val="bottom"/>
            <w:hideMark/>
          </w:tcPr>
          <w:p w14:paraId="33DA0409" w14:textId="77777777" w:rsidR="009A5D87" w:rsidRPr="00261159" w:rsidRDefault="009A5D87" w:rsidP="009A5D87">
            <w:pPr>
              <w:rPr>
                <w:color w:val="000000"/>
                <w:sz w:val="22"/>
                <w:szCs w:val="22"/>
              </w:rPr>
            </w:pPr>
            <w:r w:rsidRPr="00261159">
              <w:rPr>
                <w:color w:val="000000"/>
                <w:sz w:val="22"/>
                <w:szCs w:val="22"/>
              </w:rPr>
              <w:t>Water</w:t>
            </w:r>
          </w:p>
        </w:tc>
      </w:tr>
      <w:tr w:rsidR="009A5D87" w14:paraId="5BEFD6F6"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DED5CE3" w14:textId="77777777" w:rsidR="009A5D87" w:rsidRPr="00261159" w:rsidRDefault="009A5D87" w:rsidP="009A5D87">
            <w:pPr>
              <w:rPr>
                <w:color w:val="000000"/>
                <w:sz w:val="22"/>
                <w:szCs w:val="22"/>
              </w:rPr>
            </w:pPr>
            <w:r w:rsidRPr="00261159">
              <w:rPr>
                <w:color w:val="000000"/>
                <w:sz w:val="22"/>
                <w:szCs w:val="22"/>
              </w:rPr>
              <w:t>Other milk flavourings</w:t>
            </w:r>
          </w:p>
        </w:tc>
        <w:tc>
          <w:tcPr>
            <w:tcW w:w="3969" w:type="dxa"/>
            <w:tcBorders>
              <w:top w:val="nil"/>
              <w:left w:val="nil"/>
              <w:bottom w:val="single" w:sz="4" w:space="0" w:color="auto"/>
              <w:right w:val="single" w:sz="4" w:space="0" w:color="auto"/>
            </w:tcBorders>
            <w:shd w:val="clear" w:color="auto" w:fill="auto"/>
            <w:noWrap/>
            <w:vAlign w:val="bottom"/>
            <w:hideMark/>
          </w:tcPr>
          <w:p w14:paraId="06112CC9" w14:textId="77777777" w:rsidR="009A5D87" w:rsidRPr="00261159" w:rsidRDefault="009A5D87" w:rsidP="009A5D87">
            <w:pPr>
              <w:rPr>
                <w:color w:val="000000"/>
                <w:sz w:val="22"/>
                <w:szCs w:val="22"/>
              </w:rPr>
            </w:pPr>
            <w:r w:rsidRPr="00261159">
              <w:rPr>
                <w:color w:val="000000"/>
                <w:sz w:val="22"/>
                <w:szCs w:val="22"/>
              </w:rPr>
              <w:t>Milk and/or water</w:t>
            </w:r>
          </w:p>
        </w:tc>
      </w:tr>
      <w:tr w:rsidR="009A5D87" w14:paraId="168BE2FF"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1B168133" w14:textId="77777777" w:rsidR="009A5D87" w:rsidRPr="00261159" w:rsidRDefault="009A5D87" w:rsidP="009A5D87">
            <w:pPr>
              <w:rPr>
                <w:color w:val="000000"/>
                <w:sz w:val="22"/>
                <w:szCs w:val="22"/>
              </w:rPr>
            </w:pPr>
            <w:r w:rsidRPr="00261159">
              <w:rPr>
                <w:color w:val="000000"/>
                <w:sz w:val="22"/>
                <w:szCs w:val="22"/>
              </w:rPr>
              <w:t>Powdered custard</w:t>
            </w:r>
          </w:p>
        </w:tc>
        <w:tc>
          <w:tcPr>
            <w:tcW w:w="3969" w:type="dxa"/>
            <w:tcBorders>
              <w:top w:val="nil"/>
              <w:left w:val="nil"/>
              <w:bottom w:val="single" w:sz="4" w:space="0" w:color="auto"/>
              <w:right w:val="single" w:sz="4" w:space="0" w:color="auto"/>
            </w:tcBorders>
            <w:shd w:val="clear" w:color="auto" w:fill="auto"/>
            <w:noWrap/>
            <w:vAlign w:val="bottom"/>
            <w:hideMark/>
          </w:tcPr>
          <w:p w14:paraId="49672F3C" w14:textId="77777777" w:rsidR="009A5D87" w:rsidRPr="00261159" w:rsidRDefault="009A5D87" w:rsidP="009A5D87">
            <w:pPr>
              <w:rPr>
                <w:color w:val="000000"/>
                <w:sz w:val="22"/>
                <w:szCs w:val="22"/>
              </w:rPr>
            </w:pPr>
            <w:r w:rsidRPr="00261159">
              <w:rPr>
                <w:color w:val="000000"/>
                <w:sz w:val="22"/>
                <w:szCs w:val="22"/>
              </w:rPr>
              <w:t>Milk and/or water, sugar</w:t>
            </w:r>
          </w:p>
        </w:tc>
      </w:tr>
      <w:tr w:rsidR="009A5D87" w14:paraId="4E29341A"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0F900E15" w14:textId="77777777" w:rsidR="009A5D87" w:rsidRPr="00261159" w:rsidRDefault="009A5D87" w:rsidP="009A5D87">
            <w:pPr>
              <w:rPr>
                <w:color w:val="000000"/>
                <w:sz w:val="22"/>
                <w:szCs w:val="22"/>
              </w:rPr>
            </w:pPr>
            <w:r w:rsidRPr="00261159">
              <w:rPr>
                <w:color w:val="000000"/>
                <w:sz w:val="22"/>
                <w:szCs w:val="22"/>
              </w:rPr>
              <w:t>Powdered soups</w:t>
            </w:r>
          </w:p>
        </w:tc>
        <w:tc>
          <w:tcPr>
            <w:tcW w:w="3969" w:type="dxa"/>
            <w:tcBorders>
              <w:top w:val="nil"/>
              <w:left w:val="nil"/>
              <w:bottom w:val="single" w:sz="4" w:space="0" w:color="auto"/>
              <w:right w:val="single" w:sz="4" w:space="0" w:color="auto"/>
            </w:tcBorders>
            <w:shd w:val="clear" w:color="auto" w:fill="auto"/>
            <w:noWrap/>
            <w:vAlign w:val="bottom"/>
            <w:hideMark/>
          </w:tcPr>
          <w:p w14:paraId="2478ED02" w14:textId="77777777" w:rsidR="009A5D87" w:rsidRPr="00261159" w:rsidRDefault="009A5D87" w:rsidP="009A5D87">
            <w:pPr>
              <w:rPr>
                <w:color w:val="000000"/>
                <w:sz w:val="22"/>
                <w:szCs w:val="22"/>
              </w:rPr>
            </w:pPr>
            <w:r w:rsidRPr="00261159">
              <w:rPr>
                <w:color w:val="000000"/>
                <w:sz w:val="22"/>
                <w:szCs w:val="22"/>
              </w:rPr>
              <w:t>Water</w:t>
            </w:r>
          </w:p>
        </w:tc>
      </w:tr>
      <w:tr w:rsidR="009A5D87" w14:paraId="4E8BD269"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1DC0A323" w14:textId="77777777" w:rsidR="009A5D87" w:rsidRPr="00261159" w:rsidRDefault="009A5D87" w:rsidP="009A5D87">
            <w:pPr>
              <w:rPr>
                <w:color w:val="000000"/>
                <w:sz w:val="22"/>
                <w:szCs w:val="22"/>
              </w:rPr>
            </w:pPr>
            <w:r w:rsidRPr="00261159">
              <w:rPr>
                <w:color w:val="000000"/>
                <w:sz w:val="22"/>
                <w:szCs w:val="22"/>
              </w:rPr>
              <w:t>Recipe bases</w:t>
            </w:r>
          </w:p>
        </w:tc>
        <w:tc>
          <w:tcPr>
            <w:tcW w:w="3969" w:type="dxa"/>
            <w:tcBorders>
              <w:top w:val="nil"/>
              <w:left w:val="nil"/>
              <w:bottom w:val="single" w:sz="4" w:space="0" w:color="auto"/>
              <w:right w:val="single" w:sz="4" w:space="0" w:color="auto"/>
            </w:tcBorders>
            <w:shd w:val="clear" w:color="auto" w:fill="auto"/>
            <w:noWrap/>
            <w:vAlign w:val="bottom"/>
            <w:hideMark/>
          </w:tcPr>
          <w:p w14:paraId="023F3974" w14:textId="77777777" w:rsidR="009A5D87" w:rsidRPr="00261159" w:rsidRDefault="009A5D87" w:rsidP="009A5D87">
            <w:pPr>
              <w:rPr>
                <w:color w:val="000000"/>
                <w:sz w:val="22"/>
                <w:szCs w:val="22"/>
              </w:rPr>
            </w:pPr>
            <w:r w:rsidRPr="00261159">
              <w:rPr>
                <w:color w:val="000000"/>
                <w:sz w:val="22"/>
                <w:szCs w:val="22"/>
              </w:rPr>
              <w:t>Meat, vegetables, milk or water, fat</w:t>
            </w:r>
          </w:p>
        </w:tc>
      </w:tr>
      <w:tr w:rsidR="009A5D87" w14:paraId="57E0AE12"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6513D39F" w14:textId="77777777" w:rsidR="009A5D87" w:rsidRPr="00261159" w:rsidRDefault="009A5D87" w:rsidP="009A5D87">
            <w:pPr>
              <w:rPr>
                <w:color w:val="000000"/>
                <w:sz w:val="22"/>
                <w:szCs w:val="22"/>
              </w:rPr>
            </w:pPr>
            <w:r>
              <w:rPr>
                <w:color w:val="000000"/>
                <w:sz w:val="22"/>
                <w:szCs w:val="22"/>
              </w:rPr>
              <w:t>Sauce mixes</w:t>
            </w:r>
            <w:r w:rsidRPr="00261159">
              <w:rPr>
                <w:color w:val="000000"/>
                <w:sz w:val="22"/>
                <w:szCs w:val="22"/>
              </w:rPr>
              <w:t xml:space="preserve"> (powder, liquid) for casseroles/slow cookers</w:t>
            </w:r>
          </w:p>
        </w:tc>
        <w:tc>
          <w:tcPr>
            <w:tcW w:w="3969" w:type="dxa"/>
            <w:tcBorders>
              <w:top w:val="nil"/>
              <w:left w:val="nil"/>
              <w:bottom w:val="single" w:sz="4" w:space="0" w:color="auto"/>
              <w:right w:val="single" w:sz="4" w:space="0" w:color="auto"/>
            </w:tcBorders>
            <w:shd w:val="clear" w:color="auto" w:fill="auto"/>
            <w:noWrap/>
            <w:hideMark/>
          </w:tcPr>
          <w:p w14:paraId="44AA648F" w14:textId="77777777" w:rsidR="009A5D87" w:rsidRPr="00261159" w:rsidRDefault="009A5D87" w:rsidP="009A5D87">
            <w:pPr>
              <w:rPr>
                <w:color w:val="000000"/>
                <w:sz w:val="22"/>
                <w:szCs w:val="22"/>
              </w:rPr>
            </w:pPr>
            <w:r w:rsidRPr="00261159">
              <w:rPr>
                <w:color w:val="000000"/>
                <w:sz w:val="22"/>
                <w:szCs w:val="22"/>
              </w:rPr>
              <w:t>Meat, vegetables, milk or water, fat</w:t>
            </w:r>
          </w:p>
        </w:tc>
      </w:tr>
      <w:tr w:rsidR="009A5D87" w14:paraId="0B808806"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6182C67F" w14:textId="77777777" w:rsidR="009A5D87" w:rsidRPr="00261159" w:rsidRDefault="009A5D87" w:rsidP="009A5D87">
            <w:pPr>
              <w:rPr>
                <w:color w:val="000000"/>
                <w:sz w:val="22"/>
                <w:szCs w:val="22"/>
              </w:rPr>
            </w:pPr>
            <w:r w:rsidRPr="00261159">
              <w:rPr>
                <w:color w:val="000000"/>
                <w:sz w:val="22"/>
                <w:szCs w:val="22"/>
              </w:rPr>
              <w:t>Spice mixes</w:t>
            </w:r>
          </w:p>
        </w:tc>
        <w:tc>
          <w:tcPr>
            <w:tcW w:w="3969" w:type="dxa"/>
            <w:tcBorders>
              <w:top w:val="nil"/>
              <w:left w:val="nil"/>
              <w:bottom w:val="single" w:sz="4" w:space="0" w:color="auto"/>
              <w:right w:val="single" w:sz="4" w:space="0" w:color="auto"/>
            </w:tcBorders>
            <w:shd w:val="clear" w:color="auto" w:fill="auto"/>
            <w:noWrap/>
            <w:vAlign w:val="bottom"/>
            <w:hideMark/>
          </w:tcPr>
          <w:p w14:paraId="7105EDCB" w14:textId="77777777" w:rsidR="009A5D87" w:rsidRPr="00261159" w:rsidRDefault="009A5D87" w:rsidP="009A5D87">
            <w:pPr>
              <w:rPr>
                <w:color w:val="000000"/>
                <w:sz w:val="22"/>
                <w:szCs w:val="22"/>
              </w:rPr>
            </w:pPr>
            <w:r w:rsidRPr="00261159">
              <w:rPr>
                <w:color w:val="000000"/>
                <w:sz w:val="22"/>
                <w:szCs w:val="22"/>
              </w:rPr>
              <w:t>Meat, vegetables, milk or water, fat</w:t>
            </w:r>
          </w:p>
        </w:tc>
      </w:tr>
      <w:tr w:rsidR="009A5D87" w14:paraId="770F84A8"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5CEF0AA5" w14:textId="77777777" w:rsidR="009A5D87" w:rsidRPr="00261159" w:rsidRDefault="009A5D87" w:rsidP="009A5D87">
            <w:pPr>
              <w:rPr>
                <w:color w:val="000000"/>
                <w:sz w:val="22"/>
                <w:szCs w:val="22"/>
              </w:rPr>
            </w:pPr>
            <w:r w:rsidRPr="00261159">
              <w:rPr>
                <w:color w:val="000000"/>
                <w:sz w:val="22"/>
                <w:szCs w:val="22"/>
              </w:rPr>
              <w:t>Stock, powdered</w:t>
            </w:r>
          </w:p>
        </w:tc>
        <w:tc>
          <w:tcPr>
            <w:tcW w:w="3969" w:type="dxa"/>
            <w:tcBorders>
              <w:top w:val="nil"/>
              <w:left w:val="nil"/>
              <w:bottom w:val="single" w:sz="4" w:space="0" w:color="auto"/>
              <w:right w:val="single" w:sz="4" w:space="0" w:color="auto"/>
            </w:tcBorders>
            <w:shd w:val="clear" w:color="auto" w:fill="auto"/>
            <w:noWrap/>
            <w:vAlign w:val="bottom"/>
            <w:hideMark/>
          </w:tcPr>
          <w:p w14:paraId="59784C2F" w14:textId="77777777" w:rsidR="009A5D87" w:rsidRPr="00261159" w:rsidRDefault="009A5D87" w:rsidP="009A5D87">
            <w:pPr>
              <w:rPr>
                <w:color w:val="000000"/>
                <w:sz w:val="22"/>
                <w:szCs w:val="22"/>
              </w:rPr>
            </w:pPr>
            <w:r w:rsidRPr="00261159">
              <w:rPr>
                <w:color w:val="000000"/>
                <w:sz w:val="22"/>
                <w:szCs w:val="22"/>
              </w:rPr>
              <w:t>Water</w:t>
            </w:r>
          </w:p>
        </w:tc>
      </w:tr>
      <w:tr w:rsidR="009A5D87" w14:paraId="23F73A50"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29611C37" w14:textId="77777777" w:rsidR="009A5D87" w:rsidRPr="00261159" w:rsidRDefault="009A5D87" w:rsidP="009A5D87">
            <w:pPr>
              <w:rPr>
                <w:color w:val="000000"/>
                <w:sz w:val="22"/>
                <w:szCs w:val="22"/>
              </w:rPr>
            </w:pPr>
            <w:r w:rsidRPr="00261159">
              <w:rPr>
                <w:color w:val="000000"/>
                <w:sz w:val="22"/>
                <w:szCs w:val="22"/>
              </w:rPr>
              <w:t>Syrups</w:t>
            </w:r>
          </w:p>
        </w:tc>
        <w:tc>
          <w:tcPr>
            <w:tcW w:w="3969" w:type="dxa"/>
            <w:tcBorders>
              <w:top w:val="nil"/>
              <w:left w:val="nil"/>
              <w:bottom w:val="single" w:sz="4" w:space="0" w:color="auto"/>
              <w:right w:val="single" w:sz="4" w:space="0" w:color="auto"/>
            </w:tcBorders>
            <w:shd w:val="clear" w:color="auto" w:fill="auto"/>
            <w:noWrap/>
            <w:vAlign w:val="bottom"/>
            <w:hideMark/>
          </w:tcPr>
          <w:p w14:paraId="0D843523" w14:textId="77777777" w:rsidR="009A5D87" w:rsidRPr="00261159" w:rsidRDefault="009A5D87" w:rsidP="009A5D87">
            <w:pPr>
              <w:rPr>
                <w:color w:val="000000"/>
                <w:sz w:val="22"/>
                <w:szCs w:val="22"/>
              </w:rPr>
            </w:pPr>
            <w:r w:rsidRPr="00261159">
              <w:rPr>
                <w:color w:val="000000"/>
                <w:sz w:val="22"/>
                <w:szCs w:val="22"/>
              </w:rPr>
              <w:t>Milk</w:t>
            </w:r>
          </w:p>
        </w:tc>
      </w:tr>
      <w:tr w:rsidR="009A5D87" w14:paraId="60B446D1" w14:textId="77777777" w:rsidTr="00A0097C">
        <w:trPr>
          <w:trHeight w:val="300"/>
          <w:jc w:val="center"/>
        </w:trPr>
        <w:tc>
          <w:tcPr>
            <w:tcW w:w="5070" w:type="dxa"/>
            <w:tcBorders>
              <w:top w:val="nil"/>
              <w:left w:val="single" w:sz="4" w:space="0" w:color="auto"/>
              <w:bottom w:val="single" w:sz="4" w:space="0" w:color="auto"/>
              <w:right w:val="single" w:sz="4" w:space="0" w:color="auto"/>
            </w:tcBorders>
            <w:shd w:val="clear" w:color="auto" w:fill="auto"/>
            <w:noWrap/>
            <w:vAlign w:val="center"/>
            <w:hideMark/>
          </w:tcPr>
          <w:p w14:paraId="5E84C42F" w14:textId="77777777" w:rsidR="009A5D87" w:rsidRPr="00261159" w:rsidRDefault="009A5D87" w:rsidP="009A5D87">
            <w:pPr>
              <w:rPr>
                <w:color w:val="000000"/>
                <w:sz w:val="22"/>
                <w:szCs w:val="22"/>
              </w:rPr>
            </w:pPr>
            <w:r w:rsidRPr="00261159">
              <w:rPr>
                <w:color w:val="000000"/>
                <w:sz w:val="22"/>
                <w:szCs w:val="22"/>
              </w:rPr>
              <w:t>Yoghurt mixes</w:t>
            </w:r>
          </w:p>
        </w:tc>
        <w:tc>
          <w:tcPr>
            <w:tcW w:w="3969" w:type="dxa"/>
            <w:tcBorders>
              <w:top w:val="nil"/>
              <w:left w:val="nil"/>
              <w:bottom w:val="single" w:sz="4" w:space="0" w:color="auto"/>
              <w:right w:val="single" w:sz="4" w:space="0" w:color="auto"/>
            </w:tcBorders>
            <w:shd w:val="clear" w:color="auto" w:fill="auto"/>
            <w:noWrap/>
            <w:vAlign w:val="bottom"/>
            <w:hideMark/>
          </w:tcPr>
          <w:p w14:paraId="266736F6" w14:textId="77777777" w:rsidR="009A5D87" w:rsidRPr="00261159" w:rsidRDefault="009A5D87" w:rsidP="009A5D87">
            <w:pPr>
              <w:rPr>
                <w:color w:val="000000"/>
                <w:sz w:val="22"/>
                <w:szCs w:val="22"/>
              </w:rPr>
            </w:pPr>
            <w:r w:rsidRPr="00261159">
              <w:rPr>
                <w:color w:val="000000"/>
                <w:sz w:val="22"/>
                <w:szCs w:val="22"/>
              </w:rPr>
              <w:t>Milk and/or water</w:t>
            </w:r>
          </w:p>
        </w:tc>
      </w:tr>
    </w:tbl>
    <w:p w14:paraId="7F0DBCC1" w14:textId="69107FAD" w:rsidR="00744D49" w:rsidRDefault="009A5D87" w:rsidP="008B123F">
      <w:pPr>
        <w:spacing w:before="240" w:after="240"/>
        <w:rPr>
          <w:rFonts w:eastAsia="Calibri" w:cs="Arial"/>
          <w:szCs w:val="22"/>
        </w:rPr>
      </w:pPr>
      <w:r>
        <w:rPr>
          <w:rFonts w:eastAsia="Calibri" w:cs="Arial"/>
          <w:szCs w:val="22"/>
        </w:rPr>
        <w:t>Data retrieved from the FoodTrack</w:t>
      </w:r>
      <w:r w:rsidRPr="005667A4">
        <w:rPr>
          <w:sz w:val="20"/>
          <w:szCs w:val="18"/>
        </w:rPr>
        <w:t>™</w:t>
      </w:r>
      <w:r>
        <w:rPr>
          <w:rFonts w:eastAsia="Calibri" w:cs="Arial"/>
          <w:szCs w:val="22"/>
        </w:rPr>
        <w:t xml:space="preserve"> </w:t>
      </w:r>
      <w:r w:rsidRPr="00B82EBE">
        <w:rPr>
          <w:rFonts w:eastAsia="Calibri" w:cs="Arial"/>
          <w:szCs w:val="22"/>
        </w:rPr>
        <w:t xml:space="preserve">retail food and nutrient </w:t>
      </w:r>
      <w:r>
        <w:rPr>
          <w:rFonts w:eastAsia="Calibri" w:cs="Arial"/>
          <w:szCs w:val="22"/>
        </w:rPr>
        <w:t>database, developed by the National Heart Foundation of Australia (the Heart Foundation) and the CSIRO, highlights the potential scope and coverage of the ‘as prepared’ rules</w:t>
      </w:r>
      <w:r>
        <w:rPr>
          <w:rStyle w:val="FootnoteReference"/>
          <w:rFonts w:eastAsia="Calibri" w:cs="Arial"/>
          <w:szCs w:val="22"/>
        </w:rPr>
        <w:footnoteReference w:id="3"/>
      </w:r>
      <w:r>
        <w:rPr>
          <w:rFonts w:eastAsia="Calibri" w:cs="Arial"/>
          <w:szCs w:val="22"/>
        </w:rPr>
        <w:t xml:space="preserve">. In 2017 there were 16,199 products in FoodTrack, with 1,220 products (8%) in categories </w:t>
      </w:r>
      <w:r w:rsidR="00B75812">
        <w:rPr>
          <w:rFonts w:eastAsia="Calibri" w:cs="Arial"/>
          <w:szCs w:val="22"/>
        </w:rPr>
        <w:t xml:space="preserve">that </w:t>
      </w:r>
      <w:r>
        <w:rPr>
          <w:rFonts w:eastAsia="Calibri" w:cs="Arial"/>
          <w:szCs w:val="22"/>
        </w:rPr>
        <w:t xml:space="preserve">may display HSRs ‘as prepared.’ 282 products (23%) within these categories carried a HSR, noting </w:t>
      </w:r>
      <w:r w:rsidRPr="002D6BE1">
        <w:rPr>
          <w:rFonts w:eastAsia="Calibri" w:cs="Arial"/>
          <w:szCs w:val="22"/>
        </w:rPr>
        <w:t>that the product may not actually display a HSR ‘as prepared.’</w:t>
      </w:r>
      <w:r>
        <w:rPr>
          <w:rFonts w:eastAsia="Calibri" w:cs="Arial"/>
          <w:szCs w:val="22"/>
        </w:rPr>
        <w:t xml:space="preserve"> </w:t>
      </w:r>
      <w:r w:rsidRPr="002D6BE1">
        <w:rPr>
          <w:rFonts w:eastAsia="Calibri" w:cs="Arial"/>
          <w:szCs w:val="22"/>
        </w:rPr>
        <w:t>This is just over 7% of products displaying a HSR</w:t>
      </w:r>
      <w:r>
        <w:rPr>
          <w:rFonts w:eastAsia="Calibri" w:cs="Arial"/>
          <w:szCs w:val="22"/>
        </w:rPr>
        <w:t xml:space="preserve"> (n=3,918)</w:t>
      </w:r>
      <w:r w:rsidRPr="002D6BE1">
        <w:rPr>
          <w:rFonts w:eastAsia="Calibri" w:cs="Arial"/>
          <w:szCs w:val="22"/>
        </w:rPr>
        <w:t xml:space="preserve"> and less than 2% of all products.</w:t>
      </w:r>
      <w:r>
        <w:rPr>
          <w:rFonts w:eastAsia="Calibri" w:cs="Arial"/>
          <w:szCs w:val="22"/>
        </w:rPr>
        <w:t xml:space="preserve"> Table 2 below indicates the breakdown of products currently displaying a HSR in possible ‘as prepared’ categories.</w:t>
      </w:r>
    </w:p>
    <w:p w14:paraId="38FEF8D3" w14:textId="77777777" w:rsidR="00744D49" w:rsidRDefault="00744D49">
      <w:pPr>
        <w:rPr>
          <w:rFonts w:eastAsia="Calibri" w:cs="Arial"/>
          <w:szCs w:val="22"/>
        </w:rPr>
      </w:pPr>
      <w:r>
        <w:rPr>
          <w:rFonts w:eastAsia="Calibri" w:cs="Arial"/>
          <w:szCs w:val="22"/>
        </w:rPr>
        <w:br w:type="page"/>
      </w:r>
    </w:p>
    <w:p w14:paraId="4D0F297B" w14:textId="0652D6C7" w:rsidR="009A5D87" w:rsidRPr="009728E1" w:rsidRDefault="009A5D87" w:rsidP="00700ED2">
      <w:pPr>
        <w:spacing w:before="240" w:after="120"/>
        <w:rPr>
          <w:rFonts w:eastAsia="Calibri" w:cs="Arial"/>
          <w:szCs w:val="22"/>
        </w:rPr>
      </w:pPr>
      <w:r w:rsidRPr="00B210EA">
        <w:rPr>
          <w:b/>
          <w:sz w:val="22"/>
        </w:rPr>
        <w:lastRenderedPageBreak/>
        <w:t xml:space="preserve">Table </w:t>
      </w:r>
      <w:r>
        <w:rPr>
          <w:b/>
          <w:sz w:val="22"/>
        </w:rPr>
        <w:t>2</w:t>
      </w:r>
      <w:r w:rsidRPr="00476787">
        <w:rPr>
          <w:sz w:val="22"/>
        </w:rPr>
        <w:t xml:space="preserve">: </w:t>
      </w:r>
      <w:r w:rsidRPr="006C73DB">
        <w:rPr>
          <w:bCs/>
          <w:sz w:val="22"/>
        </w:rPr>
        <w:t>Numb</w:t>
      </w:r>
      <w:r>
        <w:rPr>
          <w:bCs/>
          <w:sz w:val="22"/>
        </w:rPr>
        <w:t>er of products that carry a HSR</w:t>
      </w:r>
      <w:r w:rsidRPr="006C73DB">
        <w:rPr>
          <w:bCs/>
          <w:sz w:val="22"/>
        </w:rPr>
        <w:t xml:space="preserve"> in</w:t>
      </w:r>
      <w:r>
        <w:rPr>
          <w:bCs/>
          <w:sz w:val="22"/>
        </w:rPr>
        <w:t xml:space="preserve"> possible</w:t>
      </w:r>
      <w:r w:rsidRPr="006C73DB">
        <w:rPr>
          <w:bCs/>
          <w:sz w:val="22"/>
        </w:rPr>
        <w:t xml:space="preserve"> ‘as prepared’ product categories, Australia, 2017</w:t>
      </w:r>
      <w:r w:rsidRPr="006C73DB">
        <w:rPr>
          <w:rStyle w:val="FootnoteReference"/>
        </w:rPr>
        <w:t xml:space="preserve"> </w:t>
      </w:r>
      <w:r>
        <w:rPr>
          <w:rStyle w:val="FootnoteReference"/>
        </w:rPr>
        <w:footnoteReference w:id="4"/>
      </w:r>
    </w:p>
    <w:tbl>
      <w:tblPr>
        <w:tblStyle w:val="GridTable1Light-Accent12"/>
        <w:tblW w:w="9573" w:type="dxa"/>
        <w:tblInd w:w="-176" w:type="dxa"/>
        <w:tblLook w:val="04A0" w:firstRow="1" w:lastRow="0" w:firstColumn="1" w:lastColumn="0" w:noHBand="0" w:noVBand="1"/>
        <w:tblCaption w:val="No. of products with an HSR in 'as prepared' categories"/>
        <w:tblDescription w:val="Three columns: the first displays product category, the second shows the number of products in each category and the third the number of products displaying an HSR."/>
      </w:tblPr>
      <w:tblGrid>
        <w:gridCol w:w="5387"/>
        <w:gridCol w:w="2127"/>
        <w:gridCol w:w="2059"/>
      </w:tblGrid>
      <w:tr w:rsidR="009A5D87" w:rsidRPr="009728E1" w14:paraId="56EF9CF8" w14:textId="77777777" w:rsidTr="004F1A28">
        <w:trPr>
          <w:cnfStyle w:val="100000000000" w:firstRow="1" w:lastRow="0" w:firstColumn="0" w:lastColumn="0" w:oddVBand="0" w:evenVBand="0" w:oddHBand="0" w:evenHBand="0" w:firstRowFirstColumn="0" w:firstRowLastColumn="0" w:lastRowFirstColumn="0" w:lastRowLastColumn="0"/>
          <w:cantSplit/>
          <w:trHeight w:val="219"/>
          <w:tblHeader/>
        </w:trPr>
        <w:tc>
          <w:tcPr>
            <w:cnfStyle w:val="001000000000" w:firstRow="0" w:lastRow="0" w:firstColumn="1" w:lastColumn="0" w:oddVBand="0" w:evenVBand="0" w:oddHBand="0" w:evenHBand="0" w:firstRowFirstColumn="0" w:firstRowLastColumn="0" w:lastRowFirstColumn="0" w:lastRowLastColumn="0"/>
            <w:tcW w:w="5387" w:type="dxa"/>
            <w:noWrap/>
            <w:vAlign w:val="center"/>
            <w:hideMark/>
          </w:tcPr>
          <w:p w14:paraId="59B726C7" w14:textId="77777777" w:rsidR="009A5D87" w:rsidRPr="009054D9" w:rsidRDefault="009A5D87" w:rsidP="009A5D87">
            <w:pPr>
              <w:rPr>
                <w:sz w:val="22"/>
                <w:szCs w:val="22"/>
                <w:lang w:eastAsia="en-AU"/>
              </w:rPr>
            </w:pPr>
            <w:r w:rsidRPr="009054D9">
              <w:rPr>
                <w:b w:val="0"/>
                <w:bCs w:val="0"/>
                <w:sz w:val="22"/>
                <w:szCs w:val="22"/>
                <w:lang w:eastAsia="en-AU"/>
              </w:rPr>
              <w:t>Product category</w:t>
            </w:r>
          </w:p>
        </w:tc>
        <w:tc>
          <w:tcPr>
            <w:tcW w:w="2127" w:type="dxa"/>
            <w:noWrap/>
            <w:vAlign w:val="center"/>
            <w:hideMark/>
          </w:tcPr>
          <w:p w14:paraId="62578AFD" w14:textId="77777777" w:rsidR="009A5D87" w:rsidRPr="009054D9" w:rsidRDefault="009A5D87" w:rsidP="009A5D87">
            <w:pPr>
              <w:cnfStyle w:val="100000000000" w:firstRow="1" w:lastRow="0" w:firstColumn="0" w:lastColumn="0" w:oddVBand="0" w:evenVBand="0" w:oddHBand="0" w:evenHBand="0" w:firstRowFirstColumn="0" w:firstRowLastColumn="0" w:lastRowFirstColumn="0" w:lastRowLastColumn="0"/>
              <w:rPr>
                <w:b w:val="0"/>
                <w:bCs w:val="0"/>
                <w:sz w:val="22"/>
                <w:szCs w:val="22"/>
                <w:lang w:eastAsia="en-AU"/>
              </w:rPr>
            </w:pPr>
            <w:r w:rsidRPr="009054D9">
              <w:rPr>
                <w:b w:val="0"/>
                <w:bCs w:val="0"/>
                <w:sz w:val="22"/>
                <w:szCs w:val="22"/>
                <w:lang w:eastAsia="en-AU"/>
              </w:rPr>
              <w:t>Number of products in category</w:t>
            </w:r>
          </w:p>
        </w:tc>
        <w:tc>
          <w:tcPr>
            <w:tcW w:w="2059" w:type="dxa"/>
            <w:noWrap/>
            <w:vAlign w:val="center"/>
            <w:hideMark/>
          </w:tcPr>
          <w:p w14:paraId="537BFEED" w14:textId="77777777" w:rsidR="009A5D87" w:rsidRPr="009054D9" w:rsidRDefault="009A5D87" w:rsidP="009A5D87">
            <w:pPr>
              <w:cnfStyle w:val="100000000000" w:firstRow="1" w:lastRow="0" w:firstColumn="0" w:lastColumn="0" w:oddVBand="0" w:evenVBand="0" w:oddHBand="0" w:evenHBand="0" w:firstRowFirstColumn="0" w:firstRowLastColumn="0" w:lastRowFirstColumn="0" w:lastRowLastColumn="0"/>
              <w:rPr>
                <w:b w:val="0"/>
                <w:bCs w:val="0"/>
                <w:sz w:val="22"/>
                <w:szCs w:val="22"/>
                <w:lang w:eastAsia="en-AU"/>
              </w:rPr>
            </w:pPr>
            <w:r w:rsidRPr="009054D9">
              <w:rPr>
                <w:b w:val="0"/>
                <w:bCs w:val="0"/>
                <w:sz w:val="22"/>
                <w:szCs w:val="22"/>
                <w:lang w:eastAsia="en-AU"/>
              </w:rPr>
              <w:t>Number of products displaying HSR</w:t>
            </w:r>
          </w:p>
        </w:tc>
      </w:tr>
      <w:tr w:rsidR="009A5D87" w:rsidRPr="009728E1" w14:paraId="12807866"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4165ABE3" w14:textId="77777777" w:rsidR="009A5D87" w:rsidRPr="009054D9" w:rsidRDefault="009A5D87" w:rsidP="009A5D87">
            <w:pPr>
              <w:rPr>
                <w:b w:val="0"/>
                <w:bCs w:val="0"/>
                <w:color w:val="000000"/>
                <w:sz w:val="22"/>
                <w:szCs w:val="22"/>
                <w:lang w:eastAsia="en-AU"/>
              </w:rPr>
            </w:pPr>
            <w:r w:rsidRPr="009054D9">
              <w:rPr>
                <w:b w:val="0"/>
                <w:color w:val="000000"/>
                <w:sz w:val="22"/>
                <w:szCs w:val="22"/>
                <w:lang w:eastAsia="en-AU"/>
              </w:rPr>
              <w:t xml:space="preserve">Bread mixes </w:t>
            </w:r>
          </w:p>
        </w:tc>
        <w:tc>
          <w:tcPr>
            <w:tcW w:w="2127" w:type="dxa"/>
            <w:noWrap/>
            <w:hideMark/>
          </w:tcPr>
          <w:p w14:paraId="747FFC7A"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44</w:t>
            </w:r>
          </w:p>
        </w:tc>
        <w:tc>
          <w:tcPr>
            <w:tcW w:w="2059" w:type="dxa"/>
            <w:noWrap/>
            <w:hideMark/>
          </w:tcPr>
          <w:p w14:paraId="6D05CC6E"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w:t>
            </w:r>
          </w:p>
        </w:tc>
      </w:tr>
      <w:tr w:rsidR="009A5D87" w:rsidRPr="009728E1" w14:paraId="0BB10ABE"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5978BD6"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Cake mixes, brownie mixes, pancake mix, brownie mix, muffin mixes, banana bread mixes, slice mixes</w:t>
            </w:r>
          </w:p>
        </w:tc>
        <w:tc>
          <w:tcPr>
            <w:tcW w:w="2127" w:type="dxa"/>
            <w:noWrap/>
            <w:hideMark/>
          </w:tcPr>
          <w:p w14:paraId="01DC8616"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181</w:t>
            </w:r>
          </w:p>
        </w:tc>
        <w:tc>
          <w:tcPr>
            <w:tcW w:w="2059" w:type="dxa"/>
            <w:noWrap/>
            <w:hideMark/>
          </w:tcPr>
          <w:p w14:paraId="04109858"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30</w:t>
            </w:r>
          </w:p>
        </w:tc>
      </w:tr>
      <w:tr w:rsidR="009A5D87" w:rsidRPr="009728E1" w14:paraId="2335F9C4"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21F5C9EC"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Canned (condensed soup), powdered soups</w:t>
            </w:r>
          </w:p>
        </w:tc>
        <w:tc>
          <w:tcPr>
            <w:tcW w:w="2127" w:type="dxa"/>
            <w:noWrap/>
            <w:hideMark/>
          </w:tcPr>
          <w:p w14:paraId="6D502213"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147</w:t>
            </w:r>
          </w:p>
        </w:tc>
        <w:tc>
          <w:tcPr>
            <w:tcW w:w="2059" w:type="dxa"/>
            <w:noWrap/>
            <w:hideMark/>
          </w:tcPr>
          <w:p w14:paraId="363826D1"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65</w:t>
            </w:r>
          </w:p>
        </w:tc>
      </w:tr>
      <w:tr w:rsidR="009A5D87" w:rsidRPr="009728E1" w14:paraId="116313B8"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8BBA5DF"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Coffee powder mixes, chai latte mixes</w:t>
            </w:r>
          </w:p>
        </w:tc>
        <w:tc>
          <w:tcPr>
            <w:tcW w:w="2127" w:type="dxa"/>
            <w:noWrap/>
            <w:hideMark/>
          </w:tcPr>
          <w:p w14:paraId="01D75BC5"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90</w:t>
            </w:r>
          </w:p>
        </w:tc>
        <w:tc>
          <w:tcPr>
            <w:tcW w:w="2059" w:type="dxa"/>
            <w:noWrap/>
            <w:hideMark/>
          </w:tcPr>
          <w:p w14:paraId="3DE83C6E"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7</w:t>
            </w:r>
          </w:p>
        </w:tc>
      </w:tr>
      <w:tr w:rsidR="009A5D87" w:rsidRPr="009728E1" w14:paraId="23626704"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20F83677"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Cordials, syrup flavourings</w:t>
            </w:r>
          </w:p>
        </w:tc>
        <w:tc>
          <w:tcPr>
            <w:tcW w:w="2127" w:type="dxa"/>
            <w:noWrap/>
            <w:hideMark/>
          </w:tcPr>
          <w:p w14:paraId="6D4E24AE"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99</w:t>
            </w:r>
          </w:p>
        </w:tc>
        <w:tc>
          <w:tcPr>
            <w:tcW w:w="2059" w:type="dxa"/>
            <w:noWrap/>
            <w:hideMark/>
          </w:tcPr>
          <w:p w14:paraId="69E222EA"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29</w:t>
            </w:r>
          </w:p>
        </w:tc>
      </w:tr>
      <w:tr w:rsidR="009A5D87" w:rsidRPr="009728E1" w14:paraId="3B61731F"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116CF89"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Custard powders, pudding mixes, dairy dessert mixes, yoghurt mixes</w:t>
            </w:r>
          </w:p>
        </w:tc>
        <w:tc>
          <w:tcPr>
            <w:tcW w:w="2127" w:type="dxa"/>
            <w:noWrap/>
            <w:hideMark/>
          </w:tcPr>
          <w:p w14:paraId="33246E65"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33</w:t>
            </w:r>
          </w:p>
        </w:tc>
        <w:tc>
          <w:tcPr>
            <w:tcW w:w="2059" w:type="dxa"/>
            <w:noWrap/>
            <w:hideMark/>
          </w:tcPr>
          <w:p w14:paraId="17ABF84D"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w:t>
            </w:r>
          </w:p>
        </w:tc>
      </w:tr>
      <w:tr w:rsidR="009A5D87" w:rsidRPr="009728E1" w14:paraId="34D97CB5"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248A3B3D"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Dehydrated pasta and noodle products with flavourings</w:t>
            </w:r>
          </w:p>
        </w:tc>
        <w:tc>
          <w:tcPr>
            <w:tcW w:w="2127" w:type="dxa"/>
            <w:noWrap/>
            <w:hideMark/>
          </w:tcPr>
          <w:p w14:paraId="660F57DE"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171</w:t>
            </w:r>
          </w:p>
        </w:tc>
        <w:tc>
          <w:tcPr>
            <w:tcW w:w="2059" w:type="dxa"/>
            <w:noWrap/>
            <w:hideMark/>
          </w:tcPr>
          <w:p w14:paraId="75AACF24"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48</w:t>
            </w:r>
          </w:p>
        </w:tc>
      </w:tr>
      <w:tr w:rsidR="009A5D87" w:rsidRPr="009728E1" w14:paraId="3B5551F8"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692037F"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Dehydrated rice (and other grain) products with flavourings</w:t>
            </w:r>
          </w:p>
        </w:tc>
        <w:tc>
          <w:tcPr>
            <w:tcW w:w="2127" w:type="dxa"/>
            <w:noWrap/>
            <w:hideMark/>
          </w:tcPr>
          <w:p w14:paraId="7A9CED82"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53</w:t>
            </w:r>
          </w:p>
        </w:tc>
        <w:tc>
          <w:tcPr>
            <w:tcW w:w="2059" w:type="dxa"/>
            <w:noWrap/>
            <w:hideMark/>
          </w:tcPr>
          <w:p w14:paraId="71509447"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16</w:t>
            </w:r>
          </w:p>
        </w:tc>
      </w:tr>
      <w:tr w:rsidR="009A5D87" w:rsidRPr="009728E1" w14:paraId="3BDAC89A"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3365968"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 xml:space="preserve">Dehydrated vegetables </w:t>
            </w:r>
          </w:p>
        </w:tc>
        <w:tc>
          <w:tcPr>
            <w:tcW w:w="2127" w:type="dxa"/>
            <w:noWrap/>
            <w:hideMark/>
          </w:tcPr>
          <w:p w14:paraId="6710BB1A"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9</w:t>
            </w:r>
          </w:p>
        </w:tc>
        <w:tc>
          <w:tcPr>
            <w:tcW w:w="2059" w:type="dxa"/>
            <w:noWrap/>
            <w:hideMark/>
          </w:tcPr>
          <w:p w14:paraId="07E6C9DD"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3</w:t>
            </w:r>
          </w:p>
        </w:tc>
      </w:tr>
      <w:tr w:rsidR="009A5D87" w:rsidRPr="009728E1" w14:paraId="27871829"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534E80F4"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Gravy mixes, savoury sauces (eg. white sauces, cheese sauces, finishing sauces)</w:t>
            </w:r>
          </w:p>
        </w:tc>
        <w:tc>
          <w:tcPr>
            <w:tcW w:w="2127" w:type="dxa"/>
            <w:noWrap/>
            <w:hideMark/>
          </w:tcPr>
          <w:p w14:paraId="05B5F5A6"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98</w:t>
            </w:r>
          </w:p>
        </w:tc>
        <w:tc>
          <w:tcPr>
            <w:tcW w:w="2059" w:type="dxa"/>
            <w:noWrap/>
            <w:hideMark/>
          </w:tcPr>
          <w:p w14:paraId="309D8F16"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14</w:t>
            </w:r>
          </w:p>
        </w:tc>
      </w:tr>
      <w:tr w:rsidR="009A5D87" w:rsidRPr="009728E1" w14:paraId="0215B55A"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04B69638"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Milk powders, hot chocolate mixes, milk flavourings (eg. Chocolate flavoured powder, syrups, milkshake mixes)</w:t>
            </w:r>
          </w:p>
        </w:tc>
        <w:tc>
          <w:tcPr>
            <w:tcW w:w="2127" w:type="dxa"/>
            <w:noWrap/>
            <w:hideMark/>
          </w:tcPr>
          <w:p w14:paraId="6BAD9418"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82</w:t>
            </w:r>
          </w:p>
        </w:tc>
        <w:tc>
          <w:tcPr>
            <w:tcW w:w="2059" w:type="dxa"/>
            <w:noWrap/>
            <w:hideMark/>
          </w:tcPr>
          <w:p w14:paraId="7D174DEF"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23</w:t>
            </w:r>
          </w:p>
        </w:tc>
      </w:tr>
      <w:tr w:rsidR="009A5D87" w:rsidRPr="009728E1" w14:paraId="661DA611"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5DAE3FD"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Recipe bases</w:t>
            </w:r>
          </w:p>
        </w:tc>
        <w:tc>
          <w:tcPr>
            <w:tcW w:w="2127" w:type="dxa"/>
            <w:noWrap/>
            <w:hideMark/>
          </w:tcPr>
          <w:p w14:paraId="09690D6C"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168</w:t>
            </w:r>
          </w:p>
        </w:tc>
        <w:tc>
          <w:tcPr>
            <w:tcW w:w="2059" w:type="dxa"/>
            <w:noWrap/>
            <w:hideMark/>
          </w:tcPr>
          <w:p w14:paraId="1E34AEAB"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39</w:t>
            </w:r>
          </w:p>
        </w:tc>
      </w:tr>
      <w:tr w:rsidR="009A5D87" w:rsidRPr="009728E1" w14:paraId="0F2DE3D4"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1A78D31D"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Spice mixes</w:t>
            </w:r>
          </w:p>
        </w:tc>
        <w:tc>
          <w:tcPr>
            <w:tcW w:w="2127" w:type="dxa"/>
            <w:noWrap/>
            <w:hideMark/>
          </w:tcPr>
          <w:p w14:paraId="2847B975"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2</w:t>
            </w:r>
          </w:p>
        </w:tc>
        <w:tc>
          <w:tcPr>
            <w:tcW w:w="2059" w:type="dxa"/>
            <w:noWrap/>
            <w:hideMark/>
          </w:tcPr>
          <w:p w14:paraId="62A280A3"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0</w:t>
            </w:r>
          </w:p>
        </w:tc>
      </w:tr>
      <w:tr w:rsidR="009A5D87" w:rsidRPr="009728E1" w14:paraId="19D060B2"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hideMark/>
          </w:tcPr>
          <w:p w14:paraId="6E8A0418" w14:textId="77777777" w:rsidR="009A5D87" w:rsidRPr="009054D9" w:rsidRDefault="009A5D87" w:rsidP="009A5D87">
            <w:pPr>
              <w:rPr>
                <w:b w:val="0"/>
                <w:color w:val="000000"/>
                <w:sz w:val="22"/>
                <w:szCs w:val="22"/>
                <w:lang w:eastAsia="en-AU"/>
              </w:rPr>
            </w:pPr>
            <w:r w:rsidRPr="009054D9">
              <w:rPr>
                <w:b w:val="0"/>
                <w:color w:val="000000"/>
                <w:sz w:val="22"/>
                <w:szCs w:val="22"/>
                <w:lang w:eastAsia="en-AU"/>
              </w:rPr>
              <w:t>Stock, powdered</w:t>
            </w:r>
          </w:p>
        </w:tc>
        <w:tc>
          <w:tcPr>
            <w:tcW w:w="2127" w:type="dxa"/>
            <w:noWrap/>
            <w:hideMark/>
          </w:tcPr>
          <w:p w14:paraId="3FCC02E2"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43</w:t>
            </w:r>
          </w:p>
        </w:tc>
        <w:tc>
          <w:tcPr>
            <w:tcW w:w="2059" w:type="dxa"/>
            <w:noWrap/>
            <w:hideMark/>
          </w:tcPr>
          <w:p w14:paraId="10975CD0"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color w:val="000000"/>
                <w:sz w:val="22"/>
                <w:szCs w:val="22"/>
                <w:lang w:eastAsia="en-AU"/>
              </w:rPr>
            </w:pPr>
            <w:r w:rsidRPr="009054D9">
              <w:rPr>
                <w:color w:val="000000"/>
                <w:sz w:val="22"/>
                <w:szCs w:val="22"/>
                <w:lang w:eastAsia="en-AU"/>
              </w:rPr>
              <w:t>6</w:t>
            </w:r>
          </w:p>
        </w:tc>
      </w:tr>
      <w:tr w:rsidR="009A5D87" w:rsidRPr="009728E1" w14:paraId="5365B980" w14:textId="77777777" w:rsidTr="009A5D87">
        <w:trPr>
          <w:trHeight w:val="219"/>
        </w:trPr>
        <w:tc>
          <w:tcPr>
            <w:cnfStyle w:val="001000000000" w:firstRow="0" w:lastRow="0" w:firstColumn="1" w:lastColumn="0" w:oddVBand="0" w:evenVBand="0" w:oddHBand="0" w:evenHBand="0" w:firstRowFirstColumn="0" w:firstRowLastColumn="0" w:lastRowFirstColumn="0" w:lastRowLastColumn="0"/>
            <w:tcW w:w="5387" w:type="dxa"/>
            <w:noWrap/>
          </w:tcPr>
          <w:p w14:paraId="6A1A4AED" w14:textId="77777777" w:rsidR="009A5D87" w:rsidRPr="009054D9" w:rsidRDefault="009A5D87" w:rsidP="009A5D87">
            <w:pPr>
              <w:jc w:val="right"/>
              <w:rPr>
                <w:color w:val="000000"/>
                <w:sz w:val="22"/>
                <w:szCs w:val="22"/>
                <w:lang w:eastAsia="en-AU"/>
              </w:rPr>
            </w:pPr>
            <w:r w:rsidRPr="009054D9">
              <w:rPr>
                <w:color w:val="000000"/>
                <w:sz w:val="22"/>
                <w:szCs w:val="22"/>
                <w:lang w:eastAsia="en-AU"/>
              </w:rPr>
              <w:t>TOTAL</w:t>
            </w:r>
          </w:p>
        </w:tc>
        <w:tc>
          <w:tcPr>
            <w:tcW w:w="2127" w:type="dxa"/>
            <w:noWrap/>
          </w:tcPr>
          <w:p w14:paraId="0DB96421"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b/>
                <w:color w:val="000000"/>
                <w:sz w:val="22"/>
                <w:szCs w:val="22"/>
                <w:lang w:eastAsia="en-AU"/>
              </w:rPr>
            </w:pPr>
            <w:r w:rsidRPr="009054D9">
              <w:rPr>
                <w:b/>
                <w:color w:val="000000"/>
                <w:sz w:val="22"/>
                <w:szCs w:val="22"/>
                <w:lang w:eastAsia="en-AU"/>
              </w:rPr>
              <w:t>1,220</w:t>
            </w:r>
          </w:p>
        </w:tc>
        <w:tc>
          <w:tcPr>
            <w:tcW w:w="2059" w:type="dxa"/>
            <w:noWrap/>
          </w:tcPr>
          <w:p w14:paraId="1C430D66" w14:textId="77777777" w:rsidR="009A5D87" w:rsidRPr="009054D9" w:rsidRDefault="009A5D87" w:rsidP="009A5D87">
            <w:pPr>
              <w:jc w:val="right"/>
              <w:cnfStyle w:val="000000000000" w:firstRow="0" w:lastRow="0" w:firstColumn="0" w:lastColumn="0" w:oddVBand="0" w:evenVBand="0" w:oddHBand="0" w:evenHBand="0" w:firstRowFirstColumn="0" w:firstRowLastColumn="0" w:lastRowFirstColumn="0" w:lastRowLastColumn="0"/>
              <w:rPr>
                <w:b/>
                <w:color w:val="000000"/>
                <w:sz w:val="22"/>
                <w:szCs w:val="22"/>
                <w:lang w:eastAsia="en-AU"/>
              </w:rPr>
            </w:pPr>
            <w:r w:rsidRPr="009054D9">
              <w:rPr>
                <w:b/>
                <w:color w:val="000000"/>
                <w:sz w:val="22"/>
                <w:szCs w:val="22"/>
                <w:lang w:eastAsia="en-AU"/>
              </w:rPr>
              <w:t>282</w:t>
            </w:r>
          </w:p>
        </w:tc>
      </w:tr>
    </w:tbl>
    <w:p w14:paraId="008A4D3A" w14:textId="77777777" w:rsidR="009A5D87" w:rsidRPr="00D97283" w:rsidRDefault="009A5D87" w:rsidP="009A5D87">
      <w:pPr>
        <w:rPr>
          <w:rFonts w:ascii="Arial" w:eastAsiaTheme="minorHAnsi" w:hAnsi="Arial" w:cs="Arial"/>
          <w:sz w:val="10"/>
          <w:szCs w:val="20"/>
        </w:rPr>
      </w:pPr>
    </w:p>
    <w:p w14:paraId="54C168DC" w14:textId="77777777" w:rsidR="009A5D87" w:rsidRPr="00897455" w:rsidRDefault="009A5D87" w:rsidP="00700ED2">
      <w:pPr>
        <w:spacing w:after="120"/>
      </w:pPr>
      <w:r w:rsidRPr="00D97283">
        <w:rPr>
          <w:sz w:val="20"/>
        </w:rPr>
        <w:t xml:space="preserve">Note: all different pack sizes are included (ie. all SKUs) for each product. Data from </w:t>
      </w:r>
      <w:r>
        <w:rPr>
          <w:sz w:val="20"/>
        </w:rPr>
        <w:t xml:space="preserve">2017 </w:t>
      </w:r>
      <w:r w:rsidRPr="00D97283">
        <w:rPr>
          <w:sz w:val="20"/>
        </w:rPr>
        <w:t>calendar year in FoodTrack database</w:t>
      </w:r>
      <w:r>
        <w:rPr>
          <w:sz w:val="20"/>
        </w:rPr>
        <w:t xml:space="preserve">. Product categories provided are those used by the Heart Foundation for the FoodTrack database and may not correspond with HSR or Australian Guide to Healthy Eating categories. FoodTrack data is collected on a rolling, progressive basis across a year, with product categories included once per year, and therefore product data may be up to a year out of date. </w:t>
      </w:r>
    </w:p>
    <w:p w14:paraId="1AE0A202" w14:textId="77777777" w:rsidR="00A13B37" w:rsidRPr="00250896" w:rsidRDefault="00A13B37" w:rsidP="00700ED2">
      <w:pPr>
        <w:spacing w:before="240" w:after="240"/>
        <w:rPr>
          <w:color w:val="000000"/>
          <w:szCs w:val="22"/>
          <w:lang w:eastAsia="en-AU"/>
        </w:rPr>
      </w:pPr>
      <w:r w:rsidRPr="00DE3298">
        <w:rPr>
          <w:color w:val="000000"/>
          <w:szCs w:val="22"/>
          <w:lang w:eastAsia="en-AU"/>
        </w:rPr>
        <w:t>Monitoring of industry compliance with HSR guidance documents indicates that, by and large, food manufacturers and retailers are correctly applying and displaying HSRs in accordance with current guidance.</w:t>
      </w:r>
      <w:r w:rsidRPr="00DE3298">
        <w:rPr>
          <w:rStyle w:val="FootnoteReference"/>
          <w:color w:val="000000"/>
          <w:szCs w:val="22"/>
          <w:lang w:eastAsia="en-AU"/>
        </w:rPr>
        <w:footnoteReference w:id="5"/>
      </w:r>
      <w:r w:rsidRPr="00DE3298">
        <w:rPr>
          <w:color w:val="000000"/>
          <w:szCs w:val="22"/>
          <w:lang w:eastAsia="en-AU"/>
        </w:rPr>
        <w:t xml:space="preserve"> However, ongoing attention to this issue suggests that current HSR guidance to industry may be incongruous with consumer understanding.</w:t>
      </w:r>
      <w:r>
        <w:rPr>
          <w:color w:val="000000"/>
          <w:szCs w:val="22"/>
          <w:lang w:eastAsia="en-AU"/>
        </w:rPr>
        <w:t xml:space="preserve"> </w:t>
      </w:r>
    </w:p>
    <w:p w14:paraId="166085FA" w14:textId="77777777" w:rsidR="00744D49" w:rsidRDefault="00744D49">
      <w:pPr>
        <w:rPr>
          <w:rFonts w:ascii="Arial" w:hAnsi="Arial" w:cs="Arial"/>
          <w:b/>
          <w:bCs/>
          <w:i/>
          <w:iCs/>
          <w:szCs w:val="28"/>
        </w:rPr>
      </w:pPr>
      <w:r>
        <w:br w:type="page"/>
      </w:r>
    </w:p>
    <w:p w14:paraId="36B3DCC0" w14:textId="289C7C7D" w:rsidR="00250896" w:rsidRDefault="00E240A4" w:rsidP="00B0768E">
      <w:pPr>
        <w:pStyle w:val="Heading2"/>
        <w:rPr>
          <w:lang w:eastAsia="en-AU"/>
        </w:rPr>
      </w:pPr>
      <w:bookmarkStart w:id="7" w:name="_Toc511309264"/>
      <w:r w:rsidRPr="00E240A4">
        <w:lastRenderedPageBreak/>
        <w:t>Consumer use and understanding of HSR</w:t>
      </w:r>
      <w:r>
        <w:t>s</w:t>
      </w:r>
      <w:r w:rsidRPr="00E240A4">
        <w:t xml:space="preserve"> ‘as prepared’</w:t>
      </w:r>
      <w:bookmarkEnd w:id="7"/>
      <w:r>
        <w:rPr>
          <w:u w:val="single"/>
          <w:lang w:eastAsia="en-AU"/>
        </w:rPr>
        <w:t xml:space="preserve"> </w:t>
      </w:r>
    </w:p>
    <w:p w14:paraId="2D288A2B" w14:textId="77777777" w:rsidR="00E240A4" w:rsidRPr="00250896" w:rsidRDefault="00E240A4" w:rsidP="00700ED2">
      <w:pPr>
        <w:spacing w:after="240"/>
      </w:pPr>
      <w:r w:rsidRPr="00250896">
        <w:t>To investigate consumer use and understanding of the ‘as prepared’ rules, the Heart Foundation, through its regular monitoring of consumer awareness and ability to use the HSR system in Australia, included questions around the ‘as prepared’ rules in a recent survey (August to November 2017).</w:t>
      </w:r>
    </w:p>
    <w:p w14:paraId="074953FD" w14:textId="77777777" w:rsidR="00E240A4" w:rsidRDefault="00E240A4" w:rsidP="00700ED2">
      <w:pPr>
        <w:pStyle w:val="ListParagraph"/>
        <w:spacing w:after="240"/>
        <w:ind w:left="0"/>
        <w:contextualSpacing w:val="0"/>
      </w:pPr>
      <w:r>
        <w:t>T</w:t>
      </w:r>
      <w:r w:rsidRPr="00421E2D">
        <w:t xml:space="preserve">he </w:t>
      </w:r>
      <w:r>
        <w:t>results</w:t>
      </w:r>
      <w:r w:rsidRPr="00B210EA">
        <w:rPr>
          <w:vertAlign w:val="superscript"/>
        </w:rPr>
        <w:footnoteReference w:id="6"/>
      </w:r>
      <w:r w:rsidRPr="000B6D7B">
        <w:rPr>
          <w:i/>
        </w:rPr>
        <w:t xml:space="preserve"> </w:t>
      </w:r>
      <w:r>
        <w:t>(sample n</w:t>
      </w:r>
      <w:r w:rsidRPr="00B210EA">
        <w:t xml:space="preserve"> = 2,08</w:t>
      </w:r>
      <w:r>
        <w:t>1)</w:t>
      </w:r>
      <w:r w:rsidRPr="008C3467">
        <w:t xml:space="preserve"> </w:t>
      </w:r>
      <w:r>
        <w:t>highlight some</w:t>
      </w:r>
      <w:r w:rsidRPr="008C3467">
        <w:t xml:space="preserve"> issues with the ‘as prepared’ rules. 74% of respondents claim to follow provided </w:t>
      </w:r>
      <w:r>
        <w:t xml:space="preserve">labelling </w:t>
      </w:r>
      <w:r w:rsidRPr="008C3467">
        <w:t>instructions when preparing pre-packaged foods</w:t>
      </w:r>
      <w:r>
        <w:t>.</w:t>
      </w:r>
      <w:r w:rsidRPr="008C3467">
        <w:t xml:space="preserve"> </w:t>
      </w:r>
      <w:r>
        <w:t>H</w:t>
      </w:r>
      <w:r w:rsidRPr="008C3467">
        <w:t>owever</w:t>
      </w:r>
      <w:r>
        <w:t>, only</w:t>
      </w:r>
      <w:r w:rsidRPr="008C3467">
        <w:t xml:space="preserve"> 39% of respondents </w:t>
      </w:r>
      <w:r>
        <w:t>were</w:t>
      </w:r>
      <w:r w:rsidRPr="008C3467">
        <w:t xml:space="preserve"> aware </w:t>
      </w:r>
      <w:r>
        <w:t>of</w:t>
      </w:r>
      <w:r w:rsidRPr="008C3467">
        <w:t xml:space="preserve"> the</w:t>
      </w:r>
      <w:r>
        <w:t xml:space="preserve"> current</w:t>
      </w:r>
      <w:r w:rsidRPr="008C3467">
        <w:t xml:space="preserve"> ‘as prepared’ rules</w:t>
      </w:r>
      <w:r>
        <w:t xml:space="preserve"> in the HSR system</w:t>
      </w:r>
      <w:r w:rsidRPr="008C3467">
        <w:t>. These results are depicted below:</w:t>
      </w:r>
      <w:r>
        <w:t xml:space="preserve"> </w:t>
      </w:r>
    </w:p>
    <w:p w14:paraId="2327C583" w14:textId="77777777" w:rsidR="00E240A4" w:rsidRPr="00476787" w:rsidRDefault="00E240A4" w:rsidP="00700ED2">
      <w:pPr>
        <w:pStyle w:val="Default"/>
        <w:spacing w:before="240" w:after="120"/>
        <w:rPr>
          <w:sz w:val="22"/>
        </w:rPr>
      </w:pPr>
      <w:r w:rsidRPr="00B210EA">
        <w:rPr>
          <w:b/>
          <w:sz w:val="22"/>
        </w:rPr>
        <w:t xml:space="preserve">Table </w:t>
      </w:r>
      <w:r>
        <w:rPr>
          <w:b/>
          <w:sz w:val="22"/>
        </w:rPr>
        <w:t>3</w:t>
      </w:r>
      <w:r w:rsidRPr="00476787">
        <w:rPr>
          <w:sz w:val="22"/>
        </w:rPr>
        <w:t xml:space="preserve">: </w:t>
      </w:r>
      <w:r w:rsidRPr="00476787">
        <w:rPr>
          <w:bCs/>
          <w:sz w:val="22"/>
        </w:rPr>
        <w:t xml:space="preserve">Do you follow the provided instructions when preparing pre-packaged foods? </w:t>
      </w:r>
    </w:p>
    <w:tbl>
      <w:tblPr>
        <w:tblStyle w:val="TableGrid"/>
        <w:tblW w:w="0" w:type="auto"/>
        <w:tblLook w:val="04A0" w:firstRow="1" w:lastRow="0" w:firstColumn="1" w:lastColumn="0" w:noHBand="0" w:noVBand="1"/>
        <w:tblCaption w:val="Percentage of consumers who follow instructions for preparing pre-packaged foods"/>
        <w:tblDescription w:val="Two columns, indicating percentage of who answered 'yes', 'no' or 'unsure'."/>
      </w:tblPr>
      <w:tblGrid>
        <w:gridCol w:w="2660"/>
        <w:gridCol w:w="1559"/>
      </w:tblGrid>
      <w:tr w:rsidR="00E240A4" w:rsidRPr="00E70471" w14:paraId="4A731C93" w14:textId="77777777" w:rsidTr="004F1A28">
        <w:trPr>
          <w:cantSplit/>
          <w:tblHeader/>
        </w:trPr>
        <w:tc>
          <w:tcPr>
            <w:tcW w:w="2660" w:type="dxa"/>
            <w:shd w:val="clear" w:color="auto" w:fill="D9D9D9" w:themeFill="background1" w:themeFillShade="D9"/>
          </w:tcPr>
          <w:p w14:paraId="47D0F9B2" w14:textId="77777777" w:rsidR="00E240A4" w:rsidRPr="00E70471" w:rsidRDefault="00E240A4" w:rsidP="0088600A">
            <w:pPr>
              <w:jc w:val="center"/>
            </w:pPr>
            <w:r>
              <w:t>Response</w:t>
            </w:r>
          </w:p>
        </w:tc>
        <w:tc>
          <w:tcPr>
            <w:tcW w:w="1559" w:type="dxa"/>
            <w:shd w:val="clear" w:color="auto" w:fill="D9D9D9" w:themeFill="background1" w:themeFillShade="D9"/>
          </w:tcPr>
          <w:p w14:paraId="370809F7" w14:textId="77777777" w:rsidR="00E240A4" w:rsidRPr="00E70471" w:rsidRDefault="00E240A4" w:rsidP="0088600A">
            <w:pPr>
              <w:jc w:val="center"/>
            </w:pPr>
            <w:r w:rsidRPr="00E70471">
              <w:t>(%)</w:t>
            </w:r>
          </w:p>
        </w:tc>
      </w:tr>
      <w:tr w:rsidR="00E240A4" w:rsidRPr="00E70471" w14:paraId="0BEBE83C" w14:textId="77777777" w:rsidTr="004F1A28">
        <w:trPr>
          <w:cantSplit/>
        </w:trPr>
        <w:tc>
          <w:tcPr>
            <w:tcW w:w="2660" w:type="dxa"/>
          </w:tcPr>
          <w:p w14:paraId="3D1C170F" w14:textId="77777777" w:rsidR="00E240A4" w:rsidRPr="00E70471" w:rsidRDefault="00E240A4" w:rsidP="0088600A">
            <w:pPr>
              <w:jc w:val="center"/>
            </w:pPr>
            <w:r w:rsidRPr="00E70471">
              <w:t>Yes</w:t>
            </w:r>
          </w:p>
        </w:tc>
        <w:tc>
          <w:tcPr>
            <w:tcW w:w="1559" w:type="dxa"/>
          </w:tcPr>
          <w:p w14:paraId="79AD6440" w14:textId="77777777" w:rsidR="00E240A4" w:rsidRPr="00E70471" w:rsidRDefault="00E240A4" w:rsidP="0088600A">
            <w:pPr>
              <w:jc w:val="center"/>
            </w:pPr>
            <w:r w:rsidRPr="00E70471">
              <w:t>74</w:t>
            </w:r>
          </w:p>
        </w:tc>
      </w:tr>
      <w:tr w:rsidR="00E240A4" w:rsidRPr="00E70471" w14:paraId="5485FC4C" w14:textId="77777777" w:rsidTr="004F1A28">
        <w:trPr>
          <w:cantSplit/>
        </w:trPr>
        <w:tc>
          <w:tcPr>
            <w:tcW w:w="2660" w:type="dxa"/>
          </w:tcPr>
          <w:p w14:paraId="7438F85F" w14:textId="77777777" w:rsidR="00E240A4" w:rsidRPr="00E70471" w:rsidRDefault="00E240A4" w:rsidP="0088600A">
            <w:pPr>
              <w:jc w:val="center"/>
            </w:pPr>
            <w:r w:rsidRPr="00E70471">
              <w:t>No</w:t>
            </w:r>
          </w:p>
        </w:tc>
        <w:tc>
          <w:tcPr>
            <w:tcW w:w="1559" w:type="dxa"/>
          </w:tcPr>
          <w:p w14:paraId="489D45A7" w14:textId="77777777" w:rsidR="00E240A4" w:rsidRPr="00E70471" w:rsidRDefault="00E240A4" w:rsidP="0088600A">
            <w:pPr>
              <w:jc w:val="center"/>
            </w:pPr>
            <w:r w:rsidRPr="00E70471">
              <w:t>17</w:t>
            </w:r>
          </w:p>
        </w:tc>
      </w:tr>
      <w:tr w:rsidR="00E240A4" w:rsidRPr="00E70471" w14:paraId="228BA057" w14:textId="77777777" w:rsidTr="004F1A28">
        <w:trPr>
          <w:cantSplit/>
        </w:trPr>
        <w:tc>
          <w:tcPr>
            <w:tcW w:w="2660" w:type="dxa"/>
          </w:tcPr>
          <w:p w14:paraId="332CC747" w14:textId="77777777" w:rsidR="00E240A4" w:rsidRPr="00E70471" w:rsidRDefault="00E240A4" w:rsidP="0088600A">
            <w:pPr>
              <w:jc w:val="center"/>
            </w:pPr>
            <w:r w:rsidRPr="00E70471">
              <w:t>Unsure</w:t>
            </w:r>
          </w:p>
        </w:tc>
        <w:tc>
          <w:tcPr>
            <w:tcW w:w="1559" w:type="dxa"/>
          </w:tcPr>
          <w:p w14:paraId="57E5B633" w14:textId="77777777" w:rsidR="00E240A4" w:rsidRPr="00E70471" w:rsidRDefault="00E240A4" w:rsidP="0088600A">
            <w:pPr>
              <w:jc w:val="center"/>
            </w:pPr>
            <w:r w:rsidRPr="00E70471">
              <w:t>9</w:t>
            </w:r>
          </w:p>
        </w:tc>
      </w:tr>
    </w:tbl>
    <w:p w14:paraId="6192ECF7" w14:textId="77777777" w:rsidR="00E240A4" w:rsidRPr="00476787" w:rsidRDefault="00E240A4" w:rsidP="00700ED2">
      <w:pPr>
        <w:pStyle w:val="Default"/>
        <w:spacing w:before="240" w:after="120"/>
        <w:rPr>
          <w:sz w:val="22"/>
        </w:rPr>
      </w:pPr>
      <w:r w:rsidRPr="00B210EA">
        <w:rPr>
          <w:b/>
          <w:sz w:val="22"/>
        </w:rPr>
        <w:t xml:space="preserve">Table </w:t>
      </w:r>
      <w:r>
        <w:rPr>
          <w:b/>
          <w:sz w:val="22"/>
        </w:rPr>
        <w:t>4</w:t>
      </w:r>
      <w:r w:rsidRPr="00476787">
        <w:rPr>
          <w:sz w:val="22"/>
        </w:rPr>
        <w:t xml:space="preserve">: </w:t>
      </w:r>
      <w:r w:rsidRPr="00476787">
        <w:rPr>
          <w:bCs/>
          <w:sz w:val="22"/>
        </w:rPr>
        <w:t>Are you aware that the HSR on some foods/products is based on the food being prepared as per pack instructions?</w:t>
      </w:r>
    </w:p>
    <w:tbl>
      <w:tblPr>
        <w:tblStyle w:val="TableGrid"/>
        <w:tblW w:w="0" w:type="auto"/>
        <w:tblLook w:val="04A0" w:firstRow="1" w:lastRow="0" w:firstColumn="1" w:lastColumn="0" w:noHBand="0" w:noVBand="1"/>
        <w:tblCaption w:val="Awareness of HSR on some foods/products being based on the food being prepared as per pack instructions"/>
        <w:tblDescription w:val="Two columns, indicating percentage of who answered 'yes', 'no' or 'unsure'."/>
      </w:tblPr>
      <w:tblGrid>
        <w:gridCol w:w="2660"/>
        <w:gridCol w:w="1559"/>
      </w:tblGrid>
      <w:tr w:rsidR="00E240A4" w:rsidRPr="00E70471" w14:paraId="6A455FFF" w14:textId="77777777" w:rsidTr="004F1A28">
        <w:trPr>
          <w:cantSplit/>
          <w:tblHeader/>
        </w:trPr>
        <w:tc>
          <w:tcPr>
            <w:tcW w:w="2660" w:type="dxa"/>
            <w:shd w:val="clear" w:color="auto" w:fill="D9D9D9" w:themeFill="background1" w:themeFillShade="D9"/>
            <w:vAlign w:val="center"/>
          </w:tcPr>
          <w:p w14:paraId="5C99A4E2" w14:textId="77777777" w:rsidR="00E240A4" w:rsidRPr="00E70471" w:rsidRDefault="00E240A4" w:rsidP="0088600A">
            <w:pPr>
              <w:jc w:val="center"/>
            </w:pPr>
            <w:r>
              <w:t>Response</w:t>
            </w:r>
          </w:p>
        </w:tc>
        <w:tc>
          <w:tcPr>
            <w:tcW w:w="1559" w:type="dxa"/>
            <w:shd w:val="clear" w:color="auto" w:fill="D9D9D9" w:themeFill="background1" w:themeFillShade="D9"/>
            <w:vAlign w:val="center"/>
          </w:tcPr>
          <w:p w14:paraId="0D575430" w14:textId="77777777" w:rsidR="00E240A4" w:rsidRPr="00E70471" w:rsidRDefault="00E240A4" w:rsidP="0088600A">
            <w:pPr>
              <w:jc w:val="center"/>
            </w:pPr>
            <w:r w:rsidRPr="00E70471">
              <w:t>(%)</w:t>
            </w:r>
          </w:p>
        </w:tc>
      </w:tr>
      <w:tr w:rsidR="00E240A4" w:rsidRPr="00E70471" w14:paraId="0BE3D00C" w14:textId="77777777" w:rsidTr="0088600A">
        <w:trPr>
          <w:cantSplit/>
        </w:trPr>
        <w:tc>
          <w:tcPr>
            <w:tcW w:w="2660" w:type="dxa"/>
            <w:vAlign w:val="center"/>
          </w:tcPr>
          <w:p w14:paraId="02809A13" w14:textId="77777777" w:rsidR="00E240A4" w:rsidRPr="00E70471" w:rsidRDefault="00E240A4" w:rsidP="0088600A">
            <w:pPr>
              <w:jc w:val="center"/>
            </w:pPr>
            <w:r w:rsidRPr="00E70471">
              <w:t>Yes</w:t>
            </w:r>
          </w:p>
        </w:tc>
        <w:tc>
          <w:tcPr>
            <w:tcW w:w="1559" w:type="dxa"/>
            <w:vAlign w:val="center"/>
          </w:tcPr>
          <w:p w14:paraId="1AA3759D" w14:textId="77777777" w:rsidR="00E240A4" w:rsidRPr="00E70471" w:rsidRDefault="00E240A4" w:rsidP="0088600A">
            <w:pPr>
              <w:jc w:val="center"/>
            </w:pPr>
            <w:r w:rsidRPr="00E70471">
              <w:t>39</w:t>
            </w:r>
          </w:p>
        </w:tc>
      </w:tr>
      <w:tr w:rsidR="00E240A4" w:rsidRPr="00E70471" w14:paraId="73361126" w14:textId="77777777" w:rsidTr="0088600A">
        <w:trPr>
          <w:cantSplit/>
        </w:trPr>
        <w:tc>
          <w:tcPr>
            <w:tcW w:w="2660" w:type="dxa"/>
            <w:vAlign w:val="center"/>
          </w:tcPr>
          <w:p w14:paraId="3DB115D4" w14:textId="77777777" w:rsidR="00E240A4" w:rsidRPr="00E70471" w:rsidRDefault="00E240A4" w:rsidP="0088600A">
            <w:pPr>
              <w:jc w:val="center"/>
            </w:pPr>
            <w:r w:rsidRPr="00E70471">
              <w:t>No</w:t>
            </w:r>
          </w:p>
        </w:tc>
        <w:tc>
          <w:tcPr>
            <w:tcW w:w="1559" w:type="dxa"/>
            <w:vAlign w:val="center"/>
          </w:tcPr>
          <w:p w14:paraId="4D9F4C11" w14:textId="77777777" w:rsidR="00E240A4" w:rsidRPr="00E70471" w:rsidRDefault="00E240A4" w:rsidP="0088600A">
            <w:pPr>
              <w:jc w:val="center"/>
            </w:pPr>
            <w:r w:rsidRPr="00E70471">
              <w:t>44</w:t>
            </w:r>
          </w:p>
        </w:tc>
      </w:tr>
      <w:tr w:rsidR="00E240A4" w:rsidRPr="00E70471" w14:paraId="3B51AEB6" w14:textId="77777777" w:rsidTr="0088600A">
        <w:trPr>
          <w:cantSplit/>
        </w:trPr>
        <w:tc>
          <w:tcPr>
            <w:tcW w:w="2660" w:type="dxa"/>
            <w:vAlign w:val="center"/>
          </w:tcPr>
          <w:p w14:paraId="7C3CCAFF" w14:textId="77777777" w:rsidR="00E240A4" w:rsidRPr="00E70471" w:rsidRDefault="00E240A4" w:rsidP="0088600A">
            <w:pPr>
              <w:jc w:val="center"/>
            </w:pPr>
            <w:r w:rsidRPr="00E70471">
              <w:t>Unsure</w:t>
            </w:r>
          </w:p>
        </w:tc>
        <w:tc>
          <w:tcPr>
            <w:tcW w:w="1559" w:type="dxa"/>
            <w:vAlign w:val="center"/>
          </w:tcPr>
          <w:p w14:paraId="4344A3EE" w14:textId="77777777" w:rsidR="00E240A4" w:rsidRPr="00E70471" w:rsidRDefault="00E240A4" w:rsidP="0088600A">
            <w:pPr>
              <w:jc w:val="center"/>
            </w:pPr>
            <w:r w:rsidRPr="00E70471">
              <w:t>16</w:t>
            </w:r>
          </w:p>
        </w:tc>
      </w:tr>
    </w:tbl>
    <w:p w14:paraId="47A8605F" w14:textId="36B44A4B" w:rsidR="00E240A4" w:rsidRDefault="00E240A4" w:rsidP="00700ED2">
      <w:pPr>
        <w:spacing w:before="240" w:after="240"/>
        <w:rPr>
          <w:color w:val="000000"/>
          <w:szCs w:val="22"/>
          <w:lang w:eastAsia="en-AU"/>
        </w:rPr>
      </w:pPr>
      <w:r>
        <w:t xml:space="preserve">The research reported that </w:t>
      </w:r>
      <w:r w:rsidRPr="008C3467">
        <w:t xml:space="preserve">49% of respondents who </w:t>
      </w:r>
      <w:r>
        <w:t>were</w:t>
      </w:r>
      <w:r w:rsidRPr="008C3467">
        <w:t xml:space="preserve"> aware</w:t>
      </w:r>
      <w:r>
        <w:t xml:space="preserve"> of the ‘as prepared’ rules</w:t>
      </w:r>
      <w:r w:rsidRPr="008C3467">
        <w:t xml:space="preserve"> (19% overall) find the HSR useful </w:t>
      </w:r>
      <w:r>
        <w:t xml:space="preserve">for comparing foods within these </w:t>
      </w:r>
      <w:r w:rsidRPr="008C3467">
        <w:t>categories.</w:t>
      </w:r>
      <w:r>
        <w:t xml:space="preserve"> </w:t>
      </w:r>
      <w:r>
        <w:rPr>
          <w:color w:val="000000"/>
          <w:szCs w:val="22"/>
          <w:lang w:eastAsia="en-AU"/>
        </w:rPr>
        <w:t xml:space="preserve">In contrast, 15% </w:t>
      </w:r>
      <w:r w:rsidRPr="008C3467">
        <w:t xml:space="preserve">of respondents who </w:t>
      </w:r>
      <w:r>
        <w:t>were</w:t>
      </w:r>
      <w:r w:rsidRPr="008C3467">
        <w:t xml:space="preserve"> aware</w:t>
      </w:r>
      <w:r>
        <w:t xml:space="preserve"> of ‘as prepared’</w:t>
      </w:r>
      <w:r w:rsidR="00B75812">
        <w:t xml:space="preserve"> (7% overall)</w:t>
      </w:r>
      <w:r w:rsidRPr="00DF52F7">
        <w:rPr>
          <w:color w:val="000000"/>
          <w:szCs w:val="22"/>
          <w:lang w:eastAsia="en-AU"/>
        </w:rPr>
        <w:t xml:space="preserve"> </w:t>
      </w:r>
      <w:r>
        <w:rPr>
          <w:color w:val="000000"/>
          <w:szCs w:val="22"/>
          <w:lang w:eastAsia="en-AU"/>
        </w:rPr>
        <w:t>stated</w:t>
      </w:r>
      <w:r w:rsidRPr="00DF52F7">
        <w:rPr>
          <w:color w:val="000000"/>
          <w:szCs w:val="22"/>
          <w:lang w:eastAsia="en-AU"/>
        </w:rPr>
        <w:t xml:space="preserve"> that the </w:t>
      </w:r>
      <w:r>
        <w:rPr>
          <w:color w:val="000000"/>
          <w:szCs w:val="22"/>
          <w:lang w:eastAsia="en-AU"/>
        </w:rPr>
        <w:t xml:space="preserve">HSR is not useful </w:t>
      </w:r>
      <w:r w:rsidRPr="00DF52F7">
        <w:rPr>
          <w:color w:val="000000"/>
          <w:szCs w:val="22"/>
          <w:lang w:eastAsia="en-AU"/>
        </w:rPr>
        <w:t xml:space="preserve">when comparing food products where the </w:t>
      </w:r>
      <w:r>
        <w:rPr>
          <w:color w:val="000000"/>
          <w:szCs w:val="22"/>
          <w:lang w:eastAsia="en-AU"/>
        </w:rPr>
        <w:t>HSR</w:t>
      </w:r>
      <w:r w:rsidRPr="00DF52F7">
        <w:rPr>
          <w:color w:val="000000"/>
          <w:szCs w:val="22"/>
          <w:lang w:eastAsia="en-AU"/>
        </w:rPr>
        <w:t xml:space="preserve"> is based on the food being pre</w:t>
      </w:r>
      <w:r>
        <w:rPr>
          <w:color w:val="000000"/>
          <w:szCs w:val="22"/>
          <w:lang w:eastAsia="en-AU"/>
        </w:rPr>
        <w:t>pared as per pack instructions.</w:t>
      </w:r>
    </w:p>
    <w:p w14:paraId="2185F7B4" w14:textId="77777777" w:rsidR="00E240A4" w:rsidRDefault="00E240A4" w:rsidP="00700ED2">
      <w:pPr>
        <w:spacing w:after="240"/>
      </w:pPr>
      <w:r>
        <w:t>Chart 1</w:t>
      </w:r>
      <w:r w:rsidRPr="003A4FF8">
        <w:t xml:space="preserve"> below indicates</w:t>
      </w:r>
      <w:r>
        <w:t xml:space="preserve"> the percentage of people who reported that they follow the recipe/instructions for certain product categories. Of note is the relatively high proportion of consumers that follow instructions for cake and pancake mixes, breakfast cereals*, cordials and cooking and finishing sauces. A low proportion of people report following instructions for sauce mixes, recipe bases and ready meals/meal kits. Flavoured milk powders and hot chocolate mixes lie roughly in the middle of the distribution.</w:t>
      </w:r>
    </w:p>
    <w:p w14:paraId="2B7C6A0A" w14:textId="7B48580A" w:rsidR="00744D49" w:rsidRDefault="00E240A4" w:rsidP="00700ED2">
      <w:pPr>
        <w:spacing w:after="240"/>
      </w:pPr>
      <w:r>
        <w:t xml:space="preserve">* Note: the </w:t>
      </w:r>
      <w:r w:rsidRPr="00640F3A">
        <w:t>Guide for Industry</w:t>
      </w:r>
      <w:r>
        <w:t xml:space="preserve"> states that f</w:t>
      </w:r>
      <w:r w:rsidRPr="00790916">
        <w:t xml:space="preserve">or breakfast cereals the HSR should be </w:t>
      </w:r>
      <w:r>
        <w:t>displayed for the cereal</w:t>
      </w:r>
      <w:r w:rsidRPr="00790916">
        <w:t xml:space="preserve"> as sold</w:t>
      </w:r>
      <w:r>
        <w:t>.</w:t>
      </w:r>
    </w:p>
    <w:p w14:paraId="216679A3" w14:textId="77777777" w:rsidR="00744D49" w:rsidRDefault="00744D49">
      <w:r>
        <w:br w:type="page"/>
      </w:r>
    </w:p>
    <w:p w14:paraId="5EFCDD91" w14:textId="77777777" w:rsidR="00E240A4" w:rsidRPr="00B8505C" w:rsidRDefault="00E240A4" w:rsidP="00700ED2">
      <w:pPr>
        <w:pStyle w:val="Default"/>
        <w:spacing w:before="240" w:after="120"/>
        <w:rPr>
          <w:sz w:val="22"/>
          <w:szCs w:val="22"/>
        </w:rPr>
      </w:pPr>
      <w:r w:rsidRPr="00B210EA">
        <w:rPr>
          <w:b/>
          <w:sz w:val="22"/>
          <w:szCs w:val="22"/>
        </w:rPr>
        <w:lastRenderedPageBreak/>
        <w:t xml:space="preserve">Chart </w:t>
      </w:r>
      <w:r>
        <w:rPr>
          <w:b/>
          <w:sz w:val="22"/>
          <w:szCs w:val="22"/>
        </w:rPr>
        <w:t>1</w:t>
      </w:r>
      <w:r w:rsidRPr="00FF378B">
        <w:rPr>
          <w:sz w:val="22"/>
          <w:szCs w:val="22"/>
        </w:rPr>
        <w:t xml:space="preserve">: </w:t>
      </w:r>
      <w:r>
        <w:rPr>
          <w:sz w:val="22"/>
          <w:szCs w:val="22"/>
        </w:rPr>
        <w:t xml:space="preserve">If you use the following products, </w:t>
      </w:r>
      <w:r>
        <w:rPr>
          <w:sz w:val="22"/>
          <w:szCs w:val="22"/>
          <w:lang w:val="en-AU" w:eastAsia="en-AU"/>
        </w:rPr>
        <w:t>do you</w:t>
      </w:r>
      <w:r w:rsidRPr="00FF378B">
        <w:rPr>
          <w:sz w:val="22"/>
          <w:szCs w:val="22"/>
          <w:lang w:val="en-AU" w:eastAsia="en-AU"/>
        </w:rPr>
        <w:t xml:space="preserve"> follow the instructions wh</w:t>
      </w:r>
      <w:r>
        <w:rPr>
          <w:sz w:val="22"/>
          <w:szCs w:val="22"/>
          <w:lang w:val="en-AU" w:eastAsia="en-AU"/>
        </w:rPr>
        <w:t>en preparing pre-packaged foods?</w:t>
      </w:r>
    </w:p>
    <w:p w14:paraId="25CCFF02" w14:textId="77777777" w:rsidR="00E240A4" w:rsidRDefault="00E240A4" w:rsidP="00E240A4">
      <w:pPr>
        <w:spacing w:before="120" w:beforeAutospacing="1" w:after="120" w:afterAutospacing="1"/>
        <w:ind w:left="-993" w:right="-908"/>
        <w:contextualSpacing/>
        <w:rPr>
          <w:color w:val="000000"/>
          <w:szCs w:val="22"/>
          <w:lang w:eastAsia="en-AU"/>
        </w:rPr>
      </w:pPr>
      <w:r>
        <w:rPr>
          <w:noProof/>
          <w:lang w:eastAsia="en-AU"/>
        </w:rPr>
        <w:drawing>
          <wp:inline distT="0" distB="0" distL="0" distR="0" wp14:anchorId="08CD15E2" wp14:editId="60C77059">
            <wp:extent cx="6410325" cy="4170135"/>
            <wp:effectExtent l="0" t="0" r="0" b="1905"/>
            <wp:docPr id="28" name="Picture 28" descr="Bar chart showing responses by percentage." title="Percentage of people who reported that they follow the recipe/instructions for certain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410725" cy="4170395"/>
                    </a:xfrm>
                    <a:prstGeom prst="rect">
                      <a:avLst/>
                    </a:prstGeom>
                  </pic:spPr>
                </pic:pic>
              </a:graphicData>
            </a:graphic>
          </wp:inline>
        </w:drawing>
      </w:r>
    </w:p>
    <w:p w14:paraId="445FC8D1" w14:textId="77777777" w:rsidR="00E240A4" w:rsidRPr="00700ED2" w:rsidRDefault="00E240A4" w:rsidP="00E240A4">
      <w:pPr>
        <w:spacing w:before="120" w:after="120"/>
        <w:rPr>
          <w:sz w:val="18"/>
          <w:szCs w:val="18"/>
        </w:rPr>
      </w:pPr>
      <w:r w:rsidRPr="002A4379">
        <w:rPr>
          <w:sz w:val="18"/>
          <w:szCs w:val="18"/>
        </w:rPr>
        <w:t>n =</w:t>
      </w:r>
      <w:r>
        <w:rPr>
          <w:sz w:val="18"/>
          <w:szCs w:val="18"/>
        </w:rPr>
        <w:t xml:space="preserve"> 1,546</w:t>
      </w:r>
    </w:p>
    <w:p w14:paraId="5A584A98" w14:textId="77777777" w:rsidR="00FF26F5" w:rsidRDefault="00FF26F5">
      <w:pPr>
        <w:rPr>
          <w:rFonts w:ascii="Arial" w:hAnsi="Arial" w:cs="Arial"/>
          <w:b/>
          <w:bCs/>
          <w:i/>
          <w:iCs/>
          <w:szCs w:val="28"/>
        </w:rPr>
      </w:pPr>
      <w:r>
        <w:br w:type="page"/>
      </w:r>
    </w:p>
    <w:p w14:paraId="29A7D2A4" w14:textId="4539ED7A" w:rsidR="00E240A4" w:rsidRPr="005E44F3" w:rsidRDefault="00E240A4" w:rsidP="00B0768E">
      <w:pPr>
        <w:pStyle w:val="Heading2"/>
        <w:rPr>
          <w:color w:val="000000"/>
          <w:lang w:eastAsia="en-AU"/>
        </w:rPr>
      </w:pPr>
      <w:bookmarkStart w:id="8" w:name="_Toc511309265"/>
      <w:r w:rsidRPr="005E44F3">
        <w:lastRenderedPageBreak/>
        <w:t>Alignment with s</w:t>
      </w:r>
      <w:r w:rsidR="00250896">
        <w:t>ystem objectives and priorities</w:t>
      </w:r>
      <w:bookmarkEnd w:id="8"/>
    </w:p>
    <w:p w14:paraId="2648B9D1" w14:textId="77777777" w:rsidR="00E240A4" w:rsidRPr="00615CB3" w:rsidRDefault="00E240A4" w:rsidP="002027DF">
      <w:pPr>
        <w:spacing w:after="120"/>
      </w:pPr>
      <w:r w:rsidRPr="00615CB3">
        <w:t>The HSR system aims</w:t>
      </w:r>
      <w:r w:rsidRPr="00615CB3">
        <w:rPr>
          <w:rStyle w:val="FootnoteReference"/>
          <w:lang w:eastAsia="en-AU"/>
        </w:rPr>
        <w:footnoteReference w:id="7"/>
      </w:r>
      <w:r w:rsidRPr="00615CB3">
        <w:t xml:space="preserve"> to:</w:t>
      </w:r>
    </w:p>
    <w:p w14:paraId="4F0D5167" w14:textId="33063948" w:rsidR="00E240A4" w:rsidRPr="00615CB3" w:rsidRDefault="00E240A4" w:rsidP="002027DF">
      <w:pPr>
        <w:pStyle w:val="ListParagraph"/>
        <w:numPr>
          <w:ilvl w:val="0"/>
          <w:numId w:val="2"/>
        </w:numPr>
        <w:ind w:left="714" w:hanging="357"/>
        <w:rPr>
          <w:lang w:eastAsia="en-AU"/>
        </w:rPr>
      </w:pPr>
      <w:r w:rsidRPr="00615CB3">
        <w:rPr>
          <w:lang w:eastAsia="en-AU"/>
        </w:rPr>
        <w:t>Enable direct comparison between individual foods that, within the overall diet, may contribute to the risk factors of various diet</w:t>
      </w:r>
      <w:r w:rsidR="00B75812">
        <w:rPr>
          <w:lang w:eastAsia="en-AU"/>
        </w:rPr>
        <w:t>-</w:t>
      </w:r>
      <w:r w:rsidRPr="00615CB3">
        <w:rPr>
          <w:lang w:eastAsia="en-AU"/>
        </w:rPr>
        <w:t xml:space="preserve">related chronic diseases; </w:t>
      </w:r>
    </w:p>
    <w:p w14:paraId="4CF8CB63" w14:textId="77777777" w:rsidR="00E240A4" w:rsidRPr="00613AB8" w:rsidRDefault="00E240A4" w:rsidP="002027DF">
      <w:pPr>
        <w:pStyle w:val="ListParagraph"/>
        <w:numPr>
          <w:ilvl w:val="0"/>
          <w:numId w:val="2"/>
        </w:numPr>
        <w:rPr>
          <w:lang w:eastAsia="en-AU"/>
        </w:rPr>
      </w:pPr>
      <w:r w:rsidRPr="00613AB8">
        <w:rPr>
          <w:lang w:eastAsia="en-AU"/>
        </w:rPr>
        <w:t>Be readily understandable and meaningful across socio-economic groups, culturally and linguistically diverse groups and low literacy/low numeracy groups; and</w:t>
      </w:r>
    </w:p>
    <w:p w14:paraId="7F9F6F2D" w14:textId="10D04059" w:rsidR="00E240A4" w:rsidRDefault="00E240A4" w:rsidP="002027DF">
      <w:pPr>
        <w:pStyle w:val="ListParagraph"/>
        <w:numPr>
          <w:ilvl w:val="0"/>
          <w:numId w:val="2"/>
        </w:numPr>
        <w:spacing w:after="240"/>
        <w:ind w:left="714" w:hanging="357"/>
        <w:contextualSpacing w:val="0"/>
        <w:rPr>
          <w:lang w:eastAsia="en-AU"/>
        </w:rPr>
      </w:pPr>
      <w:r w:rsidRPr="00613AB8">
        <w:rPr>
          <w:lang w:eastAsia="en-AU"/>
        </w:rPr>
        <w:t>Increase awareness of foods that, within the overall diet, may contribute positively or negatively to the risk factors of diet</w:t>
      </w:r>
      <w:r w:rsidR="00B75812">
        <w:rPr>
          <w:lang w:eastAsia="en-AU"/>
        </w:rPr>
        <w:t>-</w:t>
      </w:r>
      <w:r w:rsidRPr="00613AB8">
        <w:rPr>
          <w:lang w:eastAsia="en-AU"/>
        </w:rPr>
        <w:t xml:space="preserve">related chronic diseases. </w:t>
      </w:r>
    </w:p>
    <w:p w14:paraId="227905DD" w14:textId="77777777" w:rsidR="00E240A4" w:rsidRPr="006B75F0" w:rsidRDefault="00E240A4" w:rsidP="002027DF">
      <w:pPr>
        <w:pStyle w:val="ListParagraph"/>
        <w:keepNext/>
        <w:numPr>
          <w:ilvl w:val="0"/>
          <w:numId w:val="27"/>
        </w:numPr>
        <w:spacing w:after="240"/>
        <w:ind w:left="351" w:hanging="357"/>
        <w:contextualSpacing w:val="0"/>
        <w:rPr>
          <w:i/>
          <w:u w:val="single"/>
          <w:lang w:eastAsia="en-AU"/>
        </w:rPr>
      </w:pPr>
      <w:r w:rsidRPr="006B75F0">
        <w:rPr>
          <w:i/>
          <w:u w:val="single"/>
          <w:lang w:eastAsia="en-AU"/>
        </w:rPr>
        <w:t>Enable direct comparison between individual foods</w:t>
      </w:r>
    </w:p>
    <w:p w14:paraId="17E2B426" w14:textId="2B83AC91" w:rsidR="00E240A4" w:rsidRPr="0016542F" w:rsidRDefault="002D1E48" w:rsidP="002027DF">
      <w:pPr>
        <w:spacing w:after="240"/>
        <w:rPr>
          <w:lang w:eastAsia="en-AU"/>
        </w:rPr>
      </w:pPr>
      <w:r>
        <w:rPr>
          <w:lang w:eastAsia="en-AU"/>
        </w:rPr>
        <w:t>T</w:t>
      </w:r>
      <w:r w:rsidR="00E240A4" w:rsidRPr="0014373F">
        <w:rPr>
          <w:lang w:eastAsia="en-AU"/>
        </w:rPr>
        <w:t xml:space="preserve">he current ‘as prepared’ provisions </w:t>
      </w:r>
      <w:r>
        <w:rPr>
          <w:lang w:eastAsia="en-AU"/>
        </w:rPr>
        <w:t>intend</w:t>
      </w:r>
      <w:r w:rsidR="00E240A4" w:rsidRPr="0014373F">
        <w:rPr>
          <w:lang w:eastAsia="en-AU"/>
        </w:rPr>
        <w:t xml:space="preserve"> to</w:t>
      </w:r>
      <w:r w:rsidR="00E240A4">
        <w:rPr>
          <w:lang w:eastAsia="en-AU"/>
        </w:rPr>
        <w:t xml:space="preserve"> </w:t>
      </w:r>
      <w:r w:rsidR="00E240A4" w:rsidRPr="0014373F">
        <w:rPr>
          <w:lang w:eastAsia="en-AU"/>
        </w:rPr>
        <w:t xml:space="preserve">meet the aim of enabling direct comparison between </w:t>
      </w:r>
      <w:r w:rsidR="00E240A4">
        <w:rPr>
          <w:lang w:eastAsia="en-AU"/>
        </w:rPr>
        <w:t>similar</w:t>
      </w:r>
      <w:r w:rsidR="00E240A4" w:rsidRPr="0014373F">
        <w:rPr>
          <w:lang w:eastAsia="en-AU"/>
        </w:rPr>
        <w:t xml:space="preserve"> foods, when </w:t>
      </w:r>
      <w:r w:rsidR="00E240A4">
        <w:rPr>
          <w:lang w:eastAsia="en-AU"/>
        </w:rPr>
        <w:t>products are prepared according to the instructions</w:t>
      </w:r>
      <w:r w:rsidR="00E240A4" w:rsidRPr="0014373F">
        <w:rPr>
          <w:lang w:eastAsia="en-AU"/>
        </w:rPr>
        <w:t xml:space="preserve">. </w:t>
      </w:r>
      <w:r w:rsidR="00E240A4">
        <w:rPr>
          <w:lang w:eastAsia="en-AU"/>
        </w:rPr>
        <w:t>However, a major criticism</w:t>
      </w:r>
      <w:r w:rsidR="0016542F">
        <w:rPr>
          <w:lang w:eastAsia="en-AU"/>
        </w:rPr>
        <w:t xml:space="preserve"> is that</w:t>
      </w:r>
      <w:r w:rsidR="009970E0">
        <w:rPr>
          <w:lang w:eastAsia="en-AU"/>
        </w:rPr>
        <w:t xml:space="preserve"> the current rules</w:t>
      </w:r>
      <w:r>
        <w:rPr>
          <w:lang w:eastAsia="en-AU"/>
        </w:rPr>
        <w:t xml:space="preserve"> actually</w:t>
      </w:r>
      <w:r w:rsidR="009970E0">
        <w:rPr>
          <w:lang w:eastAsia="en-AU"/>
        </w:rPr>
        <w:t xml:space="preserve"> undermine </w:t>
      </w:r>
      <w:r w:rsidR="0016542F">
        <w:rPr>
          <w:lang w:eastAsia="en-AU"/>
        </w:rPr>
        <w:t>this</w:t>
      </w:r>
      <w:r w:rsidR="009970E0">
        <w:rPr>
          <w:lang w:eastAsia="en-AU"/>
        </w:rPr>
        <w:t xml:space="preserve"> goal</w:t>
      </w:r>
      <w:r w:rsidR="0016542F">
        <w:rPr>
          <w:lang w:eastAsia="en-AU"/>
        </w:rPr>
        <w:t xml:space="preserve"> </w:t>
      </w:r>
      <w:r w:rsidR="009970E0">
        <w:rPr>
          <w:lang w:eastAsia="en-AU"/>
        </w:rPr>
        <w:t>through the display of misleading</w:t>
      </w:r>
      <w:r w:rsidR="00E240A4">
        <w:rPr>
          <w:lang w:eastAsia="en-AU"/>
        </w:rPr>
        <w:t xml:space="preserve"> ‘as prepared’ </w:t>
      </w:r>
      <w:r w:rsidR="0016542F">
        <w:rPr>
          <w:lang w:eastAsia="en-AU"/>
        </w:rPr>
        <w:t>HSR</w:t>
      </w:r>
      <w:r w:rsidR="009970E0">
        <w:rPr>
          <w:lang w:eastAsia="en-AU"/>
        </w:rPr>
        <w:t>s</w:t>
      </w:r>
      <w:r w:rsidR="00E240A4">
        <w:rPr>
          <w:lang w:eastAsia="en-AU"/>
        </w:rPr>
        <w:t xml:space="preserve">. </w:t>
      </w:r>
      <w:r w:rsidR="0016542F">
        <w:rPr>
          <w:lang w:eastAsia="en-AU"/>
        </w:rPr>
        <w:t>Nutritional composition of added ingredients, such as whole milk, reduced fat or skim milk, can impact the HSR ‘as prepared,’ and c</w:t>
      </w:r>
      <w:r w:rsidR="00E240A4">
        <w:rPr>
          <w:lang w:eastAsia="en-AU"/>
        </w:rPr>
        <w:t>onsumers</w:t>
      </w:r>
      <w:r w:rsidR="0016542F">
        <w:rPr>
          <w:lang w:eastAsia="en-AU"/>
        </w:rPr>
        <w:t xml:space="preserve"> </w:t>
      </w:r>
      <w:r w:rsidR="00B75812">
        <w:rPr>
          <w:lang w:eastAsia="en-AU"/>
        </w:rPr>
        <w:t xml:space="preserve">do </w:t>
      </w:r>
      <w:r w:rsidR="00E240A4">
        <w:rPr>
          <w:lang w:eastAsia="en-AU"/>
        </w:rPr>
        <w:t>not always prepar</w:t>
      </w:r>
      <w:r w:rsidR="00B75812">
        <w:rPr>
          <w:lang w:eastAsia="en-AU"/>
        </w:rPr>
        <w:t>e</w:t>
      </w:r>
      <w:r w:rsidR="00E240A4">
        <w:rPr>
          <w:lang w:eastAsia="en-AU"/>
        </w:rPr>
        <w:t xml:space="preserve"> foods according to the on-pack instructions </w:t>
      </w:r>
      <w:r w:rsidR="0016542F">
        <w:rPr>
          <w:lang w:eastAsia="en-AU"/>
        </w:rPr>
        <w:t>(in addition,</w:t>
      </w:r>
      <w:r w:rsidR="00E240A4">
        <w:rPr>
          <w:lang w:eastAsia="en-AU"/>
        </w:rPr>
        <w:t xml:space="preserve"> multiple mixing instructions may be provided on pack, i</w:t>
      </w:r>
      <w:r w:rsidR="00B75812">
        <w:rPr>
          <w:lang w:eastAsia="en-AU"/>
        </w:rPr>
        <w:t>.</w:t>
      </w:r>
      <w:r w:rsidR="00E240A4">
        <w:rPr>
          <w:lang w:eastAsia="en-AU"/>
        </w:rPr>
        <w:t>e</w:t>
      </w:r>
      <w:r w:rsidR="00B75812">
        <w:rPr>
          <w:lang w:eastAsia="en-AU"/>
        </w:rPr>
        <w:t>.</w:t>
      </w:r>
      <w:r w:rsidR="00E240A4">
        <w:rPr>
          <w:lang w:eastAsia="en-AU"/>
        </w:rPr>
        <w:t xml:space="preserve"> soup mixed with water and/or milk</w:t>
      </w:r>
      <w:r w:rsidR="0016542F">
        <w:rPr>
          <w:lang w:eastAsia="en-AU"/>
        </w:rPr>
        <w:t>)</w:t>
      </w:r>
      <w:r w:rsidR="00E240A4">
        <w:rPr>
          <w:lang w:eastAsia="en-AU"/>
        </w:rPr>
        <w:t>. Therefore</w:t>
      </w:r>
      <w:r w:rsidR="00B75812">
        <w:rPr>
          <w:lang w:eastAsia="en-AU"/>
        </w:rPr>
        <w:t>,</w:t>
      </w:r>
      <w:r w:rsidR="00E240A4">
        <w:rPr>
          <w:lang w:eastAsia="en-AU"/>
        </w:rPr>
        <w:t xml:space="preserve"> accurate comparisons of prepared foods cannot be made. </w:t>
      </w:r>
      <w:r w:rsidR="00E240A4" w:rsidRPr="008D7FCD">
        <w:rPr>
          <w:color w:val="000000"/>
          <w:lang w:eastAsia="en-AU"/>
        </w:rPr>
        <w:t>Any potential amendment to the 'as prepared' rules should uphold the HSR objective of allowing consumers to compare like products as consumer</w:t>
      </w:r>
      <w:r w:rsidR="00B75812">
        <w:rPr>
          <w:color w:val="000000"/>
          <w:lang w:eastAsia="en-AU"/>
        </w:rPr>
        <w:t>s</w:t>
      </w:r>
      <w:r w:rsidR="00E240A4" w:rsidRPr="008D7FCD">
        <w:rPr>
          <w:color w:val="000000"/>
          <w:lang w:eastAsia="en-AU"/>
        </w:rPr>
        <w:t xml:space="preserve"> understand them</w:t>
      </w:r>
      <w:r w:rsidR="009970E0">
        <w:rPr>
          <w:color w:val="000000"/>
          <w:lang w:eastAsia="en-AU"/>
        </w:rPr>
        <w:t>.</w:t>
      </w:r>
    </w:p>
    <w:p w14:paraId="6F25C681" w14:textId="77777777" w:rsidR="00E240A4" w:rsidRPr="006B75F0" w:rsidRDefault="00E240A4" w:rsidP="002027DF">
      <w:pPr>
        <w:pStyle w:val="ListParagraph"/>
        <w:keepNext/>
        <w:numPr>
          <w:ilvl w:val="0"/>
          <w:numId w:val="27"/>
        </w:numPr>
        <w:spacing w:after="240"/>
        <w:contextualSpacing w:val="0"/>
        <w:rPr>
          <w:i/>
          <w:u w:val="single"/>
          <w:lang w:eastAsia="en-AU"/>
        </w:rPr>
      </w:pPr>
      <w:r w:rsidRPr="006B75F0">
        <w:rPr>
          <w:i/>
          <w:u w:val="single"/>
          <w:lang w:eastAsia="en-AU"/>
        </w:rPr>
        <w:t>Be readily understandable and meaningful</w:t>
      </w:r>
    </w:p>
    <w:p w14:paraId="173D459E" w14:textId="469A47FB" w:rsidR="00E240A4" w:rsidRDefault="00E240A4" w:rsidP="002027DF">
      <w:pPr>
        <w:spacing w:after="240"/>
        <w:rPr>
          <w:color w:val="000000"/>
          <w:lang w:eastAsia="en-AU"/>
        </w:rPr>
      </w:pPr>
      <w:r>
        <w:rPr>
          <w:lang w:eastAsia="en-AU"/>
        </w:rPr>
        <w:t>S</w:t>
      </w:r>
      <w:r>
        <w:rPr>
          <w:color w:val="000000"/>
          <w:lang w:eastAsia="en-AU"/>
        </w:rPr>
        <w:t xml:space="preserve">ome stakeholders </w:t>
      </w:r>
      <w:r w:rsidR="003158B7">
        <w:rPr>
          <w:color w:val="000000"/>
          <w:lang w:eastAsia="en-AU"/>
        </w:rPr>
        <w:t xml:space="preserve">have suggested </w:t>
      </w:r>
      <w:r>
        <w:rPr>
          <w:color w:val="000000"/>
          <w:lang w:eastAsia="en-AU"/>
        </w:rPr>
        <w:t xml:space="preserve">that </w:t>
      </w:r>
      <w:r w:rsidRPr="00941033">
        <w:rPr>
          <w:color w:val="000000"/>
          <w:lang w:eastAsia="en-AU"/>
        </w:rPr>
        <w:t xml:space="preserve">the </w:t>
      </w:r>
      <w:r>
        <w:rPr>
          <w:color w:val="000000"/>
          <w:lang w:eastAsia="en-AU"/>
        </w:rPr>
        <w:t>current ‘as prepared’ r</w:t>
      </w:r>
      <w:r w:rsidRPr="00941033">
        <w:rPr>
          <w:color w:val="000000"/>
          <w:lang w:eastAsia="en-AU"/>
        </w:rPr>
        <w:t>ule</w:t>
      </w:r>
      <w:r>
        <w:rPr>
          <w:color w:val="000000"/>
          <w:lang w:eastAsia="en-AU"/>
        </w:rPr>
        <w:t>s are</w:t>
      </w:r>
      <w:r w:rsidRPr="00941033">
        <w:rPr>
          <w:color w:val="000000"/>
          <w:lang w:eastAsia="en-AU"/>
        </w:rPr>
        <w:t xml:space="preserve"> </w:t>
      </w:r>
      <w:r>
        <w:rPr>
          <w:color w:val="000000"/>
          <w:lang w:eastAsia="en-AU"/>
        </w:rPr>
        <w:t xml:space="preserve">not readily understandable </w:t>
      </w:r>
      <w:r>
        <w:rPr>
          <w:lang w:eastAsia="en-AU"/>
        </w:rPr>
        <w:t xml:space="preserve">across socio-economic, </w:t>
      </w:r>
      <w:r w:rsidRPr="00613AB8">
        <w:rPr>
          <w:lang w:eastAsia="en-AU"/>
        </w:rPr>
        <w:t xml:space="preserve">culturally and linguistically diverse </w:t>
      </w:r>
      <w:r>
        <w:rPr>
          <w:lang w:eastAsia="en-AU"/>
        </w:rPr>
        <w:t>and low literacy/</w:t>
      </w:r>
      <w:r w:rsidRPr="00613AB8">
        <w:rPr>
          <w:lang w:eastAsia="en-AU"/>
        </w:rPr>
        <w:t>numeracy groups</w:t>
      </w:r>
      <w:r>
        <w:rPr>
          <w:color w:val="000000"/>
          <w:lang w:eastAsia="en-AU"/>
        </w:rPr>
        <w:t>. This is due to t</w:t>
      </w:r>
      <w:r w:rsidRPr="00941033">
        <w:rPr>
          <w:color w:val="000000"/>
          <w:lang w:eastAsia="en-AU"/>
        </w:rPr>
        <w:t xml:space="preserve">he literacy and numeracy skills required to comprehend </w:t>
      </w:r>
      <w:r>
        <w:rPr>
          <w:color w:val="000000"/>
          <w:lang w:eastAsia="en-AU"/>
        </w:rPr>
        <w:t xml:space="preserve">and apply the logic that the HSR is based on a recipe contained elsewhere on pack and then to understand that the HSR values equate to the food prepared in exact accordance with these directions. Research </w:t>
      </w:r>
      <w:r w:rsidRPr="00315671">
        <w:rPr>
          <w:lang w:eastAsia="en-AU"/>
        </w:rPr>
        <w:t xml:space="preserve">shows that </w:t>
      </w:r>
      <w:r>
        <w:rPr>
          <w:lang w:eastAsia="en-AU"/>
        </w:rPr>
        <w:t xml:space="preserve">39% of consumers are aware that the HSR on some food </w:t>
      </w:r>
      <w:r w:rsidRPr="00315671">
        <w:rPr>
          <w:lang w:eastAsia="en-AU"/>
        </w:rPr>
        <w:t xml:space="preserve">products is based on the food being prepared as per </w:t>
      </w:r>
      <w:r>
        <w:rPr>
          <w:lang w:eastAsia="en-AU"/>
        </w:rPr>
        <w:t>on-</w:t>
      </w:r>
      <w:r w:rsidRPr="00315671">
        <w:rPr>
          <w:lang w:eastAsia="en-AU"/>
        </w:rPr>
        <w:t>pack instructions</w:t>
      </w:r>
      <w:r>
        <w:rPr>
          <w:lang w:eastAsia="en-AU"/>
        </w:rPr>
        <w:t>.</w:t>
      </w:r>
    </w:p>
    <w:p w14:paraId="24A47087" w14:textId="488E61BB" w:rsidR="00E240A4" w:rsidRPr="006B75F0" w:rsidRDefault="009A474D" w:rsidP="002027DF">
      <w:pPr>
        <w:pStyle w:val="ListParagraph"/>
        <w:numPr>
          <w:ilvl w:val="0"/>
          <w:numId w:val="27"/>
        </w:numPr>
        <w:spacing w:after="240"/>
        <w:contextualSpacing w:val="0"/>
        <w:rPr>
          <w:i/>
          <w:color w:val="000000"/>
          <w:u w:val="single"/>
          <w:lang w:eastAsia="en-AU"/>
        </w:rPr>
      </w:pPr>
      <w:r>
        <w:rPr>
          <w:i/>
          <w:color w:val="000000"/>
          <w:u w:val="single"/>
          <w:lang w:eastAsia="en-AU"/>
        </w:rPr>
        <w:t>Alignment with dietary g</w:t>
      </w:r>
      <w:r w:rsidR="00E240A4" w:rsidRPr="006B75F0">
        <w:rPr>
          <w:i/>
          <w:color w:val="000000"/>
          <w:u w:val="single"/>
          <w:lang w:eastAsia="en-AU"/>
        </w:rPr>
        <w:t>uidelines</w:t>
      </w:r>
    </w:p>
    <w:p w14:paraId="537DB260" w14:textId="7A2B653E" w:rsidR="009A5D87" w:rsidRPr="002027DF" w:rsidRDefault="00B75812" w:rsidP="002027DF">
      <w:pPr>
        <w:spacing w:after="240"/>
        <w:rPr>
          <w:color w:val="000000"/>
          <w:szCs w:val="22"/>
          <w:lang w:eastAsia="en-AU"/>
        </w:rPr>
      </w:pPr>
      <w:r w:rsidRPr="00261159">
        <w:t xml:space="preserve">A number of stakeholders </w:t>
      </w:r>
      <w:r w:rsidR="009970E0">
        <w:t>consider</w:t>
      </w:r>
      <w:r w:rsidRPr="00261159">
        <w:t xml:space="preserve"> </w:t>
      </w:r>
      <w:r w:rsidR="00E240A4" w:rsidRPr="00261159">
        <w:t>that the</w:t>
      </w:r>
      <w:r w:rsidR="00250896">
        <w:t xml:space="preserve"> current</w:t>
      </w:r>
      <w:r w:rsidR="00E240A4" w:rsidRPr="00261159">
        <w:t xml:space="preserve"> ‘as prepared’ ruling does not promote food choices in line with Australian and New Zealand dietary guidelines. As many foods eligible to display HSR in the ‘as prepared’ form are specified as discretionary in dietary guidelines, it is considered that such products are advantaged relative to others by displaying an inappropriately higher HSR based on the assumed addition of more nutritious ingredients or dilution of risk nutrients</w:t>
      </w:r>
      <w:r w:rsidR="008935ED">
        <w:t>, e.g. through the addition of vegetables or skim milk</w:t>
      </w:r>
      <w:r w:rsidR="00E240A4" w:rsidRPr="00261159">
        <w:t xml:space="preserve">. </w:t>
      </w:r>
      <w:r w:rsidRPr="00261159">
        <w:t>Other stakeholders noted that the ‘as prepared’ rules</w:t>
      </w:r>
      <w:r w:rsidR="002D1E48">
        <w:t xml:space="preserve"> have the potential, if instructions are followed,</w:t>
      </w:r>
      <w:r w:rsidR="002D1E48" w:rsidRPr="00261159">
        <w:t xml:space="preserve"> </w:t>
      </w:r>
      <w:r w:rsidR="002D1E48">
        <w:t>to</w:t>
      </w:r>
      <w:r w:rsidRPr="00261159">
        <w:t xml:space="preserve"> promote positive dietary habits </w:t>
      </w:r>
      <w:r w:rsidR="002D1E48">
        <w:t>by suggesting the addition of</w:t>
      </w:r>
      <w:r w:rsidRPr="00261159">
        <w:t xml:space="preserve"> foods encouraged by dietary guidelines, </w:t>
      </w:r>
      <w:r w:rsidR="002D1E48">
        <w:t>e.g.</w:t>
      </w:r>
      <w:r w:rsidRPr="00261159">
        <w:t xml:space="preserve"> </w:t>
      </w:r>
      <w:r>
        <w:t>the</w:t>
      </w:r>
      <w:r w:rsidRPr="00261159">
        <w:t xml:space="preserve"> </w:t>
      </w:r>
      <w:r w:rsidR="002D1E48">
        <w:t xml:space="preserve">directed </w:t>
      </w:r>
      <w:r>
        <w:t>inclusion of</w:t>
      </w:r>
      <w:r w:rsidRPr="00261159">
        <w:t xml:space="preserve"> vegetables in a recipe mix</w:t>
      </w:r>
      <w:r w:rsidR="002D1E48">
        <w:t>.</w:t>
      </w:r>
    </w:p>
    <w:p w14:paraId="1830E3B8" w14:textId="77777777" w:rsidR="00E240A4" w:rsidRPr="00250896" w:rsidRDefault="00E240A4" w:rsidP="00B0768E">
      <w:pPr>
        <w:pStyle w:val="Heading2"/>
      </w:pPr>
      <w:bookmarkStart w:id="9" w:name="_Hlk509244418"/>
      <w:bookmarkStart w:id="10" w:name="_Toc511309266"/>
      <w:r>
        <w:lastRenderedPageBreak/>
        <w:t>Reappraising the ‘as prepared’ rules</w:t>
      </w:r>
      <w:bookmarkEnd w:id="9"/>
      <w:bookmarkEnd w:id="10"/>
    </w:p>
    <w:p w14:paraId="269CD154" w14:textId="77777777" w:rsidR="00E240A4" w:rsidRPr="00FD7D50" w:rsidRDefault="00E240A4" w:rsidP="002027DF">
      <w:pPr>
        <w:spacing w:after="120"/>
        <w:rPr>
          <w:color w:val="222222"/>
          <w:lang w:eastAsia="en-AU"/>
        </w:rPr>
      </w:pPr>
      <w:r>
        <w:rPr>
          <w:color w:val="222222"/>
          <w:lang w:eastAsia="en-AU"/>
        </w:rPr>
        <w:t>R</w:t>
      </w:r>
      <w:r w:rsidRPr="00FD7D50">
        <w:rPr>
          <w:color w:val="222222"/>
          <w:lang w:eastAsia="en-AU"/>
        </w:rPr>
        <w:t>eappraisal</w:t>
      </w:r>
      <w:r>
        <w:rPr>
          <w:color w:val="222222"/>
          <w:lang w:eastAsia="en-AU"/>
        </w:rPr>
        <w:t xml:space="preserve"> of the ‘as prepared’ rules</w:t>
      </w:r>
      <w:r w:rsidRPr="00FD7D50">
        <w:rPr>
          <w:color w:val="222222"/>
          <w:lang w:eastAsia="en-AU"/>
        </w:rPr>
        <w:t xml:space="preserve"> will determine:</w:t>
      </w:r>
    </w:p>
    <w:p w14:paraId="691741EE" w14:textId="77777777" w:rsidR="00E240A4" w:rsidRPr="00FD7D50" w:rsidRDefault="00E240A4" w:rsidP="002027DF">
      <w:pPr>
        <w:numPr>
          <w:ilvl w:val="0"/>
          <w:numId w:val="4"/>
        </w:numPr>
        <w:ind w:hanging="357"/>
        <w:contextualSpacing/>
        <w:rPr>
          <w:color w:val="222222"/>
          <w:lang w:eastAsia="en-AU"/>
        </w:rPr>
      </w:pPr>
      <w:r w:rsidRPr="00FD7D50">
        <w:rPr>
          <w:color w:val="222222"/>
          <w:lang w:eastAsia="en-AU"/>
        </w:rPr>
        <w:t>how potential modifications to the rules will change HSR values for ‘as prepared’ items and categories; and</w:t>
      </w:r>
    </w:p>
    <w:p w14:paraId="3C492D10" w14:textId="77777777" w:rsidR="00E240A4" w:rsidRPr="00FD7D50" w:rsidRDefault="00E240A4" w:rsidP="002027DF">
      <w:pPr>
        <w:numPr>
          <w:ilvl w:val="0"/>
          <w:numId w:val="4"/>
        </w:numPr>
        <w:ind w:hanging="357"/>
        <w:contextualSpacing/>
        <w:rPr>
          <w:color w:val="222222"/>
          <w:lang w:eastAsia="en-AU"/>
        </w:rPr>
      </w:pPr>
      <w:r w:rsidRPr="00FD7D50">
        <w:rPr>
          <w:color w:val="222222"/>
          <w:lang w:eastAsia="en-AU"/>
        </w:rPr>
        <w:t>the effect this will have on:</w:t>
      </w:r>
    </w:p>
    <w:p w14:paraId="5E52A457" w14:textId="77777777" w:rsidR="00E240A4" w:rsidRPr="00FD7D50" w:rsidRDefault="00E240A4" w:rsidP="002027DF">
      <w:pPr>
        <w:numPr>
          <w:ilvl w:val="1"/>
          <w:numId w:val="4"/>
        </w:numPr>
        <w:tabs>
          <w:tab w:val="clear" w:pos="1080"/>
          <w:tab w:val="left" w:pos="851"/>
        </w:tabs>
        <w:ind w:left="851" w:hanging="357"/>
        <w:contextualSpacing/>
        <w:rPr>
          <w:color w:val="222222"/>
          <w:lang w:eastAsia="en-AU"/>
        </w:rPr>
      </w:pPr>
      <w:r w:rsidRPr="00FD7D50">
        <w:rPr>
          <w:color w:val="222222"/>
          <w:lang w:eastAsia="en-AU"/>
        </w:rPr>
        <w:t xml:space="preserve">consumer behaviour, particularly amongst people with low health literacy or who may be more likely to consume these products and/or less likely to follow the stated instructions, e.g. culturally and linguistically diverse groups or people of lower socioeconomic status; </w:t>
      </w:r>
    </w:p>
    <w:p w14:paraId="23777C2B" w14:textId="77777777" w:rsidR="00E240A4" w:rsidRPr="00FD7D50" w:rsidRDefault="00E240A4" w:rsidP="002027DF">
      <w:pPr>
        <w:numPr>
          <w:ilvl w:val="1"/>
          <w:numId w:val="4"/>
        </w:numPr>
        <w:tabs>
          <w:tab w:val="clear" w:pos="1080"/>
          <w:tab w:val="left" w:pos="851"/>
        </w:tabs>
        <w:ind w:left="851" w:hanging="357"/>
        <w:contextualSpacing/>
        <w:rPr>
          <w:color w:val="222222"/>
          <w:lang w:eastAsia="en-AU"/>
        </w:rPr>
      </w:pPr>
      <w:r w:rsidRPr="00FD7D50">
        <w:rPr>
          <w:color w:val="222222"/>
          <w:lang w:eastAsia="en-AU"/>
        </w:rPr>
        <w:t>overall alignment with dietary guidelines; and</w:t>
      </w:r>
    </w:p>
    <w:p w14:paraId="39E339F0" w14:textId="77777777" w:rsidR="00E240A4" w:rsidRDefault="00E240A4" w:rsidP="002027DF">
      <w:pPr>
        <w:numPr>
          <w:ilvl w:val="1"/>
          <w:numId w:val="4"/>
        </w:numPr>
        <w:tabs>
          <w:tab w:val="clear" w:pos="1080"/>
          <w:tab w:val="left" w:pos="851"/>
        </w:tabs>
        <w:spacing w:after="240"/>
        <w:ind w:left="850" w:hanging="357"/>
        <w:rPr>
          <w:color w:val="222222"/>
          <w:lang w:eastAsia="en-AU"/>
        </w:rPr>
      </w:pPr>
      <w:r w:rsidRPr="00FD7D50">
        <w:rPr>
          <w:color w:val="222222"/>
          <w:lang w:eastAsia="en-AU"/>
        </w:rPr>
        <w:t>industry, both in terms of additional burden and propensity to voluntarily commit to the HSR system.</w:t>
      </w:r>
    </w:p>
    <w:p w14:paraId="5D328E7E" w14:textId="77777777" w:rsidR="003810CD" w:rsidRPr="002027DF" w:rsidRDefault="002A47AB" w:rsidP="002027DF">
      <w:pPr>
        <w:spacing w:after="240"/>
        <w:rPr>
          <w:color w:val="222222"/>
          <w:lang w:eastAsia="en-AU"/>
        </w:rPr>
      </w:pPr>
      <w:r w:rsidRPr="00FD7D50">
        <w:rPr>
          <w:color w:val="222222"/>
          <w:lang w:eastAsia="en-AU"/>
        </w:rPr>
        <w:t>The reappraisal will consider all products covered by the form of the food rules that must be prepared prior to consumption, including but not limited to</w:t>
      </w:r>
      <w:r w:rsidR="00096390">
        <w:rPr>
          <w:color w:val="222222"/>
          <w:lang w:eastAsia="en-AU"/>
        </w:rPr>
        <w:t xml:space="preserve"> those products listed in Table 1, above.</w:t>
      </w:r>
    </w:p>
    <w:p w14:paraId="77915D99" w14:textId="77777777" w:rsidR="00E240A4" w:rsidRDefault="00E240A4" w:rsidP="00B0768E">
      <w:pPr>
        <w:pStyle w:val="Heading2"/>
      </w:pPr>
      <w:bookmarkStart w:id="11" w:name="_Toc511309267"/>
      <w:r w:rsidRPr="004F328B">
        <w:t>Stakeholder consultation</w:t>
      </w:r>
      <w:bookmarkEnd w:id="11"/>
    </w:p>
    <w:p w14:paraId="1EC0B104" w14:textId="07FF3FD8" w:rsidR="00E240A4" w:rsidRDefault="00B75812" w:rsidP="002027DF">
      <w:pPr>
        <w:keepNext/>
        <w:spacing w:after="240"/>
      </w:pPr>
      <w:r w:rsidRPr="00F13331">
        <w:t xml:space="preserve">HSRAC </w:t>
      </w:r>
      <w:r>
        <w:t>agreed</w:t>
      </w:r>
      <w:r w:rsidRPr="00F13331">
        <w:t xml:space="preserve"> that</w:t>
      </w:r>
      <w:r>
        <w:t xml:space="preserve"> extensive</w:t>
      </w:r>
      <w:r w:rsidRPr="00F13331">
        <w:t xml:space="preserve"> consultation </w:t>
      </w:r>
      <w:r w:rsidR="00E240A4" w:rsidRPr="00F13331">
        <w:t xml:space="preserve">with stakeholders </w:t>
      </w:r>
      <w:r w:rsidR="00E240A4">
        <w:t>would be</w:t>
      </w:r>
      <w:r w:rsidR="00E240A4" w:rsidRPr="00F13331">
        <w:t xml:space="preserve"> required before any </w:t>
      </w:r>
      <w:r w:rsidR="00E240A4">
        <w:t xml:space="preserve">potential </w:t>
      </w:r>
      <w:r w:rsidR="00E240A4" w:rsidRPr="00F13331">
        <w:t xml:space="preserve">changes </w:t>
      </w:r>
      <w:r w:rsidR="00E240A4">
        <w:t>could be</w:t>
      </w:r>
      <w:r w:rsidR="00E240A4" w:rsidRPr="00F13331">
        <w:t xml:space="preserve"> made to the HSR system</w:t>
      </w:r>
      <w:r w:rsidR="00E240A4">
        <w:t xml:space="preserve"> on the ‘as prepared’ issue.</w:t>
      </w:r>
      <w:r w:rsidR="00E240A4" w:rsidRPr="00AA71EB">
        <w:t xml:space="preserve"> </w:t>
      </w:r>
      <w:r w:rsidR="00E240A4">
        <w:t xml:space="preserve">This engagement with stakeholders would aim to clarify concerns, identify </w:t>
      </w:r>
      <w:r w:rsidR="00E240A4" w:rsidRPr="002501D9">
        <w:t>potential options and seek feedback on the appropriateness of the various</w:t>
      </w:r>
      <w:r w:rsidR="00E240A4">
        <w:t xml:space="preserve"> solutions </w:t>
      </w:r>
      <w:r w:rsidR="00E240A4" w:rsidRPr="002501D9">
        <w:t>proposed.</w:t>
      </w:r>
    </w:p>
    <w:p w14:paraId="6153B8CC" w14:textId="316FCF3E" w:rsidR="00E240A4" w:rsidRPr="00B0768E" w:rsidRDefault="00A83FB9" w:rsidP="00B0768E">
      <w:pPr>
        <w:pStyle w:val="Heading2"/>
      </w:pPr>
      <w:r w:rsidRPr="00B0768E">
        <w:t>Public submission process</w:t>
      </w:r>
    </w:p>
    <w:p w14:paraId="1277139B" w14:textId="60F97F8E" w:rsidR="003E0585" w:rsidRDefault="00E240A4" w:rsidP="002027DF">
      <w:pPr>
        <w:spacing w:after="240"/>
      </w:pPr>
      <w:r>
        <w:t xml:space="preserve">The first consultation involved a </w:t>
      </w:r>
      <w:r w:rsidRPr="00F13331">
        <w:t>public submission proces</w:t>
      </w:r>
      <w:r>
        <w:t xml:space="preserve">s, for which </w:t>
      </w:r>
      <w:r w:rsidRPr="00F13331">
        <w:t>74 submissions were received from various stakeholder</w:t>
      </w:r>
      <w:r w:rsidR="008C4347">
        <w:t>s. Refer to Appendix 4</w:t>
      </w:r>
      <w:r>
        <w:t xml:space="preserve"> for a </w:t>
      </w:r>
      <w:r w:rsidR="00470403">
        <w:t>breakdown of submissions by stakeholder groups</w:t>
      </w:r>
      <w:r w:rsidR="007E6948">
        <w:t>. A</w:t>
      </w:r>
      <w:r w:rsidR="00470403">
        <w:t xml:space="preserve"> </w:t>
      </w:r>
      <w:r w:rsidR="00B75812">
        <w:t xml:space="preserve">summary </w:t>
      </w:r>
      <w:r w:rsidR="007E360E">
        <w:t>of submissions</w:t>
      </w:r>
      <w:r w:rsidR="007E6948">
        <w:t xml:space="preserve"> is available </w:t>
      </w:r>
      <w:r w:rsidR="003E0585">
        <w:rPr>
          <w:sz w:val="22"/>
          <w:szCs w:val="22"/>
        </w:rPr>
        <w:t xml:space="preserve">on the </w:t>
      </w:r>
      <w:hyperlink r:id="rId11" w:history="1">
        <w:r w:rsidR="003E0585">
          <w:rPr>
            <w:rStyle w:val="Hyperlink"/>
            <w:sz w:val="22"/>
            <w:szCs w:val="22"/>
          </w:rPr>
          <w:t>HSR Stakeholder Workshops</w:t>
        </w:r>
      </w:hyperlink>
      <w:r w:rsidR="003E0585">
        <w:rPr>
          <w:sz w:val="22"/>
          <w:szCs w:val="22"/>
        </w:rPr>
        <w:t xml:space="preserve"> page.</w:t>
      </w:r>
    </w:p>
    <w:p w14:paraId="710189B1" w14:textId="77777777" w:rsidR="00E240A4" w:rsidRDefault="00E240A4" w:rsidP="002027DF">
      <w:pPr>
        <w:spacing w:after="120"/>
        <w:rPr>
          <w:color w:val="000000"/>
          <w:lang w:eastAsia="en-AU"/>
        </w:rPr>
      </w:pPr>
      <w:bookmarkStart w:id="12" w:name="_Toc510020307"/>
      <w:bookmarkStart w:id="13" w:name="_Toc510020664"/>
      <w:r>
        <w:rPr>
          <w:color w:val="000000"/>
          <w:lang w:eastAsia="en-AU"/>
        </w:rPr>
        <w:t>T</w:t>
      </w:r>
      <w:r w:rsidRPr="00692840">
        <w:rPr>
          <w:color w:val="000000"/>
          <w:lang w:eastAsia="en-AU"/>
        </w:rPr>
        <w:t>he</w:t>
      </w:r>
      <w:r>
        <w:rPr>
          <w:color w:val="000000"/>
          <w:lang w:eastAsia="en-AU"/>
        </w:rPr>
        <w:t xml:space="preserve"> consultation process resulted in </w:t>
      </w:r>
      <w:r w:rsidRPr="00692840">
        <w:rPr>
          <w:color w:val="000000"/>
          <w:lang w:eastAsia="en-AU"/>
        </w:rPr>
        <w:t xml:space="preserve">four options </w:t>
      </w:r>
      <w:r>
        <w:rPr>
          <w:color w:val="000000"/>
          <w:lang w:eastAsia="en-AU"/>
        </w:rPr>
        <w:t xml:space="preserve">being proposed </w:t>
      </w:r>
      <w:r w:rsidRPr="00692840">
        <w:rPr>
          <w:color w:val="000000"/>
          <w:lang w:eastAsia="en-AU"/>
        </w:rPr>
        <w:t>to address the ‘as prepared’ rules</w:t>
      </w:r>
      <w:r>
        <w:rPr>
          <w:color w:val="000000"/>
          <w:lang w:eastAsia="en-AU"/>
        </w:rPr>
        <w:t>:</w:t>
      </w:r>
      <w:bookmarkEnd w:id="12"/>
      <w:bookmarkEnd w:id="13"/>
      <w:r w:rsidRPr="00692840">
        <w:rPr>
          <w:color w:val="000000"/>
          <w:lang w:eastAsia="en-AU"/>
        </w:rPr>
        <w:t xml:space="preserve"> </w:t>
      </w:r>
    </w:p>
    <w:p w14:paraId="630C40C9" w14:textId="77777777" w:rsidR="00E240A4" w:rsidRDefault="00E240A4" w:rsidP="007D695A">
      <w:pPr>
        <w:pStyle w:val="ListParagraph"/>
        <w:numPr>
          <w:ilvl w:val="0"/>
          <w:numId w:val="29"/>
        </w:numPr>
      </w:pPr>
      <w:bookmarkStart w:id="14" w:name="_Toc510020308"/>
      <w:bookmarkStart w:id="15" w:name="_Toc510020665"/>
      <w:r w:rsidRPr="007D695A">
        <w:rPr>
          <w:b/>
        </w:rPr>
        <w:t>status quo</w:t>
      </w:r>
      <w:r w:rsidRPr="00692840">
        <w:t>,</w:t>
      </w:r>
      <w:r>
        <w:t xml:space="preserve"> retain current HSR guidance rules for ‘as prepared’;</w:t>
      </w:r>
      <w:bookmarkEnd w:id="14"/>
      <w:bookmarkEnd w:id="15"/>
    </w:p>
    <w:p w14:paraId="681E5807" w14:textId="77777777" w:rsidR="00E240A4" w:rsidRDefault="00E240A4" w:rsidP="007D695A">
      <w:pPr>
        <w:pStyle w:val="ListParagraph"/>
        <w:numPr>
          <w:ilvl w:val="0"/>
          <w:numId w:val="29"/>
        </w:numPr>
      </w:pPr>
      <w:bookmarkStart w:id="16" w:name="_Toc510020309"/>
      <w:bookmarkStart w:id="17" w:name="_Toc510020666"/>
      <w:r w:rsidRPr="007D695A">
        <w:rPr>
          <w:b/>
        </w:rPr>
        <w:t>‘as sold’</w:t>
      </w:r>
      <w:r w:rsidRPr="00692840">
        <w:t xml:space="preserve"> only, </w:t>
      </w:r>
      <w:r>
        <w:t>remove the ‘as prepared’ provisions for HSR calculation;</w:t>
      </w:r>
      <w:bookmarkEnd w:id="16"/>
      <w:bookmarkEnd w:id="17"/>
    </w:p>
    <w:p w14:paraId="6F23EBCB" w14:textId="77777777" w:rsidR="00E240A4" w:rsidRDefault="00E240A4" w:rsidP="007D695A">
      <w:pPr>
        <w:pStyle w:val="ListParagraph"/>
        <w:numPr>
          <w:ilvl w:val="0"/>
          <w:numId w:val="29"/>
        </w:numPr>
      </w:pPr>
      <w:bookmarkStart w:id="18" w:name="_Toc510020310"/>
      <w:bookmarkStart w:id="19" w:name="_Toc510020667"/>
      <w:r w:rsidRPr="007D695A">
        <w:rPr>
          <w:b/>
        </w:rPr>
        <w:t>multiple HSRs</w:t>
      </w:r>
      <w:r>
        <w:t xml:space="preserve"> on </w:t>
      </w:r>
      <w:r w:rsidRPr="00692840">
        <w:t>pack</w:t>
      </w:r>
      <w:r>
        <w:t>, for both the food ‘as sold’ and ‘as prepared’; or</w:t>
      </w:r>
      <w:bookmarkEnd w:id="18"/>
      <w:bookmarkEnd w:id="19"/>
      <w:r w:rsidRPr="00692840">
        <w:t xml:space="preserve"> </w:t>
      </w:r>
    </w:p>
    <w:p w14:paraId="5019B020" w14:textId="77777777" w:rsidR="00E240A4" w:rsidRDefault="00E240A4" w:rsidP="002027DF">
      <w:pPr>
        <w:pStyle w:val="ListParagraph"/>
        <w:numPr>
          <w:ilvl w:val="0"/>
          <w:numId w:val="29"/>
        </w:numPr>
        <w:spacing w:after="240"/>
        <w:ind w:left="714" w:hanging="357"/>
        <w:contextualSpacing w:val="0"/>
      </w:pPr>
      <w:bookmarkStart w:id="20" w:name="_Toc510020311"/>
      <w:bookmarkStart w:id="21" w:name="_Toc510020668"/>
      <w:r w:rsidRPr="00692840">
        <w:t>‘</w:t>
      </w:r>
      <w:r w:rsidRPr="007D695A">
        <w:rPr>
          <w:b/>
        </w:rPr>
        <w:t>as sold’ with exemptions</w:t>
      </w:r>
      <w:r w:rsidRPr="00692840">
        <w:t>.</w:t>
      </w:r>
      <w:bookmarkEnd w:id="20"/>
      <w:bookmarkEnd w:id="21"/>
    </w:p>
    <w:p w14:paraId="04868C54" w14:textId="77777777" w:rsidR="007D695A" w:rsidRPr="007D695A" w:rsidRDefault="00E240A4" w:rsidP="00B0768E">
      <w:pPr>
        <w:pStyle w:val="Heading2"/>
      </w:pPr>
      <w:r>
        <w:t>Stakeholder workshops</w:t>
      </w:r>
    </w:p>
    <w:p w14:paraId="38C217AE" w14:textId="42B1697C" w:rsidR="006F2386" w:rsidRPr="006F2386" w:rsidRDefault="00E240A4" w:rsidP="002027DF">
      <w:pPr>
        <w:spacing w:after="240"/>
      </w:pPr>
      <w:r>
        <w:t>F</w:t>
      </w:r>
      <w:r w:rsidRPr="00D23AFA">
        <w:t xml:space="preserve">ollowing the public </w:t>
      </w:r>
      <w:r>
        <w:t>submission process, th</w:t>
      </w:r>
      <w:r w:rsidRPr="00D23AFA">
        <w:t xml:space="preserve">ree </w:t>
      </w:r>
      <w:r>
        <w:t xml:space="preserve">open-invitation </w:t>
      </w:r>
      <w:r w:rsidRPr="00D23AFA">
        <w:t xml:space="preserve">stakeholder workshops </w:t>
      </w:r>
      <w:r>
        <w:t xml:space="preserve">were held to discuss the </w:t>
      </w:r>
      <w:r w:rsidRPr="00D23AFA">
        <w:t>themes</w:t>
      </w:r>
      <w:r>
        <w:t xml:space="preserve"> identified by the public submission process and to seek feedback on the four options proposed to address the ‘as prepared’ guidance rules. The workshops were held in </w:t>
      </w:r>
      <w:r w:rsidRPr="00D23AFA">
        <w:t>Sydney on 28 September 2017, Auckland</w:t>
      </w:r>
      <w:r>
        <w:t xml:space="preserve"> </w:t>
      </w:r>
      <w:r w:rsidRPr="00D23AFA">
        <w:t>on 5 October 2017 and Melbourne on 12 October 2017</w:t>
      </w:r>
      <w:r w:rsidR="006F2386">
        <w:t>,</w:t>
      </w:r>
      <w:r>
        <w:t xml:space="preserve"> with a</w:t>
      </w:r>
      <w:r w:rsidRPr="00D23AFA">
        <w:t xml:space="preserve"> discussion paper</w:t>
      </w:r>
      <w:r>
        <w:rPr>
          <w:rStyle w:val="FootnoteReference"/>
        </w:rPr>
        <w:footnoteReference w:id="8"/>
      </w:r>
      <w:r w:rsidRPr="00D23AFA">
        <w:t xml:space="preserve"> </w:t>
      </w:r>
      <w:r>
        <w:t xml:space="preserve">outlining the four proposed options </w:t>
      </w:r>
      <w:r w:rsidRPr="00D23AFA">
        <w:t xml:space="preserve">made available to participants prior to the </w:t>
      </w:r>
      <w:r w:rsidRPr="00D23AFA">
        <w:lastRenderedPageBreak/>
        <w:t>workshops</w:t>
      </w:r>
      <w:r w:rsidRPr="006F2386">
        <w:t xml:space="preserve">. </w:t>
      </w:r>
      <w:r w:rsidR="006F2386" w:rsidRPr="00C250B9">
        <w:t xml:space="preserve">Forty participants attended the Sydney workshop, </w:t>
      </w:r>
      <w:r w:rsidR="00B75812">
        <w:t>12</w:t>
      </w:r>
      <w:r w:rsidR="00B75812" w:rsidRPr="00C250B9">
        <w:t xml:space="preserve"> </w:t>
      </w:r>
      <w:r w:rsidR="006F2386" w:rsidRPr="00C250B9">
        <w:t xml:space="preserve">participants attended </w:t>
      </w:r>
      <w:r w:rsidR="006F2386">
        <w:t>in</w:t>
      </w:r>
      <w:r w:rsidR="006F2386" w:rsidRPr="00C250B9">
        <w:t xml:space="preserve"> Auckland and </w:t>
      </w:r>
      <w:r w:rsidR="00B75812">
        <w:t>53</w:t>
      </w:r>
      <w:r w:rsidR="006F2386" w:rsidRPr="00C250B9">
        <w:t xml:space="preserve"> participants attended </w:t>
      </w:r>
      <w:r w:rsidR="006F2386">
        <w:t xml:space="preserve">in </w:t>
      </w:r>
      <w:r w:rsidR="006F2386" w:rsidRPr="00C250B9">
        <w:t xml:space="preserve">Melbourne. </w:t>
      </w:r>
      <w:r w:rsidR="007700FD" w:rsidRPr="00C250B9">
        <w:t>Th</w:t>
      </w:r>
      <w:r w:rsidR="007700FD">
        <w:t>ere was a</w:t>
      </w:r>
      <w:r w:rsidR="007700FD" w:rsidRPr="00C250B9">
        <w:t xml:space="preserve"> mix of industry, public health, consumer and government stakeholders.</w:t>
      </w:r>
    </w:p>
    <w:p w14:paraId="09134BA6" w14:textId="7915018D" w:rsidR="00C2525C" w:rsidRPr="00C250B9" w:rsidRDefault="00E240A4" w:rsidP="002027DF">
      <w:pPr>
        <w:spacing w:after="240"/>
      </w:pPr>
      <w:r w:rsidRPr="006F2386">
        <w:t xml:space="preserve">Stakeholder workshop participants were asked to consider the pros and cons of each option in small groups and assign an overall rating to each option based on how successful they considered each option would be to address the ‘as prepared’ issue. Individual groups provided feedback, with each option discussed by the entire </w:t>
      </w:r>
      <w:r w:rsidR="00B75812" w:rsidRPr="006F2386">
        <w:t xml:space="preserve">workshop </w:t>
      </w:r>
      <w:r w:rsidRPr="006F2386">
        <w:t>group.</w:t>
      </w:r>
      <w:r w:rsidR="006F2386">
        <w:t xml:space="preserve"> </w:t>
      </w:r>
      <w:bookmarkStart w:id="22" w:name="_Hlk509244373"/>
    </w:p>
    <w:p w14:paraId="4449E630" w14:textId="77777777" w:rsidR="007E6948" w:rsidRDefault="007700FD" w:rsidP="002027DF">
      <w:pPr>
        <w:spacing w:after="240"/>
        <w:contextualSpacing/>
      </w:pPr>
      <w:r w:rsidRPr="00C250B9">
        <w:t xml:space="preserve">The preferred option at the Auckland and Melbourne workshops was option 4 </w:t>
      </w:r>
      <w:r>
        <w:t xml:space="preserve">- HSR calculated </w:t>
      </w:r>
      <w:r w:rsidRPr="00C250B9">
        <w:t>‘as sold’ with exemptions</w:t>
      </w:r>
      <w:r>
        <w:t>.</w:t>
      </w:r>
      <w:r w:rsidR="003E3D2A">
        <w:t xml:space="preserve"> P</w:t>
      </w:r>
      <w:r w:rsidRPr="00C250B9">
        <w:t>articipants found it difficult to agree on the exemptions</w:t>
      </w:r>
      <w:r>
        <w:t>, although</w:t>
      </w:r>
      <w:r w:rsidRPr="00C250B9">
        <w:t xml:space="preserve"> the majority agreed that the exemptions need to be limited</w:t>
      </w:r>
      <w:r>
        <w:t xml:space="preserve"> and </w:t>
      </w:r>
      <w:r w:rsidRPr="00FE2E56">
        <w:t>specific, with the basis for exemptions to be clearly established</w:t>
      </w:r>
      <w:r w:rsidRPr="00C250B9">
        <w:t xml:space="preserve">. </w:t>
      </w:r>
      <w:r w:rsidRPr="00034C34">
        <w:t>Exem</w:t>
      </w:r>
      <w:r w:rsidRPr="00FD1C16">
        <w:rPr>
          <w:color w:val="000000" w:themeColor="text1"/>
        </w:rPr>
        <w:t>ptions that were generally agreed upon include rehydration with water</w:t>
      </w:r>
      <w:r w:rsidR="003E3D2A">
        <w:rPr>
          <w:color w:val="000000" w:themeColor="text1"/>
        </w:rPr>
        <w:t>,</w:t>
      </w:r>
      <w:r w:rsidRPr="00FD1C16">
        <w:rPr>
          <w:color w:val="000000" w:themeColor="text1"/>
        </w:rPr>
        <w:t xml:space="preserve"> dilution with water</w:t>
      </w:r>
      <w:r w:rsidR="003E3D2A">
        <w:rPr>
          <w:color w:val="000000" w:themeColor="text1"/>
        </w:rPr>
        <w:t>,</w:t>
      </w:r>
      <w:r w:rsidRPr="00FD1C16">
        <w:rPr>
          <w:color w:val="000000" w:themeColor="text1"/>
        </w:rPr>
        <w:t xml:space="preserve"> and draining of water.</w:t>
      </w:r>
      <w:r>
        <w:rPr>
          <w:color w:val="000000" w:themeColor="text1"/>
        </w:rPr>
        <w:t xml:space="preserve"> </w:t>
      </w:r>
      <w:r w:rsidRPr="00C250B9">
        <w:t>At the Sydney workshop, preferences were fairly evenly split between options one, two and four; however, option two was the preferred option by a small m</w:t>
      </w:r>
      <w:r w:rsidRPr="00034C34">
        <w:t xml:space="preserve">argin. </w:t>
      </w:r>
    </w:p>
    <w:p w14:paraId="621092D5" w14:textId="77777777" w:rsidR="007E6948" w:rsidRDefault="007E6948" w:rsidP="002027DF">
      <w:pPr>
        <w:spacing w:after="240"/>
        <w:contextualSpacing/>
      </w:pPr>
    </w:p>
    <w:p w14:paraId="73EB933A" w14:textId="43BF6994" w:rsidR="00CB3D6E" w:rsidRDefault="007E6948" w:rsidP="00FF26F5">
      <w:pPr>
        <w:spacing w:after="240"/>
      </w:pPr>
      <w:r w:rsidRPr="00FC40D0">
        <w:t xml:space="preserve">An overall summary of feedback on each option </w:t>
      </w:r>
      <w:r w:rsidR="0038298F" w:rsidRPr="00FC40D0">
        <w:t>is at</w:t>
      </w:r>
      <w:r w:rsidR="008C4347" w:rsidRPr="00FC40D0">
        <w:t xml:space="preserve"> Appendix 5</w:t>
      </w:r>
      <w:r w:rsidR="007700FD" w:rsidRPr="00FC40D0">
        <w:t xml:space="preserve">. </w:t>
      </w:r>
      <w:r w:rsidRPr="00FC40D0">
        <w:t xml:space="preserve">Summaries for each workshop are available </w:t>
      </w:r>
      <w:r w:rsidR="00CB3D6E">
        <w:rPr>
          <w:sz w:val="22"/>
          <w:szCs w:val="22"/>
        </w:rPr>
        <w:t xml:space="preserve">on the </w:t>
      </w:r>
      <w:hyperlink r:id="rId12" w:history="1">
        <w:r w:rsidR="00CB3D6E">
          <w:rPr>
            <w:rStyle w:val="Hyperlink"/>
            <w:sz w:val="22"/>
            <w:szCs w:val="22"/>
          </w:rPr>
          <w:t>HSR Stakeholder Workshops</w:t>
        </w:r>
      </w:hyperlink>
      <w:r w:rsidR="00CB3D6E">
        <w:rPr>
          <w:sz w:val="22"/>
          <w:szCs w:val="22"/>
        </w:rPr>
        <w:t xml:space="preserve"> page.</w:t>
      </w:r>
    </w:p>
    <w:p w14:paraId="73E9381A" w14:textId="536A7869" w:rsidR="00C17831" w:rsidRDefault="007E6948" w:rsidP="00FF26F5">
      <w:pPr>
        <w:spacing w:after="240"/>
        <w:rPr>
          <w:rFonts w:ascii="Arial" w:hAnsi="Arial" w:cs="Arial"/>
          <w:b/>
          <w:bCs/>
          <w:kern w:val="28"/>
          <w:sz w:val="28"/>
          <w:szCs w:val="32"/>
        </w:rPr>
      </w:pPr>
      <w:r>
        <w:t xml:space="preserve"> </w:t>
      </w:r>
      <w:r w:rsidR="00C17831">
        <w:br w:type="page"/>
      </w:r>
    </w:p>
    <w:p w14:paraId="4957BE06" w14:textId="06A14538" w:rsidR="00267ED9" w:rsidRPr="00267ED9" w:rsidRDefault="00267ED9" w:rsidP="00250896">
      <w:pPr>
        <w:pStyle w:val="Heading1"/>
      </w:pPr>
      <w:bookmarkStart w:id="23" w:name="_Toc511309268"/>
      <w:r w:rsidRPr="00267ED9">
        <w:lastRenderedPageBreak/>
        <w:t>Options for consideration</w:t>
      </w:r>
      <w:bookmarkEnd w:id="23"/>
    </w:p>
    <w:p w14:paraId="4621C08D" w14:textId="56111D39" w:rsidR="00C4054A" w:rsidRDefault="00C4054A" w:rsidP="00C6633C">
      <w:pPr>
        <w:spacing w:after="120"/>
        <w:contextualSpacing/>
        <w:rPr>
          <w:color w:val="000000" w:themeColor="text1"/>
        </w:rPr>
      </w:pPr>
      <w:r>
        <w:rPr>
          <w:color w:val="000000" w:themeColor="text1"/>
        </w:rPr>
        <w:t xml:space="preserve">Following the public consultations and after </w:t>
      </w:r>
      <w:r w:rsidR="008B123F">
        <w:rPr>
          <w:color w:val="000000" w:themeColor="text1"/>
        </w:rPr>
        <w:t>consideration of modelling undertaken by TAG</w:t>
      </w:r>
      <w:r>
        <w:rPr>
          <w:color w:val="000000" w:themeColor="text1"/>
        </w:rPr>
        <w:t>, HSRAC is seeking additional stakeholder feedback on the following two options:</w:t>
      </w:r>
    </w:p>
    <w:p w14:paraId="426AF24A" w14:textId="7AAE5F85" w:rsidR="00070536" w:rsidRPr="000C3EF6" w:rsidRDefault="0038298F" w:rsidP="000C3EF6">
      <w:pPr>
        <w:pStyle w:val="ListParagraph"/>
        <w:numPr>
          <w:ilvl w:val="0"/>
          <w:numId w:val="47"/>
        </w:numPr>
        <w:spacing w:after="120"/>
        <w:ind w:left="357" w:hanging="357"/>
        <w:contextualSpacing w:val="0"/>
        <w:rPr>
          <w:b/>
          <w:i/>
        </w:rPr>
      </w:pPr>
      <w:r w:rsidRPr="000C3EF6">
        <w:rPr>
          <w:b/>
          <w:i/>
        </w:rPr>
        <w:t>L</w:t>
      </w:r>
      <w:r w:rsidR="00AB57F3" w:rsidRPr="000C3EF6">
        <w:rPr>
          <w:b/>
          <w:i/>
        </w:rPr>
        <w:t xml:space="preserve">imit the </w:t>
      </w:r>
      <w:r w:rsidR="00AB57F3" w:rsidRPr="000C3EF6">
        <w:rPr>
          <w:b/>
          <w:i/>
          <w:color w:val="000000" w:themeColor="text1"/>
        </w:rPr>
        <w:t>application</w:t>
      </w:r>
      <w:r w:rsidR="00AB57F3" w:rsidRPr="000C3EF6">
        <w:rPr>
          <w:b/>
          <w:i/>
        </w:rPr>
        <w:t xml:space="preserve"> of the HSR system to the ‘as sold’ form of the </w:t>
      </w:r>
      <w:r w:rsidR="00FC40D0" w:rsidRPr="000C3EF6">
        <w:rPr>
          <w:b/>
          <w:i/>
        </w:rPr>
        <w:t>food with specific exemptions for</w:t>
      </w:r>
      <w:r w:rsidR="00AB57F3" w:rsidRPr="000C3EF6">
        <w:rPr>
          <w:b/>
          <w:i/>
        </w:rPr>
        <w:t xml:space="preserve"> rehydration and dilution with water and draining of water</w:t>
      </w:r>
    </w:p>
    <w:p w14:paraId="4221BCA0" w14:textId="31625518" w:rsidR="00962657" w:rsidRPr="000C3EF6" w:rsidRDefault="00962657" w:rsidP="000C3EF6">
      <w:pPr>
        <w:pStyle w:val="ListParagraph"/>
        <w:numPr>
          <w:ilvl w:val="0"/>
          <w:numId w:val="47"/>
        </w:numPr>
        <w:spacing w:after="120"/>
        <w:ind w:left="357" w:hanging="357"/>
        <w:contextualSpacing w:val="0"/>
        <w:rPr>
          <w:b/>
          <w:i/>
        </w:rPr>
      </w:pPr>
      <w:r w:rsidRPr="000C3EF6">
        <w:rPr>
          <w:b/>
          <w:i/>
        </w:rPr>
        <w:t xml:space="preserve">Provide </w:t>
      </w:r>
      <w:r w:rsidRPr="000C3EF6">
        <w:rPr>
          <w:b/>
          <w:i/>
          <w:color w:val="000000" w:themeColor="text1"/>
        </w:rPr>
        <w:t>supporting</w:t>
      </w:r>
      <w:r w:rsidRPr="000C3EF6">
        <w:rPr>
          <w:b/>
          <w:i/>
        </w:rPr>
        <w:t xml:space="preserve"> guidance for interpreting the current ‘as prepared’ rules</w:t>
      </w:r>
    </w:p>
    <w:p w14:paraId="7467961D" w14:textId="77777777" w:rsidR="00962657" w:rsidRPr="00962657" w:rsidRDefault="00962657" w:rsidP="00962657"/>
    <w:p w14:paraId="1E8A45B8" w14:textId="37E54E9E" w:rsidR="007A4898" w:rsidRDefault="007A4898" w:rsidP="00962657">
      <w:pPr>
        <w:pStyle w:val="Heading6"/>
        <w:spacing w:before="0" w:after="120"/>
        <w:rPr>
          <w:highlight w:val="yellow"/>
        </w:rPr>
        <w:sectPr w:rsidR="007A4898" w:rsidSect="006D48BB">
          <w:footerReference w:type="default" r:id="rId13"/>
          <w:pgSz w:w="11906" w:h="16838"/>
          <w:pgMar w:top="1440" w:right="1800" w:bottom="851" w:left="1800" w:header="708" w:footer="708" w:gutter="0"/>
          <w:cols w:space="708"/>
          <w:docGrid w:linePitch="360"/>
        </w:sectPr>
      </w:pPr>
    </w:p>
    <w:p w14:paraId="59CBAE96" w14:textId="523B0F27" w:rsidR="00AB57F3" w:rsidRPr="00BC5710" w:rsidRDefault="00AB57F3" w:rsidP="00BC5710">
      <w:pPr>
        <w:spacing w:after="240"/>
        <w:rPr>
          <w:b/>
          <w:i/>
        </w:rPr>
      </w:pPr>
      <w:bookmarkStart w:id="24" w:name="_Toc511309269"/>
      <w:r w:rsidRPr="00BC5710">
        <w:rPr>
          <w:b/>
          <w:i/>
        </w:rPr>
        <w:lastRenderedPageBreak/>
        <w:t xml:space="preserve">Limit the application of the HSR system to the ‘as sold’ form of the </w:t>
      </w:r>
      <w:r w:rsidR="000E1232" w:rsidRPr="00BC5710">
        <w:rPr>
          <w:b/>
          <w:i/>
        </w:rPr>
        <w:t>food with specific exemptions for</w:t>
      </w:r>
      <w:r w:rsidRPr="00BC5710">
        <w:rPr>
          <w:b/>
          <w:i/>
        </w:rPr>
        <w:t xml:space="preserve"> rehydration and dilution with water and draining of water</w:t>
      </w:r>
      <w:bookmarkEnd w:id="24"/>
    </w:p>
    <w:p w14:paraId="751B063D" w14:textId="200788B8" w:rsidR="00AB57F3" w:rsidRDefault="00641EFB" w:rsidP="00C6633C">
      <w:pPr>
        <w:spacing w:after="240"/>
      </w:pPr>
      <w:r>
        <w:t xml:space="preserve">Upon consideration of the results of the public consultations, HSRAC </w:t>
      </w:r>
      <w:r w:rsidRPr="00AF6CE8">
        <w:t xml:space="preserve">agreed that option 4 </w:t>
      </w:r>
      <w:r w:rsidR="00AB57F3">
        <w:t>(‘as sold’ with</w:t>
      </w:r>
      <w:r w:rsidR="00962657">
        <w:t xml:space="preserve"> specific</w:t>
      </w:r>
      <w:r w:rsidR="00AB57F3">
        <w:t xml:space="preserve"> </w:t>
      </w:r>
      <w:r w:rsidR="00962657">
        <w:t>exemptions</w:t>
      </w:r>
      <w:r w:rsidR="00AB57F3" w:rsidRPr="00962657">
        <w:t>)</w:t>
      </w:r>
      <w:r w:rsidR="00DB6AB8" w:rsidRPr="00962657">
        <w:t xml:space="preserve"> </w:t>
      </w:r>
      <w:r w:rsidR="008B123F" w:rsidRPr="00962657">
        <w:t>appeared to</w:t>
      </w:r>
      <w:r w:rsidRPr="00962657">
        <w:t xml:space="preserve"> be the most viable option and that the exemptions of rehydration with water, dilution with water and draining of water should be explored. </w:t>
      </w:r>
      <w:r w:rsidR="00AB57F3" w:rsidRPr="00962657">
        <w:t xml:space="preserve">This option is </w:t>
      </w:r>
      <w:r w:rsidR="0088755C" w:rsidRPr="00962657">
        <w:t>preferred by a majority</w:t>
      </w:r>
      <w:r w:rsidR="00AB57F3" w:rsidRPr="00962657">
        <w:t xml:space="preserve"> of HSRAC.</w:t>
      </w:r>
    </w:p>
    <w:p w14:paraId="7A093B9C" w14:textId="5C4555EA" w:rsidR="002D1E48" w:rsidRDefault="002D1E48" w:rsidP="00B0768E">
      <w:pPr>
        <w:pStyle w:val="Heading2"/>
      </w:pPr>
      <w:r>
        <w:t>Results</w:t>
      </w:r>
      <w:r w:rsidR="00E17156">
        <w:t xml:space="preserve"> of modelling</w:t>
      </w:r>
    </w:p>
    <w:p w14:paraId="57B2361B" w14:textId="487D64AB" w:rsidR="00225B30" w:rsidRPr="00C6633C" w:rsidRDefault="00AB57F3" w:rsidP="002D1E48">
      <w:pPr>
        <w:spacing w:after="240"/>
      </w:pPr>
      <w:r w:rsidRPr="00AF6CE8">
        <w:t xml:space="preserve">HSRAC </w:t>
      </w:r>
      <w:r>
        <w:t>directed</w:t>
      </w:r>
      <w:r w:rsidRPr="00AF6CE8">
        <w:t xml:space="preserve"> TAG </w:t>
      </w:r>
      <w:r>
        <w:t xml:space="preserve">to conducting modelling on the potential impact of this option. </w:t>
      </w:r>
      <w:r w:rsidR="00225B30">
        <w:t>M</w:t>
      </w:r>
      <w:r w:rsidR="002D1E48">
        <w:t>ethods and full results are provi</w:t>
      </w:r>
      <w:r w:rsidR="008C4347">
        <w:t>ded in Appendix 6</w:t>
      </w:r>
      <w:r w:rsidR="002D1E48">
        <w:t>.</w:t>
      </w:r>
    </w:p>
    <w:p w14:paraId="12C506F5" w14:textId="7AC2B5BF" w:rsidR="002E1FEF" w:rsidRDefault="002E1FEF" w:rsidP="002E1FEF">
      <w:pPr>
        <w:spacing w:after="120"/>
      </w:pPr>
      <w:r>
        <w:t>Modelling indicates that that many product categories which</w:t>
      </w:r>
      <w:r w:rsidR="00027536">
        <w:t xml:space="preserve"> would</w:t>
      </w:r>
      <w:r>
        <w:t xml:space="preserve"> tend to receive a lower HSR ‘as sold’ </w:t>
      </w:r>
      <w:r w:rsidRPr="002D1E48">
        <w:t xml:space="preserve">receive higher HSR scores </w:t>
      </w:r>
      <w:r>
        <w:t xml:space="preserve">‘as prepared’ as </w:t>
      </w:r>
      <w:r w:rsidRPr="002D1E48">
        <w:t xml:space="preserve">the additional ingredients </w:t>
      </w:r>
      <w:r w:rsidR="00435095">
        <w:t>contribute</w:t>
      </w:r>
      <w:r w:rsidRPr="002D1E48">
        <w:t xml:space="preserve"> positive </w:t>
      </w:r>
      <w:r>
        <w:t>nutrients</w:t>
      </w:r>
      <w:r w:rsidRPr="002D1E48">
        <w:t xml:space="preserve"> and</w:t>
      </w:r>
      <w:r>
        <w:t>/or</w:t>
      </w:r>
      <w:r w:rsidR="00435095">
        <w:t xml:space="preserve"> dilute</w:t>
      </w:r>
      <w:r w:rsidRPr="002D1E48">
        <w:t xml:space="preserve"> negative risk nutrients.</w:t>
      </w:r>
      <w:r>
        <w:t xml:space="preserve"> The opposite occurs for product categories which receive higher HSRs ‘as sold;’ they receive lower HSRs ‘as prepared’ due to the dilution of positive components.</w:t>
      </w:r>
    </w:p>
    <w:p w14:paraId="1CDB3A61" w14:textId="0F5C5040" w:rsidR="002E1FEF" w:rsidRDefault="002E1FEF" w:rsidP="002E1FEF">
      <w:pPr>
        <w:spacing w:after="120"/>
      </w:pPr>
      <w:r>
        <w:t>In sum</w:t>
      </w:r>
      <w:r w:rsidR="00744D49">
        <w:t xml:space="preserve">, the implementation of </w:t>
      </w:r>
      <w:r w:rsidR="0086265A">
        <w:t>this option</w:t>
      </w:r>
      <w:r>
        <w:t xml:space="preserve"> would mean that:</w:t>
      </w:r>
    </w:p>
    <w:p w14:paraId="602507FE" w14:textId="48A0AEDB" w:rsidR="002E1FEF" w:rsidRPr="00C413C3" w:rsidRDefault="00962657" w:rsidP="002E1FEF">
      <w:pPr>
        <w:pStyle w:val="ListParagraph"/>
        <w:numPr>
          <w:ilvl w:val="0"/>
          <w:numId w:val="40"/>
        </w:numPr>
        <w:spacing w:after="120"/>
      </w:pPr>
      <w:r>
        <w:rPr>
          <w:lang w:eastAsia="en-AU"/>
        </w:rPr>
        <w:t>‘</w:t>
      </w:r>
      <w:r w:rsidR="002E1FEF" w:rsidRPr="00C413C3">
        <w:rPr>
          <w:lang w:eastAsia="en-AU"/>
        </w:rPr>
        <w:t>Core</w:t>
      </w:r>
      <w:r>
        <w:rPr>
          <w:lang w:eastAsia="en-AU"/>
        </w:rPr>
        <w:t>’</w:t>
      </w:r>
      <w:r w:rsidR="002E1FEF" w:rsidRPr="00C413C3">
        <w:rPr>
          <w:lang w:eastAsia="en-AU"/>
        </w:rPr>
        <w:t xml:space="preserve"> foods</w:t>
      </w:r>
      <w:r>
        <w:rPr>
          <w:lang w:eastAsia="en-AU"/>
        </w:rPr>
        <w:t xml:space="preserve"> (as described in the ADGs)</w:t>
      </w:r>
      <w:r w:rsidR="002E1FEF">
        <w:rPr>
          <w:lang w:eastAsia="en-AU"/>
        </w:rPr>
        <w:t xml:space="preserve"> would</w:t>
      </w:r>
      <w:r w:rsidR="002E1FEF" w:rsidRPr="00C413C3">
        <w:rPr>
          <w:lang w:eastAsia="en-AU"/>
        </w:rPr>
        <w:t xml:space="preserve"> tend to receive higher HSRs and congregate at the upper end of the HSR scale </w:t>
      </w:r>
    </w:p>
    <w:p w14:paraId="07B07FFB" w14:textId="7404F51B" w:rsidR="002E1FEF" w:rsidRPr="00C413C3" w:rsidRDefault="00962657" w:rsidP="002E1FEF">
      <w:pPr>
        <w:pStyle w:val="ListParagraph"/>
        <w:numPr>
          <w:ilvl w:val="0"/>
          <w:numId w:val="40"/>
        </w:numPr>
        <w:spacing w:after="120"/>
      </w:pPr>
      <w:r>
        <w:rPr>
          <w:lang w:eastAsia="en-AU"/>
        </w:rPr>
        <w:t>‘</w:t>
      </w:r>
      <w:r w:rsidR="002E1FEF" w:rsidRPr="00C413C3">
        <w:rPr>
          <w:lang w:eastAsia="en-AU"/>
        </w:rPr>
        <w:t>Discretionary</w:t>
      </w:r>
      <w:r>
        <w:rPr>
          <w:lang w:eastAsia="en-AU"/>
        </w:rPr>
        <w:t>’</w:t>
      </w:r>
      <w:r w:rsidR="002E1FEF" w:rsidRPr="00C413C3">
        <w:rPr>
          <w:lang w:eastAsia="en-AU"/>
        </w:rPr>
        <w:t xml:space="preserve"> foods</w:t>
      </w:r>
      <w:r>
        <w:rPr>
          <w:lang w:eastAsia="en-AU"/>
        </w:rPr>
        <w:t xml:space="preserve"> (as described in the ADGs)</w:t>
      </w:r>
      <w:r w:rsidR="002E1FEF">
        <w:rPr>
          <w:lang w:eastAsia="en-AU"/>
        </w:rPr>
        <w:t xml:space="preserve"> would</w:t>
      </w:r>
      <w:r w:rsidR="002E1FEF" w:rsidRPr="00C413C3">
        <w:rPr>
          <w:lang w:eastAsia="en-AU"/>
        </w:rPr>
        <w:t xml:space="preserve"> tend to receive lower HSRs and congregate at </w:t>
      </w:r>
      <w:r w:rsidR="002E1FEF">
        <w:rPr>
          <w:lang w:eastAsia="en-AU"/>
        </w:rPr>
        <w:t xml:space="preserve">the </w:t>
      </w:r>
      <w:r>
        <w:rPr>
          <w:lang w:eastAsia="en-AU"/>
        </w:rPr>
        <w:t>lower</w:t>
      </w:r>
      <w:r w:rsidR="002E1FEF">
        <w:rPr>
          <w:lang w:eastAsia="en-AU"/>
        </w:rPr>
        <w:t xml:space="preserve"> end of the HSR scale</w:t>
      </w:r>
    </w:p>
    <w:p w14:paraId="192A7875" w14:textId="77777777" w:rsidR="002E1FEF" w:rsidRPr="00C413C3" w:rsidRDefault="002E1FEF" w:rsidP="002E1FEF">
      <w:pPr>
        <w:spacing w:after="240"/>
      </w:pPr>
      <w:r w:rsidRPr="00C413C3">
        <w:rPr>
          <w:lang w:eastAsia="en-AU"/>
        </w:rPr>
        <w:t>Calculating HSRs for products ‘prepared with water only’ centres and narrows the range of scores</w:t>
      </w:r>
      <w:r>
        <w:rPr>
          <w:lang w:eastAsia="en-AU"/>
        </w:rPr>
        <w:t xml:space="preserve">, </w:t>
      </w:r>
      <w:r w:rsidRPr="002E1FEF">
        <w:rPr>
          <w:color w:val="000000" w:themeColor="text1"/>
        </w:rPr>
        <w:t>with discretionary foods tending to receive higher HSRs and core foods lower HSRs. The opposite is likely to be the case for removing water, i.e. draining.</w:t>
      </w:r>
    </w:p>
    <w:p w14:paraId="1E773C18" w14:textId="535EF637" w:rsidR="003E3D2A" w:rsidRDefault="003E3D2A" w:rsidP="00B0768E">
      <w:pPr>
        <w:pStyle w:val="Heading2"/>
      </w:pPr>
      <w:r>
        <w:t>Conclusion</w:t>
      </w:r>
      <w:r w:rsidR="00877989">
        <w:t>s</w:t>
      </w:r>
      <w:r w:rsidR="00E17156">
        <w:t xml:space="preserve"> and analysis</w:t>
      </w:r>
    </w:p>
    <w:p w14:paraId="5F493890" w14:textId="48992F7A" w:rsidR="00171BB7" w:rsidRDefault="00171BB7" w:rsidP="00C6633C">
      <w:pPr>
        <w:spacing w:after="240"/>
      </w:pPr>
      <w:r w:rsidRPr="000A5670">
        <w:t>FoodTrack</w:t>
      </w:r>
      <w:r w:rsidRPr="000A5670">
        <w:rPr>
          <w:sz w:val="20"/>
          <w:szCs w:val="18"/>
        </w:rPr>
        <w:t>™</w:t>
      </w:r>
      <w:r w:rsidRPr="000A5670">
        <w:t xml:space="preserve"> data indicates that less than 2% of products in Australia potentially carried a HSR ‘as prepared’ in 2017 and that less than 8% of all products in supermarkets may be subject to the ‘as prepared’ rules</w:t>
      </w:r>
      <w:r>
        <w:rPr>
          <w:rStyle w:val="FootnoteReference"/>
        </w:rPr>
        <w:footnoteReference w:id="9"/>
      </w:r>
      <w:r w:rsidRPr="000A5670">
        <w:t>.</w:t>
      </w:r>
      <w:r>
        <w:t xml:space="preserve"> </w:t>
      </w:r>
    </w:p>
    <w:p w14:paraId="6270305B" w14:textId="26D922AC" w:rsidR="002E1FEF" w:rsidRDefault="003E3D2A" w:rsidP="00C6633C">
      <w:pPr>
        <w:spacing w:after="240"/>
      </w:pPr>
      <w:r w:rsidRPr="00212E08">
        <w:t xml:space="preserve">Analysis of the available data highlights that implementation of </w:t>
      </w:r>
      <w:r w:rsidR="00DB6AB8" w:rsidRPr="00212E08">
        <w:t xml:space="preserve">this </w:t>
      </w:r>
      <w:r w:rsidRPr="00212E08">
        <w:t xml:space="preserve">option </w:t>
      </w:r>
      <w:r w:rsidR="00AF15AF" w:rsidRPr="00212E08">
        <w:t>would</w:t>
      </w:r>
      <w:r w:rsidRPr="00212E08">
        <w:t xml:space="preserve"> cause changes to HSR scores for some products </w:t>
      </w:r>
      <w:r w:rsidR="00171BB7" w:rsidRPr="00212E08">
        <w:t xml:space="preserve">and in doing so </w:t>
      </w:r>
      <w:r w:rsidR="00171BB7" w:rsidRPr="00212E08">
        <w:rPr>
          <w:lang w:eastAsia="en-AU"/>
        </w:rPr>
        <w:t>provide better alignment with dietary guidelines</w:t>
      </w:r>
      <w:r w:rsidR="00171BB7" w:rsidRPr="00212E08">
        <w:t>.</w:t>
      </w:r>
      <w:r w:rsidR="00AF15AF" w:rsidRPr="00212E08">
        <w:t xml:space="preserve"> </w:t>
      </w:r>
      <w:r w:rsidR="002E1FEF">
        <w:t>Given the lack of a complete set of product data it is difficult to ascertain how HSRs will change for specific products. H</w:t>
      </w:r>
      <w:r w:rsidR="002E1FEF" w:rsidRPr="00F71C67">
        <w:t>owever</w:t>
      </w:r>
      <w:r w:rsidR="002E1FEF">
        <w:t>,</w:t>
      </w:r>
      <w:r w:rsidR="002E1FEF" w:rsidRPr="00F71C67">
        <w:t xml:space="preserve"> the data available </w:t>
      </w:r>
      <w:r w:rsidR="002E1FEF">
        <w:t>both</w:t>
      </w:r>
      <w:r w:rsidR="002E1FEF" w:rsidRPr="00F71C67">
        <w:t xml:space="preserve"> provide coverage of key pr</w:t>
      </w:r>
      <w:r w:rsidR="000D53B1">
        <w:t>oduct categories and serve</w:t>
      </w:r>
      <w:r w:rsidR="002E1FEF">
        <w:t xml:space="preserve"> as a</w:t>
      </w:r>
      <w:r w:rsidR="000D53B1">
        <w:t>n appropriate</w:t>
      </w:r>
      <w:r w:rsidR="002E1FEF" w:rsidRPr="00F71C67">
        <w:t xml:space="preserve"> representation of how HSRs </w:t>
      </w:r>
      <w:r w:rsidR="000D53B1">
        <w:t>may</w:t>
      </w:r>
      <w:r w:rsidR="002E1FEF" w:rsidRPr="00F71C67">
        <w:t xml:space="preserve"> change if</w:t>
      </w:r>
      <w:r w:rsidR="002E1FEF">
        <w:t xml:space="preserve"> this</w:t>
      </w:r>
      <w:r w:rsidR="002E1FEF" w:rsidRPr="00F71C67">
        <w:t xml:space="preserve"> option is adopted</w:t>
      </w:r>
      <w:r w:rsidR="002E1FEF">
        <w:t>.</w:t>
      </w:r>
    </w:p>
    <w:p w14:paraId="170BCFF8" w14:textId="11F4FCD0" w:rsidR="003E3D2A" w:rsidRPr="00212E08" w:rsidRDefault="0086265A" w:rsidP="00C6633C">
      <w:pPr>
        <w:spacing w:after="240"/>
      </w:pPr>
      <w:r>
        <w:t>Implementation of this option</w:t>
      </w:r>
      <w:r w:rsidR="00DB6AB8" w:rsidRPr="00212E08">
        <w:t xml:space="preserve"> would</w:t>
      </w:r>
      <w:r w:rsidR="003E3D2A" w:rsidRPr="00212E08">
        <w:t xml:space="preserve"> align with the objectives of the HSR system to:</w:t>
      </w:r>
    </w:p>
    <w:p w14:paraId="3B3626E6" w14:textId="77777777" w:rsidR="003E3D2A" w:rsidRPr="00212E08" w:rsidRDefault="003E3D2A" w:rsidP="00C6633C">
      <w:pPr>
        <w:pStyle w:val="FRSCBullet"/>
        <w:numPr>
          <w:ilvl w:val="0"/>
          <w:numId w:val="1"/>
        </w:numPr>
        <w:ind w:left="357" w:hanging="357"/>
      </w:pPr>
      <w:r w:rsidRPr="00212E08">
        <w:t xml:space="preserve">Enable consumers to make direct comparison between individual foods as consumed. </w:t>
      </w:r>
    </w:p>
    <w:p w14:paraId="277F1C2C" w14:textId="01705900" w:rsidR="003E3D2A" w:rsidRPr="00212E08" w:rsidRDefault="003E3D2A" w:rsidP="00C6633C">
      <w:pPr>
        <w:pStyle w:val="ListParagraph"/>
        <w:numPr>
          <w:ilvl w:val="0"/>
          <w:numId w:val="2"/>
        </w:numPr>
        <w:spacing w:after="120"/>
        <w:rPr>
          <w:lang w:eastAsia="en-AU"/>
        </w:rPr>
      </w:pPr>
      <w:r w:rsidRPr="00212E08">
        <w:rPr>
          <w:lang w:eastAsia="en-AU"/>
        </w:rPr>
        <w:lastRenderedPageBreak/>
        <w:t>An example is dry soup mixes (which may display a HSR for the product as prepared with water) compared to ready-to-eat soups. This app</w:t>
      </w:r>
      <w:r w:rsidR="00962657">
        <w:rPr>
          <w:lang w:eastAsia="en-AU"/>
        </w:rPr>
        <w:t>ears to be an acceptable result</w:t>
      </w:r>
      <w:r w:rsidRPr="00212E08">
        <w:rPr>
          <w:lang w:eastAsia="en-AU"/>
        </w:rPr>
        <w:t xml:space="preserve"> given </w:t>
      </w:r>
      <w:r w:rsidRPr="00212E08">
        <w:t xml:space="preserve">consumers would be unlikely to consume dry soup powders ‘as sold.’ </w:t>
      </w:r>
    </w:p>
    <w:p w14:paraId="52689CEC" w14:textId="77777777" w:rsidR="003E3D2A" w:rsidRPr="00212E08" w:rsidRDefault="003E3D2A" w:rsidP="00C6633C">
      <w:pPr>
        <w:pStyle w:val="FRSCBullet"/>
        <w:numPr>
          <w:ilvl w:val="0"/>
          <w:numId w:val="1"/>
        </w:numPr>
        <w:ind w:left="357" w:hanging="357"/>
      </w:pPr>
      <w:r w:rsidRPr="00212E08">
        <w:t xml:space="preserve">Be readily understandable and meaningful across socio-economic groups, culturally and linguistically diverse groups and low literacy/low numeracy groups. </w:t>
      </w:r>
    </w:p>
    <w:p w14:paraId="1258FAE1" w14:textId="6FB0D7EC" w:rsidR="003E3D2A" w:rsidRPr="00212E08" w:rsidRDefault="003E3D2A" w:rsidP="00C6633C">
      <w:pPr>
        <w:pStyle w:val="ListParagraph"/>
        <w:numPr>
          <w:ilvl w:val="0"/>
          <w:numId w:val="2"/>
        </w:numPr>
        <w:spacing w:after="120"/>
        <w:rPr>
          <w:lang w:eastAsia="en-AU"/>
        </w:rPr>
      </w:pPr>
      <w:r w:rsidRPr="00212E08">
        <w:rPr>
          <w:lang w:eastAsia="en-AU"/>
        </w:rPr>
        <w:t xml:space="preserve">The current ‘as prepared’ rules require critical nutrition literacy and general literacy/numeracy skills to interpret and understand the information provided. </w:t>
      </w:r>
      <w:r w:rsidR="00B97063">
        <w:rPr>
          <w:lang w:eastAsia="en-AU"/>
        </w:rPr>
        <w:t>By ensuring that products which may be prepared in a range of ways are considered more simply in the HSR system, an easier comparison of products may be made at the point of purchase</w:t>
      </w:r>
      <w:r w:rsidR="002E1FEF">
        <w:rPr>
          <w:lang w:eastAsia="en-AU"/>
        </w:rPr>
        <w:t xml:space="preserve"> </w:t>
      </w:r>
      <w:r w:rsidR="00B97063">
        <w:rPr>
          <w:lang w:eastAsia="en-AU"/>
        </w:rPr>
        <w:t>without reference to complex variations in preparations</w:t>
      </w:r>
      <w:r w:rsidRPr="00212E08">
        <w:rPr>
          <w:lang w:eastAsia="en-AU"/>
        </w:rPr>
        <w:t>.</w:t>
      </w:r>
    </w:p>
    <w:p w14:paraId="7A9D47DA" w14:textId="4D98FBB3" w:rsidR="003E3D2A" w:rsidRDefault="003E3D2A" w:rsidP="00C6633C">
      <w:pPr>
        <w:pStyle w:val="FRSCBullet"/>
        <w:numPr>
          <w:ilvl w:val="0"/>
          <w:numId w:val="1"/>
        </w:numPr>
        <w:ind w:left="357" w:hanging="357"/>
      </w:pPr>
      <w:r w:rsidRPr="00613AB8">
        <w:t xml:space="preserve">Increase awareness of foods that, within </w:t>
      </w:r>
      <w:r>
        <w:t>a</w:t>
      </w:r>
      <w:r w:rsidRPr="00613AB8">
        <w:t xml:space="preserve"> diet</w:t>
      </w:r>
      <w:r>
        <w:t xml:space="preserve"> context, </w:t>
      </w:r>
      <w:r w:rsidRPr="00613AB8">
        <w:t>may contribute positively or negatively to the risk factors of diet</w:t>
      </w:r>
      <w:r w:rsidR="00B97063">
        <w:t>-</w:t>
      </w:r>
      <w:r w:rsidRPr="00613AB8">
        <w:t>related chronic diseases.</w:t>
      </w:r>
      <w:r>
        <w:t xml:space="preserve"> </w:t>
      </w:r>
    </w:p>
    <w:p w14:paraId="4EE01214" w14:textId="4849ADAF" w:rsidR="002E1FEF" w:rsidRDefault="000F7129" w:rsidP="000F7129">
      <w:pPr>
        <w:pStyle w:val="ListParagraph"/>
        <w:numPr>
          <w:ilvl w:val="0"/>
          <w:numId w:val="2"/>
        </w:numPr>
        <w:spacing w:after="120"/>
      </w:pPr>
      <w:r>
        <w:t xml:space="preserve">Calculating HSRs ‘as sold’ generally distributes </w:t>
      </w:r>
      <w:r w:rsidRPr="000F7129">
        <w:t>scores in alignment with dietary guidelines</w:t>
      </w:r>
      <w:r>
        <w:t>, with discretionary foods receiving lower HSRs and core foods higher HSRs</w:t>
      </w:r>
    </w:p>
    <w:p w14:paraId="15EEBFDF" w14:textId="5E30467B" w:rsidR="003E3D2A" w:rsidRDefault="00171BB7" w:rsidP="00C6633C">
      <w:pPr>
        <w:spacing w:after="240"/>
        <w:rPr>
          <w:color w:val="000000" w:themeColor="text1"/>
        </w:rPr>
      </w:pPr>
      <w:r>
        <w:t xml:space="preserve">A change to the ‘as prepared’ rules to align </w:t>
      </w:r>
      <w:r w:rsidRPr="00883602">
        <w:t>with</w:t>
      </w:r>
      <w:r w:rsidR="0086265A">
        <w:t xml:space="preserve"> this</w:t>
      </w:r>
      <w:r w:rsidRPr="00883602">
        <w:t xml:space="preserve"> option would require an amendment to the Guide for Industry</w:t>
      </w:r>
      <w:r w:rsidR="008B123F">
        <w:t xml:space="preserve"> but no change would need to be made to the HSR Calculator</w:t>
      </w:r>
      <w:r w:rsidR="003E3D2A" w:rsidRPr="00883602">
        <w:rPr>
          <w:color w:val="000000" w:themeColor="text1"/>
        </w:rPr>
        <w:t xml:space="preserve">. Please see </w:t>
      </w:r>
      <w:r w:rsidR="008C4347">
        <w:rPr>
          <w:color w:val="000000" w:themeColor="text1"/>
        </w:rPr>
        <w:t>Appendix 7</w:t>
      </w:r>
      <w:r w:rsidR="003E3D2A" w:rsidRPr="00883602">
        <w:rPr>
          <w:color w:val="000000" w:themeColor="text1"/>
        </w:rPr>
        <w:t xml:space="preserve"> for proposed changes.</w:t>
      </w:r>
    </w:p>
    <w:p w14:paraId="03438BAF" w14:textId="77777777" w:rsidR="003E3D2A" w:rsidRDefault="003E3D2A" w:rsidP="00C6633C">
      <w:pPr>
        <w:spacing w:after="240"/>
      </w:pPr>
      <w:r>
        <w:t>Clear guidance would be required for industry, particularly in relation to the alignment with the FSC and NIP labelling, noting that:</w:t>
      </w:r>
    </w:p>
    <w:p w14:paraId="5152587E" w14:textId="4F56CCD2" w:rsidR="003E3D2A" w:rsidRDefault="003E3D2A" w:rsidP="003E3D2A">
      <w:pPr>
        <w:pStyle w:val="ListParagraph"/>
        <w:numPr>
          <w:ilvl w:val="0"/>
          <w:numId w:val="1"/>
        </w:numPr>
      </w:pPr>
      <w:r>
        <w:t>breakfast cereals and</w:t>
      </w:r>
      <w:r w:rsidR="00306AA3">
        <w:t xml:space="preserve"> products such as</w:t>
      </w:r>
      <w:r>
        <w:t xml:space="preserve"> bread crumbs are already excluded from the ‘as prepared’ rules in the HSR system; and</w:t>
      </w:r>
    </w:p>
    <w:p w14:paraId="5F19C226" w14:textId="77777777" w:rsidR="003E3D2A" w:rsidRDefault="003E3D2A" w:rsidP="00C6633C">
      <w:pPr>
        <w:pStyle w:val="ListParagraph"/>
        <w:numPr>
          <w:ilvl w:val="0"/>
          <w:numId w:val="1"/>
        </w:numPr>
        <w:spacing w:after="240"/>
        <w:ind w:left="357" w:hanging="357"/>
        <w:contextualSpacing w:val="0"/>
      </w:pPr>
      <w:r>
        <w:t>FSC 1.2.8 states that the NIP must include both ‘as sold’ and ‘as prepared</w:t>
      </w:r>
      <w:r w:rsidRPr="000736BE">
        <w:t>.</w:t>
      </w:r>
      <w:r>
        <w:t xml:space="preserve">’ </w:t>
      </w:r>
    </w:p>
    <w:p w14:paraId="7A3A1D9E" w14:textId="65279F21" w:rsidR="003E3D2A" w:rsidRDefault="003E3D2A" w:rsidP="00C6633C">
      <w:pPr>
        <w:spacing w:after="240"/>
      </w:pPr>
      <w:r>
        <w:t xml:space="preserve">In a voluntary system, there is a risk that products </w:t>
      </w:r>
      <w:r w:rsidR="00B97063">
        <w:t xml:space="preserve">that </w:t>
      </w:r>
      <w:r>
        <w:t xml:space="preserve">currently display the HSR ‘as prepared’ may </w:t>
      </w:r>
      <w:r w:rsidR="00306AA3">
        <w:t xml:space="preserve">stop using </w:t>
      </w:r>
      <w:r>
        <w:t xml:space="preserve">the system </w:t>
      </w:r>
      <w:r w:rsidR="000F7129">
        <w:t>should they</w:t>
      </w:r>
      <w:r>
        <w:t xml:space="preserve"> </w:t>
      </w:r>
      <w:r w:rsidR="000F7129">
        <w:t xml:space="preserve">receive a </w:t>
      </w:r>
      <w:r>
        <w:t>lower HSR</w:t>
      </w:r>
      <w:r w:rsidR="000B4CB5">
        <w:t xml:space="preserve"> ‘as sold</w:t>
      </w:r>
      <w:r w:rsidR="000F7129">
        <w:t xml:space="preserve">’ </w:t>
      </w:r>
      <w:r w:rsidR="000B4CB5">
        <w:t>because</w:t>
      </w:r>
      <w:r w:rsidR="000F7129">
        <w:t xml:space="preserve"> </w:t>
      </w:r>
      <w:r w:rsidR="000B4CB5">
        <w:t xml:space="preserve">they can no longer include, for example, added </w:t>
      </w:r>
      <w:r w:rsidR="000F7129">
        <w:t xml:space="preserve">skim milk or vegetable content in the calculation of a HSR. This </w:t>
      </w:r>
      <w:r w:rsidR="000B4CB5">
        <w:t xml:space="preserve">is </w:t>
      </w:r>
      <w:r>
        <w:t>in addition to the general risk that a product that would receive a low HSR</w:t>
      </w:r>
      <w:r w:rsidR="000F7129">
        <w:t xml:space="preserve"> may not adopt the system</w:t>
      </w:r>
      <w:r>
        <w:t>. However, the application of the HSR system to ‘as prepar</w:t>
      </w:r>
      <w:r w:rsidR="000B4CB5">
        <w:t>ed’ products is already limited and many companies have adopted the HSR system on their full product range, regardless of the HSRs received.</w:t>
      </w:r>
    </w:p>
    <w:p w14:paraId="228F333B" w14:textId="0BC2CCCC" w:rsidR="003E3D2A" w:rsidRDefault="000B4CB5" w:rsidP="00C6633C">
      <w:pPr>
        <w:spacing w:after="240"/>
      </w:pPr>
      <w:r>
        <w:t>The</w:t>
      </w:r>
      <w:r w:rsidR="003E3D2A">
        <w:t xml:space="preserve"> risk must be weighed against the positive impact that clarification/amendment of the ‘as prepared’ rules </w:t>
      </w:r>
      <w:r>
        <w:t>are likely to</w:t>
      </w:r>
      <w:r w:rsidR="003E3D2A">
        <w:t xml:space="preserve"> have on trust in the HSR system and overall perceptions of integrity for both industry and consumers.</w:t>
      </w:r>
    </w:p>
    <w:p w14:paraId="4581E88B" w14:textId="77777777" w:rsidR="007A4898" w:rsidRDefault="003E3D2A" w:rsidP="00C6633C">
      <w:pPr>
        <w:spacing w:after="240"/>
        <w:sectPr w:rsidR="007A4898" w:rsidSect="006D48BB">
          <w:pgSz w:w="11906" w:h="16838"/>
          <w:pgMar w:top="1440" w:right="1800" w:bottom="851" w:left="1800" w:header="708" w:footer="708" w:gutter="0"/>
          <w:cols w:space="708"/>
          <w:docGrid w:linePitch="360"/>
        </w:sectPr>
      </w:pPr>
      <w:r>
        <w:t xml:space="preserve">Both are difficult to quantify. There is insufficient industry data to determine the extent of the impact of implementing </w:t>
      </w:r>
      <w:r w:rsidR="00DB6AB8">
        <w:t xml:space="preserve">this </w:t>
      </w:r>
      <w:r>
        <w:t xml:space="preserve">option nor research to demonstrate that this will influence consumer choice at point of purchase. Similarly, there is insufficient data to draw strong inferences that consumer trust in the system will be maintained or improved through the implementation of </w:t>
      </w:r>
      <w:r w:rsidR="00DB6AB8">
        <w:t xml:space="preserve">this </w:t>
      </w:r>
      <w:r>
        <w:t>option</w:t>
      </w:r>
      <w:r w:rsidR="00B97063">
        <w:t>,</w:t>
      </w:r>
      <w:r>
        <w:t xml:space="preserve"> nor</w:t>
      </w:r>
      <w:r w:rsidR="00B97063">
        <w:t xml:space="preserve"> are there</w:t>
      </w:r>
      <w:r>
        <w:t xml:space="preserve"> guarantees that </w:t>
      </w:r>
      <w:r w:rsidR="00DB6AB8">
        <w:t>this</w:t>
      </w:r>
      <w:r>
        <w:t xml:space="preserve"> will be accepted by stakeholders (particularly as reported in the media).</w:t>
      </w:r>
    </w:p>
    <w:p w14:paraId="55A773C2" w14:textId="61F5DCA3" w:rsidR="00AB57F3" w:rsidRPr="003C7A24" w:rsidRDefault="00AB57F3" w:rsidP="00B0768E">
      <w:pPr>
        <w:pStyle w:val="Heading2"/>
      </w:pPr>
      <w:bookmarkStart w:id="25" w:name="_Toc511309270"/>
      <w:r w:rsidRPr="003C7A24">
        <w:lastRenderedPageBreak/>
        <w:t xml:space="preserve">Provide supporting guidance </w:t>
      </w:r>
      <w:r w:rsidR="00070536" w:rsidRPr="003C7A24">
        <w:t>for interpreting</w:t>
      </w:r>
      <w:r w:rsidR="00FC40D0" w:rsidRPr="003C7A24">
        <w:t xml:space="preserve"> the </w:t>
      </w:r>
      <w:r w:rsidRPr="003C7A24">
        <w:t>current ‘as prepared’ rules</w:t>
      </w:r>
      <w:bookmarkEnd w:id="25"/>
      <w:r w:rsidRPr="003C7A24">
        <w:t xml:space="preserve"> </w:t>
      </w:r>
    </w:p>
    <w:p w14:paraId="189F760A" w14:textId="3E7179B6" w:rsidR="00880F53" w:rsidRPr="003C7A24" w:rsidRDefault="00B97063" w:rsidP="005938E2">
      <w:pPr>
        <w:spacing w:after="240"/>
      </w:pPr>
      <w:r w:rsidRPr="003C7A24">
        <w:t xml:space="preserve">An alternative option is clarification of the ‘as prepared’ rules in the Guide for Industry </w:t>
      </w:r>
      <w:r w:rsidR="00AB57F3" w:rsidRPr="003C7A24">
        <w:t>through</w:t>
      </w:r>
      <w:r w:rsidRPr="003C7A24">
        <w:t xml:space="preserve"> the provision of supporting guidance for industry. </w:t>
      </w:r>
      <w:r w:rsidR="0088755C" w:rsidRPr="003C7A24">
        <w:t>This option is pre</w:t>
      </w:r>
      <w:r w:rsidR="00787D5D">
        <w:t>ferred by a minority of HSRAC.</w:t>
      </w:r>
    </w:p>
    <w:p w14:paraId="278FA924" w14:textId="127E2FE0" w:rsidR="00C4054A" w:rsidRPr="005938E2" w:rsidRDefault="00641EFB" w:rsidP="005938E2">
      <w:pPr>
        <w:spacing w:after="240"/>
      </w:pPr>
      <w:r w:rsidRPr="003C7A24">
        <w:t xml:space="preserve">The </w:t>
      </w:r>
      <w:r w:rsidR="000D53B1" w:rsidRPr="003C7A24">
        <w:t>AFGC</w:t>
      </w:r>
      <w:r w:rsidR="000B4CB5" w:rsidRPr="003C7A24">
        <w:t>, the peak</w:t>
      </w:r>
      <w:r w:rsidRPr="003C7A24">
        <w:t xml:space="preserve"> industry association </w:t>
      </w:r>
      <w:r w:rsidR="00B97063" w:rsidRPr="003C7A24">
        <w:t xml:space="preserve">that </w:t>
      </w:r>
      <w:r w:rsidRPr="003C7A24">
        <w:t>represents Australian food, beverage and grocery manufacturers and suppliers, has provided a</w:t>
      </w:r>
      <w:r w:rsidR="000B4CB5" w:rsidRPr="003C7A24">
        <w:t>n alternative approach where a</w:t>
      </w:r>
      <w:r w:rsidRPr="003C7A24">
        <w:t xml:space="preserve"> draft</w:t>
      </w:r>
      <w:r w:rsidR="00AA1B1A" w:rsidRPr="003C7A24">
        <w:t xml:space="preserve"> flow chart (or</w:t>
      </w:r>
      <w:r w:rsidRPr="003C7A24">
        <w:t xml:space="preserve"> ‘decision tree’</w:t>
      </w:r>
      <w:r w:rsidR="00AA1B1A" w:rsidRPr="003C7A24">
        <w:t>)</w:t>
      </w:r>
      <w:r w:rsidRPr="003C7A24">
        <w:t xml:space="preserve"> </w:t>
      </w:r>
      <w:r w:rsidR="000B4CB5" w:rsidRPr="003C7A24">
        <w:t xml:space="preserve">and explanatory notes is proposed </w:t>
      </w:r>
      <w:r w:rsidRPr="003C7A24">
        <w:t>to assist industry with interpretat</w:t>
      </w:r>
      <w:r w:rsidR="00FF26F5" w:rsidRPr="003C7A24">
        <w:t>ion of the ‘as prepared’ rules.</w:t>
      </w:r>
      <w:r w:rsidR="003158B7" w:rsidRPr="003C7A24">
        <w:t xml:space="preserve"> This aims to</w:t>
      </w:r>
      <w:r w:rsidRPr="003C7A24">
        <w:t xml:space="preserve"> provide clear</w:t>
      </w:r>
      <w:r w:rsidR="000B4CB5" w:rsidRPr="003C7A24">
        <w:t>er</w:t>
      </w:r>
      <w:r w:rsidRPr="003C7A24">
        <w:t xml:space="preserve"> guidance </w:t>
      </w:r>
      <w:r w:rsidR="00270327" w:rsidRPr="003C7A24">
        <w:t xml:space="preserve">to assist application of the HSR </w:t>
      </w:r>
      <w:r w:rsidR="003158B7" w:rsidRPr="003C7A24">
        <w:t xml:space="preserve">system </w:t>
      </w:r>
      <w:r w:rsidR="00270327" w:rsidRPr="003C7A24">
        <w:t>to individual products</w:t>
      </w:r>
      <w:r w:rsidR="000B4CB5" w:rsidRPr="003C7A24">
        <w:t xml:space="preserve"> that are not ‘ready to eat’ and are normally prepared with</w:t>
      </w:r>
      <w:r w:rsidR="003C7A24" w:rsidRPr="003C7A24">
        <w:t xml:space="preserve"> other</w:t>
      </w:r>
      <w:r w:rsidR="000B4CB5" w:rsidRPr="003C7A24">
        <w:t xml:space="preserve"> ingredients prior to consumption. Examples include cake mixes, to which eggs, fat and sugar are typically added; custard powders, to which milk is typically added; and sauces and recipe bases, to which water, cream and/or coconut milk is typically added. In these cases, the ‘decision tree’ may allow manufacturers to incorporate the nutrients from the added ingredients </w:t>
      </w:r>
      <w:r w:rsidR="000B4CB5" w:rsidRPr="003C7A24">
        <w:rPr>
          <w:lang w:eastAsia="en-AU"/>
        </w:rPr>
        <w:t>in the calculation of a HSR.</w:t>
      </w:r>
    </w:p>
    <w:p w14:paraId="4D58A44B" w14:textId="11E30B5A" w:rsidR="00C61387" w:rsidRPr="005938E2" w:rsidRDefault="00C4054A" w:rsidP="00C61387">
      <w:pPr>
        <w:spacing w:after="240"/>
      </w:pPr>
      <w:r w:rsidRPr="005938E2">
        <w:t>An initial draft of the ‘decision tree’ was provided</w:t>
      </w:r>
      <w:r w:rsidR="00306AA3" w:rsidRPr="005938E2">
        <w:t xml:space="preserve"> by the AFGC</w:t>
      </w:r>
      <w:r w:rsidRPr="005938E2">
        <w:t xml:space="preserve"> to HSRAC </w:t>
      </w:r>
      <w:r w:rsidR="00880F53" w:rsidRPr="005938E2">
        <w:t xml:space="preserve">and discussed </w:t>
      </w:r>
      <w:r w:rsidRPr="005938E2">
        <w:t xml:space="preserve">on 15 November 2017. </w:t>
      </w:r>
      <w:r w:rsidR="00880F53" w:rsidRPr="005938E2">
        <w:t xml:space="preserve">Members </w:t>
      </w:r>
      <w:r w:rsidR="00880F53" w:rsidRPr="007B0AC5">
        <w:t xml:space="preserve">considered that the decision tree could </w:t>
      </w:r>
      <w:r w:rsidR="00880F53" w:rsidRPr="008C5E4B">
        <w:t xml:space="preserve">help supplement </w:t>
      </w:r>
      <w:r w:rsidR="00E23B6B">
        <w:t>an</w:t>
      </w:r>
      <w:r w:rsidR="00880F53" w:rsidRPr="008C5E4B">
        <w:t xml:space="preserve"> agreed </w:t>
      </w:r>
      <w:r w:rsidR="00E23B6B">
        <w:t>resolution to the ‘as prepared’ issue</w:t>
      </w:r>
      <w:r w:rsidR="00880F53" w:rsidRPr="007B0AC5">
        <w:t xml:space="preserve"> </w:t>
      </w:r>
      <w:r w:rsidR="00E23B6B">
        <w:t xml:space="preserve">and </w:t>
      </w:r>
      <w:r w:rsidR="00E23B6B" w:rsidRPr="007B0AC5">
        <w:t>be a useful tool</w:t>
      </w:r>
      <w:r w:rsidR="00E23B6B" w:rsidRPr="008C5E4B">
        <w:t xml:space="preserve"> </w:t>
      </w:r>
      <w:r w:rsidR="00E23B6B">
        <w:t>for industry</w:t>
      </w:r>
      <w:r w:rsidR="00880F53" w:rsidRPr="007B0AC5">
        <w:t>.</w:t>
      </w:r>
      <w:r w:rsidR="00880F53">
        <w:t xml:space="preserve"> </w:t>
      </w:r>
      <w:r w:rsidR="00880F53" w:rsidRPr="005938E2">
        <w:t xml:space="preserve">A revised draft was provided for </w:t>
      </w:r>
      <w:r w:rsidR="00AA1B1A" w:rsidRPr="005938E2">
        <w:t>discussion</w:t>
      </w:r>
      <w:r w:rsidR="00BA46AA" w:rsidRPr="005938E2">
        <w:t xml:space="preserve"> on 13 February 2018 and </w:t>
      </w:r>
      <w:r w:rsidR="00947513" w:rsidRPr="005938E2">
        <w:t>it was</w:t>
      </w:r>
      <w:r w:rsidR="00880F53" w:rsidRPr="005938E2">
        <w:t xml:space="preserve"> agreed that targeted consultations on the ‘decision tree’ may help refine both the concept and application.</w:t>
      </w:r>
      <w:r w:rsidR="00C61387" w:rsidRPr="005938E2">
        <w:t xml:space="preserve"> </w:t>
      </w:r>
      <w:r w:rsidR="003158B7" w:rsidRPr="005938E2">
        <w:t xml:space="preserve">This version was </w:t>
      </w:r>
      <w:r w:rsidR="00C74D66" w:rsidRPr="005938E2">
        <w:t>considered by both TAG and the Australian Department of Health</w:t>
      </w:r>
      <w:r w:rsidR="00FF26F5" w:rsidRPr="005938E2">
        <w:t xml:space="preserve"> </w:t>
      </w:r>
      <w:r w:rsidR="00B17ADB" w:rsidRPr="005938E2">
        <w:t>(</w:t>
      </w:r>
      <w:r w:rsidR="00FF26F5" w:rsidRPr="005938E2">
        <w:t xml:space="preserve">see </w:t>
      </w:r>
      <w:r w:rsidR="00B17ADB" w:rsidRPr="005938E2">
        <w:t>Appendix 9).</w:t>
      </w:r>
    </w:p>
    <w:p w14:paraId="5CA39F65" w14:textId="015F4CD3" w:rsidR="00880F53" w:rsidRPr="00880F53" w:rsidRDefault="00B97063" w:rsidP="005938E2">
      <w:pPr>
        <w:spacing w:after="240"/>
      </w:pPr>
      <w:r w:rsidRPr="005938E2">
        <w:t xml:space="preserve">HSRAC agreed that a further version of the ‘decision tree’ that </w:t>
      </w:r>
      <w:r w:rsidR="00B17ADB" w:rsidRPr="005938E2">
        <w:t xml:space="preserve">addressed </w:t>
      </w:r>
      <w:r w:rsidRPr="005938E2">
        <w:t xml:space="preserve">comments from the Australian Department of Health and TAG should go to public consultation. </w:t>
      </w:r>
      <w:r w:rsidR="00BD1ADF" w:rsidRPr="005938E2">
        <w:t xml:space="preserve">The version </w:t>
      </w:r>
      <w:r w:rsidR="00BD1ADF" w:rsidRPr="000B4CB5">
        <w:t>here</w:t>
      </w:r>
      <w:r w:rsidR="007A4898" w:rsidRPr="000B4CB5">
        <w:t xml:space="preserve"> (p. 17)</w:t>
      </w:r>
      <w:r w:rsidR="00BD1ADF" w:rsidRPr="000B4CB5">
        <w:t xml:space="preserve"> was</w:t>
      </w:r>
      <w:r w:rsidR="00BD1ADF" w:rsidRPr="005938E2">
        <w:t xml:space="preserve"> provided by the AFGC on 3 April 2018</w:t>
      </w:r>
      <w:r w:rsidR="00B17ADB" w:rsidRPr="005938E2">
        <w:t xml:space="preserve"> and has not been analysed</w:t>
      </w:r>
      <w:r w:rsidR="0088755C">
        <w:t xml:space="preserve"> or endorsed</w:t>
      </w:r>
      <w:r w:rsidR="00B17ADB" w:rsidRPr="005938E2">
        <w:t xml:space="preserve"> by </w:t>
      </w:r>
      <w:r w:rsidR="00BD1ADF" w:rsidRPr="005938E2">
        <w:t xml:space="preserve">either the </w:t>
      </w:r>
      <w:r w:rsidR="00B17ADB" w:rsidRPr="005938E2">
        <w:t xml:space="preserve">Australian </w:t>
      </w:r>
      <w:r w:rsidR="00BD1ADF" w:rsidRPr="005938E2">
        <w:t>Department of Health or TAG</w:t>
      </w:r>
      <w:r w:rsidR="003C7A24">
        <w:t xml:space="preserve"> or received consensus support from HSRAC</w:t>
      </w:r>
      <w:r w:rsidR="00BD1ADF" w:rsidRPr="005938E2">
        <w:t>.</w:t>
      </w:r>
      <w:r w:rsidR="00AB57F3">
        <w:t xml:space="preserve"> The full ‘decision tree,’ </w:t>
      </w:r>
      <w:r w:rsidR="007A4898">
        <w:t>including accompanying text, is at Appendix 8.</w:t>
      </w:r>
      <w:r w:rsidR="00AB57F3">
        <w:t xml:space="preserve"> </w:t>
      </w:r>
    </w:p>
    <w:p w14:paraId="0BA9E367" w14:textId="5DDBD817" w:rsidR="00641EFB" w:rsidRPr="005938E2" w:rsidRDefault="00C4054A" w:rsidP="00B0768E">
      <w:pPr>
        <w:pStyle w:val="Heading2"/>
      </w:pPr>
      <w:r>
        <w:t>‘Decision tree’</w:t>
      </w:r>
    </w:p>
    <w:p w14:paraId="489BA035" w14:textId="49AA895A" w:rsidR="003D0F4C" w:rsidRPr="005938E2" w:rsidRDefault="00FA4788" w:rsidP="005938E2">
      <w:pPr>
        <w:spacing w:after="240"/>
      </w:pPr>
      <w:r w:rsidRPr="005938E2">
        <w:t>The ‘decision tree’</w:t>
      </w:r>
      <w:r w:rsidR="00BA46AA" w:rsidRPr="005938E2">
        <w:t xml:space="preserve"> propos</w:t>
      </w:r>
      <w:r w:rsidR="00FA1451" w:rsidRPr="005938E2">
        <w:t xml:space="preserve">es a method to assess the form of the food for which </w:t>
      </w:r>
      <w:r w:rsidR="00BA46AA" w:rsidRPr="005938E2">
        <w:t>a product should display a HSR</w:t>
      </w:r>
      <w:r w:rsidR="00947513" w:rsidRPr="005938E2">
        <w:t>,</w:t>
      </w:r>
      <w:r w:rsidR="00BA46AA" w:rsidRPr="005938E2">
        <w:t xml:space="preserve"> </w:t>
      </w:r>
      <w:r w:rsidR="00B97063" w:rsidRPr="005938E2">
        <w:t>posing eight binary questions to direct an enquiring manufacturer or supplier towards the relevant outcome</w:t>
      </w:r>
      <w:r w:rsidR="00E23B6B" w:rsidRPr="005938E2">
        <w:t xml:space="preserve">. </w:t>
      </w:r>
      <w:r w:rsidR="00947513" w:rsidRPr="005938E2">
        <w:t>This is based on the instructions provided on the packaging (i.e. the assumed preparation</w:t>
      </w:r>
      <w:r w:rsidR="00FA1451" w:rsidRPr="005938E2">
        <w:t>, as directed by the manufacturer/retailer</w:t>
      </w:r>
      <w:r w:rsidR="003C7A24">
        <w:t>) as well as</w:t>
      </w:r>
      <w:r w:rsidR="00947513" w:rsidRPr="005938E2">
        <w:t xml:space="preserve"> intentions</w:t>
      </w:r>
      <w:r w:rsidR="003D0F4C" w:rsidRPr="005938E2">
        <w:t xml:space="preserve"> and perceptions</w:t>
      </w:r>
      <w:r w:rsidR="003C7A24">
        <w:t xml:space="preserve"> of how consumers will use the product</w:t>
      </w:r>
      <w:r w:rsidR="003D0F4C" w:rsidRPr="005938E2">
        <w:t>.</w:t>
      </w:r>
      <w:r w:rsidR="00E23B6B" w:rsidRPr="005938E2">
        <w:t xml:space="preserve"> Explanatory notes assist with the determination at each step.</w:t>
      </w:r>
    </w:p>
    <w:p w14:paraId="2A53340D" w14:textId="7FC62DE0" w:rsidR="007B3626" w:rsidRPr="005938E2" w:rsidRDefault="007B3626" w:rsidP="005938E2">
      <w:pPr>
        <w:spacing w:after="240"/>
      </w:pPr>
      <w:r w:rsidRPr="005938E2">
        <w:t>The ‘decision tree’ approach places the onus of responsibility on the manufacturer to consider what provides the most useful information to consumers, consistent with the objectives of the HSR. It covers all products,</w:t>
      </w:r>
      <w:r w:rsidR="000D53B1" w:rsidRPr="005938E2">
        <w:t xml:space="preserve"> both</w:t>
      </w:r>
      <w:r w:rsidRPr="005938E2">
        <w:t xml:space="preserve"> current and likely to be released in the short to medium term</w:t>
      </w:r>
      <w:r w:rsidR="000D53B1" w:rsidRPr="005938E2">
        <w:t>,</w:t>
      </w:r>
      <w:r w:rsidRPr="005938E2">
        <w:t xml:space="preserve"> and provides scope for comparing like products.</w:t>
      </w:r>
    </w:p>
    <w:p w14:paraId="44A0C7C7" w14:textId="2855D62F" w:rsidR="003F6207" w:rsidRPr="005938E2" w:rsidRDefault="00E17156" w:rsidP="00B0768E">
      <w:pPr>
        <w:pStyle w:val="Heading2"/>
      </w:pPr>
      <w:r>
        <w:t>Conclusions and analysis</w:t>
      </w:r>
    </w:p>
    <w:p w14:paraId="5E63F7F6" w14:textId="50EE524E" w:rsidR="009E1CD9" w:rsidRPr="005938E2" w:rsidRDefault="00AB3ED0" w:rsidP="005938E2">
      <w:pPr>
        <w:spacing w:after="240"/>
      </w:pPr>
      <w:r w:rsidRPr="005938E2">
        <w:t>Pursuing this option</w:t>
      </w:r>
      <w:r w:rsidR="00F94284" w:rsidRPr="005938E2">
        <w:t xml:space="preserve"> </w:t>
      </w:r>
      <w:r w:rsidR="00F53383" w:rsidRPr="005938E2">
        <w:t xml:space="preserve">may allay concerns that </w:t>
      </w:r>
      <w:r w:rsidR="00FA1451" w:rsidRPr="005938E2">
        <w:t xml:space="preserve">a change to the ‘as prepared’ rules will treat </w:t>
      </w:r>
      <w:r w:rsidR="00F53383" w:rsidRPr="005938E2">
        <w:t xml:space="preserve">certain product categories </w:t>
      </w:r>
      <w:r w:rsidR="00FA1451" w:rsidRPr="005938E2">
        <w:t>in</w:t>
      </w:r>
      <w:r w:rsidR="00F53383" w:rsidRPr="005938E2">
        <w:t>appropriately in the HSR system by not allowing a direct comparison between products as they are</w:t>
      </w:r>
      <w:r w:rsidRPr="005938E2">
        <w:t xml:space="preserve"> intended to be</w:t>
      </w:r>
      <w:r w:rsidR="00F53383" w:rsidRPr="005938E2">
        <w:t xml:space="preserve"> consumed. For </w:t>
      </w:r>
      <w:r w:rsidR="00F53383" w:rsidRPr="005938E2">
        <w:lastRenderedPageBreak/>
        <w:t xml:space="preserve">example, comparing </w:t>
      </w:r>
      <w:r w:rsidR="00FA1451" w:rsidRPr="005938E2">
        <w:t xml:space="preserve">the HSR of </w:t>
      </w:r>
      <w:r w:rsidR="00F53383" w:rsidRPr="005938E2">
        <w:t>a dry cake mix to</w:t>
      </w:r>
      <w:r w:rsidR="00FA1451" w:rsidRPr="005938E2">
        <w:t xml:space="preserve"> the HSR of</w:t>
      </w:r>
      <w:r w:rsidR="00F53383" w:rsidRPr="005938E2">
        <w:t xml:space="preserve"> a cake on the shelf may be inappropriate.</w:t>
      </w:r>
      <w:r w:rsidR="00545B1E" w:rsidRPr="005938E2">
        <w:t xml:space="preserve"> </w:t>
      </w:r>
      <w:r w:rsidR="008C4347" w:rsidRPr="005938E2">
        <w:t>Appendix 3</w:t>
      </w:r>
      <w:r w:rsidR="00545B1E" w:rsidRPr="005938E2">
        <w:t xml:space="preserve"> highlights the potential impact of this, providing HSRs for ‘as sold’ and ‘as prepared’ forms of the same food</w:t>
      </w:r>
      <w:r w:rsidR="0082336B" w:rsidRPr="005938E2">
        <w:t>.</w:t>
      </w:r>
    </w:p>
    <w:p w14:paraId="10F243BF" w14:textId="61D85311" w:rsidR="00F94284" w:rsidRPr="003C7A24" w:rsidRDefault="00F90323" w:rsidP="005938E2">
      <w:pPr>
        <w:spacing w:after="240"/>
      </w:pPr>
      <w:r w:rsidRPr="005938E2">
        <w:t xml:space="preserve">The application of the ‘decision tree’ to products, in the context of the maintenance of status quo for the ‘as prepared’ rules, may not produce definitive outcomes and/or </w:t>
      </w:r>
      <w:r w:rsidR="00E93CD1" w:rsidRPr="005938E2">
        <w:t xml:space="preserve"> address the ambiguities in the current ‘as prepared’ rules</w:t>
      </w:r>
      <w:r w:rsidRPr="005938E2">
        <w:t>. In addition</w:t>
      </w:r>
      <w:r w:rsidR="00F53383" w:rsidRPr="005938E2">
        <w:t>, this option may not address</w:t>
      </w:r>
      <w:r w:rsidR="00FA1451" w:rsidRPr="005938E2">
        <w:t xml:space="preserve"> or resolve</w:t>
      </w:r>
      <w:r w:rsidR="00F53383" w:rsidRPr="005938E2">
        <w:t xml:space="preserve"> </w:t>
      </w:r>
      <w:r w:rsidR="008D6F75" w:rsidRPr="005938E2">
        <w:t>issues</w:t>
      </w:r>
      <w:r w:rsidR="00796258" w:rsidRPr="005938E2">
        <w:t xml:space="preserve"> with the current rules</w:t>
      </w:r>
      <w:r w:rsidR="008D6F75" w:rsidRPr="005938E2">
        <w:t xml:space="preserve"> </w:t>
      </w:r>
      <w:r w:rsidR="00796258" w:rsidRPr="005938E2">
        <w:t>regarding</w:t>
      </w:r>
      <w:r w:rsidR="008D6F75" w:rsidRPr="005938E2">
        <w:t xml:space="preserve"> alignment with the objectives of the HSR system </w:t>
      </w:r>
      <w:r w:rsidR="006C5006" w:rsidRPr="005938E2">
        <w:t>and</w:t>
      </w:r>
      <w:r w:rsidR="008D6F75" w:rsidRPr="005938E2">
        <w:t xml:space="preserve"> dietary guidance</w:t>
      </w:r>
      <w:r w:rsidR="00AB3ED0" w:rsidRPr="005938E2">
        <w:t>, as previously outlined</w:t>
      </w:r>
      <w:r w:rsidR="008D6F75" w:rsidRPr="005938E2">
        <w:t>. The status quo, even with clarification and supplementary guidance</w:t>
      </w:r>
      <w:r w:rsidR="00FA1451" w:rsidRPr="005938E2">
        <w:t xml:space="preserve"> to assist industry interpretation</w:t>
      </w:r>
      <w:r w:rsidR="008D6F75" w:rsidRPr="005938E2">
        <w:t>, may not maintain or improve</w:t>
      </w:r>
      <w:r w:rsidR="006C5006" w:rsidRPr="005938E2">
        <w:t xml:space="preserve"> consumer and industry</w:t>
      </w:r>
      <w:r w:rsidR="008D6F75" w:rsidRPr="005938E2">
        <w:t xml:space="preserve"> trust in </w:t>
      </w:r>
      <w:r w:rsidR="00FA1451" w:rsidRPr="005938E2">
        <w:t xml:space="preserve">the system </w:t>
      </w:r>
      <w:r w:rsidR="008D6F75" w:rsidRPr="005938E2">
        <w:t xml:space="preserve">and </w:t>
      </w:r>
      <w:r w:rsidR="00FA1451" w:rsidRPr="005938E2">
        <w:t>perceptions of integrity</w:t>
      </w:r>
      <w:r w:rsidR="008D6F75" w:rsidRPr="005938E2">
        <w:t xml:space="preserve">. It is </w:t>
      </w:r>
      <w:r w:rsidR="006C5006" w:rsidRPr="005938E2">
        <w:t xml:space="preserve">also </w:t>
      </w:r>
      <w:r w:rsidR="008D6F75" w:rsidRPr="005938E2">
        <w:t xml:space="preserve">likely that pursuing this option will result in further negative media </w:t>
      </w:r>
      <w:r w:rsidR="008D6F75" w:rsidRPr="003C7A24">
        <w:t>coverage</w:t>
      </w:r>
      <w:r w:rsidR="000D53B1" w:rsidRPr="003C7A24">
        <w:t xml:space="preserve"> and reputational damage to the HSR system</w:t>
      </w:r>
      <w:r w:rsidR="008D6F75" w:rsidRPr="003C7A24">
        <w:t>.</w:t>
      </w:r>
    </w:p>
    <w:p w14:paraId="0C24F209" w14:textId="59ADF4C2" w:rsidR="007A4898" w:rsidRDefault="00F94284" w:rsidP="005938E2">
      <w:pPr>
        <w:spacing w:after="240"/>
      </w:pPr>
      <w:r w:rsidRPr="003C7A24">
        <w:t>Should this option be the agreed outcome</w:t>
      </w:r>
      <w:r w:rsidR="00B97063" w:rsidRPr="003C7A24">
        <w:t>,</w:t>
      </w:r>
      <w:r w:rsidRPr="003C7A24">
        <w:t xml:space="preserve"> it is not intend</w:t>
      </w:r>
      <w:r w:rsidR="008F1AC4" w:rsidRPr="003C7A24">
        <w:t>ed</w:t>
      </w:r>
      <w:r w:rsidRPr="003C7A24">
        <w:t xml:space="preserve"> to make the use of the ‘decision tree’ mandatory for </w:t>
      </w:r>
      <w:r w:rsidR="006E433F" w:rsidRPr="003C7A24">
        <w:t>potential</w:t>
      </w:r>
      <w:r w:rsidRPr="003C7A24">
        <w:t xml:space="preserve"> ‘as prepared’ products</w:t>
      </w:r>
      <w:r w:rsidR="00E93CD1" w:rsidRPr="003C7A24">
        <w:t>.</w:t>
      </w:r>
      <w:r w:rsidR="00347B5B" w:rsidRPr="003C7A24">
        <w:t xml:space="preserve"> </w:t>
      </w:r>
      <w:r w:rsidR="00AB57F3" w:rsidRPr="003C7A24">
        <w:t xml:space="preserve">The ‘decision tree’ </w:t>
      </w:r>
      <w:r w:rsidR="00A25634" w:rsidRPr="003C7A24">
        <w:t>could</w:t>
      </w:r>
      <w:r w:rsidR="00AB57F3" w:rsidRPr="003C7A24">
        <w:t xml:space="preserve"> be inserted into the Guide for Industry and </w:t>
      </w:r>
      <w:r w:rsidR="007A4898" w:rsidRPr="003C7A24">
        <w:t xml:space="preserve">further modifications </w:t>
      </w:r>
      <w:r w:rsidR="00A25634" w:rsidRPr="003C7A24">
        <w:t xml:space="preserve">to the Guide for Industry </w:t>
      </w:r>
      <w:r w:rsidR="007A4898" w:rsidRPr="003C7A24">
        <w:t>may be required. N</w:t>
      </w:r>
      <w:r w:rsidR="00347B5B" w:rsidRPr="003C7A24">
        <w:t>o change would</w:t>
      </w:r>
      <w:r w:rsidR="00347B5B" w:rsidRPr="007A4898">
        <w:t xml:space="preserve"> be made to the HSR Calculator.</w:t>
      </w:r>
    </w:p>
    <w:p w14:paraId="1B69F059" w14:textId="77777777" w:rsidR="00F32839" w:rsidRDefault="00F32839" w:rsidP="005938E2">
      <w:pPr>
        <w:spacing w:after="240"/>
      </w:pPr>
    </w:p>
    <w:p w14:paraId="4A3642E0" w14:textId="77777777" w:rsidR="00F32839" w:rsidRDefault="00F32839" w:rsidP="005938E2">
      <w:pPr>
        <w:spacing w:after="240"/>
        <w:sectPr w:rsidR="00F32839" w:rsidSect="006D48BB">
          <w:pgSz w:w="11906" w:h="16838"/>
          <w:pgMar w:top="1440" w:right="1800" w:bottom="851" w:left="1800" w:header="708" w:footer="708" w:gutter="0"/>
          <w:cols w:space="708"/>
          <w:docGrid w:linePitch="360"/>
        </w:sectPr>
      </w:pPr>
    </w:p>
    <w:p w14:paraId="21D8D334" w14:textId="77777777" w:rsidR="00F32839" w:rsidRDefault="00F32839" w:rsidP="00F32839">
      <w:pPr>
        <w:spacing w:after="120"/>
        <w:jc w:val="center"/>
        <w:rPr>
          <w:rFonts w:ascii="Arial" w:hAnsi="Arial" w:cs="Arial"/>
          <w:b/>
          <w:sz w:val="18"/>
          <w:szCs w:val="18"/>
        </w:rPr>
      </w:pPr>
      <w:r w:rsidRPr="009B7399">
        <w:rPr>
          <w:rFonts w:ascii="Arial" w:hAnsi="Arial" w:cs="Arial"/>
          <w:b/>
          <w:sz w:val="18"/>
          <w:szCs w:val="18"/>
        </w:rPr>
        <w:lastRenderedPageBreak/>
        <w:t>Decision Tree – Determining ‘as sold’ vs ‘as prepared’ HSR Labelling</w:t>
      </w:r>
    </w:p>
    <w:p w14:paraId="162B4451" w14:textId="77777777" w:rsidR="00F32839" w:rsidRPr="009B7399" w:rsidRDefault="00F32839" w:rsidP="00F32839">
      <w:pPr>
        <w:spacing w:after="120"/>
        <w:ind w:left="-284"/>
        <w:jc w:val="center"/>
        <w:rPr>
          <w:rFonts w:ascii="Arial" w:hAnsi="Arial" w:cs="Arial"/>
          <w:sz w:val="18"/>
          <w:szCs w:val="18"/>
        </w:rPr>
      </w:pPr>
    </w:p>
    <w:tbl>
      <w:tblPr>
        <w:tblStyle w:val="TableGrid"/>
        <w:tblW w:w="992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ecision tree"/>
        <w:tblDescription w:val="A flow chart of process to determine whether product should receive an 'as sold' or 'as prepared' HSR."/>
      </w:tblPr>
      <w:tblGrid>
        <w:gridCol w:w="3431"/>
        <w:gridCol w:w="397"/>
        <w:gridCol w:w="3685"/>
        <w:gridCol w:w="426"/>
        <w:gridCol w:w="1984"/>
      </w:tblGrid>
      <w:tr w:rsidR="00F32839" w:rsidRPr="009B7399" w14:paraId="46B619AE" w14:textId="77777777" w:rsidTr="00B0768E">
        <w:trPr>
          <w:trHeight w:val="900"/>
          <w:tblHeader/>
        </w:trPr>
        <w:tc>
          <w:tcPr>
            <w:tcW w:w="3431" w:type="dxa"/>
            <w:tcBorders>
              <w:top w:val="single" w:sz="4" w:space="0" w:color="auto"/>
              <w:left w:val="single" w:sz="4" w:space="0" w:color="auto"/>
              <w:bottom w:val="single" w:sz="4" w:space="0" w:color="auto"/>
              <w:right w:val="single" w:sz="4" w:space="0" w:color="auto"/>
            </w:tcBorders>
          </w:tcPr>
          <w:p w14:paraId="14E88369" w14:textId="77777777" w:rsidR="00F32839" w:rsidRPr="00AF1114" w:rsidRDefault="00F32839" w:rsidP="00FB6151">
            <w:pPr>
              <w:spacing w:before="40" w:after="40"/>
              <w:rPr>
                <w:rFonts w:ascii="Arial" w:hAnsi="Arial" w:cs="Arial"/>
                <w:sz w:val="18"/>
                <w:szCs w:val="18"/>
              </w:rPr>
            </w:pPr>
            <w:r>
              <w:rPr>
                <w:rFonts w:ascii="Arial" w:hAnsi="Arial" w:cs="Arial"/>
                <w:sz w:val="18"/>
                <w:szCs w:val="18"/>
              </w:rPr>
              <w:t xml:space="preserve">1. </w:t>
            </w:r>
            <w:r w:rsidRPr="00AF1114">
              <w:rPr>
                <w:rFonts w:ascii="Arial" w:hAnsi="Arial" w:cs="Arial"/>
                <w:sz w:val="18"/>
                <w:szCs w:val="18"/>
              </w:rPr>
              <w:t>Is the product required to carry a NIP by the Food Standards Code to provide consumers with useful nutritional information?</w:t>
            </w:r>
          </w:p>
        </w:tc>
        <w:tc>
          <w:tcPr>
            <w:tcW w:w="397" w:type="dxa"/>
            <w:tcBorders>
              <w:left w:val="single" w:sz="4" w:space="0" w:color="auto"/>
              <w:right w:val="single" w:sz="4" w:space="0" w:color="auto"/>
            </w:tcBorders>
            <w:vAlign w:val="center"/>
          </w:tcPr>
          <w:p w14:paraId="37061E86"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tcPr>
          <w:p w14:paraId="00CDCA2F" w14:textId="77777777" w:rsidR="00F32839" w:rsidRPr="009B7399" w:rsidRDefault="00F32839" w:rsidP="00FB6151">
            <w:pPr>
              <w:spacing w:before="40" w:after="40"/>
              <w:rPr>
                <w:rFonts w:ascii="Arial" w:hAnsi="Arial" w:cs="Arial"/>
                <w:b/>
                <w:sz w:val="18"/>
                <w:szCs w:val="18"/>
              </w:rPr>
            </w:pPr>
            <w:r w:rsidRPr="009B7399">
              <w:rPr>
                <w:rFonts w:ascii="Arial" w:hAnsi="Arial" w:cs="Arial"/>
                <w:b/>
                <w:sz w:val="18"/>
                <w:szCs w:val="18"/>
              </w:rPr>
              <w:t xml:space="preserve">NO </w:t>
            </w:r>
            <w:r w:rsidRPr="009B7399">
              <w:rPr>
                <w:rFonts w:ascii="Arial" w:hAnsi="Arial" w:cs="Arial"/>
                <w:sz w:val="18"/>
                <w:szCs w:val="18"/>
              </w:rPr>
              <w:t>Examples, salt, vinegar, ground spices are exempt from nutrition labelling requirements in the Food Standards Code</w:t>
            </w:r>
          </w:p>
        </w:tc>
        <w:tc>
          <w:tcPr>
            <w:tcW w:w="426" w:type="dxa"/>
            <w:tcBorders>
              <w:left w:val="single" w:sz="4" w:space="0" w:color="auto"/>
              <w:right w:val="single" w:sz="4" w:space="0" w:color="auto"/>
            </w:tcBorders>
            <w:vAlign w:val="center"/>
          </w:tcPr>
          <w:p w14:paraId="71D215D5"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239C8564" w14:textId="77777777" w:rsidR="00F32839" w:rsidRPr="008E27B0" w:rsidRDefault="00F32839" w:rsidP="00FB6151">
            <w:pPr>
              <w:spacing w:before="40" w:after="40"/>
              <w:rPr>
                <w:rFonts w:ascii="Arial" w:hAnsi="Arial" w:cs="Arial"/>
                <w:b/>
                <w:sz w:val="18"/>
                <w:szCs w:val="18"/>
              </w:rPr>
            </w:pPr>
            <w:r w:rsidRPr="008E27B0">
              <w:rPr>
                <w:rFonts w:ascii="Arial" w:hAnsi="Arial" w:cs="Arial"/>
                <w:b/>
                <w:sz w:val="18"/>
                <w:szCs w:val="18"/>
              </w:rPr>
              <w:t>Use of the HSR graphic may not provide useful information to consumers</w:t>
            </w:r>
            <w:r>
              <w:t xml:space="preserve"> </w:t>
            </w:r>
            <w:r w:rsidRPr="00960210">
              <w:rPr>
                <w:rFonts w:ascii="Arial" w:hAnsi="Arial" w:cs="Arial"/>
                <w:b/>
                <w:sz w:val="18"/>
                <w:szCs w:val="18"/>
              </w:rPr>
              <w:t>on the unprepared product which is not the food or drink that will be consumed</w:t>
            </w:r>
          </w:p>
        </w:tc>
      </w:tr>
      <w:tr w:rsidR="00F32839" w:rsidRPr="009B7399" w14:paraId="262FBB2F" w14:textId="77777777" w:rsidTr="00FB6151">
        <w:tc>
          <w:tcPr>
            <w:tcW w:w="3431" w:type="dxa"/>
            <w:tcBorders>
              <w:top w:val="single" w:sz="4" w:space="0" w:color="auto"/>
              <w:bottom w:val="single" w:sz="4" w:space="0" w:color="auto"/>
            </w:tcBorders>
            <w:vAlign w:val="center"/>
          </w:tcPr>
          <w:p w14:paraId="53040592"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5C569851" w14:textId="77777777" w:rsidR="00F32839" w:rsidRPr="009B7399" w:rsidRDefault="00F32839" w:rsidP="00FB6151">
            <w:pPr>
              <w:spacing w:before="40" w:after="40"/>
              <w:jc w:val="center"/>
              <w:rPr>
                <w:rFonts w:ascii="Arial" w:hAnsi="Arial" w:cs="Arial"/>
                <w:sz w:val="18"/>
                <w:szCs w:val="18"/>
              </w:rPr>
            </w:pPr>
          </w:p>
        </w:tc>
        <w:tc>
          <w:tcPr>
            <w:tcW w:w="3685" w:type="dxa"/>
            <w:tcBorders>
              <w:top w:val="single" w:sz="4" w:space="0" w:color="auto"/>
            </w:tcBorders>
            <w:vAlign w:val="center"/>
          </w:tcPr>
          <w:p w14:paraId="011E32F2"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7E952761" w14:textId="77777777" w:rsidR="00F32839" w:rsidRPr="009B7399" w:rsidRDefault="00F32839" w:rsidP="00FB6151">
            <w:pPr>
              <w:spacing w:before="40" w:after="40"/>
              <w:jc w:val="center"/>
              <w:rPr>
                <w:rFonts w:ascii="Arial" w:hAnsi="Arial" w:cs="Arial"/>
                <w:sz w:val="18"/>
                <w:szCs w:val="18"/>
              </w:rPr>
            </w:pPr>
          </w:p>
        </w:tc>
        <w:tc>
          <w:tcPr>
            <w:tcW w:w="1984" w:type="dxa"/>
            <w:tcBorders>
              <w:top w:val="single" w:sz="4" w:space="0" w:color="auto"/>
            </w:tcBorders>
            <w:vAlign w:val="center"/>
          </w:tcPr>
          <w:p w14:paraId="3B14C0A8" w14:textId="77777777" w:rsidR="00F32839" w:rsidRPr="009B7399" w:rsidRDefault="00F32839" w:rsidP="00FB6151">
            <w:pPr>
              <w:spacing w:before="40" w:after="40"/>
              <w:jc w:val="center"/>
              <w:rPr>
                <w:rFonts w:ascii="Arial" w:hAnsi="Arial" w:cs="Arial"/>
                <w:sz w:val="18"/>
                <w:szCs w:val="18"/>
              </w:rPr>
            </w:pPr>
          </w:p>
        </w:tc>
      </w:tr>
      <w:tr w:rsidR="00F32839" w:rsidRPr="009B7399" w14:paraId="3D488BEE" w14:textId="77777777" w:rsidTr="00FB6151">
        <w:tc>
          <w:tcPr>
            <w:tcW w:w="3431" w:type="dxa"/>
            <w:tcBorders>
              <w:top w:val="single" w:sz="4" w:space="0" w:color="auto"/>
              <w:left w:val="single" w:sz="4" w:space="0" w:color="auto"/>
              <w:bottom w:val="single" w:sz="4" w:space="0" w:color="auto"/>
              <w:right w:val="single" w:sz="4" w:space="0" w:color="auto"/>
            </w:tcBorders>
            <w:vAlign w:val="center"/>
          </w:tcPr>
          <w:p w14:paraId="102CBEDD"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b/>
                <w:sz w:val="18"/>
                <w:szCs w:val="18"/>
              </w:rPr>
              <w:t>YES</w:t>
            </w:r>
          </w:p>
        </w:tc>
        <w:tc>
          <w:tcPr>
            <w:tcW w:w="397" w:type="dxa"/>
            <w:tcBorders>
              <w:left w:val="single" w:sz="4" w:space="0" w:color="auto"/>
            </w:tcBorders>
            <w:vAlign w:val="center"/>
          </w:tcPr>
          <w:p w14:paraId="1FA2CE06" w14:textId="77777777" w:rsidR="00F32839" w:rsidRPr="009B7399" w:rsidRDefault="00F32839" w:rsidP="00FB6151">
            <w:pPr>
              <w:spacing w:before="40" w:after="40"/>
              <w:jc w:val="center"/>
              <w:rPr>
                <w:rFonts w:ascii="Arial" w:hAnsi="Arial" w:cs="Arial"/>
                <w:sz w:val="18"/>
                <w:szCs w:val="18"/>
              </w:rPr>
            </w:pPr>
          </w:p>
        </w:tc>
        <w:tc>
          <w:tcPr>
            <w:tcW w:w="3685" w:type="dxa"/>
            <w:vAlign w:val="center"/>
          </w:tcPr>
          <w:p w14:paraId="43C67653"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2FB62632" w14:textId="77777777" w:rsidR="00F32839" w:rsidRPr="009B7399" w:rsidRDefault="00F32839" w:rsidP="00FB6151">
            <w:pPr>
              <w:spacing w:before="40" w:after="40"/>
              <w:jc w:val="center"/>
              <w:rPr>
                <w:rFonts w:ascii="Arial" w:hAnsi="Arial" w:cs="Arial"/>
                <w:sz w:val="18"/>
                <w:szCs w:val="18"/>
              </w:rPr>
            </w:pPr>
          </w:p>
        </w:tc>
        <w:tc>
          <w:tcPr>
            <w:tcW w:w="1984" w:type="dxa"/>
            <w:vAlign w:val="center"/>
          </w:tcPr>
          <w:p w14:paraId="79E4100C" w14:textId="77777777" w:rsidR="00F32839" w:rsidRPr="009B7399" w:rsidRDefault="00F32839" w:rsidP="00FB6151">
            <w:pPr>
              <w:spacing w:before="40" w:after="40"/>
              <w:jc w:val="center"/>
              <w:rPr>
                <w:rFonts w:ascii="Arial" w:hAnsi="Arial" w:cs="Arial"/>
                <w:sz w:val="18"/>
                <w:szCs w:val="18"/>
              </w:rPr>
            </w:pPr>
          </w:p>
        </w:tc>
      </w:tr>
      <w:tr w:rsidR="00F32839" w:rsidRPr="009B7399" w14:paraId="4A56F300" w14:textId="77777777" w:rsidTr="00FB6151">
        <w:tc>
          <w:tcPr>
            <w:tcW w:w="3431" w:type="dxa"/>
            <w:tcBorders>
              <w:top w:val="single" w:sz="4" w:space="0" w:color="auto"/>
              <w:bottom w:val="single" w:sz="4" w:space="0" w:color="auto"/>
            </w:tcBorders>
            <w:vAlign w:val="center"/>
          </w:tcPr>
          <w:p w14:paraId="232CEEC6"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0DD0D615" w14:textId="77777777" w:rsidR="00F32839" w:rsidRPr="009B7399" w:rsidRDefault="00F32839" w:rsidP="00FB6151">
            <w:pPr>
              <w:spacing w:before="40" w:after="40"/>
              <w:jc w:val="center"/>
              <w:rPr>
                <w:rFonts w:ascii="Arial" w:hAnsi="Arial" w:cs="Arial"/>
                <w:sz w:val="18"/>
                <w:szCs w:val="18"/>
              </w:rPr>
            </w:pPr>
          </w:p>
        </w:tc>
        <w:tc>
          <w:tcPr>
            <w:tcW w:w="3685" w:type="dxa"/>
            <w:tcBorders>
              <w:bottom w:val="single" w:sz="4" w:space="0" w:color="auto"/>
            </w:tcBorders>
            <w:vAlign w:val="center"/>
          </w:tcPr>
          <w:p w14:paraId="1FB1A74B"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7D6B9C8B" w14:textId="77777777" w:rsidR="00F32839" w:rsidRPr="009B7399" w:rsidRDefault="00F32839" w:rsidP="00FB6151">
            <w:pPr>
              <w:spacing w:before="40" w:after="40"/>
              <w:jc w:val="center"/>
              <w:rPr>
                <w:rFonts w:ascii="Arial" w:hAnsi="Arial" w:cs="Arial"/>
                <w:sz w:val="18"/>
                <w:szCs w:val="18"/>
              </w:rPr>
            </w:pPr>
          </w:p>
        </w:tc>
        <w:tc>
          <w:tcPr>
            <w:tcW w:w="1984" w:type="dxa"/>
            <w:tcBorders>
              <w:bottom w:val="single" w:sz="4" w:space="0" w:color="auto"/>
            </w:tcBorders>
            <w:vAlign w:val="center"/>
          </w:tcPr>
          <w:p w14:paraId="24617875" w14:textId="77777777" w:rsidR="00F32839" w:rsidRPr="009B7399" w:rsidRDefault="00F32839" w:rsidP="00FB6151">
            <w:pPr>
              <w:spacing w:before="40" w:after="40"/>
              <w:jc w:val="center"/>
              <w:rPr>
                <w:rFonts w:ascii="Arial" w:hAnsi="Arial" w:cs="Arial"/>
                <w:sz w:val="18"/>
                <w:szCs w:val="18"/>
              </w:rPr>
            </w:pPr>
          </w:p>
        </w:tc>
      </w:tr>
      <w:tr w:rsidR="00F32839" w:rsidRPr="009B7399" w14:paraId="409CF5EC" w14:textId="77777777" w:rsidTr="00FB6151">
        <w:trPr>
          <w:trHeight w:val="486"/>
        </w:trPr>
        <w:tc>
          <w:tcPr>
            <w:tcW w:w="3431" w:type="dxa"/>
            <w:tcBorders>
              <w:top w:val="single" w:sz="4" w:space="0" w:color="auto"/>
              <w:left w:val="single" w:sz="4" w:space="0" w:color="auto"/>
              <w:bottom w:val="single" w:sz="4" w:space="0" w:color="auto"/>
              <w:right w:val="single" w:sz="4" w:space="0" w:color="auto"/>
            </w:tcBorders>
          </w:tcPr>
          <w:p w14:paraId="04B52052" w14:textId="77777777" w:rsidR="00F32839" w:rsidRPr="00AF1114" w:rsidRDefault="00F32839" w:rsidP="00FB6151">
            <w:pPr>
              <w:spacing w:before="40" w:after="40"/>
              <w:rPr>
                <w:rFonts w:ascii="Arial" w:hAnsi="Arial" w:cs="Arial"/>
                <w:sz w:val="18"/>
                <w:szCs w:val="18"/>
              </w:rPr>
            </w:pPr>
            <w:r>
              <w:rPr>
                <w:rFonts w:ascii="Arial" w:hAnsi="Arial" w:cs="Arial"/>
                <w:sz w:val="18"/>
                <w:szCs w:val="18"/>
              </w:rPr>
              <w:t xml:space="preserve">2. </w:t>
            </w:r>
            <w:r w:rsidRPr="00AF1114">
              <w:rPr>
                <w:rFonts w:ascii="Arial" w:hAnsi="Arial" w:cs="Arial"/>
                <w:sz w:val="18"/>
                <w:szCs w:val="18"/>
              </w:rPr>
              <w:t>Can the product be consumed ‘as is’ (excluding thawing, cooking)</w:t>
            </w:r>
            <w:r>
              <w:rPr>
                <w:rFonts w:ascii="Arial" w:hAnsi="Arial" w:cs="Arial"/>
                <w:sz w:val="18"/>
                <w:szCs w:val="18"/>
              </w:rPr>
              <w:t xml:space="preserve"> even if this is not the intended end product or meal?</w:t>
            </w:r>
          </w:p>
        </w:tc>
        <w:tc>
          <w:tcPr>
            <w:tcW w:w="397" w:type="dxa"/>
            <w:tcBorders>
              <w:left w:val="single" w:sz="4" w:space="0" w:color="auto"/>
              <w:right w:val="single" w:sz="4" w:space="0" w:color="auto"/>
            </w:tcBorders>
            <w:vAlign w:val="center"/>
          </w:tcPr>
          <w:p w14:paraId="33A58AAF"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14:paraId="70C62B72"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liquid pasta sauce, liquid sauces, </w:t>
            </w:r>
            <w:r>
              <w:rPr>
                <w:rFonts w:ascii="Arial" w:hAnsi="Arial" w:cs="Arial"/>
                <w:sz w:val="18"/>
                <w:szCs w:val="18"/>
              </w:rPr>
              <w:t xml:space="preserve">liquid sauce mixes for casseroles/slow cookers, </w:t>
            </w:r>
            <w:r w:rsidRPr="009B7399">
              <w:rPr>
                <w:rFonts w:ascii="Arial" w:hAnsi="Arial" w:cs="Arial"/>
                <w:sz w:val="18"/>
                <w:szCs w:val="18"/>
              </w:rPr>
              <w:t xml:space="preserve">syrups, breakfast cereal, ready-to-eat canned soup, canned fruit, ready-to-eat custard, pesto </w:t>
            </w:r>
          </w:p>
        </w:tc>
        <w:tc>
          <w:tcPr>
            <w:tcW w:w="426" w:type="dxa"/>
            <w:tcBorders>
              <w:left w:val="single" w:sz="4" w:space="0" w:color="auto"/>
              <w:right w:val="single" w:sz="4" w:space="0" w:color="auto"/>
            </w:tcBorders>
            <w:vAlign w:val="center"/>
          </w:tcPr>
          <w:p w14:paraId="7D7DA660"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5864BBB7"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As sold</w:t>
            </w:r>
            <w:r w:rsidRPr="009B7399">
              <w:rPr>
                <w:rFonts w:ascii="Arial" w:hAnsi="Arial" w:cs="Arial"/>
                <w:sz w:val="18"/>
                <w:szCs w:val="18"/>
              </w:rPr>
              <w:t xml:space="preserve"> as per the NIP</w:t>
            </w:r>
          </w:p>
          <w:p w14:paraId="2B824BA6" w14:textId="77777777" w:rsidR="00F32839" w:rsidRPr="009B7399" w:rsidRDefault="00F32839" w:rsidP="00FB6151">
            <w:pPr>
              <w:spacing w:before="40" w:after="40"/>
              <w:jc w:val="center"/>
              <w:rPr>
                <w:rFonts w:ascii="Arial" w:hAnsi="Arial" w:cs="Arial"/>
                <w:sz w:val="18"/>
                <w:szCs w:val="18"/>
              </w:rPr>
            </w:pPr>
          </w:p>
        </w:tc>
      </w:tr>
      <w:tr w:rsidR="00F32839" w:rsidRPr="009B7399" w14:paraId="45522638" w14:textId="77777777" w:rsidTr="00FB6151">
        <w:tc>
          <w:tcPr>
            <w:tcW w:w="3431" w:type="dxa"/>
            <w:tcBorders>
              <w:top w:val="single" w:sz="4" w:space="0" w:color="auto"/>
              <w:bottom w:val="single" w:sz="4" w:space="0" w:color="auto"/>
            </w:tcBorders>
            <w:vAlign w:val="center"/>
          </w:tcPr>
          <w:p w14:paraId="609337AC"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0ACBB2A1" w14:textId="77777777" w:rsidR="00F32839" w:rsidRPr="009B7399" w:rsidRDefault="00F32839" w:rsidP="00FB6151">
            <w:pPr>
              <w:spacing w:before="40" w:after="40"/>
              <w:jc w:val="center"/>
              <w:rPr>
                <w:rFonts w:ascii="Arial" w:hAnsi="Arial" w:cs="Arial"/>
                <w:sz w:val="18"/>
                <w:szCs w:val="18"/>
              </w:rPr>
            </w:pPr>
          </w:p>
        </w:tc>
        <w:tc>
          <w:tcPr>
            <w:tcW w:w="3685" w:type="dxa"/>
            <w:tcBorders>
              <w:top w:val="single" w:sz="4" w:space="0" w:color="auto"/>
            </w:tcBorders>
            <w:vAlign w:val="center"/>
          </w:tcPr>
          <w:p w14:paraId="4390889B"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1AD56C0A" w14:textId="77777777" w:rsidR="00F32839" w:rsidRPr="009B7399" w:rsidRDefault="00F32839" w:rsidP="00FB6151">
            <w:pPr>
              <w:spacing w:before="40" w:after="40"/>
              <w:jc w:val="center"/>
              <w:rPr>
                <w:rFonts w:ascii="Arial" w:hAnsi="Arial" w:cs="Arial"/>
                <w:sz w:val="18"/>
                <w:szCs w:val="18"/>
              </w:rPr>
            </w:pPr>
          </w:p>
        </w:tc>
        <w:tc>
          <w:tcPr>
            <w:tcW w:w="1984" w:type="dxa"/>
            <w:tcBorders>
              <w:top w:val="single" w:sz="4" w:space="0" w:color="auto"/>
            </w:tcBorders>
            <w:vAlign w:val="center"/>
          </w:tcPr>
          <w:p w14:paraId="089E8B49" w14:textId="77777777" w:rsidR="00F32839" w:rsidRPr="009B7399" w:rsidRDefault="00F32839" w:rsidP="00FB6151">
            <w:pPr>
              <w:spacing w:before="40" w:after="40"/>
              <w:jc w:val="center"/>
              <w:rPr>
                <w:rFonts w:ascii="Arial" w:hAnsi="Arial" w:cs="Arial"/>
                <w:b/>
                <w:sz w:val="18"/>
                <w:szCs w:val="18"/>
              </w:rPr>
            </w:pPr>
          </w:p>
        </w:tc>
      </w:tr>
      <w:tr w:rsidR="00F32839" w:rsidRPr="009B7399" w14:paraId="3C3EE9CA" w14:textId="77777777" w:rsidTr="00FB6151">
        <w:tc>
          <w:tcPr>
            <w:tcW w:w="3431" w:type="dxa"/>
            <w:tcBorders>
              <w:top w:val="single" w:sz="4" w:space="0" w:color="auto"/>
              <w:left w:val="single" w:sz="4" w:space="0" w:color="auto"/>
              <w:bottom w:val="single" w:sz="4" w:space="0" w:color="auto"/>
              <w:right w:val="single" w:sz="4" w:space="0" w:color="auto"/>
            </w:tcBorders>
            <w:vAlign w:val="center"/>
          </w:tcPr>
          <w:p w14:paraId="7B90FCBF"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397" w:type="dxa"/>
            <w:tcBorders>
              <w:left w:val="single" w:sz="4" w:space="0" w:color="auto"/>
            </w:tcBorders>
            <w:vAlign w:val="center"/>
          </w:tcPr>
          <w:p w14:paraId="043D1364" w14:textId="77777777" w:rsidR="00F32839" w:rsidRPr="009B7399" w:rsidRDefault="00F32839" w:rsidP="00FB6151">
            <w:pPr>
              <w:spacing w:before="40" w:after="40"/>
              <w:jc w:val="center"/>
              <w:rPr>
                <w:rFonts w:ascii="Arial" w:hAnsi="Arial" w:cs="Arial"/>
                <w:sz w:val="18"/>
                <w:szCs w:val="18"/>
              </w:rPr>
            </w:pPr>
          </w:p>
        </w:tc>
        <w:tc>
          <w:tcPr>
            <w:tcW w:w="3685" w:type="dxa"/>
            <w:vAlign w:val="center"/>
          </w:tcPr>
          <w:p w14:paraId="361D9B4D"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28DBA6C0" w14:textId="77777777" w:rsidR="00F32839" w:rsidRPr="009B7399" w:rsidRDefault="00F32839" w:rsidP="00FB6151">
            <w:pPr>
              <w:spacing w:before="40" w:after="40"/>
              <w:jc w:val="center"/>
              <w:rPr>
                <w:rFonts w:ascii="Arial" w:hAnsi="Arial" w:cs="Arial"/>
                <w:sz w:val="18"/>
                <w:szCs w:val="18"/>
              </w:rPr>
            </w:pPr>
          </w:p>
        </w:tc>
        <w:tc>
          <w:tcPr>
            <w:tcW w:w="1984" w:type="dxa"/>
            <w:vAlign w:val="center"/>
          </w:tcPr>
          <w:p w14:paraId="0D98DC0F" w14:textId="77777777" w:rsidR="00F32839" w:rsidRPr="009B7399" w:rsidRDefault="00F32839" w:rsidP="00FB6151">
            <w:pPr>
              <w:spacing w:before="40" w:after="40"/>
              <w:jc w:val="center"/>
              <w:rPr>
                <w:rFonts w:ascii="Arial" w:hAnsi="Arial" w:cs="Arial"/>
                <w:sz w:val="18"/>
                <w:szCs w:val="18"/>
              </w:rPr>
            </w:pPr>
          </w:p>
        </w:tc>
      </w:tr>
      <w:tr w:rsidR="00F32839" w:rsidRPr="009B7399" w14:paraId="753F9DAD" w14:textId="77777777" w:rsidTr="00FB6151">
        <w:tc>
          <w:tcPr>
            <w:tcW w:w="3431" w:type="dxa"/>
            <w:tcBorders>
              <w:top w:val="single" w:sz="4" w:space="0" w:color="auto"/>
              <w:bottom w:val="single" w:sz="4" w:space="0" w:color="auto"/>
            </w:tcBorders>
            <w:vAlign w:val="center"/>
          </w:tcPr>
          <w:p w14:paraId="549BC904"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777B8819" w14:textId="77777777" w:rsidR="00F32839" w:rsidRPr="009B7399" w:rsidRDefault="00F32839" w:rsidP="00FB6151">
            <w:pPr>
              <w:spacing w:before="40" w:after="40"/>
              <w:jc w:val="center"/>
              <w:rPr>
                <w:rFonts w:ascii="Arial" w:hAnsi="Arial" w:cs="Arial"/>
                <w:sz w:val="18"/>
                <w:szCs w:val="18"/>
              </w:rPr>
            </w:pPr>
          </w:p>
        </w:tc>
        <w:tc>
          <w:tcPr>
            <w:tcW w:w="3685" w:type="dxa"/>
            <w:tcBorders>
              <w:bottom w:val="single" w:sz="4" w:space="0" w:color="auto"/>
            </w:tcBorders>
            <w:vAlign w:val="center"/>
          </w:tcPr>
          <w:p w14:paraId="59212BA1"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6893A5C3" w14:textId="77777777" w:rsidR="00F32839" w:rsidRPr="009B7399" w:rsidRDefault="00F32839" w:rsidP="00FB6151">
            <w:pPr>
              <w:spacing w:before="40" w:after="40"/>
              <w:jc w:val="center"/>
              <w:rPr>
                <w:rFonts w:ascii="Arial" w:hAnsi="Arial" w:cs="Arial"/>
                <w:sz w:val="18"/>
                <w:szCs w:val="18"/>
              </w:rPr>
            </w:pPr>
          </w:p>
        </w:tc>
        <w:tc>
          <w:tcPr>
            <w:tcW w:w="1984" w:type="dxa"/>
            <w:tcBorders>
              <w:bottom w:val="single" w:sz="4" w:space="0" w:color="auto"/>
            </w:tcBorders>
            <w:vAlign w:val="center"/>
          </w:tcPr>
          <w:p w14:paraId="034B27B9" w14:textId="77777777" w:rsidR="00F32839" w:rsidRPr="009B7399" w:rsidRDefault="00F32839" w:rsidP="00FB6151">
            <w:pPr>
              <w:spacing w:before="40" w:after="40"/>
              <w:jc w:val="center"/>
              <w:rPr>
                <w:rFonts w:ascii="Arial" w:hAnsi="Arial" w:cs="Arial"/>
                <w:sz w:val="18"/>
                <w:szCs w:val="18"/>
              </w:rPr>
            </w:pPr>
          </w:p>
        </w:tc>
      </w:tr>
      <w:tr w:rsidR="00F32839" w:rsidRPr="009B7399" w14:paraId="6EEF839A" w14:textId="77777777" w:rsidTr="00FB6151">
        <w:tc>
          <w:tcPr>
            <w:tcW w:w="3431" w:type="dxa"/>
            <w:tcBorders>
              <w:top w:val="single" w:sz="4" w:space="0" w:color="auto"/>
              <w:left w:val="single" w:sz="4" w:space="0" w:color="auto"/>
              <w:bottom w:val="single" w:sz="4" w:space="0" w:color="auto"/>
              <w:right w:val="single" w:sz="4" w:space="0" w:color="auto"/>
            </w:tcBorders>
          </w:tcPr>
          <w:p w14:paraId="2490DBE8" w14:textId="77777777" w:rsidR="00F32839" w:rsidRPr="00AF1114" w:rsidRDefault="00F32839" w:rsidP="00FB6151">
            <w:pPr>
              <w:spacing w:before="40" w:after="40"/>
              <w:rPr>
                <w:rFonts w:ascii="Arial" w:hAnsi="Arial" w:cs="Arial"/>
                <w:sz w:val="18"/>
                <w:szCs w:val="18"/>
              </w:rPr>
            </w:pPr>
            <w:r>
              <w:rPr>
                <w:rFonts w:ascii="Arial" w:hAnsi="Arial" w:cs="Arial"/>
                <w:sz w:val="18"/>
                <w:szCs w:val="18"/>
              </w:rPr>
              <w:t xml:space="preserve">3. </w:t>
            </w:r>
            <w:r w:rsidRPr="00AF1114">
              <w:rPr>
                <w:rFonts w:ascii="Arial" w:hAnsi="Arial" w:cs="Arial"/>
                <w:sz w:val="18"/>
                <w:szCs w:val="18"/>
              </w:rPr>
              <w:t xml:space="preserve">Can the product be consumed, and compared to similar products, only after a simple </w:t>
            </w:r>
            <w:r>
              <w:rPr>
                <w:rFonts w:ascii="Arial" w:hAnsi="Arial" w:cs="Arial"/>
                <w:sz w:val="18"/>
                <w:szCs w:val="18"/>
              </w:rPr>
              <w:t xml:space="preserve">dilution or </w:t>
            </w:r>
            <w:r w:rsidRPr="00AF1114">
              <w:rPr>
                <w:rFonts w:ascii="Arial" w:hAnsi="Arial" w:cs="Arial"/>
                <w:sz w:val="18"/>
                <w:szCs w:val="18"/>
              </w:rPr>
              <w:t>rehydration with water or draining of a liquid?</w:t>
            </w:r>
          </w:p>
        </w:tc>
        <w:tc>
          <w:tcPr>
            <w:tcW w:w="397" w:type="dxa"/>
            <w:tcBorders>
              <w:left w:val="single" w:sz="4" w:space="0" w:color="auto"/>
              <w:right w:val="single" w:sz="4" w:space="0" w:color="auto"/>
            </w:tcBorders>
            <w:vAlign w:val="center"/>
          </w:tcPr>
          <w:p w14:paraId="64510675"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vAlign w:val="center"/>
          </w:tcPr>
          <w:p w14:paraId="137192AB"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cordial, gravy mix, </w:t>
            </w:r>
            <w:r>
              <w:rPr>
                <w:rFonts w:ascii="Arial" w:hAnsi="Arial" w:cs="Arial"/>
                <w:sz w:val="18"/>
                <w:szCs w:val="18"/>
              </w:rPr>
              <w:t xml:space="preserve">pancake mix, </w:t>
            </w:r>
            <w:r w:rsidRPr="009B7399">
              <w:rPr>
                <w:rFonts w:ascii="Arial" w:hAnsi="Arial" w:cs="Arial"/>
                <w:sz w:val="18"/>
                <w:szCs w:val="18"/>
              </w:rPr>
              <w:t>some dehydrated soups, stock powder, milk powder, dehydrated vegetables, canned vegetables</w:t>
            </w:r>
            <w:r>
              <w:rPr>
                <w:rFonts w:ascii="Arial" w:hAnsi="Arial" w:cs="Arial"/>
                <w:sz w:val="18"/>
                <w:szCs w:val="18"/>
              </w:rPr>
              <w:t>/</w:t>
            </w:r>
            <w:r w:rsidRPr="009B7399">
              <w:rPr>
                <w:rFonts w:ascii="Arial" w:hAnsi="Arial" w:cs="Arial"/>
                <w:sz w:val="18"/>
                <w:szCs w:val="18"/>
              </w:rPr>
              <w:t>fish</w:t>
            </w:r>
            <w:r>
              <w:rPr>
                <w:rFonts w:ascii="Arial" w:hAnsi="Arial" w:cs="Arial"/>
                <w:sz w:val="18"/>
                <w:szCs w:val="18"/>
              </w:rPr>
              <w:t>/</w:t>
            </w:r>
            <w:r w:rsidRPr="009B7399">
              <w:rPr>
                <w:rFonts w:ascii="Arial" w:hAnsi="Arial" w:cs="Arial"/>
                <w:sz w:val="18"/>
                <w:szCs w:val="18"/>
              </w:rPr>
              <w:t>olives, hot drink mixes containing powdered dairy products, some dehydrated sauce mixes</w:t>
            </w:r>
          </w:p>
        </w:tc>
        <w:tc>
          <w:tcPr>
            <w:tcW w:w="426" w:type="dxa"/>
            <w:tcBorders>
              <w:left w:val="single" w:sz="4" w:space="0" w:color="auto"/>
              <w:right w:val="single" w:sz="4" w:space="0" w:color="auto"/>
            </w:tcBorders>
            <w:vAlign w:val="center"/>
          </w:tcPr>
          <w:p w14:paraId="07146DA3"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35BEAC94"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As prepared</w:t>
            </w:r>
            <w:r w:rsidRPr="009B7399">
              <w:rPr>
                <w:rFonts w:ascii="Arial" w:hAnsi="Arial" w:cs="Arial"/>
                <w:sz w:val="18"/>
                <w:szCs w:val="18"/>
              </w:rPr>
              <w:t xml:space="preserve"> as per the NIP</w:t>
            </w:r>
          </w:p>
        </w:tc>
      </w:tr>
      <w:tr w:rsidR="00F32839" w:rsidRPr="009B7399" w14:paraId="713E8C79" w14:textId="77777777" w:rsidTr="00FB6151">
        <w:tc>
          <w:tcPr>
            <w:tcW w:w="3431" w:type="dxa"/>
            <w:tcBorders>
              <w:top w:val="single" w:sz="4" w:space="0" w:color="auto"/>
              <w:bottom w:val="single" w:sz="4" w:space="0" w:color="auto"/>
            </w:tcBorders>
            <w:vAlign w:val="center"/>
          </w:tcPr>
          <w:p w14:paraId="7598A2FA"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7BB15092" w14:textId="77777777" w:rsidR="00F32839" w:rsidRPr="009B7399" w:rsidRDefault="00F32839" w:rsidP="00FB6151">
            <w:pPr>
              <w:spacing w:before="40" w:after="40"/>
              <w:jc w:val="center"/>
              <w:rPr>
                <w:rFonts w:ascii="Arial" w:hAnsi="Arial" w:cs="Arial"/>
                <w:sz w:val="18"/>
                <w:szCs w:val="18"/>
              </w:rPr>
            </w:pPr>
          </w:p>
        </w:tc>
        <w:tc>
          <w:tcPr>
            <w:tcW w:w="3685" w:type="dxa"/>
            <w:tcBorders>
              <w:top w:val="single" w:sz="4" w:space="0" w:color="auto"/>
            </w:tcBorders>
            <w:vAlign w:val="center"/>
          </w:tcPr>
          <w:p w14:paraId="5C6CE5B3"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58B4FD2F" w14:textId="77777777" w:rsidR="00F32839" w:rsidRPr="009B7399" w:rsidRDefault="00F32839" w:rsidP="00FB6151">
            <w:pPr>
              <w:spacing w:before="40" w:after="40"/>
              <w:jc w:val="center"/>
              <w:rPr>
                <w:rFonts w:ascii="Arial" w:hAnsi="Arial" w:cs="Arial"/>
                <w:sz w:val="18"/>
                <w:szCs w:val="18"/>
              </w:rPr>
            </w:pPr>
          </w:p>
        </w:tc>
        <w:tc>
          <w:tcPr>
            <w:tcW w:w="1984" w:type="dxa"/>
            <w:tcBorders>
              <w:top w:val="single" w:sz="4" w:space="0" w:color="auto"/>
            </w:tcBorders>
            <w:vAlign w:val="center"/>
          </w:tcPr>
          <w:p w14:paraId="3261E943" w14:textId="77777777" w:rsidR="00F32839" w:rsidRPr="009B7399" w:rsidRDefault="00F32839" w:rsidP="00FB6151">
            <w:pPr>
              <w:spacing w:before="40" w:after="40"/>
              <w:jc w:val="center"/>
              <w:rPr>
                <w:rFonts w:ascii="Arial" w:hAnsi="Arial" w:cs="Arial"/>
                <w:b/>
                <w:sz w:val="18"/>
                <w:szCs w:val="18"/>
              </w:rPr>
            </w:pPr>
          </w:p>
        </w:tc>
      </w:tr>
      <w:tr w:rsidR="00F32839" w:rsidRPr="009B7399" w14:paraId="1EDAD489" w14:textId="77777777" w:rsidTr="00FB6151">
        <w:tc>
          <w:tcPr>
            <w:tcW w:w="3431" w:type="dxa"/>
            <w:tcBorders>
              <w:top w:val="single" w:sz="4" w:space="0" w:color="auto"/>
              <w:left w:val="single" w:sz="4" w:space="0" w:color="auto"/>
              <w:bottom w:val="single" w:sz="4" w:space="0" w:color="auto"/>
              <w:right w:val="single" w:sz="4" w:space="0" w:color="auto"/>
            </w:tcBorders>
            <w:vAlign w:val="center"/>
          </w:tcPr>
          <w:p w14:paraId="079FF5B2"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397" w:type="dxa"/>
            <w:tcBorders>
              <w:left w:val="single" w:sz="4" w:space="0" w:color="auto"/>
            </w:tcBorders>
            <w:vAlign w:val="center"/>
          </w:tcPr>
          <w:p w14:paraId="1EA16B2F" w14:textId="77777777" w:rsidR="00F32839" w:rsidRPr="009B7399" w:rsidRDefault="00F32839" w:rsidP="00FB6151">
            <w:pPr>
              <w:spacing w:before="40" w:after="40"/>
              <w:jc w:val="center"/>
              <w:rPr>
                <w:rFonts w:ascii="Arial" w:hAnsi="Arial" w:cs="Arial"/>
                <w:sz w:val="18"/>
                <w:szCs w:val="18"/>
              </w:rPr>
            </w:pPr>
          </w:p>
        </w:tc>
        <w:tc>
          <w:tcPr>
            <w:tcW w:w="3685" w:type="dxa"/>
            <w:vAlign w:val="center"/>
          </w:tcPr>
          <w:p w14:paraId="3199A26C"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6DF8D37C" w14:textId="77777777" w:rsidR="00F32839" w:rsidRPr="009B7399" w:rsidRDefault="00F32839" w:rsidP="00FB6151">
            <w:pPr>
              <w:spacing w:before="40" w:after="40"/>
              <w:jc w:val="center"/>
              <w:rPr>
                <w:rFonts w:ascii="Arial" w:hAnsi="Arial" w:cs="Arial"/>
                <w:sz w:val="18"/>
                <w:szCs w:val="18"/>
              </w:rPr>
            </w:pPr>
          </w:p>
        </w:tc>
        <w:tc>
          <w:tcPr>
            <w:tcW w:w="1984" w:type="dxa"/>
            <w:vAlign w:val="center"/>
          </w:tcPr>
          <w:p w14:paraId="7DD63C78" w14:textId="77777777" w:rsidR="00F32839" w:rsidRPr="009B7399" w:rsidRDefault="00F32839" w:rsidP="00FB6151">
            <w:pPr>
              <w:spacing w:before="40" w:after="40"/>
              <w:jc w:val="center"/>
              <w:rPr>
                <w:rFonts w:ascii="Arial" w:hAnsi="Arial" w:cs="Arial"/>
                <w:sz w:val="18"/>
                <w:szCs w:val="18"/>
              </w:rPr>
            </w:pPr>
          </w:p>
        </w:tc>
      </w:tr>
      <w:tr w:rsidR="00F32839" w:rsidRPr="009B7399" w14:paraId="52B02855" w14:textId="77777777" w:rsidTr="00FB6151">
        <w:tc>
          <w:tcPr>
            <w:tcW w:w="3431" w:type="dxa"/>
            <w:tcBorders>
              <w:top w:val="single" w:sz="4" w:space="0" w:color="auto"/>
              <w:bottom w:val="single" w:sz="4" w:space="0" w:color="auto"/>
            </w:tcBorders>
            <w:vAlign w:val="center"/>
          </w:tcPr>
          <w:p w14:paraId="4C1858DF"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5D163954" w14:textId="77777777" w:rsidR="00F32839" w:rsidRPr="009B7399" w:rsidRDefault="00F32839" w:rsidP="00FB6151">
            <w:pPr>
              <w:spacing w:before="40" w:after="40"/>
              <w:jc w:val="center"/>
              <w:rPr>
                <w:rFonts w:ascii="Arial" w:hAnsi="Arial" w:cs="Arial"/>
                <w:sz w:val="18"/>
                <w:szCs w:val="18"/>
              </w:rPr>
            </w:pPr>
          </w:p>
        </w:tc>
        <w:tc>
          <w:tcPr>
            <w:tcW w:w="3685" w:type="dxa"/>
            <w:tcBorders>
              <w:bottom w:val="single" w:sz="4" w:space="0" w:color="auto"/>
            </w:tcBorders>
            <w:vAlign w:val="center"/>
          </w:tcPr>
          <w:p w14:paraId="38A22EF2"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40EFD52D" w14:textId="77777777" w:rsidR="00F32839" w:rsidRPr="009B7399" w:rsidRDefault="00F32839" w:rsidP="00FB6151">
            <w:pPr>
              <w:spacing w:before="40" w:after="40"/>
              <w:jc w:val="center"/>
              <w:rPr>
                <w:rFonts w:ascii="Arial" w:hAnsi="Arial" w:cs="Arial"/>
                <w:sz w:val="18"/>
                <w:szCs w:val="18"/>
              </w:rPr>
            </w:pPr>
          </w:p>
        </w:tc>
        <w:tc>
          <w:tcPr>
            <w:tcW w:w="1984" w:type="dxa"/>
            <w:tcBorders>
              <w:bottom w:val="single" w:sz="4" w:space="0" w:color="auto"/>
            </w:tcBorders>
            <w:vAlign w:val="center"/>
          </w:tcPr>
          <w:p w14:paraId="4BD20254" w14:textId="77777777" w:rsidR="00F32839" w:rsidRPr="009B7399" w:rsidRDefault="00F32839" w:rsidP="00FB6151">
            <w:pPr>
              <w:spacing w:before="40" w:after="40"/>
              <w:jc w:val="center"/>
              <w:rPr>
                <w:rFonts w:ascii="Arial" w:hAnsi="Arial" w:cs="Arial"/>
                <w:sz w:val="18"/>
                <w:szCs w:val="18"/>
              </w:rPr>
            </w:pPr>
          </w:p>
        </w:tc>
      </w:tr>
      <w:tr w:rsidR="00F32839" w:rsidRPr="009B7399" w14:paraId="6B87D6F6" w14:textId="77777777" w:rsidTr="00FB6151">
        <w:tc>
          <w:tcPr>
            <w:tcW w:w="3431" w:type="dxa"/>
            <w:tcBorders>
              <w:top w:val="single" w:sz="4" w:space="0" w:color="auto"/>
              <w:left w:val="single" w:sz="4" w:space="0" w:color="auto"/>
              <w:bottom w:val="single" w:sz="4" w:space="0" w:color="auto"/>
              <w:right w:val="single" w:sz="4" w:space="0" w:color="auto"/>
            </w:tcBorders>
          </w:tcPr>
          <w:p w14:paraId="4B081A39" w14:textId="77777777" w:rsidR="00F32839" w:rsidRPr="00AF1114" w:rsidRDefault="00F32839" w:rsidP="00FB6151">
            <w:pPr>
              <w:spacing w:before="40" w:after="40"/>
              <w:rPr>
                <w:rFonts w:ascii="Arial" w:hAnsi="Arial" w:cs="Arial"/>
                <w:sz w:val="18"/>
                <w:szCs w:val="18"/>
              </w:rPr>
            </w:pPr>
            <w:r>
              <w:rPr>
                <w:rFonts w:ascii="Arial" w:hAnsi="Arial" w:cs="Arial"/>
                <w:sz w:val="18"/>
                <w:szCs w:val="18"/>
              </w:rPr>
              <w:t xml:space="preserve">4. </w:t>
            </w:r>
            <w:r w:rsidRPr="00194E27">
              <w:rPr>
                <w:rFonts w:ascii="Arial" w:hAnsi="Arial" w:cs="Arial"/>
                <w:sz w:val="18"/>
                <w:szCs w:val="18"/>
              </w:rPr>
              <w:t>Are there specific ingredients (types and amounts) in the ‘directions’ that are critical for the end product as expected by the consumer (i.e. if ingredients are varied the end product would not meet consumer expectations)?</w:t>
            </w:r>
          </w:p>
        </w:tc>
        <w:tc>
          <w:tcPr>
            <w:tcW w:w="397" w:type="dxa"/>
            <w:tcBorders>
              <w:left w:val="single" w:sz="4" w:space="0" w:color="auto"/>
              <w:right w:val="single" w:sz="4" w:space="0" w:color="auto"/>
            </w:tcBorders>
            <w:vAlign w:val="center"/>
          </w:tcPr>
          <w:p w14:paraId="10E2D247"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685" w:type="dxa"/>
            <w:tcBorders>
              <w:top w:val="single" w:sz="4" w:space="0" w:color="auto"/>
              <w:left w:val="single" w:sz="4" w:space="0" w:color="auto"/>
              <w:bottom w:val="single" w:sz="4" w:space="0" w:color="auto"/>
              <w:right w:val="single" w:sz="4" w:space="0" w:color="auto"/>
            </w:tcBorders>
          </w:tcPr>
          <w:p w14:paraId="68A9B1E7"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cake mix, dehydrated powdered pasta and rice products, </w:t>
            </w:r>
            <w:r>
              <w:rPr>
                <w:rFonts w:ascii="Arial" w:hAnsi="Arial" w:cs="Arial"/>
                <w:sz w:val="18"/>
                <w:szCs w:val="18"/>
              </w:rPr>
              <w:t xml:space="preserve">dehydrated </w:t>
            </w:r>
            <w:r w:rsidRPr="009B7399">
              <w:rPr>
                <w:rFonts w:ascii="Arial" w:hAnsi="Arial" w:cs="Arial"/>
                <w:sz w:val="18"/>
                <w:szCs w:val="18"/>
              </w:rPr>
              <w:t xml:space="preserve">sauce mixes </w:t>
            </w:r>
            <w:r>
              <w:rPr>
                <w:rFonts w:ascii="Arial" w:hAnsi="Arial" w:cs="Arial"/>
                <w:sz w:val="18"/>
                <w:szCs w:val="18"/>
              </w:rPr>
              <w:t xml:space="preserve">some </w:t>
            </w:r>
            <w:r w:rsidRPr="009B7399">
              <w:rPr>
                <w:rFonts w:ascii="Arial" w:hAnsi="Arial" w:cs="Arial"/>
                <w:sz w:val="18"/>
                <w:szCs w:val="18"/>
              </w:rPr>
              <w:t>canned or packet soups</w:t>
            </w:r>
            <w:r>
              <w:rPr>
                <w:rFonts w:ascii="Arial" w:hAnsi="Arial" w:cs="Arial"/>
                <w:sz w:val="18"/>
                <w:szCs w:val="18"/>
              </w:rPr>
              <w:t xml:space="preserve">, </w:t>
            </w:r>
            <w:r w:rsidRPr="009E7F1C">
              <w:rPr>
                <w:rFonts w:ascii="Arial" w:hAnsi="Arial" w:cs="Arial"/>
                <w:sz w:val="18"/>
                <w:szCs w:val="18"/>
              </w:rPr>
              <w:t>dessert and pudding mixes</w:t>
            </w:r>
          </w:p>
        </w:tc>
        <w:tc>
          <w:tcPr>
            <w:tcW w:w="426" w:type="dxa"/>
            <w:tcBorders>
              <w:left w:val="single" w:sz="4" w:space="0" w:color="auto"/>
              <w:right w:val="single" w:sz="4" w:space="0" w:color="auto"/>
            </w:tcBorders>
            <w:vAlign w:val="center"/>
          </w:tcPr>
          <w:p w14:paraId="511AC907"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0B9EF0C8"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 xml:space="preserve">As prepared </w:t>
            </w:r>
            <w:r w:rsidRPr="009B7399">
              <w:rPr>
                <w:rFonts w:ascii="Arial" w:hAnsi="Arial" w:cs="Arial"/>
                <w:sz w:val="18"/>
                <w:szCs w:val="18"/>
              </w:rPr>
              <w:t>as per the NIP (using the specific ingredients)</w:t>
            </w:r>
          </w:p>
        </w:tc>
      </w:tr>
      <w:tr w:rsidR="00F32839" w:rsidRPr="009B7399" w14:paraId="5EA63447" w14:textId="77777777" w:rsidTr="00FB6151">
        <w:tc>
          <w:tcPr>
            <w:tcW w:w="3431" w:type="dxa"/>
            <w:tcBorders>
              <w:top w:val="single" w:sz="4" w:space="0" w:color="auto"/>
              <w:bottom w:val="single" w:sz="4" w:space="0" w:color="auto"/>
            </w:tcBorders>
            <w:vAlign w:val="center"/>
          </w:tcPr>
          <w:p w14:paraId="554E7EF2"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3F68F330" w14:textId="77777777" w:rsidR="00F32839" w:rsidRPr="009B7399" w:rsidRDefault="00F32839" w:rsidP="00FB6151">
            <w:pPr>
              <w:spacing w:before="40" w:after="40"/>
              <w:jc w:val="center"/>
              <w:rPr>
                <w:rFonts w:ascii="Arial" w:hAnsi="Arial" w:cs="Arial"/>
                <w:sz w:val="18"/>
                <w:szCs w:val="18"/>
              </w:rPr>
            </w:pPr>
          </w:p>
        </w:tc>
        <w:tc>
          <w:tcPr>
            <w:tcW w:w="3685" w:type="dxa"/>
            <w:tcBorders>
              <w:top w:val="single" w:sz="4" w:space="0" w:color="auto"/>
            </w:tcBorders>
            <w:vAlign w:val="center"/>
          </w:tcPr>
          <w:p w14:paraId="38465A25"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7DFD11E2" w14:textId="77777777" w:rsidR="00F32839" w:rsidRPr="009B7399" w:rsidRDefault="00F32839" w:rsidP="00FB6151">
            <w:pPr>
              <w:spacing w:before="40" w:after="40"/>
              <w:jc w:val="center"/>
              <w:rPr>
                <w:rFonts w:ascii="Arial" w:hAnsi="Arial" w:cs="Arial"/>
                <w:sz w:val="18"/>
                <w:szCs w:val="18"/>
              </w:rPr>
            </w:pPr>
          </w:p>
        </w:tc>
        <w:tc>
          <w:tcPr>
            <w:tcW w:w="1984" w:type="dxa"/>
            <w:tcBorders>
              <w:top w:val="single" w:sz="4" w:space="0" w:color="auto"/>
            </w:tcBorders>
            <w:vAlign w:val="center"/>
          </w:tcPr>
          <w:p w14:paraId="70A40023" w14:textId="77777777" w:rsidR="00F32839" w:rsidRPr="009B7399" w:rsidRDefault="00F32839" w:rsidP="00FB6151">
            <w:pPr>
              <w:spacing w:before="40" w:after="40"/>
              <w:jc w:val="center"/>
              <w:rPr>
                <w:rFonts w:ascii="Arial" w:hAnsi="Arial" w:cs="Arial"/>
                <w:b/>
                <w:sz w:val="18"/>
                <w:szCs w:val="18"/>
              </w:rPr>
            </w:pPr>
          </w:p>
        </w:tc>
      </w:tr>
      <w:tr w:rsidR="00F32839" w:rsidRPr="009B7399" w14:paraId="7428CA3E" w14:textId="77777777" w:rsidTr="00FB6151">
        <w:tc>
          <w:tcPr>
            <w:tcW w:w="3431" w:type="dxa"/>
            <w:tcBorders>
              <w:top w:val="single" w:sz="4" w:space="0" w:color="auto"/>
              <w:left w:val="single" w:sz="4" w:space="0" w:color="auto"/>
              <w:bottom w:val="single" w:sz="4" w:space="0" w:color="auto"/>
              <w:right w:val="single" w:sz="4" w:space="0" w:color="auto"/>
            </w:tcBorders>
            <w:vAlign w:val="center"/>
          </w:tcPr>
          <w:p w14:paraId="2930617C"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b/>
                <w:sz w:val="18"/>
                <w:szCs w:val="18"/>
              </w:rPr>
              <w:t>NO</w:t>
            </w:r>
          </w:p>
        </w:tc>
        <w:tc>
          <w:tcPr>
            <w:tcW w:w="397" w:type="dxa"/>
            <w:tcBorders>
              <w:left w:val="single" w:sz="4" w:space="0" w:color="auto"/>
            </w:tcBorders>
            <w:vAlign w:val="center"/>
          </w:tcPr>
          <w:p w14:paraId="401895C8" w14:textId="77777777" w:rsidR="00F32839" w:rsidRPr="009B7399" w:rsidRDefault="00F32839" w:rsidP="00FB6151">
            <w:pPr>
              <w:spacing w:before="40" w:after="40"/>
              <w:jc w:val="center"/>
              <w:rPr>
                <w:rFonts w:ascii="Arial" w:hAnsi="Arial" w:cs="Arial"/>
                <w:sz w:val="18"/>
                <w:szCs w:val="18"/>
              </w:rPr>
            </w:pPr>
          </w:p>
        </w:tc>
        <w:tc>
          <w:tcPr>
            <w:tcW w:w="3685" w:type="dxa"/>
            <w:vAlign w:val="center"/>
          </w:tcPr>
          <w:p w14:paraId="0A36FB4B"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7A53135B" w14:textId="77777777" w:rsidR="00F32839" w:rsidRPr="009B7399" w:rsidRDefault="00F32839" w:rsidP="00FB6151">
            <w:pPr>
              <w:spacing w:before="40" w:after="40"/>
              <w:jc w:val="center"/>
              <w:rPr>
                <w:rFonts w:ascii="Arial" w:hAnsi="Arial" w:cs="Arial"/>
                <w:sz w:val="18"/>
                <w:szCs w:val="18"/>
              </w:rPr>
            </w:pPr>
          </w:p>
        </w:tc>
        <w:tc>
          <w:tcPr>
            <w:tcW w:w="1984" w:type="dxa"/>
            <w:vAlign w:val="center"/>
          </w:tcPr>
          <w:p w14:paraId="601A8337" w14:textId="77777777" w:rsidR="00F32839" w:rsidRPr="009B7399" w:rsidRDefault="00F32839" w:rsidP="00FB6151">
            <w:pPr>
              <w:spacing w:before="40" w:after="40"/>
              <w:jc w:val="center"/>
              <w:rPr>
                <w:rFonts w:ascii="Arial" w:hAnsi="Arial" w:cs="Arial"/>
                <w:sz w:val="18"/>
                <w:szCs w:val="18"/>
              </w:rPr>
            </w:pPr>
          </w:p>
        </w:tc>
      </w:tr>
      <w:tr w:rsidR="00F32839" w:rsidRPr="009B7399" w14:paraId="349B7349" w14:textId="77777777" w:rsidTr="00FB6151">
        <w:tc>
          <w:tcPr>
            <w:tcW w:w="3431" w:type="dxa"/>
            <w:tcBorders>
              <w:top w:val="single" w:sz="4" w:space="0" w:color="auto"/>
              <w:bottom w:val="single" w:sz="4" w:space="0" w:color="auto"/>
            </w:tcBorders>
            <w:vAlign w:val="center"/>
          </w:tcPr>
          <w:p w14:paraId="5BE390A0"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w:t>
            </w:r>
          </w:p>
        </w:tc>
        <w:tc>
          <w:tcPr>
            <w:tcW w:w="397" w:type="dxa"/>
            <w:vAlign w:val="center"/>
          </w:tcPr>
          <w:p w14:paraId="44303DBD" w14:textId="77777777" w:rsidR="00F32839" w:rsidRPr="009B7399" w:rsidRDefault="00F32839" w:rsidP="00FB6151">
            <w:pPr>
              <w:spacing w:before="40" w:after="40"/>
              <w:jc w:val="center"/>
              <w:rPr>
                <w:rFonts w:ascii="Arial" w:hAnsi="Arial" w:cs="Arial"/>
                <w:sz w:val="18"/>
                <w:szCs w:val="18"/>
              </w:rPr>
            </w:pPr>
          </w:p>
        </w:tc>
        <w:tc>
          <w:tcPr>
            <w:tcW w:w="3685" w:type="dxa"/>
            <w:tcBorders>
              <w:bottom w:val="single" w:sz="4" w:space="0" w:color="auto"/>
            </w:tcBorders>
            <w:vAlign w:val="center"/>
          </w:tcPr>
          <w:p w14:paraId="09BD5FEB" w14:textId="77777777" w:rsidR="00F32839" w:rsidRPr="009B7399" w:rsidRDefault="00F32839" w:rsidP="00FB6151">
            <w:pPr>
              <w:spacing w:before="40" w:after="40"/>
              <w:jc w:val="center"/>
              <w:rPr>
                <w:rFonts w:ascii="Arial" w:hAnsi="Arial" w:cs="Arial"/>
                <w:sz w:val="18"/>
                <w:szCs w:val="18"/>
              </w:rPr>
            </w:pPr>
          </w:p>
        </w:tc>
        <w:tc>
          <w:tcPr>
            <w:tcW w:w="426" w:type="dxa"/>
            <w:vAlign w:val="center"/>
          </w:tcPr>
          <w:p w14:paraId="41156F32" w14:textId="77777777" w:rsidR="00F32839" w:rsidRPr="009B7399" w:rsidRDefault="00F32839" w:rsidP="00FB6151">
            <w:pPr>
              <w:spacing w:before="40" w:after="40"/>
              <w:jc w:val="center"/>
              <w:rPr>
                <w:rFonts w:ascii="Arial" w:hAnsi="Arial" w:cs="Arial"/>
                <w:sz w:val="18"/>
                <w:szCs w:val="18"/>
              </w:rPr>
            </w:pPr>
          </w:p>
        </w:tc>
        <w:tc>
          <w:tcPr>
            <w:tcW w:w="1984" w:type="dxa"/>
            <w:tcBorders>
              <w:bottom w:val="single" w:sz="4" w:space="0" w:color="auto"/>
            </w:tcBorders>
            <w:vAlign w:val="center"/>
          </w:tcPr>
          <w:p w14:paraId="6E57AD2C" w14:textId="77777777" w:rsidR="00F32839" w:rsidRPr="009B7399" w:rsidRDefault="00F32839" w:rsidP="00FB6151">
            <w:pPr>
              <w:spacing w:before="40" w:after="40"/>
              <w:jc w:val="center"/>
              <w:rPr>
                <w:rFonts w:ascii="Arial" w:hAnsi="Arial" w:cs="Arial"/>
                <w:sz w:val="18"/>
                <w:szCs w:val="18"/>
              </w:rPr>
            </w:pPr>
          </w:p>
        </w:tc>
      </w:tr>
      <w:tr w:rsidR="00F32839" w:rsidRPr="009B7399" w14:paraId="67935D2A" w14:textId="77777777" w:rsidTr="00FB6151">
        <w:tc>
          <w:tcPr>
            <w:tcW w:w="3431" w:type="dxa"/>
            <w:tcBorders>
              <w:top w:val="single" w:sz="4" w:space="0" w:color="auto"/>
              <w:left w:val="single" w:sz="4" w:space="0" w:color="auto"/>
              <w:bottom w:val="single" w:sz="4" w:space="0" w:color="auto"/>
              <w:right w:val="single" w:sz="4" w:space="0" w:color="auto"/>
            </w:tcBorders>
          </w:tcPr>
          <w:p w14:paraId="4AA28C90" w14:textId="77777777" w:rsidR="00F32839" w:rsidRPr="00AF1114" w:rsidRDefault="00F32839" w:rsidP="00FB6151">
            <w:pPr>
              <w:spacing w:before="40" w:after="40"/>
              <w:rPr>
                <w:rFonts w:ascii="Arial" w:hAnsi="Arial" w:cs="Arial"/>
                <w:sz w:val="18"/>
                <w:szCs w:val="18"/>
              </w:rPr>
            </w:pPr>
            <w:r>
              <w:rPr>
                <w:rFonts w:ascii="Arial" w:hAnsi="Arial" w:cs="Arial"/>
                <w:sz w:val="18"/>
                <w:szCs w:val="18"/>
              </w:rPr>
              <w:t xml:space="preserve">5. </w:t>
            </w:r>
            <w:r w:rsidRPr="00AF1114">
              <w:rPr>
                <w:rFonts w:ascii="Arial" w:hAnsi="Arial" w:cs="Arial"/>
                <w:sz w:val="18"/>
                <w:szCs w:val="18"/>
              </w:rPr>
              <w:t>Can consumers vary the ingredients in the ‘directions’ for the product to be consumed without it significantly affecting the quality of the</w:t>
            </w:r>
            <w:r>
              <w:rPr>
                <w:rFonts w:ascii="Arial" w:hAnsi="Arial" w:cs="Arial"/>
                <w:sz w:val="18"/>
                <w:szCs w:val="18"/>
              </w:rPr>
              <w:t xml:space="preserve"> end</w:t>
            </w:r>
            <w:r w:rsidRPr="00AF1114">
              <w:rPr>
                <w:rFonts w:ascii="Arial" w:hAnsi="Arial" w:cs="Arial"/>
                <w:sz w:val="18"/>
                <w:szCs w:val="18"/>
              </w:rPr>
              <w:t xml:space="preserve"> product</w:t>
            </w:r>
            <w:r>
              <w:rPr>
                <w:rFonts w:ascii="Arial" w:hAnsi="Arial" w:cs="Arial"/>
                <w:sz w:val="18"/>
                <w:szCs w:val="18"/>
              </w:rPr>
              <w:t xml:space="preserve"> as expected by the consumer</w:t>
            </w:r>
            <w:r w:rsidRPr="00AF1114">
              <w:rPr>
                <w:rFonts w:ascii="Arial" w:hAnsi="Arial" w:cs="Arial"/>
                <w:sz w:val="18"/>
                <w:szCs w:val="18"/>
              </w:rPr>
              <w:t xml:space="preserve"> (e.g. type/amount of meat, vegetables, milk) </w:t>
            </w:r>
          </w:p>
        </w:tc>
        <w:tc>
          <w:tcPr>
            <w:tcW w:w="397" w:type="dxa"/>
            <w:tcBorders>
              <w:left w:val="single" w:sz="4" w:space="0" w:color="auto"/>
              <w:right w:val="single" w:sz="4" w:space="0" w:color="auto"/>
            </w:tcBorders>
          </w:tcPr>
          <w:p w14:paraId="58F7505F" w14:textId="77777777" w:rsidR="00F32839" w:rsidRPr="009B7399" w:rsidRDefault="00F32839" w:rsidP="00FB6151">
            <w:pPr>
              <w:spacing w:before="40" w:after="40"/>
              <w:jc w:val="center"/>
              <w:rPr>
                <w:rFonts w:ascii="Arial" w:hAnsi="Arial" w:cs="Arial"/>
                <w:sz w:val="18"/>
                <w:szCs w:val="18"/>
              </w:rPr>
            </w:pPr>
            <w:r w:rsidRPr="009B7399">
              <w:rPr>
                <w:rFonts w:ascii="Arial" w:hAnsi="Arial" w:cs="Arial"/>
                <w:sz w:val="18"/>
                <w:szCs w:val="18"/>
              </w:rPr>
              <w:t xml:space="preserve"> </w:t>
            </w:r>
          </w:p>
        </w:tc>
        <w:tc>
          <w:tcPr>
            <w:tcW w:w="3685" w:type="dxa"/>
            <w:tcBorders>
              <w:top w:val="single" w:sz="4" w:space="0" w:color="auto"/>
              <w:left w:val="single" w:sz="4" w:space="0" w:color="auto"/>
              <w:bottom w:val="single" w:sz="4" w:space="0" w:color="auto"/>
              <w:right w:val="single" w:sz="4" w:space="0" w:color="auto"/>
            </w:tcBorders>
          </w:tcPr>
          <w:p w14:paraId="22D3211C" w14:textId="77777777" w:rsidR="00F32839" w:rsidRPr="009B7399" w:rsidRDefault="00F32839" w:rsidP="00FB6151">
            <w:pPr>
              <w:spacing w:before="40" w:after="40"/>
              <w:rPr>
                <w:rFonts w:ascii="Arial" w:hAnsi="Arial" w:cs="Arial"/>
                <w:sz w:val="18"/>
                <w:szCs w:val="18"/>
              </w:rPr>
            </w:pPr>
            <w:r w:rsidRPr="009B7399">
              <w:rPr>
                <w:rFonts w:ascii="Arial" w:hAnsi="Arial" w:cs="Arial"/>
                <w:b/>
                <w:sz w:val="18"/>
                <w:szCs w:val="18"/>
              </w:rPr>
              <w:t>YES</w:t>
            </w:r>
            <w:r w:rsidRPr="009B7399">
              <w:rPr>
                <w:rFonts w:ascii="Arial" w:hAnsi="Arial" w:cs="Arial"/>
                <w:sz w:val="18"/>
                <w:szCs w:val="18"/>
              </w:rPr>
              <w:t xml:space="preserve"> Examples, milk flavourings, syrups</w:t>
            </w:r>
            <w:r>
              <w:rPr>
                <w:rFonts w:ascii="Arial" w:hAnsi="Arial" w:cs="Arial"/>
                <w:sz w:val="18"/>
                <w:szCs w:val="18"/>
              </w:rPr>
              <w:t xml:space="preserve">, </w:t>
            </w:r>
            <w:r w:rsidRPr="00457AF2">
              <w:rPr>
                <w:rFonts w:ascii="Arial" w:hAnsi="Arial" w:cs="Arial"/>
                <w:sz w:val="18"/>
                <w:szCs w:val="18"/>
              </w:rPr>
              <w:t>custard powder, yogurt mixes where type of milk is not critical</w:t>
            </w:r>
            <w:r>
              <w:rPr>
                <w:rFonts w:ascii="Arial" w:hAnsi="Arial" w:cs="Arial"/>
                <w:sz w:val="18"/>
                <w:szCs w:val="18"/>
              </w:rPr>
              <w:t>, recipe bases, powdered</w:t>
            </w:r>
            <w:r w:rsidRPr="00457AF2">
              <w:rPr>
                <w:rFonts w:ascii="Arial" w:hAnsi="Arial" w:cs="Arial"/>
                <w:sz w:val="18"/>
                <w:szCs w:val="18"/>
              </w:rPr>
              <w:t xml:space="preserve"> sauce mixes for casseroles/slow cookers,</w:t>
            </w:r>
            <w:r>
              <w:rPr>
                <w:rFonts w:ascii="Arial" w:hAnsi="Arial" w:cs="Arial"/>
                <w:sz w:val="18"/>
                <w:szCs w:val="18"/>
              </w:rPr>
              <w:t xml:space="preserve"> where </w:t>
            </w:r>
            <w:r w:rsidRPr="00457AF2">
              <w:rPr>
                <w:rFonts w:ascii="Arial" w:hAnsi="Arial" w:cs="Arial"/>
                <w:sz w:val="18"/>
                <w:szCs w:val="18"/>
              </w:rPr>
              <w:t xml:space="preserve">type of </w:t>
            </w:r>
            <w:r>
              <w:rPr>
                <w:rFonts w:ascii="Arial" w:hAnsi="Arial" w:cs="Arial"/>
                <w:sz w:val="18"/>
                <w:szCs w:val="18"/>
              </w:rPr>
              <w:t>meat or vegetables is not critical</w:t>
            </w:r>
          </w:p>
        </w:tc>
        <w:tc>
          <w:tcPr>
            <w:tcW w:w="426" w:type="dxa"/>
            <w:tcBorders>
              <w:left w:val="single" w:sz="4" w:space="0" w:color="auto"/>
              <w:right w:val="single" w:sz="4" w:space="0" w:color="auto"/>
            </w:tcBorders>
            <w:vAlign w:val="center"/>
          </w:tcPr>
          <w:p w14:paraId="18A9E56C" w14:textId="77777777" w:rsidR="00F32839" w:rsidRPr="009B7399" w:rsidRDefault="00F32839" w:rsidP="00FB6151">
            <w:pPr>
              <w:spacing w:before="40" w:after="40"/>
              <w:jc w:val="center"/>
              <w:rPr>
                <w:rFonts w:ascii="Arial" w:hAnsi="Arial" w:cs="Arial"/>
                <w:b/>
                <w:sz w:val="18"/>
                <w:szCs w:val="18"/>
              </w:rPr>
            </w:pPr>
            <w:r w:rsidRPr="009B7399">
              <w:rPr>
                <w:rFonts w:ascii="Arial" w:hAnsi="Arial" w:cs="Arial"/>
                <w:sz w:val="18"/>
                <w:szCs w:val="18"/>
              </w:rPr>
              <w:t>►</w:t>
            </w:r>
          </w:p>
        </w:tc>
        <w:tc>
          <w:tcPr>
            <w:tcW w:w="1984" w:type="dxa"/>
            <w:tcBorders>
              <w:top w:val="single" w:sz="4" w:space="0" w:color="auto"/>
              <w:left w:val="single" w:sz="4" w:space="0" w:color="auto"/>
              <w:bottom w:val="single" w:sz="4" w:space="0" w:color="auto"/>
              <w:right w:val="single" w:sz="4" w:space="0" w:color="auto"/>
            </w:tcBorders>
          </w:tcPr>
          <w:p w14:paraId="48D32731" w14:textId="77777777" w:rsidR="00F32839" w:rsidRPr="009B7399" w:rsidRDefault="00F32839" w:rsidP="00FB6151">
            <w:pPr>
              <w:spacing w:before="40" w:after="40"/>
              <w:rPr>
                <w:rFonts w:ascii="Arial" w:hAnsi="Arial" w:cs="Arial"/>
                <w:sz w:val="18"/>
                <w:szCs w:val="18"/>
              </w:rPr>
            </w:pPr>
            <w:r w:rsidRPr="00586DF3">
              <w:rPr>
                <w:rFonts w:ascii="Arial" w:hAnsi="Arial" w:cs="Arial"/>
                <w:b/>
                <w:sz w:val="18"/>
                <w:szCs w:val="18"/>
              </w:rPr>
              <w:t>Use of the HSR graphic may not provide useful information to consumers</w:t>
            </w:r>
            <w:r>
              <w:rPr>
                <w:rFonts w:ascii="Arial" w:hAnsi="Arial" w:cs="Arial"/>
                <w:b/>
                <w:sz w:val="18"/>
                <w:szCs w:val="18"/>
              </w:rPr>
              <w:t xml:space="preserve"> on the unprepared product which is not the food or drink that will be consumed</w:t>
            </w:r>
          </w:p>
        </w:tc>
      </w:tr>
    </w:tbl>
    <w:p w14:paraId="0BA51256" w14:textId="77777777" w:rsidR="001A1F52" w:rsidRDefault="001A1F52">
      <w:pPr>
        <w:rPr>
          <w:color w:val="000000" w:themeColor="text1"/>
        </w:rPr>
        <w:sectPr w:rsidR="001A1F52" w:rsidSect="00F32839">
          <w:footerReference w:type="default" r:id="rId14"/>
          <w:pgSz w:w="11906" w:h="16838"/>
          <w:pgMar w:top="1560" w:right="1800" w:bottom="567" w:left="1800" w:header="708" w:footer="133" w:gutter="0"/>
          <w:cols w:space="708"/>
          <w:docGrid w:linePitch="360"/>
        </w:sectPr>
      </w:pPr>
    </w:p>
    <w:p w14:paraId="09B3BA4C" w14:textId="77777777" w:rsidR="002E17E4" w:rsidRPr="007A7912" w:rsidRDefault="002E17E4" w:rsidP="002E17E4">
      <w:pPr>
        <w:pStyle w:val="Heading1"/>
      </w:pPr>
      <w:bookmarkStart w:id="26" w:name="_Toc511309271"/>
      <w:r>
        <w:lastRenderedPageBreak/>
        <w:t>Next steps</w:t>
      </w:r>
      <w:bookmarkEnd w:id="26"/>
    </w:p>
    <w:p w14:paraId="4EFEB898" w14:textId="77777777" w:rsidR="002E17E4" w:rsidRPr="003673C6" w:rsidRDefault="002E17E4" w:rsidP="002E17E4">
      <w:pPr>
        <w:spacing w:after="240"/>
      </w:pPr>
      <w:r>
        <w:t>HSRAC will consider the outcomes of these public workshops and agree to an option. HSRAC will then recommend to Australian and New Zealand Food Regulation Ministers the implementation of the agreed option to resolve the ‘as prepared’ issue.</w:t>
      </w:r>
    </w:p>
    <w:p w14:paraId="1CFC87E5" w14:textId="77777777" w:rsidR="002E17E4" w:rsidRPr="001258E3" w:rsidRDefault="002E17E4" w:rsidP="00B0768E">
      <w:pPr>
        <w:pStyle w:val="Heading2"/>
      </w:pPr>
      <w:r w:rsidRPr="001258E3">
        <w:t>Timeframes</w:t>
      </w:r>
    </w:p>
    <w:p w14:paraId="1EF62C84" w14:textId="77777777" w:rsidR="002E17E4" w:rsidRPr="007A7912" w:rsidRDefault="002E17E4" w:rsidP="002E17E4">
      <w:pPr>
        <w:spacing w:after="240"/>
      </w:pPr>
      <w:r w:rsidRPr="007A7912">
        <w:t>It is currently anticipated that the outcomes of this round of public consultation will be discussed by HSRAC late June 2018, with a report and recommendation provided to the Food Regulation Standing Committee (FRSC) in September 2018. FRSC will then provide advice to Food Regulation Ministers at the Australia and New Zealand Ministerial Forum on Food Regulation (the Forum) in December 2018.</w:t>
      </w:r>
    </w:p>
    <w:p w14:paraId="65169300" w14:textId="77777777" w:rsidR="002E17E4" w:rsidRPr="007A7912" w:rsidRDefault="002E17E4" w:rsidP="002E17E4">
      <w:pPr>
        <w:spacing w:after="240"/>
      </w:pPr>
      <w:r w:rsidRPr="007A7912">
        <w:t>Should Food Regulation Ministers agree to the proposed resolution of this issue, it is anticipated that any changes to HSR guidance and documentation will be implemented in line with timeframes for the five year review of the HSR system. This is because other changes to the HSR system proposed by the review may have significant cross-over effects on products subject to the ‘as prepared’ rules. This will minimise duplication and costs incurred by the food industry in amending packaging and limit potential consumer confusion arising from multiple different HSRs for the same products being displayed on shelves at the same time. The five year review report will be provided to HSRAC and FRSC in quarter 2 2019 and to the Forum in quarter 4 2019.</w:t>
      </w:r>
    </w:p>
    <w:p w14:paraId="2E12590B" w14:textId="77777777" w:rsidR="002E17E4" w:rsidRPr="001258E3" w:rsidRDefault="002E17E4" w:rsidP="00B0768E">
      <w:pPr>
        <w:pStyle w:val="Heading2"/>
      </w:pPr>
      <w:r w:rsidRPr="001258E3">
        <w:t>Communications</w:t>
      </w:r>
    </w:p>
    <w:p w14:paraId="10EEC002" w14:textId="77777777" w:rsidR="002E17E4" w:rsidRPr="007A7912" w:rsidRDefault="002E17E4" w:rsidP="002E17E4">
      <w:pPr>
        <w:spacing w:after="240"/>
      </w:pPr>
      <w:r w:rsidRPr="007A7912">
        <w:t xml:space="preserve">Communication of the agreed way forward will commence as soon as a decision is reached by ministers. </w:t>
      </w:r>
    </w:p>
    <w:p w14:paraId="3248CB5E" w14:textId="77777777" w:rsidR="002E17E4" w:rsidRPr="007A7912" w:rsidRDefault="002E17E4" w:rsidP="002E17E4">
      <w:pPr>
        <w:spacing w:after="240"/>
      </w:pPr>
      <w:r w:rsidRPr="007A7912">
        <w:t>Regardless of the outcome, HSRAC will also consider further efforts to clarify the intent and application of the ‘as prepared’ rules for both industry and consumers.</w:t>
      </w:r>
    </w:p>
    <w:p w14:paraId="69D30573" w14:textId="77777777" w:rsidR="00C17831" w:rsidRDefault="00C17831">
      <w:pPr>
        <w:rPr>
          <w:rFonts w:ascii="Arial" w:hAnsi="Arial" w:cs="Arial"/>
          <w:b/>
          <w:bCs/>
          <w:kern w:val="28"/>
          <w:sz w:val="28"/>
          <w:szCs w:val="32"/>
        </w:rPr>
      </w:pPr>
      <w:r>
        <w:br w:type="page"/>
      </w:r>
    </w:p>
    <w:p w14:paraId="26AE4A15" w14:textId="77777777" w:rsidR="002E17E4" w:rsidRPr="005938E2" w:rsidRDefault="002E17E4" w:rsidP="002E17E4">
      <w:pPr>
        <w:pStyle w:val="Heading1"/>
        <w:spacing w:after="240"/>
      </w:pPr>
      <w:bookmarkStart w:id="27" w:name="_Toc511309272"/>
      <w:r>
        <w:lastRenderedPageBreak/>
        <w:t>Consultation questions</w:t>
      </w:r>
      <w:bookmarkEnd w:id="27"/>
    </w:p>
    <w:p w14:paraId="075CCB25" w14:textId="77777777" w:rsidR="002E17E4" w:rsidRPr="005938E2" w:rsidRDefault="002E17E4" w:rsidP="002E17E4">
      <w:pPr>
        <w:pStyle w:val="ListParagraph"/>
        <w:numPr>
          <w:ilvl w:val="0"/>
          <w:numId w:val="46"/>
        </w:numPr>
        <w:spacing w:after="240"/>
        <w:contextualSpacing w:val="0"/>
        <w:rPr>
          <w:color w:val="000000" w:themeColor="text1"/>
        </w:rPr>
      </w:pPr>
      <w:r w:rsidRPr="00744D49">
        <w:rPr>
          <w:color w:val="000000" w:themeColor="text1"/>
        </w:rPr>
        <w:t>Which option better aligns with the objectives of the HSR system and dietary guidelines?</w:t>
      </w:r>
    </w:p>
    <w:p w14:paraId="0DE9F0CF" w14:textId="77777777" w:rsidR="002E17E4" w:rsidRPr="005938E2" w:rsidRDefault="002E17E4" w:rsidP="002E17E4">
      <w:pPr>
        <w:pStyle w:val="ListParagraph"/>
        <w:numPr>
          <w:ilvl w:val="0"/>
          <w:numId w:val="46"/>
        </w:numPr>
        <w:spacing w:after="240"/>
        <w:ind w:left="351" w:hanging="357"/>
        <w:contextualSpacing w:val="0"/>
        <w:rPr>
          <w:color w:val="000000" w:themeColor="text1"/>
        </w:rPr>
      </w:pPr>
      <w:r w:rsidRPr="00744D49">
        <w:rPr>
          <w:color w:val="000000" w:themeColor="text1"/>
        </w:rPr>
        <w:t>Is either option an acceptable resolution of the ‘as prepared’ issue?</w:t>
      </w:r>
    </w:p>
    <w:p w14:paraId="62C7E8AC" w14:textId="77777777" w:rsidR="002E17E4" w:rsidRPr="00744D49" w:rsidRDefault="002E17E4" w:rsidP="002E17E4">
      <w:pPr>
        <w:pStyle w:val="ListParagraph"/>
        <w:numPr>
          <w:ilvl w:val="0"/>
          <w:numId w:val="46"/>
        </w:numPr>
        <w:spacing w:after="240"/>
        <w:ind w:left="351" w:hanging="357"/>
        <w:contextualSpacing w:val="0"/>
        <w:rPr>
          <w:color w:val="000000" w:themeColor="text1"/>
        </w:rPr>
      </w:pPr>
      <w:r w:rsidRPr="00744D49">
        <w:rPr>
          <w:color w:val="000000" w:themeColor="text1"/>
        </w:rPr>
        <w:t>Is either option robust enough to withstand significant scrutiny?</w:t>
      </w:r>
    </w:p>
    <w:p w14:paraId="2A360685" w14:textId="77777777" w:rsidR="002E17E4" w:rsidRPr="00744D49" w:rsidRDefault="002E17E4" w:rsidP="002E17E4">
      <w:pPr>
        <w:pStyle w:val="ListParagraph"/>
        <w:numPr>
          <w:ilvl w:val="0"/>
          <w:numId w:val="46"/>
        </w:numPr>
        <w:spacing w:after="240"/>
        <w:ind w:left="351" w:hanging="357"/>
        <w:contextualSpacing w:val="0"/>
        <w:rPr>
          <w:color w:val="000000" w:themeColor="text1"/>
        </w:rPr>
      </w:pPr>
      <w:r w:rsidRPr="00744D49">
        <w:rPr>
          <w:color w:val="000000" w:themeColor="text1"/>
        </w:rPr>
        <w:t>Which option would provide greater clarity and certainty for industry?</w:t>
      </w:r>
    </w:p>
    <w:p w14:paraId="75A4F5B4" w14:textId="77777777" w:rsidR="002E17E4" w:rsidRPr="003C7A24" w:rsidRDefault="002E17E4" w:rsidP="002E17E4">
      <w:pPr>
        <w:pStyle w:val="ListParagraph"/>
        <w:numPr>
          <w:ilvl w:val="0"/>
          <w:numId w:val="46"/>
        </w:numPr>
        <w:spacing w:after="240"/>
        <w:ind w:left="351" w:hanging="357"/>
        <w:contextualSpacing w:val="0"/>
        <w:rPr>
          <w:color w:val="000000" w:themeColor="text1"/>
        </w:rPr>
      </w:pPr>
      <w:r w:rsidRPr="00744D49">
        <w:rPr>
          <w:color w:val="000000" w:themeColor="text1"/>
        </w:rPr>
        <w:t xml:space="preserve">Which option would improve trust in and credibility of the system for consumers and public </w:t>
      </w:r>
      <w:r w:rsidRPr="003C7A24">
        <w:rPr>
          <w:color w:val="000000" w:themeColor="text1"/>
        </w:rPr>
        <w:t>health and consumer organisations?</w:t>
      </w:r>
    </w:p>
    <w:p w14:paraId="5472EEFA" w14:textId="77777777" w:rsidR="002E17E4" w:rsidRPr="003C7A24" w:rsidRDefault="002E17E4" w:rsidP="002E17E4">
      <w:pPr>
        <w:pStyle w:val="ListParagraph"/>
        <w:numPr>
          <w:ilvl w:val="0"/>
          <w:numId w:val="46"/>
        </w:numPr>
        <w:spacing w:after="240"/>
        <w:ind w:left="351" w:hanging="357"/>
        <w:contextualSpacing w:val="0"/>
        <w:rPr>
          <w:color w:val="000000" w:themeColor="text1"/>
        </w:rPr>
      </w:pPr>
      <w:r w:rsidRPr="003C7A24">
        <w:rPr>
          <w:color w:val="000000" w:themeColor="text1"/>
        </w:rPr>
        <w:t>Which option would better minimise ambiguities in and potential for misinterpretation or misapplication of HSR system guidance?</w:t>
      </w:r>
    </w:p>
    <w:p w14:paraId="5846DEEF" w14:textId="77777777" w:rsidR="002E17E4" w:rsidRPr="003C7A24" w:rsidRDefault="002E17E4" w:rsidP="002E17E4">
      <w:pPr>
        <w:pStyle w:val="ListParagraph"/>
        <w:numPr>
          <w:ilvl w:val="0"/>
          <w:numId w:val="46"/>
        </w:numPr>
        <w:spacing w:after="240"/>
        <w:ind w:left="351" w:hanging="357"/>
        <w:contextualSpacing w:val="0"/>
        <w:rPr>
          <w:color w:val="000000" w:themeColor="text1"/>
        </w:rPr>
      </w:pPr>
      <w:r w:rsidRPr="003C7A24">
        <w:rPr>
          <w:color w:val="000000" w:themeColor="text1"/>
        </w:rPr>
        <w:t>Are the proposed implementation timeframes reasonable and appropriate?</w:t>
      </w:r>
    </w:p>
    <w:p w14:paraId="31E3692A" w14:textId="77777777" w:rsidR="002E17E4" w:rsidRPr="003C7A24" w:rsidRDefault="002E17E4" w:rsidP="002E17E4">
      <w:pPr>
        <w:pStyle w:val="ListParagraph"/>
        <w:numPr>
          <w:ilvl w:val="0"/>
          <w:numId w:val="46"/>
        </w:numPr>
        <w:spacing w:after="240"/>
        <w:ind w:left="351" w:hanging="357"/>
        <w:contextualSpacing w:val="0"/>
        <w:rPr>
          <w:color w:val="000000" w:themeColor="text1"/>
        </w:rPr>
      </w:pPr>
      <w:r w:rsidRPr="003C7A24">
        <w:rPr>
          <w:color w:val="000000" w:themeColor="text1"/>
        </w:rPr>
        <w:t xml:space="preserve">Any other feedback. </w:t>
      </w:r>
    </w:p>
    <w:p w14:paraId="6B02C9DE" w14:textId="77777777" w:rsidR="009453EA" w:rsidRDefault="009453EA">
      <w:pPr>
        <w:rPr>
          <w:rFonts w:ascii="Arial" w:hAnsi="Arial" w:cs="Arial"/>
          <w:b/>
          <w:bCs/>
          <w:kern w:val="28"/>
          <w:sz w:val="28"/>
          <w:szCs w:val="32"/>
        </w:rPr>
      </w:pPr>
      <w:r>
        <w:br w:type="page"/>
      </w:r>
    </w:p>
    <w:p w14:paraId="619819BC" w14:textId="11EE930F" w:rsidR="00121709" w:rsidRDefault="002D001C" w:rsidP="007A7912">
      <w:pPr>
        <w:pStyle w:val="Heading1"/>
        <w:spacing w:after="240"/>
      </w:pPr>
      <w:bookmarkStart w:id="28" w:name="_Toc511309273"/>
      <w:r>
        <w:lastRenderedPageBreak/>
        <w:t>Appendices</w:t>
      </w:r>
      <w:bookmarkEnd w:id="22"/>
      <w:bookmarkEnd w:id="28"/>
    </w:p>
    <w:p w14:paraId="23203F07" w14:textId="77777777" w:rsidR="009453EA" w:rsidRDefault="00754F7C" w:rsidP="007A7912">
      <w:pPr>
        <w:pStyle w:val="ListParagraph"/>
        <w:numPr>
          <w:ilvl w:val="0"/>
          <w:numId w:val="28"/>
        </w:numPr>
        <w:spacing w:after="120"/>
        <w:ind w:left="357" w:hanging="357"/>
        <w:contextualSpacing w:val="0"/>
      </w:pPr>
      <w:r>
        <w:t xml:space="preserve">Current </w:t>
      </w:r>
      <w:r w:rsidR="009453EA">
        <w:t xml:space="preserve">‘as prepared’ </w:t>
      </w:r>
      <w:r w:rsidR="00460803">
        <w:t>rules in the Guide for Industry</w:t>
      </w:r>
    </w:p>
    <w:p w14:paraId="271EC171" w14:textId="77777777" w:rsidR="00754F7C" w:rsidRDefault="00754F7C" w:rsidP="007A7912">
      <w:pPr>
        <w:pStyle w:val="ListParagraph"/>
        <w:numPr>
          <w:ilvl w:val="0"/>
          <w:numId w:val="28"/>
        </w:numPr>
        <w:spacing w:after="120"/>
        <w:ind w:left="357" w:hanging="357"/>
        <w:contextualSpacing w:val="0"/>
      </w:pPr>
      <w:r>
        <w:t>FSC provisions relevant to ‘as prepared’ products</w:t>
      </w:r>
    </w:p>
    <w:p w14:paraId="7A0AE1F4" w14:textId="77777777" w:rsidR="008C4347" w:rsidRDefault="008C4347" w:rsidP="007A7912">
      <w:pPr>
        <w:pStyle w:val="ListParagraph"/>
        <w:numPr>
          <w:ilvl w:val="0"/>
          <w:numId w:val="28"/>
        </w:numPr>
        <w:spacing w:after="120"/>
        <w:ind w:left="357" w:hanging="357"/>
        <w:contextualSpacing w:val="0"/>
      </w:pPr>
      <w:r w:rsidRPr="009C53F2">
        <w:t>HSR modelling using AUSNUT 2011-13 data</w:t>
      </w:r>
    </w:p>
    <w:p w14:paraId="61EFD3FB" w14:textId="77777777" w:rsidR="009453EA" w:rsidRDefault="009453EA" w:rsidP="007A7912">
      <w:pPr>
        <w:pStyle w:val="ListParagraph"/>
        <w:numPr>
          <w:ilvl w:val="0"/>
          <w:numId w:val="28"/>
        </w:numPr>
        <w:spacing w:after="120"/>
        <w:ind w:left="357" w:hanging="357"/>
        <w:contextualSpacing w:val="0"/>
      </w:pPr>
      <w:r w:rsidRPr="009453EA">
        <w:t xml:space="preserve">Summary of </w:t>
      </w:r>
      <w:r>
        <w:t>public submissions</w:t>
      </w:r>
    </w:p>
    <w:p w14:paraId="48A42C69" w14:textId="77777777" w:rsidR="009453EA" w:rsidRDefault="007E6948" w:rsidP="007A7912">
      <w:pPr>
        <w:pStyle w:val="ListParagraph"/>
        <w:numPr>
          <w:ilvl w:val="0"/>
          <w:numId w:val="28"/>
        </w:numPr>
        <w:spacing w:after="120"/>
        <w:ind w:left="357" w:hanging="357"/>
        <w:contextualSpacing w:val="0"/>
      </w:pPr>
      <w:r>
        <w:t>Outcomes from workshops</w:t>
      </w:r>
    </w:p>
    <w:p w14:paraId="5D488505" w14:textId="604F4507" w:rsidR="009453EA" w:rsidRDefault="0086265A" w:rsidP="007A7912">
      <w:pPr>
        <w:pStyle w:val="ListParagraph"/>
        <w:numPr>
          <w:ilvl w:val="0"/>
          <w:numId w:val="28"/>
        </w:numPr>
        <w:spacing w:after="120"/>
        <w:ind w:left="357" w:hanging="357"/>
        <w:contextualSpacing w:val="0"/>
      </w:pPr>
      <w:r>
        <w:t>TAG m</w:t>
      </w:r>
      <w:r w:rsidR="009453EA">
        <w:t xml:space="preserve">odelling </w:t>
      </w:r>
      <w:r w:rsidR="00C75EBE">
        <w:t>using HSR database</w:t>
      </w:r>
    </w:p>
    <w:p w14:paraId="7904A8A5" w14:textId="6F973840" w:rsidR="009453EA" w:rsidRDefault="009453EA" w:rsidP="007A7912">
      <w:pPr>
        <w:pStyle w:val="ListParagraph"/>
        <w:numPr>
          <w:ilvl w:val="0"/>
          <w:numId w:val="28"/>
        </w:numPr>
        <w:spacing w:after="120"/>
        <w:ind w:left="357" w:hanging="357"/>
        <w:contextualSpacing w:val="0"/>
      </w:pPr>
      <w:r>
        <w:t>Potential amendments to Guide for Industry</w:t>
      </w:r>
      <w:r w:rsidR="00983F6E">
        <w:t xml:space="preserve"> </w:t>
      </w:r>
    </w:p>
    <w:p w14:paraId="42C6C272" w14:textId="5321314E" w:rsidR="009453EA" w:rsidRDefault="00D018D5" w:rsidP="007A7912">
      <w:pPr>
        <w:pStyle w:val="ListParagraph"/>
        <w:numPr>
          <w:ilvl w:val="0"/>
          <w:numId w:val="28"/>
        </w:numPr>
        <w:spacing w:after="120"/>
        <w:ind w:left="357" w:hanging="357"/>
        <w:contextualSpacing w:val="0"/>
      </w:pPr>
      <w:r>
        <w:t>AFGC ‘d</w:t>
      </w:r>
      <w:r w:rsidR="009453EA">
        <w:t>ecision tree’</w:t>
      </w:r>
    </w:p>
    <w:p w14:paraId="3E26B413" w14:textId="646C0659" w:rsidR="00B17ADB" w:rsidRDefault="00B17ADB" w:rsidP="007A7912">
      <w:pPr>
        <w:pStyle w:val="ListParagraph"/>
        <w:numPr>
          <w:ilvl w:val="0"/>
          <w:numId w:val="28"/>
        </w:numPr>
        <w:spacing w:after="120"/>
        <w:ind w:left="357" w:hanging="357"/>
        <w:contextualSpacing w:val="0"/>
      </w:pPr>
      <w:r>
        <w:t>Testing and analysis of a previous version of the ‘decision tree’</w:t>
      </w:r>
    </w:p>
    <w:p w14:paraId="0B67A1AD" w14:textId="77777777" w:rsidR="00787D5D" w:rsidRDefault="00787D5D" w:rsidP="00787D5D">
      <w:pPr>
        <w:spacing w:before="360" w:after="120"/>
        <w:rPr>
          <w:sz w:val="22"/>
          <w:szCs w:val="22"/>
        </w:rPr>
      </w:pPr>
      <w:r>
        <w:rPr>
          <w:sz w:val="22"/>
          <w:szCs w:val="22"/>
        </w:rPr>
        <w:t>A</w:t>
      </w:r>
      <w:r w:rsidRPr="000257F4">
        <w:rPr>
          <w:sz w:val="22"/>
          <w:szCs w:val="22"/>
        </w:rPr>
        <w:t>ppendices are available in a single document</w:t>
      </w:r>
      <w:r>
        <w:rPr>
          <w:sz w:val="22"/>
          <w:szCs w:val="22"/>
        </w:rPr>
        <w:t xml:space="preserve"> on the </w:t>
      </w:r>
      <w:hyperlink r:id="rId15" w:history="1">
        <w:r>
          <w:rPr>
            <w:rStyle w:val="Hyperlink"/>
            <w:sz w:val="22"/>
            <w:szCs w:val="22"/>
          </w:rPr>
          <w:t>HSR Stakeholder Workshops</w:t>
        </w:r>
      </w:hyperlink>
      <w:r>
        <w:rPr>
          <w:sz w:val="22"/>
          <w:szCs w:val="22"/>
        </w:rPr>
        <w:t xml:space="preserve"> page.</w:t>
      </w:r>
    </w:p>
    <w:p w14:paraId="648E4A53" w14:textId="5977FA8D" w:rsidR="002B7D62" w:rsidRPr="00787D5D" w:rsidRDefault="002B7D62" w:rsidP="000257F4">
      <w:pPr>
        <w:spacing w:before="360" w:after="120"/>
        <w:rPr>
          <w:color w:val="000000" w:themeColor="text1"/>
        </w:rPr>
      </w:pPr>
    </w:p>
    <w:sectPr w:rsidR="002B7D62" w:rsidRPr="00787D5D" w:rsidSect="000257F4">
      <w:headerReference w:type="default" r:id="rId16"/>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445B69" w15:done="0"/>
  <w15:commentEx w15:paraId="4373C042" w15:done="0"/>
  <w15:commentEx w15:paraId="4AA37A38" w15:done="0"/>
  <w15:commentEx w15:paraId="7C9492CD" w15:done="0"/>
  <w15:commentEx w15:paraId="6AD0C838" w15:done="0"/>
  <w15:commentEx w15:paraId="25199CE5" w15:done="0"/>
  <w15:commentEx w15:paraId="669DEF06" w15:done="0"/>
  <w15:commentEx w15:paraId="53E79B8F" w15:done="0"/>
  <w15:commentEx w15:paraId="7747A9BE" w15:done="0"/>
  <w15:commentEx w15:paraId="1347D457" w15:done="0"/>
  <w15:commentEx w15:paraId="45A9B9E3" w15:done="0"/>
  <w15:commentEx w15:paraId="1B4D20B8" w15:done="0"/>
  <w15:commentEx w15:paraId="78ECF1DB" w15:done="0"/>
  <w15:commentEx w15:paraId="3507558C" w15:done="0"/>
  <w15:commentEx w15:paraId="7569A06A" w15:done="0"/>
  <w15:commentEx w15:paraId="703C0A6D" w15:done="0"/>
  <w15:commentEx w15:paraId="4A68E49E" w15:done="0"/>
  <w15:commentEx w15:paraId="35176654" w15:done="0"/>
  <w15:commentEx w15:paraId="164F09CE" w15:done="0"/>
  <w15:commentEx w15:paraId="7137D91B" w15:done="0"/>
  <w15:commentEx w15:paraId="0690E6A2" w15:done="0"/>
  <w15:commentEx w15:paraId="7FEC9835" w15:done="0"/>
  <w15:commentEx w15:paraId="329834C6" w15:done="0"/>
  <w15:commentEx w15:paraId="142D4BCD" w15:done="0"/>
  <w15:commentEx w15:paraId="28C1AFF8" w15:done="0"/>
  <w15:commentEx w15:paraId="29889549" w15:done="0"/>
  <w15:commentEx w15:paraId="77D3E357" w15:done="0"/>
  <w15:commentEx w15:paraId="16C567EF" w15:done="0"/>
  <w15:commentEx w15:paraId="2E3101E2" w15:done="0"/>
  <w15:commentEx w15:paraId="29220E93" w15:done="0"/>
  <w15:commentEx w15:paraId="1A95DE38" w15:done="0"/>
  <w15:commentEx w15:paraId="027AC265" w15:done="0"/>
  <w15:commentEx w15:paraId="3FFEAC53" w15:done="0"/>
  <w15:commentEx w15:paraId="3A804B13" w15:done="0"/>
  <w15:commentEx w15:paraId="66CCDC16" w15:done="0"/>
  <w15:commentEx w15:paraId="5D77E04E" w15:done="0"/>
  <w15:commentEx w15:paraId="5C243412" w15:done="0"/>
  <w15:commentEx w15:paraId="73EE8EF2" w15:done="0"/>
  <w15:commentEx w15:paraId="21EED626" w15:done="0"/>
  <w15:commentEx w15:paraId="629A2993" w15:done="0"/>
  <w15:commentEx w15:paraId="4F39C7F7" w15:done="0"/>
  <w15:commentEx w15:paraId="76B92738" w15:done="0"/>
  <w15:commentEx w15:paraId="54FFF59D" w15:done="0"/>
  <w15:commentEx w15:paraId="38227D0A" w15:done="0"/>
  <w15:commentEx w15:paraId="1A090C1E" w15:done="0"/>
  <w15:commentEx w15:paraId="251BB163" w15:done="0"/>
  <w15:commentEx w15:paraId="31DBF0D0" w15:done="0"/>
  <w15:commentEx w15:paraId="5E4F4D82" w15:done="0"/>
  <w15:commentEx w15:paraId="20C207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967165" w16cid:durableId="1E5A6F50"/>
  <w16cid:commentId w16cid:paraId="0288E019" w16cid:durableId="1E5A6F51"/>
  <w16cid:commentId w16cid:paraId="4002B87A" w16cid:durableId="1E5A70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81663" w14:textId="77777777" w:rsidR="00070536" w:rsidRDefault="00070536" w:rsidP="0004228D">
      <w:r>
        <w:separator/>
      </w:r>
    </w:p>
  </w:endnote>
  <w:endnote w:type="continuationSeparator" w:id="0">
    <w:p w14:paraId="0EFAAFF6" w14:textId="77777777" w:rsidR="00070536" w:rsidRDefault="00070536" w:rsidP="00042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0090872"/>
      <w:docPartObj>
        <w:docPartGallery w:val="Page Numbers (Bottom of Page)"/>
        <w:docPartUnique/>
      </w:docPartObj>
    </w:sdtPr>
    <w:sdtEndPr>
      <w:rPr>
        <w:noProof/>
      </w:rPr>
    </w:sdtEndPr>
    <w:sdtContent>
      <w:p w14:paraId="3FA5FADB" w14:textId="77777777" w:rsidR="00070536" w:rsidRDefault="00070536">
        <w:pPr>
          <w:pStyle w:val="Footer"/>
          <w:jc w:val="right"/>
        </w:pPr>
        <w:r>
          <w:fldChar w:fldCharType="begin"/>
        </w:r>
        <w:r>
          <w:instrText xml:space="preserve"> PAGE   \* MERGEFORMAT </w:instrText>
        </w:r>
        <w:r>
          <w:fldChar w:fldCharType="separate"/>
        </w:r>
        <w:r w:rsidR="00F30159">
          <w:rPr>
            <w:noProof/>
          </w:rPr>
          <w:t>1</w:t>
        </w:r>
        <w:r>
          <w:rPr>
            <w:noProof/>
          </w:rPr>
          <w:fldChar w:fldCharType="end"/>
        </w:r>
      </w:p>
    </w:sdtContent>
  </w:sdt>
  <w:p w14:paraId="5D957514" w14:textId="77777777" w:rsidR="00070536" w:rsidRDefault="000705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371375"/>
      <w:docPartObj>
        <w:docPartGallery w:val="Page Numbers (Bottom of Page)"/>
        <w:docPartUnique/>
      </w:docPartObj>
    </w:sdtPr>
    <w:sdtEndPr>
      <w:rPr>
        <w:noProof/>
      </w:rPr>
    </w:sdtEndPr>
    <w:sdtContent>
      <w:p w14:paraId="72CE9AAD" w14:textId="77777777" w:rsidR="00070536" w:rsidRDefault="00070536">
        <w:pPr>
          <w:pStyle w:val="Footer"/>
          <w:jc w:val="right"/>
        </w:pPr>
        <w:r>
          <w:fldChar w:fldCharType="begin"/>
        </w:r>
        <w:r>
          <w:instrText xml:space="preserve"> PAGE   \* MERGEFORMAT </w:instrText>
        </w:r>
        <w:r>
          <w:fldChar w:fldCharType="separate"/>
        </w:r>
        <w:r w:rsidR="00F30159">
          <w:rPr>
            <w:noProof/>
          </w:rPr>
          <w:t>20</w:t>
        </w:r>
        <w:r>
          <w:rPr>
            <w:noProof/>
          </w:rPr>
          <w:fldChar w:fldCharType="end"/>
        </w:r>
      </w:p>
    </w:sdtContent>
  </w:sdt>
  <w:p w14:paraId="7B10E531" w14:textId="77777777" w:rsidR="00070536" w:rsidRDefault="00070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31BB8" w14:textId="77777777" w:rsidR="00070536" w:rsidRDefault="00070536" w:rsidP="0004228D">
      <w:r>
        <w:separator/>
      </w:r>
    </w:p>
  </w:footnote>
  <w:footnote w:type="continuationSeparator" w:id="0">
    <w:p w14:paraId="64F25008" w14:textId="77777777" w:rsidR="00070536" w:rsidRDefault="00070536" w:rsidP="0004228D">
      <w:r>
        <w:continuationSeparator/>
      </w:r>
    </w:p>
  </w:footnote>
  <w:footnote w:id="1">
    <w:p w14:paraId="3C2576B6" w14:textId="50E07825" w:rsidR="00070536" w:rsidRDefault="00070536" w:rsidP="00CB3D6E">
      <w:r>
        <w:rPr>
          <w:rStyle w:val="FootnoteReference"/>
        </w:rPr>
        <w:footnoteRef/>
      </w:r>
      <w:r>
        <w:t xml:space="preserve"> </w:t>
      </w:r>
      <w:r w:rsidR="00CB3D6E" w:rsidRPr="00B67DE4">
        <w:rPr>
          <w:sz w:val="20"/>
          <w:szCs w:val="20"/>
        </w:rPr>
        <w:t xml:space="preserve">Guide for Industry to the Health Star Rating Calculator v.6 (2018), available on the </w:t>
      </w:r>
      <w:hyperlink r:id="rId1" w:history="1">
        <w:r w:rsidR="00CB3D6E" w:rsidRPr="00B67DE4">
          <w:rPr>
            <w:rStyle w:val="Hyperlink"/>
            <w:sz w:val="20"/>
            <w:szCs w:val="20"/>
          </w:rPr>
          <w:t>HSR Guide for Industry</w:t>
        </w:r>
      </w:hyperlink>
      <w:r w:rsidR="00CB3D6E">
        <w:rPr>
          <w:color w:val="000000" w:themeColor="text1"/>
          <w:sz w:val="20"/>
          <w:szCs w:val="20"/>
        </w:rPr>
        <w:t xml:space="preserve"> page.</w:t>
      </w:r>
    </w:p>
  </w:footnote>
  <w:footnote w:id="2">
    <w:p w14:paraId="2720D0CB" w14:textId="5512E4CD" w:rsidR="00070536" w:rsidRDefault="00070536">
      <w:pPr>
        <w:pStyle w:val="FootnoteText"/>
      </w:pPr>
      <w:r>
        <w:rPr>
          <w:rStyle w:val="FootnoteReference"/>
        </w:rPr>
        <w:footnoteRef/>
      </w:r>
      <w:r>
        <w:t xml:space="preserve"> </w:t>
      </w:r>
      <w:r w:rsidR="00CB3D6E" w:rsidRPr="00B67DE4">
        <w:t xml:space="preserve">Guide for Industry to the Health Star Rating Calculator v.6 (2018), available on the </w:t>
      </w:r>
      <w:hyperlink r:id="rId2" w:history="1">
        <w:r w:rsidR="00CB3D6E" w:rsidRPr="00B67DE4">
          <w:rPr>
            <w:rStyle w:val="Hyperlink"/>
          </w:rPr>
          <w:t>HSR Guide for Industry</w:t>
        </w:r>
      </w:hyperlink>
      <w:r w:rsidR="00CB3D6E">
        <w:rPr>
          <w:color w:val="000000" w:themeColor="text1"/>
        </w:rPr>
        <w:t xml:space="preserve"> page (p7).</w:t>
      </w:r>
    </w:p>
  </w:footnote>
  <w:footnote w:id="3">
    <w:p w14:paraId="581F0524" w14:textId="27E60BF5" w:rsidR="00337C77" w:rsidRPr="00337C77" w:rsidRDefault="00070536" w:rsidP="00337C77">
      <w:pPr>
        <w:rPr>
          <w:sz w:val="20"/>
          <w:szCs w:val="20"/>
        </w:rPr>
      </w:pPr>
      <w:r w:rsidRPr="00337C77">
        <w:rPr>
          <w:rStyle w:val="FootnoteReference"/>
          <w:sz w:val="20"/>
          <w:szCs w:val="20"/>
        </w:rPr>
        <w:footnoteRef/>
      </w:r>
      <w:r w:rsidRPr="00337C77">
        <w:rPr>
          <w:sz w:val="20"/>
          <w:szCs w:val="20"/>
        </w:rPr>
        <w:t xml:space="preserve"> FoodTrack™ - branded retail food and nutrient database, CSIRO in collaboration with the National Heart Foundation,</w:t>
      </w:r>
      <w:r w:rsidR="00337C77" w:rsidRPr="00337C77">
        <w:rPr>
          <w:sz w:val="20"/>
          <w:szCs w:val="20"/>
        </w:rPr>
        <w:t xml:space="preserve"> </w:t>
      </w:r>
      <w:hyperlink r:id="rId3" w:history="1">
        <w:r w:rsidR="00337C77" w:rsidRPr="00337C77">
          <w:rPr>
            <w:rStyle w:val="Hyperlink"/>
            <w:sz w:val="20"/>
            <w:szCs w:val="20"/>
          </w:rPr>
          <w:t>CSIRO FoodTrack</w:t>
        </w:r>
      </w:hyperlink>
      <w:r w:rsidR="00337C77" w:rsidRPr="00337C77">
        <w:rPr>
          <w:sz w:val="20"/>
          <w:szCs w:val="20"/>
        </w:rPr>
        <w:t>.</w:t>
      </w:r>
    </w:p>
    <w:p w14:paraId="576822E0" w14:textId="39152DAA" w:rsidR="00070536" w:rsidRPr="00337C77" w:rsidRDefault="00070536" w:rsidP="009A5D87">
      <w:pPr>
        <w:pStyle w:val="FootnoteText"/>
      </w:pPr>
      <w:r w:rsidRPr="00337C77">
        <w:t>Date Accessed: March 20, 2018</w:t>
      </w:r>
    </w:p>
  </w:footnote>
  <w:footnote w:id="4">
    <w:p w14:paraId="510ECFC7" w14:textId="5040210F" w:rsidR="00070536" w:rsidRPr="005667A4" w:rsidRDefault="00070536" w:rsidP="009A5D87">
      <w:pPr>
        <w:rPr>
          <w:sz w:val="20"/>
          <w:szCs w:val="18"/>
        </w:rPr>
      </w:pPr>
      <w:r>
        <w:rPr>
          <w:rStyle w:val="FootnoteReference"/>
        </w:rPr>
        <w:footnoteRef/>
      </w:r>
      <w:r>
        <w:t xml:space="preserve"> </w:t>
      </w:r>
      <w:r w:rsidRPr="005667A4">
        <w:rPr>
          <w:sz w:val="20"/>
          <w:szCs w:val="18"/>
        </w:rPr>
        <w:t>FoodTrack™ - branded retail food and nutrient database, CSIRO in collaboration with the</w:t>
      </w:r>
      <w:r>
        <w:rPr>
          <w:sz w:val="20"/>
          <w:szCs w:val="18"/>
        </w:rPr>
        <w:t xml:space="preserve"> National</w:t>
      </w:r>
      <w:r w:rsidRPr="005667A4">
        <w:rPr>
          <w:sz w:val="20"/>
          <w:szCs w:val="18"/>
        </w:rPr>
        <w:t xml:space="preserve"> Heart Foundation</w:t>
      </w:r>
      <w:r w:rsidR="007052C6" w:rsidRPr="00337C77">
        <w:rPr>
          <w:sz w:val="20"/>
          <w:szCs w:val="20"/>
        </w:rPr>
        <w:t xml:space="preserve">, </w:t>
      </w:r>
      <w:hyperlink r:id="rId4" w:history="1">
        <w:r w:rsidR="007052C6" w:rsidRPr="00337C77">
          <w:rPr>
            <w:rStyle w:val="Hyperlink"/>
            <w:sz w:val="20"/>
            <w:szCs w:val="20"/>
          </w:rPr>
          <w:t>CSIRO FoodTrack</w:t>
        </w:r>
      </w:hyperlink>
      <w:r w:rsidR="007052C6" w:rsidRPr="00337C77">
        <w:rPr>
          <w:sz w:val="20"/>
          <w:szCs w:val="20"/>
        </w:rPr>
        <w:t>.</w:t>
      </w:r>
    </w:p>
    <w:p w14:paraId="4045EE6B" w14:textId="77777777" w:rsidR="00070536" w:rsidRDefault="00070536" w:rsidP="009A5D87">
      <w:r w:rsidRPr="005667A4">
        <w:rPr>
          <w:sz w:val="20"/>
          <w:szCs w:val="18"/>
        </w:rPr>
        <w:t>Date Accessed: March 08, 2018</w:t>
      </w:r>
    </w:p>
  </w:footnote>
  <w:footnote w:id="5">
    <w:p w14:paraId="55D852A4" w14:textId="77777777" w:rsidR="00070536" w:rsidRDefault="00070536" w:rsidP="00A13B37">
      <w:pPr>
        <w:pStyle w:val="FootnoteText"/>
      </w:pPr>
      <w:r>
        <w:rPr>
          <w:rStyle w:val="FootnoteReference"/>
        </w:rPr>
        <w:footnoteRef/>
      </w:r>
      <w:r>
        <w:t xml:space="preserve"> National Heart Foundation of Australia, 2017, </w:t>
      </w:r>
      <w:r w:rsidRPr="00B348A6">
        <w:t>Report on the monitoring of the implementation of the Health Star Rating system: Key findings for AOE1 – Assessment of the Health Star Rating (HSR) displayed on pack using the HSR Calculator – June 2016 to June 2017</w:t>
      </w:r>
      <w:r>
        <w:t xml:space="preserve">; </w:t>
      </w:r>
    </w:p>
    <w:p w14:paraId="66E73A43" w14:textId="77777777" w:rsidR="00070536" w:rsidRDefault="00070536" w:rsidP="00A13B37">
      <w:pPr>
        <w:pStyle w:val="FootnoteText"/>
      </w:pPr>
      <w:r>
        <w:t xml:space="preserve">National Heart Foundation of Australia, 2017, </w:t>
      </w:r>
      <w:r w:rsidRPr="00B348A6">
        <w:t>Report on the monitoring of the implementation of the Health Star Rating system: Key findings for AOE1 – Consistency in Implementation of the Health Star Rating (HSR) system with the HSR Style Guide – June 2016 to June 2017</w:t>
      </w:r>
      <w:r>
        <w:t xml:space="preserve">; </w:t>
      </w:r>
    </w:p>
    <w:p w14:paraId="4FB310A1" w14:textId="31FE9586" w:rsidR="00070536" w:rsidRDefault="00070536" w:rsidP="00A13B37">
      <w:pPr>
        <w:pStyle w:val="FootnoteText"/>
      </w:pPr>
      <w:r>
        <w:t xml:space="preserve">both available at </w:t>
      </w:r>
      <w:hyperlink r:id="rId5" w:history="1">
        <w:r w:rsidR="007052C6">
          <w:rPr>
            <w:rStyle w:val="Hyperlink"/>
          </w:rPr>
          <w:t>Monitoring the implementation of the Health Star Rating system</w:t>
        </w:r>
      </w:hyperlink>
    </w:p>
    <w:p w14:paraId="47410A73" w14:textId="77777777" w:rsidR="007052C6" w:rsidRDefault="007052C6" w:rsidP="00A13B37">
      <w:pPr>
        <w:pStyle w:val="FootnoteText"/>
      </w:pPr>
    </w:p>
  </w:footnote>
  <w:footnote w:id="6">
    <w:p w14:paraId="2391C6BC" w14:textId="31FD2FDC" w:rsidR="00070536" w:rsidRPr="005D5FA0" w:rsidRDefault="00070536" w:rsidP="00E240A4">
      <w:pPr>
        <w:pStyle w:val="FootnoteText"/>
        <w:rPr>
          <w:color w:val="000000" w:themeColor="text1"/>
        </w:rPr>
      </w:pPr>
      <w:r w:rsidRPr="00B91A83">
        <w:rPr>
          <w:rStyle w:val="FootnoteReference"/>
          <w:b/>
          <w:color w:val="000000" w:themeColor="text1"/>
        </w:rPr>
        <w:footnoteRef/>
      </w:r>
      <w:r w:rsidRPr="00B91A83">
        <w:rPr>
          <w:b/>
          <w:color w:val="000000" w:themeColor="text1"/>
        </w:rPr>
        <w:t xml:space="preserve"> </w:t>
      </w:r>
      <w:r w:rsidRPr="00B91A83">
        <w:rPr>
          <w:color w:val="000000" w:themeColor="text1"/>
        </w:rPr>
        <w:t>National Heart Foundation of Australia</w:t>
      </w:r>
      <w:r>
        <w:rPr>
          <w:color w:val="000000" w:themeColor="text1"/>
        </w:rPr>
        <w:t>,</w:t>
      </w:r>
      <w:r w:rsidRPr="00B91A83">
        <w:rPr>
          <w:color w:val="000000" w:themeColor="text1"/>
        </w:rPr>
        <w:t xml:space="preserve"> 2018, Report on the monitoring of the implementation of the Health Star Rating system: Area of Enquiry 2 – Consumer awareness and ability to use the Health Star Rating system correctly, Aug-Nov 2017</w:t>
      </w:r>
      <w:r>
        <w:rPr>
          <w:color w:val="000000" w:themeColor="text1"/>
        </w:rPr>
        <w:t xml:space="preserve"> (a summary is available on the HSR website at </w:t>
      </w:r>
      <w:hyperlink r:id="rId6" w:history="1">
        <w:r w:rsidR="005D5FA0">
          <w:rPr>
            <w:rStyle w:val="Hyperlink"/>
          </w:rPr>
          <w:t>Monitoring the implementation of the Health Star Rating system</w:t>
        </w:r>
      </w:hyperlink>
      <w:r w:rsidRPr="00475FBB">
        <w:rPr>
          <w:color w:val="000000" w:themeColor="text1"/>
        </w:rPr>
        <w:t>; for</w:t>
      </w:r>
      <w:r>
        <w:rPr>
          <w:color w:val="000000" w:themeColor="text1"/>
        </w:rPr>
        <w:t xml:space="preserve"> full report, please contact the Front-of-Pack Labelling Secretariat at </w:t>
      </w:r>
      <w:hyperlink r:id="rId7" w:history="1">
        <w:r w:rsidR="005D5FA0" w:rsidRPr="00E1421B">
          <w:rPr>
            <w:rStyle w:val="Hyperlink"/>
          </w:rPr>
          <w:t>frontofpack@health.gov.au</w:t>
        </w:r>
      </w:hyperlink>
      <w:r>
        <w:rPr>
          <w:color w:val="000000" w:themeColor="text1"/>
        </w:rPr>
        <w:t>)</w:t>
      </w:r>
    </w:p>
  </w:footnote>
  <w:footnote w:id="7">
    <w:p w14:paraId="2AD94FB0" w14:textId="04B20436" w:rsidR="00A65F7B" w:rsidRDefault="00070536" w:rsidP="00E240A4">
      <w:pPr>
        <w:pStyle w:val="FootnoteText"/>
      </w:pPr>
      <w:r>
        <w:rPr>
          <w:rStyle w:val="FootnoteReference"/>
        </w:rPr>
        <w:footnoteRef/>
      </w:r>
      <w:r>
        <w:t xml:space="preserve"> </w:t>
      </w:r>
      <w:r w:rsidRPr="00B348A6">
        <w:t xml:space="preserve">Australia New Zealand Food </w:t>
      </w:r>
      <w:r>
        <w:t xml:space="preserve">Regulation Ministerial Council, </w:t>
      </w:r>
      <w:r w:rsidRPr="00B348A6">
        <w:t xml:space="preserve">2009. Front of </w:t>
      </w:r>
      <w:r>
        <w:t>Pack Labelling Policy Statement, available at</w:t>
      </w:r>
      <w:r w:rsidRPr="00B348A6">
        <w:t xml:space="preserve"> </w:t>
      </w:r>
      <w:hyperlink r:id="rId8" w:history="1">
        <w:r w:rsidR="00A65F7B">
          <w:rPr>
            <w:rStyle w:val="Hyperlink"/>
          </w:rPr>
          <w:t>Policy statement on front of pack labelling</w:t>
        </w:r>
      </w:hyperlink>
      <w:r w:rsidR="00A65F7B">
        <w:t>.</w:t>
      </w:r>
    </w:p>
  </w:footnote>
  <w:footnote w:id="8">
    <w:p w14:paraId="51249213" w14:textId="77777777" w:rsidR="00070536" w:rsidRDefault="00070536" w:rsidP="00E240A4">
      <w:pPr>
        <w:pStyle w:val="FootnoteText"/>
      </w:pPr>
      <w:r>
        <w:rPr>
          <w:rStyle w:val="FootnoteReference"/>
        </w:rPr>
        <w:footnoteRef/>
      </w:r>
      <w:r>
        <w:t xml:space="preserve"> Discussion Paper for face to face consultation September/October 2017 – The form of the food (‘As Prepared’) rules for the Health Star Rating system. </w:t>
      </w:r>
    </w:p>
  </w:footnote>
  <w:footnote w:id="9">
    <w:p w14:paraId="0304C583" w14:textId="562475F6" w:rsidR="00070536" w:rsidRDefault="00070536" w:rsidP="00171BB7">
      <w:pPr>
        <w:pStyle w:val="FootnoteText"/>
      </w:pPr>
      <w:r>
        <w:rPr>
          <w:rStyle w:val="FootnoteReference"/>
        </w:rPr>
        <w:footnoteRef/>
      </w:r>
      <w:r>
        <w:t xml:space="preserve"> FoodTrack™ - branded retail food and nutrient database, CSIRO in collaboration with the National Heart Foundation</w:t>
      </w:r>
      <w:r w:rsidR="001E1CFC" w:rsidRPr="00337C77">
        <w:t xml:space="preserve">, </w:t>
      </w:r>
      <w:hyperlink r:id="rId9" w:history="1">
        <w:r w:rsidR="001E1CFC" w:rsidRPr="00337C77">
          <w:rPr>
            <w:rStyle w:val="Hyperlink"/>
          </w:rPr>
          <w:t>CSIRO FoodTrack</w:t>
        </w:r>
      </w:hyperlink>
      <w:r w:rsidR="001E1CFC" w:rsidRPr="00337C77">
        <w:t>.</w:t>
      </w:r>
    </w:p>
    <w:p w14:paraId="6919E790" w14:textId="77777777" w:rsidR="00070536" w:rsidRDefault="00070536" w:rsidP="00171BB7">
      <w:pPr>
        <w:pStyle w:val="FootnoteText"/>
      </w:pPr>
      <w:r>
        <w:t>Dates Accessed: March 08 and March 20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D610" w14:textId="77777777" w:rsidR="00070536" w:rsidRPr="00AF1114" w:rsidRDefault="00070536" w:rsidP="00AF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851"/>
    <w:multiLevelType w:val="hybridMultilevel"/>
    <w:tmpl w:val="39ACD4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6F2E11"/>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1862FFD"/>
    <w:multiLevelType w:val="hybridMultilevel"/>
    <w:tmpl w:val="9CA618AC"/>
    <w:lvl w:ilvl="0" w:tplc="A91AC698">
      <w:start w:val="1"/>
      <w:numFmt w:val="decimal"/>
      <w:lvlText w:val="%1."/>
      <w:lvlJc w:val="left"/>
      <w:pPr>
        <w:ind w:left="354" w:hanging="360"/>
      </w:pPr>
      <w:rPr>
        <w:rFonts w:hint="default"/>
        <w:u w:val="none"/>
      </w:rPr>
    </w:lvl>
    <w:lvl w:ilvl="1" w:tplc="0C090019" w:tentative="1">
      <w:start w:val="1"/>
      <w:numFmt w:val="lowerLetter"/>
      <w:lvlText w:val="%2."/>
      <w:lvlJc w:val="left"/>
      <w:pPr>
        <w:ind w:left="1074" w:hanging="360"/>
      </w:pPr>
    </w:lvl>
    <w:lvl w:ilvl="2" w:tplc="0C09001B" w:tentative="1">
      <w:start w:val="1"/>
      <w:numFmt w:val="lowerRoman"/>
      <w:lvlText w:val="%3."/>
      <w:lvlJc w:val="right"/>
      <w:pPr>
        <w:ind w:left="1794" w:hanging="180"/>
      </w:pPr>
    </w:lvl>
    <w:lvl w:ilvl="3" w:tplc="0C09000F" w:tentative="1">
      <w:start w:val="1"/>
      <w:numFmt w:val="decimal"/>
      <w:lvlText w:val="%4."/>
      <w:lvlJc w:val="left"/>
      <w:pPr>
        <w:ind w:left="2514" w:hanging="360"/>
      </w:pPr>
    </w:lvl>
    <w:lvl w:ilvl="4" w:tplc="0C090019" w:tentative="1">
      <w:start w:val="1"/>
      <w:numFmt w:val="lowerLetter"/>
      <w:lvlText w:val="%5."/>
      <w:lvlJc w:val="left"/>
      <w:pPr>
        <w:ind w:left="3234" w:hanging="360"/>
      </w:pPr>
    </w:lvl>
    <w:lvl w:ilvl="5" w:tplc="0C09001B" w:tentative="1">
      <w:start w:val="1"/>
      <w:numFmt w:val="lowerRoman"/>
      <w:lvlText w:val="%6."/>
      <w:lvlJc w:val="right"/>
      <w:pPr>
        <w:ind w:left="3954" w:hanging="180"/>
      </w:pPr>
    </w:lvl>
    <w:lvl w:ilvl="6" w:tplc="0C09000F" w:tentative="1">
      <w:start w:val="1"/>
      <w:numFmt w:val="decimal"/>
      <w:lvlText w:val="%7."/>
      <w:lvlJc w:val="left"/>
      <w:pPr>
        <w:ind w:left="4674" w:hanging="360"/>
      </w:pPr>
    </w:lvl>
    <w:lvl w:ilvl="7" w:tplc="0C090019" w:tentative="1">
      <w:start w:val="1"/>
      <w:numFmt w:val="lowerLetter"/>
      <w:lvlText w:val="%8."/>
      <w:lvlJc w:val="left"/>
      <w:pPr>
        <w:ind w:left="5394" w:hanging="360"/>
      </w:pPr>
    </w:lvl>
    <w:lvl w:ilvl="8" w:tplc="0C09001B" w:tentative="1">
      <w:start w:val="1"/>
      <w:numFmt w:val="lowerRoman"/>
      <w:lvlText w:val="%9."/>
      <w:lvlJc w:val="right"/>
      <w:pPr>
        <w:ind w:left="6114" w:hanging="180"/>
      </w:pPr>
    </w:lvl>
  </w:abstractNum>
  <w:abstractNum w:abstractNumId="3">
    <w:nsid w:val="02AA5BB4"/>
    <w:multiLevelType w:val="hybridMultilevel"/>
    <w:tmpl w:val="DBEE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205F47"/>
    <w:multiLevelType w:val="multilevel"/>
    <w:tmpl w:val="DD6C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E411A"/>
    <w:multiLevelType w:val="hybridMultilevel"/>
    <w:tmpl w:val="1F6E32E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88045A8"/>
    <w:multiLevelType w:val="hybridMultilevel"/>
    <w:tmpl w:val="0E9CC6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089D1A2E"/>
    <w:multiLevelType w:val="hybridMultilevel"/>
    <w:tmpl w:val="1BF6F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1C7680"/>
    <w:multiLevelType w:val="hybridMultilevel"/>
    <w:tmpl w:val="C5E094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0B877902"/>
    <w:multiLevelType w:val="hybridMultilevel"/>
    <w:tmpl w:val="45E26A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0FD05C56"/>
    <w:multiLevelType w:val="hybridMultilevel"/>
    <w:tmpl w:val="370EA2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0816AE2"/>
    <w:multiLevelType w:val="hybridMultilevel"/>
    <w:tmpl w:val="4ABC75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nsid w:val="1CFA4AEA"/>
    <w:multiLevelType w:val="multilevel"/>
    <w:tmpl w:val="4ACE10F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DC844F3"/>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20337675"/>
    <w:multiLevelType w:val="hybridMultilevel"/>
    <w:tmpl w:val="FD16B9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45E5061"/>
    <w:multiLevelType w:val="hybridMultilevel"/>
    <w:tmpl w:val="65DACE56"/>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77D3334"/>
    <w:multiLevelType w:val="hybridMultilevel"/>
    <w:tmpl w:val="3AB6A9DA"/>
    <w:lvl w:ilvl="0" w:tplc="0C09000F">
      <w:start w:val="1"/>
      <w:numFmt w:val="decimal"/>
      <w:lvlText w:val="%1."/>
      <w:lvlJc w:val="left"/>
      <w:pPr>
        <w:ind w:left="770" w:hanging="360"/>
      </w:p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17">
    <w:nsid w:val="28C306B6"/>
    <w:multiLevelType w:val="hybridMultilevel"/>
    <w:tmpl w:val="560447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BE06BB5"/>
    <w:multiLevelType w:val="hybridMultilevel"/>
    <w:tmpl w:val="764473D6"/>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BE1656"/>
    <w:multiLevelType w:val="hybridMultilevel"/>
    <w:tmpl w:val="1C06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05F7014"/>
    <w:multiLevelType w:val="hybridMultilevel"/>
    <w:tmpl w:val="17DEE0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2CD23A6"/>
    <w:multiLevelType w:val="hybridMultilevel"/>
    <w:tmpl w:val="9878D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33034783"/>
    <w:multiLevelType w:val="hybridMultilevel"/>
    <w:tmpl w:val="7994B3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36D12CF7"/>
    <w:multiLevelType w:val="hybridMultilevel"/>
    <w:tmpl w:val="92AAF4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3C3D2007"/>
    <w:multiLevelType w:val="hybridMultilevel"/>
    <w:tmpl w:val="CE228D60"/>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102D8A"/>
    <w:multiLevelType w:val="hybridMultilevel"/>
    <w:tmpl w:val="5B289B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337560E"/>
    <w:multiLevelType w:val="hybridMultilevel"/>
    <w:tmpl w:val="526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7B65BA"/>
    <w:multiLevelType w:val="hybridMultilevel"/>
    <w:tmpl w:val="283E1F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50D3E8F"/>
    <w:multiLevelType w:val="hybridMultilevel"/>
    <w:tmpl w:val="4C1C5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467E0062"/>
    <w:multiLevelType w:val="hybridMultilevel"/>
    <w:tmpl w:val="B7E8ED88"/>
    <w:lvl w:ilvl="0" w:tplc="37AC4488">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C07C83"/>
    <w:multiLevelType w:val="hybridMultilevel"/>
    <w:tmpl w:val="469A0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4A7C3235"/>
    <w:multiLevelType w:val="hybridMultilevel"/>
    <w:tmpl w:val="5B4C0C5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4D905B20"/>
    <w:multiLevelType w:val="hybridMultilevel"/>
    <w:tmpl w:val="6C628398"/>
    <w:lvl w:ilvl="0" w:tplc="0C09000F">
      <w:start w:val="1"/>
      <w:numFmt w:val="decimal"/>
      <w:lvlText w:val="%1."/>
      <w:lvlJc w:val="left"/>
      <w:pPr>
        <w:ind w:left="354" w:hanging="360"/>
      </w:pPr>
      <w:rPr>
        <w:rFonts w:hint="default"/>
      </w:rPr>
    </w:lvl>
    <w:lvl w:ilvl="1" w:tplc="0C090019" w:tentative="1">
      <w:start w:val="1"/>
      <w:numFmt w:val="lowerLetter"/>
      <w:lvlText w:val="%2."/>
      <w:lvlJc w:val="left"/>
      <w:pPr>
        <w:ind w:left="1434" w:hanging="360"/>
      </w:pPr>
    </w:lvl>
    <w:lvl w:ilvl="2" w:tplc="0C09001B" w:tentative="1">
      <w:start w:val="1"/>
      <w:numFmt w:val="lowerRoman"/>
      <w:lvlText w:val="%3."/>
      <w:lvlJc w:val="right"/>
      <w:pPr>
        <w:ind w:left="2154" w:hanging="180"/>
      </w:pPr>
    </w:lvl>
    <w:lvl w:ilvl="3" w:tplc="0C09000F" w:tentative="1">
      <w:start w:val="1"/>
      <w:numFmt w:val="decimal"/>
      <w:lvlText w:val="%4."/>
      <w:lvlJc w:val="left"/>
      <w:pPr>
        <w:ind w:left="2874" w:hanging="360"/>
      </w:pPr>
    </w:lvl>
    <w:lvl w:ilvl="4" w:tplc="0C090019" w:tentative="1">
      <w:start w:val="1"/>
      <w:numFmt w:val="lowerLetter"/>
      <w:lvlText w:val="%5."/>
      <w:lvlJc w:val="left"/>
      <w:pPr>
        <w:ind w:left="3594" w:hanging="360"/>
      </w:pPr>
    </w:lvl>
    <w:lvl w:ilvl="5" w:tplc="0C09001B" w:tentative="1">
      <w:start w:val="1"/>
      <w:numFmt w:val="lowerRoman"/>
      <w:lvlText w:val="%6."/>
      <w:lvlJc w:val="right"/>
      <w:pPr>
        <w:ind w:left="4314" w:hanging="180"/>
      </w:pPr>
    </w:lvl>
    <w:lvl w:ilvl="6" w:tplc="0C09000F" w:tentative="1">
      <w:start w:val="1"/>
      <w:numFmt w:val="decimal"/>
      <w:lvlText w:val="%7."/>
      <w:lvlJc w:val="left"/>
      <w:pPr>
        <w:ind w:left="5034" w:hanging="360"/>
      </w:pPr>
    </w:lvl>
    <w:lvl w:ilvl="7" w:tplc="0C090019" w:tentative="1">
      <w:start w:val="1"/>
      <w:numFmt w:val="lowerLetter"/>
      <w:lvlText w:val="%8."/>
      <w:lvlJc w:val="left"/>
      <w:pPr>
        <w:ind w:left="5754" w:hanging="360"/>
      </w:pPr>
    </w:lvl>
    <w:lvl w:ilvl="8" w:tplc="0C09001B" w:tentative="1">
      <w:start w:val="1"/>
      <w:numFmt w:val="lowerRoman"/>
      <w:lvlText w:val="%9."/>
      <w:lvlJc w:val="right"/>
      <w:pPr>
        <w:ind w:left="6474" w:hanging="180"/>
      </w:pPr>
    </w:lvl>
  </w:abstractNum>
  <w:abstractNum w:abstractNumId="33">
    <w:nsid w:val="544651AE"/>
    <w:multiLevelType w:val="hybridMultilevel"/>
    <w:tmpl w:val="6DC6B7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56CF1450"/>
    <w:multiLevelType w:val="hybridMultilevel"/>
    <w:tmpl w:val="8EF2509E"/>
    <w:lvl w:ilvl="0" w:tplc="14090001">
      <w:start w:val="1"/>
      <w:numFmt w:val="bullet"/>
      <w:lvlText w:val=""/>
      <w:lvlJc w:val="left"/>
      <w:pPr>
        <w:ind w:left="360" w:hanging="360"/>
      </w:pPr>
      <w:rPr>
        <w:rFonts w:ascii="Symbol" w:hAnsi="Symbol" w:hint="default"/>
      </w:rPr>
    </w:lvl>
    <w:lvl w:ilvl="1" w:tplc="5212E110">
      <w:numFmt w:val="bullet"/>
      <w:lvlText w:val="•"/>
      <w:lvlJc w:val="left"/>
      <w:pPr>
        <w:ind w:left="1080" w:hanging="360"/>
      </w:pPr>
      <w:rPr>
        <w:rFonts w:ascii="Times New Roman" w:eastAsiaTheme="minorHAnsi" w:hAnsi="Times New Roman" w:cs="Times New Roman"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nsid w:val="5D281F84"/>
    <w:multiLevelType w:val="hybridMultilevel"/>
    <w:tmpl w:val="72549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DB07D66"/>
    <w:multiLevelType w:val="hybridMultilevel"/>
    <w:tmpl w:val="47C6DC82"/>
    <w:lvl w:ilvl="0" w:tplc="9D52CC82">
      <w:start w:val="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E6A5A43"/>
    <w:multiLevelType w:val="hybridMultilevel"/>
    <w:tmpl w:val="A3A8E8A4"/>
    <w:lvl w:ilvl="0" w:tplc="B4884C3A">
      <w:start w:val="100"/>
      <w:numFmt w:val="bullet"/>
      <w:lvlText w:val="-"/>
      <w:lvlJc w:val="left"/>
      <w:pPr>
        <w:ind w:left="720" w:hanging="360"/>
      </w:pPr>
      <w:rPr>
        <w:rFonts w:ascii="Times New Roman" w:eastAsia="Times New Roman" w:hAnsi="Times New Roman" w:cs="Times New Roman"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EA53454"/>
    <w:multiLevelType w:val="hybridMultilevel"/>
    <w:tmpl w:val="690EC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2A42C6"/>
    <w:multiLevelType w:val="hybridMultilevel"/>
    <w:tmpl w:val="F5FEB2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nsid w:val="6A737C95"/>
    <w:multiLevelType w:val="hybridMultilevel"/>
    <w:tmpl w:val="70B0ABC0"/>
    <w:lvl w:ilvl="0" w:tplc="37AC4488">
      <w:start w:val="1"/>
      <w:numFmt w:val="bullet"/>
      <w:lvlText w:val="•"/>
      <w:lvlJc w:val="left"/>
      <w:pPr>
        <w:ind w:left="780" w:hanging="360"/>
      </w:pPr>
      <w:rPr>
        <w:rFonts w:ascii="Times New Roman" w:hAnsi="Times New Roman"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1">
    <w:nsid w:val="6C2F12D3"/>
    <w:multiLevelType w:val="hybridMultilevel"/>
    <w:tmpl w:val="9878D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6DA065F7"/>
    <w:multiLevelType w:val="hybridMultilevel"/>
    <w:tmpl w:val="8460DB64"/>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nsid w:val="6F9F7B7C"/>
    <w:multiLevelType w:val="hybridMultilevel"/>
    <w:tmpl w:val="F5FEB2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nsid w:val="737B01DE"/>
    <w:multiLevelType w:val="hybridMultilevel"/>
    <w:tmpl w:val="65E45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nsid w:val="78621565"/>
    <w:multiLevelType w:val="hybridMultilevel"/>
    <w:tmpl w:val="34646E1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nsid w:val="7F3151A5"/>
    <w:multiLevelType w:val="hybridMultilevel"/>
    <w:tmpl w:val="E9E249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5"/>
  </w:num>
  <w:num w:numId="2">
    <w:abstractNumId w:val="17"/>
  </w:num>
  <w:num w:numId="3">
    <w:abstractNumId w:val="28"/>
  </w:num>
  <w:num w:numId="4">
    <w:abstractNumId w:val="12"/>
  </w:num>
  <w:num w:numId="5">
    <w:abstractNumId w:val="4"/>
  </w:num>
  <w:num w:numId="6">
    <w:abstractNumId w:val="37"/>
  </w:num>
  <w:num w:numId="7">
    <w:abstractNumId w:val="35"/>
  </w:num>
  <w:num w:numId="8">
    <w:abstractNumId w:val="36"/>
  </w:num>
  <w:num w:numId="9">
    <w:abstractNumId w:val="26"/>
  </w:num>
  <w:num w:numId="10">
    <w:abstractNumId w:val="18"/>
  </w:num>
  <w:num w:numId="11">
    <w:abstractNumId w:val="29"/>
  </w:num>
  <w:num w:numId="12">
    <w:abstractNumId w:val="14"/>
  </w:num>
  <w:num w:numId="13">
    <w:abstractNumId w:val="15"/>
  </w:num>
  <w:num w:numId="14">
    <w:abstractNumId w:val="40"/>
  </w:num>
  <w:num w:numId="15">
    <w:abstractNumId w:val="6"/>
  </w:num>
  <w:num w:numId="16">
    <w:abstractNumId w:val="43"/>
  </w:num>
  <w:num w:numId="17">
    <w:abstractNumId w:val="24"/>
  </w:num>
  <w:num w:numId="18">
    <w:abstractNumId w:val="45"/>
  </w:num>
  <w:num w:numId="19">
    <w:abstractNumId w:val="9"/>
  </w:num>
  <w:num w:numId="20">
    <w:abstractNumId w:val="13"/>
  </w:num>
  <w:num w:numId="21">
    <w:abstractNumId w:val="31"/>
  </w:num>
  <w:num w:numId="22">
    <w:abstractNumId w:val="42"/>
  </w:num>
  <w:num w:numId="23">
    <w:abstractNumId w:val="1"/>
  </w:num>
  <w:num w:numId="24">
    <w:abstractNumId w:val="38"/>
  </w:num>
  <w:num w:numId="25">
    <w:abstractNumId w:val="0"/>
  </w:num>
  <w:num w:numId="26">
    <w:abstractNumId w:val="32"/>
  </w:num>
  <w:num w:numId="27">
    <w:abstractNumId w:val="2"/>
  </w:num>
  <w:num w:numId="28">
    <w:abstractNumId w:val="39"/>
  </w:num>
  <w:num w:numId="29">
    <w:abstractNumId w:val="20"/>
  </w:num>
  <w:num w:numId="30">
    <w:abstractNumId w:val="33"/>
  </w:num>
  <w:num w:numId="31">
    <w:abstractNumId w:val="27"/>
  </w:num>
  <w:num w:numId="32">
    <w:abstractNumId w:val="44"/>
  </w:num>
  <w:num w:numId="33">
    <w:abstractNumId w:val="22"/>
  </w:num>
  <w:num w:numId="34">
    <w:abstractNumId w:val="3"/>
  </w:num>
  <w:num w:numId="35">
    <w:abstractNumId w:val="34"/>
  </w:num>
  <w:num w:numId="36">
    <w:abstractNumId w:val="5"/>
  </w:num>
  <w:num w:numId="37">
    <w:abstractNumId w:val="8"/>
  </w:num>
  <w:num w:numId="38">
    <w:abstractNumId w:val="16"/>
  </w:num>
  <w:num w:numId="39">
    <w:abstractNumId w:val="10"/>
  </w:num>
  <w:num w:numId="40">
    <w:abstractNumId w:val="46"/>
  </w:num>
  <w:num w:numId="41">
    <w:abstractNumId w:val="19"/>
  </w:num>
  <w:num w:numId="42">
    <w:abstractNumId w:val="21"/>
  </w:num>
  <w:num w:numId="43">
    <w:abstractNumId w:val="30"/>
  </w:num>
  <w:num w:numId="44">
    <w:abstractNumId w:val="11"/>
  </w:num>
  <w:num w:numId="45">
    <w:abstractNumId w:val="23"/>
  </w:num>
  <w:num w:numId="46">
    <w:abstractNumId w:val="41"/>
  </w:num>
  <w:num w:numId="4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offrey Annison">
    <w15:presenceInfo w15:providerId="AD" w15:userId="S-1-5-21-572906214-1953985960-3373375788-1202"/>
  </w15:person>
  <w15:person w15:author="Michele Walton">
    <w15:presenceInfo w15:providerId="AD" w15:userId="S-1-5-21-572906214-1953985960-3373375788-21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E06"/>
    <w:rsid w:val="00002F19"/>
    <w:rsid w:val="00003743"/>
    <w:rsid w:val="00012960"/>
    <w:rsid w:val="00013B1C"/>
    <w:rsid w:val="00016F9B"/>
    <w:rsid w:val="000257F4"/>
    <w:rsid w:val="0002657A"/>
    <w:rsid w:val="00027536"/>
    <w:rsid w:val="00034FDE"/>
    <w:rsid w:val="0004228D"/>
    <w:rsid w:val="00050D50"/>
    <w:rsid w:val="00060117"/>
    <w:rsid w:val="00067456"/>
    <w:rsid w:val="00070536"/>
    <w:rsid w:val="00072AAE"/>
    <w:rsid w:val="00075B1D"/>
    <w:rsid w:val="0008607D"/>
    <w:rsid w:val="000876FC"/>
    <w:rsid w:val="000956E0"/>
    <w:rsid w:val="00096390"/>
    <w:rsid w:val="000B4CB5"/>
    <w:rsid w:val="000B6CFF"/>
    <w:rsid w:val="000C3EF6"/>
    <w:rsid w:val="000C6CFD"/>
    <w:rsid w:val="000D53B1"/>
    <w:rsid w:val="000E1232"/>
    <w:rsid w:val="000F36C6"/>
    <w:rsid w:val="000F4BB6"/>
    <w:rsid w:val="000F61F4"/>
    <w:rsid w:val="000F7129"/>
    <w:rsid w:val="00103B68"/>
    <w:rsid w:val="001118E3"/>
    <w:rsid w:val="00120549"/>
    <w:rsid w:val="00121709"/>
    <w:rsid w:val="00125487"/>
    <w:rsid w:val="001258E3"/>
    <w:rsid w:val="001279D6"/>
    <w:rsid w:val="00131B3D"/>
    <w:rsid w:val="00136B7A"/>
    <w:rsid w:val="0014375A"/>
    <w:rsid w:val="00143C83"/>
    <w:rsid w:val="00144F4D"/>
    <w:rsid w:val="00153E01"/>
    <w:rsid w:val="00160F9B"/>
    <w:rsid w:val="00161B4C"/>
    <w:rsid w:val="00163F28"/>
    <w:rsid w:val="0016542F"/>
    <w:rsid w:val="00171BB7"/>
    <w:rsid w:val="00190677"/>
    <w:rsid w:val="001A1F52"/>
    <w:rsid w:val="001B0676"/>
    <w:rsid w:val="001B3443"/>
    <w:rsid w:val="001B603B"/>
    <w:rsid w:val="001D7B0C"/>
    <w:rsid w:val="001E1CFC"/>
    <w:rsid w:val="001E25F3"/>
    <w:rsid w:val="001F37A1"/>
    <w:rsid w:val="001F43FD"/>
    <w:rsid w:val="001F73B4"/>
    <w:rsid w:val="002027DF"/>
    <w:rsid w:val="00210617"/>
    <w:rsid w:val="00212460"/>
    <w:rsid w:val="00212E08"/>
    <w:rsid w:val="00225B30"/>
    <w:rsid w:val="002434A1"/>
    <w:rsid w:val="00250896"/>
    <w:rsid w:val="00251DA8"/>
    <w:rsid w:val="00253CC9"/>
    <w:rsid w:val="00260EDF"/>
    <w:rsid w:val="00262061"/>
    <w:rsid w:val="002666C4"/>
    <w:rsid w:val="00267ED9"/>
    <w:rsid w:val="00270327"/>
    <w:rsid w:val="002742C3"/>
    <w:rsid w:val="002770F5"/>
    <w:rsid w:val="0027725A"/>
    <w:rsid w:val="00280FD3"/>
    <w:rsid w:val="0029008B"/>
    <w:rsid w:val="00295EDF"/>
    <w:rsid w:val="002A47AB"/>
    <w:rsid w:val="002B0DEB"/>
    <w:rsid w:val="002B3466"/>
    <w:rsid w:val="002B5CD8"/>
    <w:rsid w:val="002B602E"/>
    <w:rsid w:val="002B7D62"/>
    <w:rsid w:val="002C1A16"/>
    <w:rsid w:val="002D001C"/>
    <w:rsid w:val="002D1E48"/>
    <w:rsid w:val="002E08AC"/>
    <w:rsid w:val="002E17E4"/>
    <w:rsid w:val="002E1FEF"/>
    <w:rsid w:val="002F3AE3"/>
    <w:rsid w:val="003018B0"/>
    <w:rsid w:val="003022BF"/>
    <w:rsid w:val="00302774"/>
    <w:rsid w:val="00306AA3"/>
    <w:rsid w:val="0030786C"/>
    <w:rsid w:val="003158B7"/>
    <w:rsid w:val="00322279"/>
    <w:rsid w:val="00323448"/>
    <w:rsid w:val="00337C77"/>
    <w:rsid w:val="00343E30"/>
    <w:rsid w:val="00347B5B"/>
    <w:rsid w:val="00351A8E"/>
    <w:rsid w:val="0036011F"/>
    <w:rsid w:val="0036725E"/>
    <w:rsid w:val="003673C6"/>
    <w:rsid w:val="00370064"/>
    <w:rsid w:val="00370759"/>
    <w:rsid w:val="0037357A"/>
    <w:rsid w:val="003810CD"/>
    <w:rsid w:val="0038298F"/>
    <w:rsid w:val="00383F38"/>
    <w:rsid w:val="0039289A"/>
    <w:rsid w:val="0039327E"/>
    <w:rsid w:val="00394CEF"/>
    <w:rsid w:val="003A543F"/>
    <w:rsid w:val="003C180D"/>
    <w:rsid w:val="003C213E"/>
    <w:rsid w:val="003C608D"/>
    <w:rsid w:val="003C7A24"/>
    <w:rsid w:val="003D0F4C"/>
    <w:rsid w:val="003D17F9"/>
    <w:rsid w:val="003E0585"/>
    <w:rsid w:val="003E3D2A"/>
    <w:rsid w:val="003E5D69"/>
    <w:rsid w:val="003F5609"/>
    <w:rsid w:val="003F6055"/>
    <w:rsid w:val="003F6207"/>
    <w:rsid w:val="003F6E8D"/>
    <w:rsid w:val="004157F1"/>
    <w:rsid w:val="00416B46"/>
    <w:rsid w:val="00426447"/>
    <w:rsid w:val="00435095"/>
    <w:rsid w:val="0045326B"/>
    <w:rsid w:val="00460803"/>
    <w:rsid w:val="00470403"/>
    <w:rsid w:val="004774C8"/>
    <w:rsid w:val="00477DA4"/>
    <w:rsid w:val="004867E2"/>
    <w:rsid w:val="00495B58"/>
    <w:rsid w:val="004A0971"/>
    <w:rsid w:val="004B034C"/>
    <w:rsid w:val="004B2985"/>
    <w:rsid w:val="004B46B2"/>
    <w:rsid w:val="004C432F"/>
    <w:rsid w:val="004D2963"/>
    <w:rsid w:val="004D778A"/>
    <w:rsid w:val="004E5D5E"/>
    <w:rsid w:val="004F1A28"/>
    <w:rsid w:val="00504E61"/>
    <w:rsid w:val="00516CF5"/>
    <w:rsid w:val="00522670"/>
    <w:rsid w:val="00545B1E"/>
    <w:rsid w:val="00547C30"/>
    <w:rsid w:val="00556923"/>
    <w:rsid w:val="00563878"/>
    <w:rsid w:val="0057378B"/>
    <w:rsid w:val="00587F0B"/>
    <w:rsid w:val="005938E2"/>
    <w:rsid w:val="005A2980"/>
    <w:rsid w:val="005A4C45"/>
    <w:rsid w:val="005B11D4"/>
    <w:rsid w:val="005B1A43"/>
    <w:rsid w:val="005B7630"/>
    <w:rsid w:val="005C55D5"/>
    <w:rsid w:val="005C5E67"/>
    <w:rsid w:val="005D5FA0"/>
    <w:rsid w:val="005F67C7"/>
    <w:rsid w:val="00601592"/>
    <w:rsid w:val="00602F82"/>
    <w:rsid w:val="006105CA"/>
    <w:rsid w:val="00615CB3"/>
    <w:rsid w:val="00641D24"/>
    <w:rsid w:val="00641EFB"/>
    <w:rsid w:val="00645846"/>
    <w:rsid w:val="006557AB"/>
    <w:rsid w:val="006560EB"/>
    <w:rsid w:val="00675363"/>
    <w:rsid w:val="006844AE"/>
    <w:rsid w:val="00695557"/>
    <w:rsid w:val="00696BBD"/>
    <w:rsid w:val="006A1DEC"/>
    <w:rsid w:val="006B02FF"/>
    <w:rsid w:val="006B5C1D"/>
    <w:rsid w:val="006C5006"/>
    <w:rsid w:val="006D48BB"/>
    <w:rsid w:val="006E3848"/>
    <w:rsid w:val="006E433F"/>
    <w:rsid w:val="006E79C1"/>
    <w:rsid w:val="006F2386"/>
    <w:rsid w:val="00700ED2"/>
    <w:rsid w:val="007024DC"/>
    <w:rsid w:val="007052C6"/>
    <w:rsid w:val="0071149F"/>
    <w:rsid w:val="00713202"/>
    <w:rsid w:val="00714596"/>
    <w:rsid w:val="00730C10"/>
    <w:rsid w:val="00732274"/>
    <w:rsid w:val="00744D49"/>
    <w:rsid w:val="007471B6"/>
    <w:rsid w:val="00754F7C"/>
    <w:rsid w:val="007700FD"/>
    <w:rsid w:val="00774293"/>
    <w:rsid w:val="00787D5D"/>
    <w:rsid w:val="00796258"/>
    <w:rsid w:val="007A0D8D"/>
    <w:rsid w:val="007A4898"/>
    <w:rsid w:val="007A7912"/>
    <w:rsid w:val="007B3626"/>
    <w:rsid w:val="007B5636"/>
    <w:rsid w:val="007C00C5"/>
    <w:rsid w:val="007C7D67"/>
    <w:rsid w:val="007D695A"/>
    <w:rsid w:val="007E360E"/>
    <w:rsid w:val="007E6948"/>
    <w:rsid w:val="007F1FBE"/>
    <w:rsid w:val="007F4AC5"/>
    <w:rsid w:val="007F5F65"/>
    <w:rsid w:val="00806EC4"/>
    <w:rsid w:val="00820B82"/>
    <w:rsid w:val="0082336B"/>
    <w:rsid w:val="008264EB"/>
    <w:rsid w:val="00834796"/>
    <w:rsid w:val="0083538B"/>
    <w:rsid w:val="0084548A"/>
    <w:rsid w:val="0086265A"/>
    <w:rsid w:val="00864DF5"/>
    <w:rsid w:val="008715A5"/>
    <w:rsid w:val="00877989"/>
    <w:rsid w:val="0088082F"/>
    <w:rsid w:val="00880F53"/>
    <w:rsid w:val="00882571"/>
    <w:rsid w:val="00883602"/>
    <w:rsid w:val="0088600A"/>
    <w:rsid w:val="0088755C"/>
    <w:rsid w:val="008926FD"/>
    <w:rsid w:val="008928C4"/>
    <w:rsid w:val="008935ED"/>
    <w:rsid w:val="008B123F"/>
    <w:rsid w:val="008B1569"/>
    <w:rsid w:val="008C4347"/>
    <w:rsid w:val="008C5444"/>
    <w:rsid w:val="008C66A7"/>
    <w:rsid w:val="008C6728"/>
    <w:rsid w:val="008D2FE2"/>
    <w:rsid w:val="008D4813"/>
    <w:rsid w:val="008D6F75"/>
    <w:rsid w:val="008D7FCD"/>
    <w:rsid w:val="008E11EF"/>
    <w:rsid w:val="008F1411"/>
    <w:rsid w:val="008F1AC4"/>
    <w:rsid w:val="008F68EA"/>
    <w:rsid w:val="009010CE"/>
    <w:rsid w:val="009115B9"/>
    <w:rsid w:val="0092183D"/>
    <w:rsid w:val="0092328A"/>
    <w:rsid w:val="00932F96"/>
    <w:rsid w:val="009377BA"/>
    <w:rsid w:val="009430F7"/>
    <w:rsid w:val="0094404F"/>
    <w:rsid w:val="009453EA"/>
    <w:rsid w:val="00947513"/>
    <w:rsid w:val="00951D02"/>
    <w:rsid w:val="00962657"/>
    <w:rsid w:val="00967148"/>
    <w:rsid w:val="00967BD4"/>
    <w:rsid w:val="0098018E"/>
    <w:rsid w:val="00983F6E"/>
    <w:rsid w:val="0098757E"/>
    <w:rsid w:val="00990E66"/>
    <w:rsid w:val="009970E0"/>
    <w:rsid w:val="009A0AC2"/>
    <w:rsid w:val="009A474D"/>
    <w:rsid w:val="009A51B3"/>
    <w:rsid w:val="009A5D87"/>
    <w:rsid w:val="009C026D"/>
    <w:rsid w:val="009C4337"/>
    <w:rsid w:val="009C53F2"/>
    <w:rsid w:val="009C5519"/>
    <w:rsid w:val="009D47D3"/>
    <w:rsid w:val="009D56DD"/>
    <w:rsid w:val="009E1CD9"/>
    <w:rsid w:val="009E2C45"/>
    <w:rsid w:val="009E5CAC"/>
    <w:rsid w:val="009F2889"/>
    <w:rsid w:val="00A0097C"/>
    <w:rsid w:val="00A07C80"/>
    <w:rsid w:val="00A13B37"/>
    <w:rsid w:val="00A13C7E"/>
    <w:rsid w:val="00A177F3"/>
    <w:rsid w:val="00A24291"/>
    <w:rsid w:val="00A25634"/>
    <w:rsid w:val="00A32FF6"/>
    <w:rsid w:val="00A35CD5"/>
    <w:rsid w:val="00A42641"/>
    <w:rsid w:val="00A44751"/>
    <w:rsid w:val="00A44B25"/>
    <w:rsid w:val="00A4512D"/>
    <w:rsid w:val="00A6498A"/>
    <w:rsid w:val="00A651B9"/>
    <w:rsid w:val="00A65F7B"/>
    <w:rsid w:val="00A705AF"/>
    <w:rsid w:val="00A77B97"/>
    <w:rsid w:val="00A83FB9"/>
    <w:rsid w:val="00AA1B1A"/>
    <w:rsid w:val="00AA4058"/>
    <w:rsid w:val="00AA7036"/>
    <w:rsid w:val="00AB3ED0"/>
    <w:rsid w:val="00AB57F3"/>
    <w:rsid w:val="00AB6098"/>
    <w:rsid w:val="00AC44AB"/>
    <w:rsid w:val="00AD2404"/>
    <w:rsid w:val="00AE0531"/>
    <w:rsid w:val="00AE7407"/>
    <w:rsid w:val="00AF1114"/>
    <w:rsid w:val="00AF15AF"/>
    <w:rsid w:val="00AF1DB5"/>
    <w:rsid w:val="00B0768E"/>
    <w:rsid w:val="00B17ADB"/>
    <w:rsid w:val="00B21A87"/>
    <w:rsid w:val="00B42851"/>
    <w:rsid w:val="00B63770"/>
    <w:rsid w:val="00B65D4C"/>
    <w:rsid w:val="00B66088"/>
    <w:rsid w:val="00B75476"/>
    <w:rsid w:val="00B75812"/>
    <w:rsid w:val="00B761B3"/>
    <w:rsid w:val="00B85CE0"/>
    <w:rsid w:val="00B86C1F"/>
    <w:rsid w:val="00B9556B"/>
    <w:rsid w:val="00B97063"/>
    <w:rsid w:val="00BA3A3E"/>
    <w:rsid w:val="00BA46AA"/>
    <w:rsid w:val="00BA577D"/>
    <w:rsid w:val="00BB2005"/>
    <w:rsid w:val="00BB2774"/>
    <w:rsid w:val="00BC1A52"/>
    <w:rsid w:val="00BC3A1C"/>
    <w:rsid w:val="00BC5710"/>
    <w:rsid w:val="00BD0D89"/>
    <w:rsid w:val="00BD1ADF"/>
    <w:rsid w:val="00BD335D"/>
    <w:rsid w:val="00BD72AF"/>
    <w:rsid w:val="00BE4DF3"/>
    <w:rsid w:val="00BE5EC0"/>
    <w:rsid w:val="00BE7D76"/>
    <w:rsid w:val="00C0781E"/>
    <w:rsid w:val="00C17831"/>
    <w:rsid w:val="00C21334"/>
    <w:rsid w:val="00C24D8A"/>
    <w:rsid w:val="00C2525C"/>
    <w:rsid w:val="00C4054A"/>
    <w:rsid w:val="00C42FFE"/>
    <w:rsid w:val="00C436BC"/>
    <w:rsid w:val="00C51F33"/>
    <w:rsid w:val="00C61387"/>
    <w:rsid w:val="00C6633C"/>
    <w:rsid w:val="00C704EE"/>
    <w:rsid w:val="00C70DBB"/>
    <w:rsid w:val="00C74D66"/>
    <w:rsid w:val="00C75EBE"/>
    <w:rsid w:val="00C87A2B"/>
    <w:rsid w:val="00C9582B"/>
    <w:rsid w:val="00CB1D5E"/>
    <w:rsid w:val="00CB3D6E"/>
    <w:rsid w:val="00CB5B1A"/>
    <w:rsid w:val="00CB5FE4"/>
    <w:rsid w:val="00CC1986"/>
    <w:rsid w:val="00CC212E"/>
    <w:rsid w:val="00CC61F5"/>
    <w:rsid w:val="00CD20BD"/>
    <w:rsid w:val="00CF191A"/>
    <w:rsid w:val="00CF1FA7"/>
    <w:rsid w:val="00D018D5"/>
    <w:rsid w:val="00D10740"/>
    <w:rsid w:val="00D142CF"/>
    <w:rsid w:val="00D16751"/>
    <w:rsid w:val="00D2747F"/>
    <w:rsid w:val="00D4215B"/>
    <w:rsid w:val="00D45927"/>
    <w:rsid w:val="00D45D51"/>
    <w:rsid w:val="00D5240D"/>
    <w:rsid w:val="00D55A02"/>
    <w:rsid w:val="00D704C4"/>
    <w:rsid w:val="00D746DF"/>
    <w:rsid w:val="00D76EBE"/>
    <w:rsid w:val="00D8197A"/>
    <w:rsid w:val="00D82848"/>
    <w:rsid w:val="00D83DFB"/>
    <w:rsid w:val="00D90CE8"/>
    <w:rsid w:val="00D91010"/>
    <w:rsid w:val="00D9516E"/>
    <w:rsid w:val="00DB6AB8"/>
    <w:rsid w:val="00DC4CA4"/>
    <w:rsid w:val="00DC636F"/>
    <w:rsid w:val="00DD3AD5"/>
    <w:rsid w:val="00DD457D"/>
    <w:rsid w:val="00DD4C06"/>
    <w:rsid w:val="00DE3298"/>
    <w:rsid w:val="00DE66DF"/>
    <w:rsid w:val="00E005B7"/>
    <w:rsid w:val="00E17156"/>
    <w:rsid w:val="00E23B6B"/>
    <w:rsid w:val="00E240A4"/>
    <w:rsid w:val="00E30125"/>
    <w:rsid w:val="00E40A96"/>
    <w:rsid w:val="00E424EF"/>
    <w:rsid w:val="00E448B8"/>
    <w:rsid w:val="00E4712F"/>
    <w:rsid w:val="00E5043D"/>
    <w:rsid w:val="00E67FB3"/>
    <w:rsid w:val="00E71747"/>
    <w:rsid w:val="00E736CB"/>
    <w:rsid w:val="00E73D55"/>
    <w:rsid w:val="00E75E8E"/>
    <w:rsid w:val="00E81AF7"/>
    <w:rsid w:val="00E84525"/>
    <w:rsid w:val="00E8552D"/>
    <w:rsid w:val="00E8792E"/>
    <w:rsid w:val="00E93CD1"/>
    <w:rsid w:val="00EA28AD"/>
    <w:rsid w:val="00EB4603"/>
    <w:rsid w:val="00ED1422"/>
    <w:rsid w:val="00ED43F2"/>
    <w:rsid w:val="00EE3397"/>
    <w:rsid w:val="00EE74F1"/>
    <w:rsid w:val="00EF3CDB"/>
    <w:rsid w:val="00F07988"/>
    <w:rsid w:val="00F116E1"/>
    <w:rsid w:val="00F166E7"/>
    <w:rsid w:val="00F27E8A"/>
    <w:rsid w:val="00F30159"/>
    <w:rsid w:val="00F32839"/>
    <w:rsid w:val="00F37B24"/>
    <w:rsid w:val="00F40EDF"/>
    <w:rsid w:val="00F476A3"/>
    <w:rsid w:val="00F53383"/>
    <w:rsid w:val="00F57571"/>
    <w:rsid w:val="00F63D13"/>
    <w:rsid w:val="00F655A3"/>
    <w:rsid w:val="00F90323"/>
    <w:rsid w:val="00F92853"/>
    <w:rsid w:val="00F937BD"/>
    <w:rsid w:val="00F94284"/>
    <w:rsid w:val="00FA09A9"/>
    <w:rsid w:val="00FA1451"/>
    <w:rsid w:val="00FA4788"/>
    <w:rsid w:val="00FC40D0"/>
    <w:rsid w:val="00FD2EE7"/>
    <w:rsid w:val="00FD39EB"/>
    <w:rsid w:val="00FD6A2A"/>
    <w:rsid w:val="00FE3E06"/>
    <w:rsid w:val="00FE52FF"/>
    <w:rsid w:val="00FF0C52"/>
    <w:rsid w:val="00FF26F5"/>
    <w:rsid w:val="00FF3C7C"/>
    <w:rsid w:val="00FF5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7E73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Heading6"/>
    <w:next w:val="Normal"/>
    <w:qFormat/>
    <w:rsid w:val="00B0768E"/>
    <w:pPr>
      <w:spacing w:before="0" w:after="240"/>
      <w:outlineLvl w:val="1"/>
    </w:p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B0768E"/>
    <w:pPr>
      <w:spacing w:after="120"/>
      <w:jc w:val="center"/>
    </w:pPr>
    <w:rPr>
      <w:rFonts w:ascii="Arial" w:hAnsi="Arial" w:cs="Arial"/>
      <w:b/>
      <w:sz w:val="28"/>
      <w:szCs w:val="28"/>
    </w:rPr>
  </w:style>
  <w:style w:type="character" w:customStyle="1" w:styleId="TitleChar">
    <w:name w:val="Title Char"/>
    <w:basedOn w:val="DefaultParagraphFont"/>
    <w:link w:val="Title"/>
    <w:rsid w:val="00B0768E"/>
    <w:rPr>
      <w:rFonts w:ascii="Arial" w:hAnsi="Arial" w:cs="Arial"/>
      <w:b/>
      <w:sz w:val="28"/>
      <w:szCs w:val="28"/>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A4512D"/>
    <w:pPr>
      <w:ind w:left="720"/>
      <w:contextualSpacing/>
    </w:pPr>
  </w:style>
  <w:style w:type="character" w:styleId="CommentReference">
    <w:name w:val="annotation reference"/>
    <w:uiPriority w:val="99"/>
    <w:rsid w:val="006557AB"/>
    <w:rPr>
      <w:rFonts w:cs="Times New Roman"/>
      <w:sz w:val="16"/>
      <w:szCs w:val="16"/>
    </w:rPr>
  </w:style>
  <w:style w:type="paragraph" w:styleId="CommentText">
    <w:name w:val="annotation text"/>
    <w:basedOn w:val="Normal"/>
    <w:link w:val="CommentTextChar"/>
    <w:uiPriority w:val="99"/>
    <w:rsid w:val="006557AB"/>
    <w:pPr>
      <w:spacing w:before="120" w:after="120"/>
    </w:pPr>
    <w:rPr>
      <w:sz w:val="20"/>
      <w:szCs w:val="20"/>
      <w:lang w:eastAsia="en-AU"/>
    </w:rPr>
  </w:style>
  <w:style w:type="character" w:customStyle="1" w:styleId="CommentTextChar">
    <w:name w:val="Comment Text Char"/>
    <w:basedOn w:val="DefaultParagraphFont"/>
    <w:link w:val="CommentText"/>
    <w:uiPriority w:val="99"/>
    <w:rsid w:val="006557AB"/>
  </w:style>
  <w:style w:type="paragraph" w:customStyle="1" w:styleId="FRSCBullet">
    <w:name w:val="FRSC Bullet"/>
    <w:basedOn w:val="Normal"/>
    <w:uiPriority w:val="99"/>
    <w:rsid w:val="006557AB"/>
    <w:pPr>
      <w:tabs>
        <w:tab w:val="num" w:pos="426"/>
      </w:tabs>
      <w:spacing w:after="120"/>
      <w:ind w:left="426" w:hanging="426"/>
    </w:pPr>
    <w:rPr>
      <w:lang w:eastAsia="en-AU"/>
    </w:rPr>
  </w:style>
  <w:style w:type="paragraph" w:styleId="BalloonText">
    <w:name w:val="Balloon Text"/>
    <w:basedOn w:val="Normal"/>
    <w:link w:val="BalloonTextChar"/>
    <w:rsid w:val="006557AB"/>
    <w:rPr>
      <w:rFonts w:ascii="Tahoma" w:hAnsi="Tahoma" w:cs="Tahoma"/>
      <w:sz w:val="16"/>
      <w:szCs w:val="16"/>
    </w:rPr>
  </w:style>
  <w:style w:type="character" w:customStyle="1" w:styleId="BalloonTextChar">
    <w:name w:val="Balloon Text Char"/>
    <w:basedOn w:val="DefaultParagraphFont"/>
    <w:link w:val="BalloonText"/>
    <w:rsid w:val="006557AB"/>
    <w:rPr>
      <w:rFonts w:ascii="Tahoma" w:hAnsi="Tahoma" w:cs="Tahoma"/>
      <w:sz w:val="16"/>
      <w:szCs w:val="16"/>
      <w:lang w:eastAsia="en-US"/>
    </w:rPr>
  </w:style>
  <w:style w:type="character" w:styleId="Hyperlink">
    <w:name w:val="Hyperlink"/>
    <w:basedOn w:val="DefaultParagraphFont"/>
    <w:uiPriority w:val="99"/>
    <w:unhideWhenUsed/>
    <w:rsid w:val="006557AB"/>
    <w:rPr>
      <w:color w:val="0000FF"/>
      <w:u w:val="single"/>
    </w:rPr>
  </w:style>
  <w:style w:type="paragraph" w:styleId="CommentSubject">
    <w:name w:val="annotation subject"/>
    <w:basedOn w:val="CommentText"/>
    <w:next w:val="CommentText"/>
    <w:link w:val="CommentSubjectChar"/>
    <w:rsid w:val="0004228D"/>
    <w:pPr>
      <w:spacing w:before="0" w:after="0"/>
    </w:pPr>
    <w:rPr>
      <w:b/>
      <w:bCs/>
      <w:lang w:eastAsia="en-US"/>
    </w:rPr>
  </w:style>
  <w:style w:type="character" w:customStyle="1" w:styleId="CommentSubjectChar">
    <w:name w:val="Comment Subject Char"/>
    <w:basedOn w:val="CommentTextChar"/>
    <w:link w:val="CommentSubject"/>
    <w:rsid w:val="0004228D"/>
    <w:rPr>
      <w:b/>
      <w:bCs/>
      <w:lang w:eastAsia="en-US"/>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link w:val="ListParagraph"/>
    <w:uiPriority w:val="34"/>
    <w:qFormat/>
    <w:locked/>
    <w:rsid w:val="0004228D"/>
    <w:rPr>
      <w:sz w:val="24"/>
      <w:szCs w:val="24"/>
      <w:lang w:eastAsia="en-US"/>
    </w:rPr>
  </w:style>
  <w:style w:type="character" w:styleId="FootnoteReference">
    <w:name w:val="footnote reference"/>
    <w:basedOn w:val="DefaultParagraphFont"/>
    <w:uiPriority w:val="99"/>
    <w:unhideWhenUsed/>
    <w:rsid w:val="0004228D"/>
    <w:rPr>
      <w:vertAlign w:val="superscript"/>
    </w:rPr>
  </w:style>
  <w:style w:type="paragraph" w:styleId="FootnoteText">
    <w:name w:val="footnote text"/>
    <w:aliases w:val="Footnotes Text,FSFootnotes Text"/>
    <w:basedOn w:val="Normal"/>
    <w:link w:val="FootnoteTextChar"/>
    <w:uiPriority w:val="99"/>
    <w:unhideWhenUsed/>
    <w:qFormat/>
    <w:rsid w:val="0004228D"/>
    <w:rPr>
      <w:sz w:val="20"/>
      <w:szCs w:val="20"/>
    </w:rPr>
  </w:style>
  <w:style w:type="character" w:customStyle="1" w:styleId="FootnoteTextChar">
    <w:name w:val="Footnote Text Char"/>
    <w:aliases w:val="Footnotes Text Char,FSFootnotes Text Char"/>
    <w:basedOn w:val="DefaultParagraphFont"/>
    <w:link w:val="FootnoteText"/>
    <w:uiPriority w:val="99"/>
    <w:rsid w:val="0004228D"/>
    <w:rPr>
      <w:lang w:eastAsia="en-US"/>
    </w:rPr>
  </w:style>
  <w:style w:type="table" w:styleId="TableGrid">
    <w:name w:val="Table Grid"/>
    <w:basedOn w:val="TableNormal"/>
    <w:uiPriority w:val="39"/>
    <w:rsid w:val="00D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AB6098"/>
    <w:rPr>
      <w:sz w:val="20"/>
      <w:szCs w:val="20"/>
    </w:rPr>
  </w:style>
  <w:style w:type="character" w:customStyle="1" w:styleId="EndnoteTextChar">
    <w:name w:val="Endnote Text Char"/>
    <w:basedOn w:val="DefaultParagraphFont"/>
    <w:link w:val="EndnoteText"/>
    <w:rsid w:val="00AB6098"/>
    <w:rPr>
      <w:lang w:eastAsia="en-US"/>
    </w:rPr>
  </w:style>
  <w:style w:type="character" w:styleId="EndnoteReference">
    <w:name w:val="endnote reference"/>
    <w:basedOn w:val="DefaultParagraphFont"/>
    <w:semiHidden/>
    <w:unhideWhenUsed/>
    <w:rsid w:val="00AB6098"/>
    <w:rPr>
      <w:vertAlign w:val="superscript"/>
    </w:rPr>
  </w:style>
  <w:style w:type="paragraph" w:customStyle="1" w:styleId="fsch5section">
    <w:name w:val="fsch5section"/>
    <w:basedOn w:val="Normal"/>
    <w:rsid w:val="00AB6098"/>
    <w:pPr>
      <w:spacing w:before="100" w:beforeAutospacing="1" w:after="100" w:afterAutospacing="1"/>
    </w:pPr>
    <w:rPr>
      <w:lang w:eastAsia="en-AU"/>
    </w:rPr>
  </w:style>
  <w:style w:type="paragraph" w:customStyle="1" w:styleId="fsctmain">
    <w:name w:val="fsctmain"/>
    <w:basedOn w:val="Normal"/>
    <w:rsid w:val="00AB6098"/>
    <w:pPr>
      <w:spacing w:before="100" w:beforeAutospacing="1" w:after="100" w:afterAutospacing="1"/>
    </w:pPr>
    <w:rPr>
      <w:lang w:eastAsia="en-AU"/>
    </w:rPr>
  </w:style>
  <w:style w:type="paragraph" w:customStyle="1" w:styleId="fsctpara">
    <w:name w:val="fsctpara"/>
    <w:basedOn w:val="Normal"/>
    <w:rsid w:val="00AB6098"/>
    <w:pPr>
      <w:spacing w:before="100" w:beforeAutospacing="1" w:after="100" w:afterAutospacing="1"/>
    </w:pPr>
    <w:rPr>
      <w:lang w:eastAsia="en-AU"/>
    </w:rPr>
  </w:style>
  <w:style w:type="paragraph" w:customStyle="1" w:styleId="Default">
    <w:name w:val="Default"/>
    <w:rsid w:val="009A5D87"/>
    <w:pPr>
      <w:autoSpaceDE w:val="0"/>
      <w:autoSpaceDN w:val="0"/>
      <w:adjustRightInd w:val="0"/>
    </w:pPr>
    <w:rPr>
      <w:color w:val="000000"/>
      <w:sz w:val="24"/>
      <w:szCs w:val="24"/>
      <w:lang w:val="en-US" w:eastAsia="en-US"/>
    </w:rPr>
  </w:style>
  <w:style w:type="table" w:customStyle="1" w:styleId="GridTable1Light-Accent12">
    <w:name w:val="Grid Table 1 Light - Accent 12"/>
    <w:basedOn w:val="TableNormal"/>
    <w:uiPriority w:val="46"/>
    <w:rsid w:val="009A5D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250896"/>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250896"/>
    <w:pPr>
      <w:spacing w:after="100"/>
    </w:pPr>
  </w:style>
  <w:style w:type="paragraph" w:styleId="TOC2">
    <w:name w:val="toc 2"/>
    <w:basedOn w:val="Normal"/>
    <w:next w:val="Normal"/>
    <w:autoRedefine/>
    <w:uiPriority w:val="39"/>
    <w:unhideWhenUsed/>
    <w:rsid w:val="00250896"/>
    <w:pPr>
      <w:spacing w:after="100"/>
      <w:ind w:left="240"/>
    </w:pPr>
  </w:style>
  <w:style w:type="paragraph" w:styleId="Header">
    <w:name w:val="header"/>
    <w:basedOn w:val="Normal"/>
    <w:link w:val="HeaderChar"/>
    <w:unhideWhenUsed/>
    <w:rsid w:val="00504E61"/>
    <w:pPr>
      <w:tabs>
        <w:tab w:val="center" w:pos="4513"/>
        <w:tab w:val="right" w:pos="9026"/>
      </w:tabs>
    </w:pPr>
  </w:style>
  <w:style w:type="character" w:customStyle="1" w:styleId="HeaderChar">
    <w:name w:val="Header Char"/>
    <w:basedOn w:val="DefaultParagraphFont"/>
    <w:link w:val="Header"/>
    <w:rsid w:val="00504E61"/>
    <w:rPr>
      <w:sz w:val="24"/>
      <w:szCs w:val="24"/>
      <w:lang w:eastAsia="en-US"/>
    </w:rPr>
  </w:style>
  <w:style w:type="paragraph" w:styleId="Footer">
    <w:name w:val="footer"/>
    <w:basedOn w:val="Normal"/>
    <w:link w:val="FooterChar"/>
    <w:uiPriority w:val="99"/>
    <w:unhideWhenUsed/>
    <w:rsid w:val="00504E61"/>
    <w:pPr>
      <w:tabs>
        <w:tab w:val="center" w:pos="4513"/>
        <w:tab w:val="right" w:pos="9026"/>
      </w:tabs>
    </w:pPr>
  </w:style>
  <w:style w:type="character" w:customStyle="1" w:styleId="FooterChar">
    <w:name w:val="Footer Char"/>
    <w:basedOn w:val="DefaultParagraphFont"/>
    <w:link w:val="Footer"/>
    <w:uiPriority w:val="99"/>
    <w:rsid w:val="00504E61"/>
    <w:rPr>
      <w:sz w:val="24"/>
      <w:szCs w:val="24"/>
      <w:lang w:eastAsia="en-US"/>
    </w:rPr>
  </w:style>
  <w:style w:type="table" w:customStyle="1" w:styleId="GridTable1Light-Accent11">
    <w:name w:val="Grid Table 1 Light - Accent 11"/>
    <w:basedOn w:val="TableNormal"/>
    <w:uiPriority w:val="46"/>
    <w:rsid w:val="003F560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2D1E48"/>
    <w:rPr>
      <w:color w:val="800080" w:themeColor="followedHyperlink"/>
      <w:u w:val="single"/>
    </w:rPr>
  </w:style>
  <w:style w:type="paragraph" w:styleId="NormalWeb">
    <w:name w:val="Normal (Web)"/>
    <w:basedOn w:val="Normal"/>
    <w:uiPriority w:val="99"/>
    <w:semiHidden/>
    <w:unhideWhenUsed/>
    <w:rsid w:val="00645846"/>
    <w:pPr>
      <w:spacing w:before="100" w:beforeAutospacing="1" w:after="100" w:afterAutospacing="1"/>
    </w:pPr>
    <w:rPr>
      <w:rFonts w:eastAsiaTheme="minorEastAsia"/>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Heading6"/>
    <w:next w:val="Normal"/>
    <w:qFormat/>
    <w:rsid w:val="00B0768E"/>
    <w:pPr>
      <w:spacing w:before="0" w:after="240"/>
      <w:outlineLvl w:val="1"/>
    </w:p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B0768E"/>
    <w:pPr>
      <w:spacing w:after="120"/>
      <w:jc w:val="center"/>
    </w:pPr>
    <w:rPr>
      <w:rFonts w:ascii="Arial" w:hAnsi="Arial" w:cs="Arial"/>
      <w:b/>
      <w:sz w:val="28"/>
      <w:szCs w:val="28"/>
    </w:rPr>
  </w:style>
  <w:style w:type="character" w:customStyle="1" w:styleId="TitleChar">
    <w:name w:val="Title Char"/>
    <w:basedOn w:val="DefaultParagraphFont"/>
    <w:link w:val="Title"/>
    <w:rsid w:val="00B0768E"/>
    <w:rPr>
      <w:rFonts w:ascii="Arial" w:hAnsi="Arial" w:cs="Arial"/>
      <w:b/>
      <w:sz w:val="28"/>
      <w:szCs w:val="28"/>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A4512D"/>
    <w:pPr>
      <w:ind w:left="720"/>
      <w:contextualSpacing/>
    </w:pPr>
  </w:style>
  <w:style w:type="character" w:styleId="CommentReference">
    <w:name w:val="annotation reference"/>
    <w:uiPriority w:val="99"/>
    <w:rsid w:val="006557AB"/>
    <w:rPr>
      <w:rFonts w:cs="Times New Roman"/>
      <w:sz w:val="16"/>
      <w:szCs w:val="16"/>
    </w:rPr>
  </w:style>
  <w:style w:type="paragraph" w:styleId="CommentText">
    <w:name w:val="annotation text"/>
    <w:basedOn w:val="Normal"/>
    <w:link w:val="CommentTextChar"/>
    <w:uiPriority w:val="99"/>
    <w:rsid w:val="006557AB"/>
    <w:pPr>
      <w:spacing w:before="120" w:after="120"/>
    </w:pPr>
    <w:rPr>
      <w:sz w:val="20"/>
      <w:szCs w:val="20"/>
      <w:lang w:eastAsia="en-AU"/>
    </w:rPr>
  </w:style>
  <w:style w:type="character" w:customStyle="1" w:styleId="CommentTextChar">
    <w:name w:val="Comment Text Char"/>
    <w:basedOn w:val="DefaultParagraphFont"/>
    <w:link w:val="CommentText"/>
    <w:uiPriority w:val="99"/>
    <w:rsid w:val="006557AB"/>
  </w:style>
  <w:style w:type="paragraph" w:customStyle="1" w:styleId="FRSCBullet">
    <w:name w:val="FRSC Bullet"/>
    <w:basedOn w:val="Normal"/>
    <w:uiPriority w:val="99"/>
    <w:rsid w:val="006557AB"/>
    <w:pPr>
      <w:tabs>
        <w:tab w:val="num" w:pos="426"/>
      </w:tabs>
      <w:spacing w:after="120"/>
      <w:ind w:left="426" w:hanging="426"/>
    </w:pPr>
    <w:rPr>
      <w:lang w:eastAsia="en-AU"/>
    </w:rPr>
  </w:style>
  <w:style w:type="paragraph" w:styleId="BalloonText">
    <w:name w:val="Balloon Text"/>
    <w:basedOn w:val="Normal"/>
    <w:link w:val="BalloonTextChar"/>
    <w:rsid w:val="006557AB"/>
    <w:rPr>
      <w:rFonts w:ascii="Tahoma" w:hAnsi="Tahoma" w:cs="Tahoma"/>
      <w:sz w:val="16"/>
      <w:szCs w:val="16"/>
    </w:rPr>
  </w:style>
  <w:style w:type="character" w:customStyle="1" w:styleId="BalloonTextChar">
    <w:name w:val="Balloon Text Char"/>
    <w:basedOn w:val="DefaultParagraphFont"/>
    <w:link w:val="BalloonText"/>
    <w:rsid w:val="006557AB"/>
    <w:rPr>
      <w:rFonts w:ascii="Tahoma" w:hAnsi="Tahoma" w:cs="Tahoma"/>
      <w:sz w:val="16"/>
      <w:szCs w:val="16"/>
      <w:lang w:eastAsia="en-US"/>
    </w:rPr>
  </w:style>
  <w:style w:type="character" w:styleId="Hyperlink">
    <w:name w:val="Hyperlink"/>
    <w:basedOn w:val="DefaultParagraphFont"/>
    <w:uiPriority w:val="99"/>
    <w:unhideWhenUsed/>
    <w:rsid w:val="006557AB"/>
    <w:rPr>
      <w:color w:val="0000FF"/>
      <w:u w:val="single"/>
    </w:rPr>
  </w:style>
  <w:style w:type="paragraph" w:styleId="CommentSubject">
    <w:name w:val="annotation subject"/>
    <w:basedOn w:val="CommentText"/>
    <w:next w:val="CommentText"/>
    <w:link w:val="CommentSubjectChar"/>
    <w:rsid w:val="0004228D"/>
    <w:pPr>
      <w:spacing w:before="0" w:after="0"/>
    </w:pPr>
    <w:rPr>
      <w:b/>
      <w:bCs/>
      <w:lang w:eastAsia="en-US"/>
    </w:rPr>
  </w:style>
  <w:style w:type="character" w:customStyle="1" w:styleId="CommentSubjectChar">
    <w:name w:val="Comment Subject Char"/>
    <w:basedOn w:val="CommentTextChar"/>
    <w:link w:val="CommentSubject"/>
    <w:rsid w:val="0004228D"/>
    <w:rPr>
      <w:b/>
      <w:bCs/>
      <w:lang w:eastAsia="en-US"/>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link w:val="ListParagraph"/>
    <w:uiPriority w:val="34"/>
    <w:qFormat/>
    <w:locked/>
    <w:rsid w:val="0004228D"/>
    <w:rPr>
      <w:sz w:val="24"/>
      <w:szCs w:val="24"/>
      <w:lang w:eastAsia="en-US"/>
    </w:rPr>
  </w:style>
  <w:style w:type="character" w:styleId="FootnoteReference">
    <w:name w:val="footnote reference"/>
    <w:basedOn w:val="DefaultParagraphFont"/>
    <w:uiPriority w:val="99"/>
    <w:unhideWhenUsed/>
    <w:rsid w:val="0004228D"/>
    <w:rPr>
      <w:vertAlign w:val="superscript"/>
    </w:rPr>
  </w:style>
  <w:style w:type="paragraph" w:styleId="FootnoteText">
    <w:name w:val="footnote text"/>
    <w:aliases w:val="Footnotes Text,FSFootnotes Text"/>
    <w:basedOn w:val="Normal"/>
    <w:link w:val="FootnoteTextChar"/>
    <w:uiPriority w:val="99"/>
    <w:unhideWhenUsed/>
    <w:qFormat/>
    <w:rsid w:val="0004228D"/>
    <w:rPr>
      <w:sz w:val="20"/>
      <w:szCs w:val="20"/>
    </w:rPr>
  </w:style>
  <w:style w:type="character" w:customStyle="1" w:styleId="FootnoteTextChar">
    <w:name w:val="Footnote Text Char"/>
    <w:aliases w:val="Footnotes Text Char,FSFootnotes Text Char"/>
    <w:basedOn w:val="DefaultParagraphFont"/>
    <w:link w:val="FootnoteText"/>
    <w:uiPriority w:val="99"/>
    <w:rsid w:val="0004228D"/>
    <w:rPr>
      <w:lang w:eastAsia="en-US"/>
    </w:rPr>
  </w:style>
  <w:style w:type="table" w:styleId="TableGrid">
    <w:name w:val="Table Grid"/>
    <w:basedOn w:val="TableNormal"/>
    <w:uiPriority w:val="39"/>
    <w:rsid w:val="00DD3A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nhideWhenUsed/>
    <w:rsid w:val="00AB6098"/>
    <w:rPr>
      <w:sz w:val="20"/>
      <w:szCs w:val="20"/>
    </w:rPr>
  </w:style>
  <w:style w:type="character" w:customStyle="1" w:styleId="EndnoteTextChar">
    <w:name w:val="Endnote Text Char"/>
    <w:basedOn w:val="DefaultParagraphFont"/>
    <w:link w:val="EndnoteText"/>
    <w:rsid w:val="00AB6098"/>
    <w:rPr>
      <w:lang w:eastAsia="en-US"/>
    </w:rPr>
  </w:style>
  <w:style w:type="character" w:styleId="EndnoteReference">
    <w:name w:val="endnote reference"/>
    <w:basedOn w:val="DefaultParagraphFont"/>
    <w:semiHidden/>
    <w:unhideWhenUsed/>
    <w:rsid w:val="00AB6098"/>
    <w:rPr>
      <w:vertAlign w:val="superscript"/>
    </w:rPr>
  </w:style>
  <w:style w:type="paragraph" w:customStyle="1" w:styleId="fsch5section">
    <w:name w:val="fsch5section"/>
    <w:basedOn w:val="Normal"/>
    <w:rsid w:val="00AB6098"/>
    <w:pPr>
      <w:spacing w:before="100" w:beforeAutospacing="1" w:after="100" w:afterAutospacing="1"/>
    </w:pPr>
    <w:rPr>
      <w:lang w:eastAsia="en-AU"/>
    </w:rPr>
  </w:style>
  <w:style w:type="paragraph" w:customStyle="1" w:styleId="fsctmain">
    <w:name w:val="fsctmain"/>
    <w:basedOn w:val="Normal"/>
    <w:rsid w:val="00AB6098"/>
    <w:pPr>
      <w:spacing w:before="100" w:beforeAutospacing="1" w:after="100" w:afterAutospacing="1"/>
    </w:pPr>
    <w:rPr>
      <w:lang w:eastAsia="en-AU"/>
    </w:rPr>
  </w:style>
  <w:style w:type="paragraph" w:customStyle="1" w:styleId="fsctpara">
    <w:name w:val="fsctpara"/>
    <w:basedOn w:val="Normal"/>
    <w:rsid w:val="00AB6098"/>
    <w:pPr>
      <w:spacing w:before="100" w:beforeAutospacing="1" w:after="100" w:afterAutospacing="1"/>
    </w:pPr>
    <w:rPr>
      <w:lang w:eastAsia="en-AU"/>
    </w:rPr>
  </w:style>
  <w:style w:type="paragraph" w:customStyle="1" w:styleId="Default">
    <w:name w:val="Default"/>
    <w:rsid w:val="009A5D87"/>
    <w:pPr>
      <w:autoSpaceDE w:val="0"/>
      <w:autoSpaceDN w:val="0"/>
      <w:adjustRightInd w:val="0"/>
    </w:pPr>
    <w:rPr>
      <w:color w:val="000000"/>
      <w:sz w:val="24"/>
      <w:szCs w:val="24"/>
      <w:lang w:val="en-US" w:eastAsia="en-US"/>
    </w:rPr>
  </w:style>
  <w:style w:type="table" w:customStyle="1" w:styleId="GridTable1Light-Accent12">
    <w:name w:val="Grid Table 1 Light - Accent 12"/>
    <w:basedOn w:val="TableNormal"/>
    <w:uiPriority w:val="46"/>
    <w:rsid w:val="009A5D8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semiHidden/>
    <w:unhideWhenUsed/>
    <w:qFormat/>
    <w:rsid w:val="00250896"/>
    <w:pPr>
      <w:keepLines/>
      <w:spacing w:before="480" w:after="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TOC1">
    <w:name w:val="toc 1"/>
    <w:basedOn w:val="Normal"/>
    <w:next w:val="Normal"/>
    <w:autoRedefine/>
    <w:uiPriority w:val="39"/>
    <w:unhideWhenUsed/>
    <w:rsid w:val="00250896"/>
    <w:pPr>
      <w:spacing w:after="100"/>
    </w:pPr>
  </w:style>
  <w:style w:type="paragraph" w:styleId="TOC2">
    <w:name w:val="toc 2"/>
    <w:basedOn w:val="Normal"/>
    <w:next w:val="Normal"/>
    <w:autoRedefine/>
    <w:uiPriority w:val="39"/>
    <w:unhideWhenUsed/>
    <w:rsid w:val="00250896"/>
    <w:pPr>
      <w:spacing w:after="100"/>
      <w:ind w:left="240"/>
    </w:pPr>
  </w:style>
  <w:style w:type="paragraph" w:styleId="Header">
    <w:name w:val="header"/>
    <w:basedOn w:val="Normal"/>
    <w:link w:val="HeaderChar"/>
    <w:unhideWhenUsed/>
    <w:rsid w:val="00504E61"/>
    <w:pPr>
      <w:tabs>
        <w:tab w:val="center" w:pos="4513"/>
        <w:tab w:val="right" w:pos="9026"/>
      </w:tabs>
    </w:pPr>
  </w:style>
  <w:style w:type="character" w:customStyle="1" w:styleId="HeaderChar">
    <w:name w:val="Header Char"/>
    <w:basedOn w:val="DefaultParagraphFont"/>
    <w:link w:val="Header"/>
    <w:rsid w:val="00504E61"/>
    <w:rPr>
      <w:sz w:val="24"/>
      <w:szCs w:val="24"/>
      <w:lang w:eastAsia="en-US"/>
    </w:rPr>
  </w:style>
  <w:style w:type="paragraph" w:styleId="Footer">
    <w:name w:val="footer"/>
    <w:basedOn w:val="Normal"/>
    <w:link w:val="FooterChar"/>
    <w:uiPriority w:val="99"/>
    <w:unhideWhenUsed/>
    <w:rsid w:val="00504E61"/>
    <w:pPr>
      <w:tabs>
        <w:tab w:val="center" w:pos="4513"/>
        <w:tab w:val="right" w:pos="9026"/>
      </w:tabs>
    </w:pPr>
  </w:style>
  <w:style w:type="character" w:customStyle="1" w:styleId="FooterChar">
    <w:name w:val="Footer Char"/>
    <w:basedOn w:val="DefaultParagraphFont"/>
    <w:link w:val="Footer"/>
    <w:uiPriority w:val="99"/>
    <w:rsid w:val="00504E61"/>
    <w:rPr>
      <w:sz w:val="24"/>
      <w:szCs w:val="24"/>
      <w:lang w:eastAsia="en-US"/>
    </w:rPr>
  </w:style>
  <w:style w:type="table" w:customStyle="1" w:styleId="GridTable1Light-Accent11">
    <w:name w:val="Grid Table 1 Light - Accent 11"/>
    <w:basedOn w:val="TableNormal"/>
    <w:uiPriority w:val="46"/>
    <w:rsid w:val="003F560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semiHidden/>
    <w:unhideWhenUsed/>
    <w:rsid w:val="002D1E48"/>
    <w:rPr>
      <w:color w:val="800080" w:themeColor="followedHyperlink"/>
      <w:u w:val="single"/>
    </w:rPr>
  </w:style>
  <w:style w:type="paragraph" w:styleId="NormalWeb">
    <w:name w:val="Normal (Web)"/>
    <w:basedOn w:val="Normal"/>
    <w:uiPriority w:val="99"/>
    <w:semiHidden/>
    <w:unhideWhenUsed/>
    <w:rsid w:val="00645846"/>
    <w:pPr>
      <w:spacing w:before="100" w:beforeAutospacing="1" w:after="100" w:afterAutospacing="1"/>
    </w:pPr>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4450">
      <w:bodyDiv w:val="1"/>
      <w:marLeft w:val="0"/>
      <w:marRight w:val="0"/>
      <w:marTop w:val="0"/>
      <w:marBottom w:val="0"/>
      <w:divBdr>
        <w:top w:val="none" w:sz="0" w:space="0" w:color="auto"/>
        <w:left w:val="none" w:sz="0" w:space="0" w:color="auto"/>
        <w:bottom w:val="none" w:sz="0" w:space="0" w:color="auto"/>
        <w:right w:val="none" w:sz="0" w:space="0" w:color="auto"/>
      </w:divBdr>
    </w:div>
    <w:div w:id="615216952">
      <w:bodyDiv w:val="1"/>
      <w:marLeft w:val="0"/>
      <w:marRight w:val="0"/>
      <w:marTop w:val="0"/>
      <w:marBottom w:val="0"/>
      <w:divBdr>
        <w:top w:val="none" w:sz="0" w:space="0" w:color="auto"/>
        <w:left w:val="none" w:sz="0" w:space="0" w:color="auto"/>
        <w:bottom w:val="none" w:sz="0" w:space="0" w:color="auto"/>
        <w:right w:val="none" w:sz="0" w:space="0" w:color="auto"/>
      </w:divBdr>
    </w:div>
    <w:div w:id="1060640856">
      <w:bodyDiv w:val="1"/>
      <w:marLeft w:val="0"/>
      <w:marRight w:val="0"/>
      <w:marTop w:val="0"/>
      <w:marBottom w:val="0"/>
      <w:divBdr>
        <w:top w:val="none" w:sz="0" w:space="0" w:color="auto"/>
        <w:left w:val="none" w:sz="0" w:space="0" w:color="auto"/>
        <w:bottom w:val="none" w:sz="0" w:space="0" w:color="auto"/>
        <w:right w:val="none" w:sz="0" w:space="0" w:color="auto"/>
      </w:divBdr>
    </w:div>
    <w:div w:id="1852911693">
      <w:bodyDiv w:val="1"/>
      <w:marLeft w:val="0"/>
      <w:marRight w:val="0"/>
      <w:marTop w:val="0"/>
      <w:marBottom w:val="0"/>
      <w:divBdr>
        <w:top w:val="none" w:sz="0" w:space="0" w:color="auto"/>
        <w:left w:val="none" w:sz="0" w:space="0" w:color="auto"/>
        <w:bottom w:val="none" w:sz="0" w:space="0" w:color="auto"/>
        <w:right w:val="none" w:sz="0" w:space="0" w:color="auto"/>
      </w:divBdr>
    </w:div>
    <w:div w:id="209369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68"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healthstarrating.gov.au/internet/healthstarrating/publishing.nsf/Content/stakeholder-engagement" TargetMode="External"/><Relationship Id="rId17" Type="http://schemas.openxmlformats.org/officeDocument/2006/relationships/fontTable" Target="fontTable.xml"/><Relationship Id="rId6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althstarrating.gov.au/internet/healthstarrating/publishing.nsf/Content/stakeholder-engagement" TargetMode="External"/><Relationship Id="rId66"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healthstarrating.gov.au/internet/healthstarrating/publishing.nsf/Content/stakeholder-engagement"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healthstarrating.gov.au/internet/healthstarrating/publishing.nsf/Content/stakeholder-engagemen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foodregulation.gov.au/internet/fr/publishing.nsf/Content/publication-Policy-Statement-on-Front-of-Pack-Labelling" TargetMode="External"/><Relationship Id="rId3" Type="http://schemas.openxmlformats.org/officeDocument/2006/relationships/hyperlink" Target="https://www.csiro.au/en/Research/Health/CSIRO-diets/FoodTrack" TargetMode="External"/><Relationship Id="rId7" Type="http://schemas.openxmlformats.org/officeDocument/2006/relationships/hyperlink" Target="mailto:frontofpack@health.gov.au" TargetMode="External"/><Relationship Id="rId2" Type="http://schemas.openxmlformats.org/officeDocument/2006/relationships/hyperlink" Target="http://www.healthstarrating.gov.au/internet/healthstarrating/publishing.nsf/Content/guide-for-industry-document" TargetMode="External"/><Relationship Id="rId1" Type="http://schemas.openxmlformats.org/officeDocument/2006/relationships/hyperlink" Target="http://www.healthstarrating.gov.au/internet/healthstarrating/publishing.nsf/Content/guide-for-industry-document" TargetMode="External"/><Relationship Id="rId6" Type="http://schemas.openxmlformats.org/officeDocument/2006/relationships/hyperlink" Target="http://www.healthstarrating.gov.au/internet/healthstarrating/publishing.nsf/Content/monitoring" TargetMode="External"/><Relationship Id="rId5" Type="http://schemas.openxmlformats.org/officeDocument/2006/relationships/hyperlink" Target="http://www.healthstarrating.gov.au/internet/healthstarrating/publishing.nsf/Content/monitoring" TargetMode="External"/><Relationship Id="rId4" Type="http://schemas.openxmlformats.org/officeDocument/2006/relationships/hyperlink" Target="https://www.csiro.au/en/Research/Health/CSIRO-diets/FoodTrack" TargetMode="External"/><Relationship Id="rId9" Type="http://schemas.openxmlformats.org/officeDocument/2006/relationships/hyperlink" Target="https://www.csiro.au/en/Research/Health/CSIRO-diets/FoodTra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D9684-822F-43B1-B2BD-77AA7CE0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5748</Words>
  <Characters>32226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Huard John</cp:lastModifiedBy>
  <cp:revision>4</cp:revision>
  <dcterms:created xsi:type="dcterms:W3CDTF">2018-05-13T22:42:00Z</dcterms:created>
  <dcterms:modified xsi:type="dcterms:W3CDTF">2018-05-14T22:09:00Z</dcterms:modified>
</cp:coreProperties>
</file>