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over_Page"/>
    <w:bookmarkEnd w:id="0"/>
    <w:p w14:paraId="64285713" w14:textId="05C0B396" w:rsidR="00C41380" w:rsidRPr="00AB3873" w:rsidRDefault="00B33EE3" w:rsidP="0024269C">
      <w:r w:rsidRPr="00AB3873">
        <w:rPr>
          <w:noProof/>
          <w:lang w:eastAsia="en-AU"/>
        </w:rPr>
        <mc:AlternateContent>
          <mc:Choice Requires="wps">
            <w:drawing>
              <wp:anchor distT="0" distB="0" distL="114300" distR="114300" simplePos="0" relativeHeight="251659264" behindDoc="1" locked="0" layoutInCell="1" allowOverlap="1" wp14:anchorId="62CEE661" wp14:editId="0CCEE8A9">
                <wp:simplePos x="0" y="0"/>
                <wp:positionH relativeFrom="column">
                  <wp:posOffset>-298450</wp:posOffset>
                </wp:positionH>
                <wp:positionV relativeFrom="paragraph">
                  <wp:posOffset>-541020</wp:posOffset>
                </wp:positionV>
                <wp:extent cx="6782435" cy="9946640"/>
                <wp:effectExtent l="0" t="0" r="0" b="10160"/>
                <wp:wrapNone/>
                <wp:docPr id="1" name="Rounded Rectangle 1" descr="Five Year Review of the Health Star Rating System – Consultation Paper: Options for System Enhancement" title="Title page for consultation paper"/>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alt="Title: Title page for consultation paper - Description: Five Year Review of the Health Star Rating System – Consultation Paper: Options for System Enhancement" style="position:absolute;margin-left:-23.5pt;margin-top:-42.6pt;width:534.05pt;height:7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" fillcolor="#516a8e" stroked="f" strokeweight="1pt">
                <v:stroke joinstyle="miter"/>
              </v:roundrect>
            </w:pict>
          </mc:Fallback>
        </mc:AlternateContent>
      </w:r>
      <w:bookmarkStart w:id="1" w:name="_GoBack"/>
      <w:bookmarkEnd w:id="1"/>
    </w:p>
    <w:p w14:paraId="33525DD8" w14:textId="77777777" w:rsidR="008C6580" w:rsidRPr="00AB3873" w:rsidRDefault="008C6580" w:rsidP="008C6580">
      <w:pPr>
        <w:pStyle w:val="mpctitle1"/>
        <w:rPr>
          <w:rFonts w:cstheme="minorHAnsi"/>
        </w:rPr>
      </w:pPr>
      <w:bookmarkStart w:id="2" w:name="_Toc438649428"/>
    </w:p>
    <w:p w14:paraId="35CA776C" w14:textId="77777777" w:rsidR="008C6580" w:rsidRPr="00EA353D" w:rsidRDefault="008C6580" w:rsidP="008C6580">
      <w:pPr>
        <w:pStyle w:val="mpctitle1"/>
        <w:rPr>
          <w:rFonts w:cstheme="minorHAnsi"/>
          <w:sz w:val="200"/>
        </w:rPr>
      </w:pPr>
    </w:p>
    <w:p w14:paraId="448AC628" w14:textId="7DB116B5" w:rsidR="008C6580" w:rsidRPr="00AB3873" w:rsidRDefault="00D448FA" w:rsidP="008C6580">
      <w:pPr>
        <w:pStyle w:val="mpctitle1"/>
        <w:rPr>
          <w:rFonts w:cstheme="minorHAnsi"/>
        </w:rPr>
      </w:pPr>
      <w:r w:rsidRPr="00AB3873">
        <w:rPr>
          <w:rFonts w:cstheme="minorHAnsi"/>
        </w:rPr>
        <w:t>Five Year Review of the Health</w:t>
      </w:r>
      <w:r w:rsidR="008C6580" w:rsidRPr="00AB3873">
        <w:rPr>
          <w:rFonts w:cstheme="minorHAnsi"/>
        </w:rPr>
        <w:t xml:space="preserve"> Star Rating </w:t>
      </w:r>
      <w:r w:rsidR="00926B08">
        <w:rPr>
          <w:rFonts w:cstheme="minorHAnsi"/>
        </w:rPr>
        <w:t>System</w:t>
      </w:r>
      <w:r w:rsidR="008C6580" w:rsidRPr="00AB3873">
        <w:rPr>
          <w:rFonts w:cstheme="minorHAnsi"/>
        </w:rPr>
        <w:t xml:space="preserve"> – Consultation</w:t>
      </w:r>
      <w:r w:rsidRPr="00AB3873">
        <w:rPr>
          <w:rFonts w:cstheme="minorHAnsi"/>
        </w:rPr>
        <w:t xml:space="preserve"> Paper</w:t>
      </w:r>
      <w:r w:rsidR="008C6580" w:rsidRPr="00AB3873">
        <w:rPr>
          <w:rFonts w:cstheme="minorHAnsi"/>
        </w:rPr>
        <w:t xml:space="preserve">: Options for </w:t>
      </w:r>
      <w:r w:rsidR="00926B08">
        <w:rPr>
          <w:rFonts w:cstheme="minorHAnsi"/>
        </w:rPr>
        <w:t>System</w:t>
      </w:r>
      <w:r w:rsidR="008C6580" w:rsidRPr="00AB3873">
        <w:rPr>
          <w:rFonts w:cstheme="minorHAnsi"/>
        </w:rPr>
        <w:t xml:space="preserve"> </w:t>
      </w:r>
      <w:r w:rsidR="000C5DBF">
        <w:rPr>
          <w:rFonts w:cstheme="minorHAnsi"/>
        </w:rPr>
        <w:t>E</w:t>
      </w:r>
      <w:r w:rsidR="008C6580" w:rsidRPr="00AB3873">
        <w:rPr>
          <w:rFonts w:cstheme="minorHAnsi"/>
        </w:rPr>
        <w:t>nhancement</w:t>
      </w:r>
    </w:p>
    <w:p w14:paraId="04135716" w14:textId="313D5D35" w:rsidR="008C6580" w:rsidRPr="00AB3873" w:rsidRDefault="001220E4" w:rsidP="008C6580">
      <w:pPr>
        <w:pStyle w:val="mpctitle1"/>
        <w:rPr>
          <w:rFonts w:cstheme="minorHAnsi"/>
          <w:sz w:val="48"/>
          <w:szCs w:val="48"/>
        </w:rPr>
      </w:pPr>
      <w:r w:rsidRPr="00EA353D">
        <w:rPr>
          <w:rFonts w:cstheme="minorHAnsi"/>
          <w:sz w:val="160"/>
        </w:rPr>
        <w:br/>
      </w:r>
    </w:p>
    <w:p w14:paraId="3A8A7EB4" w14:textId="67069F1F" w:rsidR="008C6580" w:rsidRPr="00AB3873" w:rsidRDefault="008A24F7" w:rsidP="008C6580">
      <w:pPr>
        <w:pStyle w:val="mpctitle1"/>
        <w:rPr>
          <w:rFonts w:cstheme="minorHAnsi"/>
          <w:sz w:val="48"/>
          <w:szCs w:val="48"/>
        </w:rPr>
      </w:pPr>
      <w:r w:rsidRPr="00AB3873">
        <w:rPr>
          <w:rFonts w:cstheme="minorHAnsi"/>
          <w:sz w:val="48"/>
          <w:szCs w:val="48"/>
        </w:rPr>
        <w:t>October</w:t>
      </w:r>
      <w:r w:rsidR="00D448FA" w:rsidRPr="00AB3873">
        <w:rPr>
          <w:rFonts w:cstheme="minorHAnsi"/>
          <w:sz w:val="48"/>
          <w:szCs w:val="48"/>
        </w:rPr>
        <w:t xml:space="preserve"> 2018</w:t>
      </w:r>
      <w:bookmarkEnd w:id="2"/>
    </w:p>
    <w:p w14:paraId="365FA364" w14:textId="77777777" w:rsidR="008C6580" w:rsidRPr="00AB3873" w:rsidRDefault="008C6580" w:rsidP="0024269C">
      <w:pPr>
        <w:rPr>
          <w:lang w:val="en-US" w:eastAsia="ja-JP"/>
        </w:rPr>
      </w:pPr>
    </w:p>
    <w:p w14:paraId="728C35BA" w14:textId="664313E8" w:rsidR="001220E4" w:rsidRPr="00AB3873" w:rsidRDefault="001220E4" w:rsidP="0024269C">
      <w:pPr>
        <w:rPr>
          <w:lang w:val="en-US" w:eastAsia="ja-JP"/>
        </w:rPr>
      </w:pPr>
      <w:r w:rsidRPr="00AB3873">
        <w:rPr>
          <w:noProof/>
          <w:lang w:eastAsia="en-AU"/>
        </w:rPr>
        <w:drawing>
          <wp:inline distT="0" distB="0" distL="0" distR="0" wp14:anchorId="08964904" wp14:editId="2DE2CA70">
            <wp:extent cx="2560216" cy="448733"/>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927" cy="474447"/>
                    </a:xfrm>
                    <a:prstGeom prst="rect">
                      <a:avLst/>
                    </a:prstGeom>
                  </pic:spPr>
                </pic:pic>
              </a:graphicData>
            </a:graphic>
          </wp:inline>
        </w:drawing>
      </w:r>
    </w:p>
    <w:p w14:paraId="2A0EB0CE" w14:textId="77777777" w:rsidR="00037EC7" w:rsidRPr="00AB3873" w:rsidRDefault="00037EC7" w:rsidP="0024269C"/>
    <w:p w14:paraId="10A19C51" w14:textId="77777777" w:rsidR="00037EC7" w:rsidRPr="00AB3873" w:rsidRDefault="00037EC7" w:rsidP="0024269C">
      <w:pPr>
        <w:sectPr w:rsidR="00037EC7" w:rsidRPr="00AB3873" w:rsidSect="00A6237D">
          <w:pgSz w:w="11900" w:h="16840"/>
          <w:pgMar w:top="1440" w:right="1080" w:bottom="1440" w:left="1080" w:header="709" w:footer="709" w:gutter="0"/>
          <w:cols w:space="708"/>
          <w:docGrid w:linePitch="360"/>
        </w:sectPr>
      </w:pPr>
    </w:p>
    <w:p w14:paraId="1C637ED7" w14:textId="58E34F72" w:rsidR="00C41380" w:rsidRPr="00AB3873" w:rsidRDefault="00035465" w:rsidP="006D413D">
      <w:pPr>
        <w:pStyle w:val="mpcheading1"/>
      </w:pPr>
      <w:r>
        <w:lastRenderedPageBreak/>
        <w:br w:type="column"/>
      </w:r>
      <w:bookmarkStart w:id="3" w:name="Table_of_Contents"/>
      <w:bookmarkStart w:id="4" w:name="_Toc527112884"/>
      <w:bookmarkEnd w:id="3"/>
      <w:r w:rsidR="00C41380" w:rsidRPr="00AB3873">
        <w:lastRenderedPageBreak/>
        <w:t>Table of Contents</w:t>
      </w:r>
      <w:bookmarkEnd w:id="4"/>
    </w:p>
    <w:bookmarkStart w:id="5" w:name="_Toc450649510"/>
    <w:p w14:paraId="62CCB6F8" w14:textId="72DE4F7D" w:rsidR="00EA353D" w:rsidRDefault="0026108E">
      <w:pPr>
        <w:pStyle w:val="TOC1"/>
        <w:rPr>
          <w:rFonts w:eastAsiaTheme="minorEastAsia" w:cstheme="minorBidi"/>
          <w:b w:val="0"/>
          <w:bCs w:val="0"/>
          <w:noProof/>
          <w:sz w:val="24"/>
        </w:rPr>
      </w:pPr>
      <w:r w:rsidRPr="00AB3873">
        <w:fldChar w:fldCharType="begin"/>
      </w:r>
      <w:r w:rsidRPr="00AB3873">
        <w:instrText xml:space="preserve"> TOC \t "mpc heading 1,1,mpc heading 2,2,mpc table heading,3" </w:instrText>
      </w:r>
      <w:r w:rsidRPr="00AB3873">
        <w:fldChar w:fldCharType="separate"/>
      </w:r>
      <w:r w:rsidR="00EA353D" w:rsidRPr="00DE5B0B">
        <w:rPr>
          <w:noProof/>
        </w:rPr>
        <w:t>Glossary</w:t>
      </w:r>
      <w:r w:rsidR="00EA353D">
        <w:rPr>
          <w:noProof/>
        </w:rPr>
        <w:tab/>
      </w:r>
      <w:r w:rsidR="00EA353D">
        <w:rPr>
          <w:noProof/>
        </w:rPr>
        <w:fldChar w:fldCharType="begin"/>
      </w:r>
      <w:r w:rsidR="00EA353D">
        <w:rPr>
          <w:noProof/>
        </w:rPr>
        <w:instrText xml:space="preserve"> PAGEREF _Toc527112885 \h </w:instrText>
      </w:r>
      <w:r w:rsidR="00EA353D">
        <w:rPr>
          <w:noProof/>
        </w:rPr>
      </w:r>
      <w:r w:rsidR="00EA353D">
        <w:rPr>
          <w:noProof/>
        </w:rPr>
        <w:fldChar w:fldCharType="separate"/>
      </w:r>
      <w:r w:rsidR="00EA353D">
        <w:rPr>
          <w:noProof/>
        </w:rPr>
        <w:t>4</w:t>
      </w:r>
      <w:r w:rsidR="00EA353D">
        <w:rPr>
          <w:noProof/>
        </w:rPr>
        <w:fldChar w:fldCharType="end"/>
      </w:r>
    </w:p>
    <w:p w14:paraId="6294303E" w14:textId="7599049B" w:rsidR="00EA353D" w:rsidRDefault="00EA353D">
      <w:pPr>
        <w:pStyle w:val="TOC1"/>
        <w:rPr>
          <w:rFonts w:eastAsiaTheme="minorEastAsia" w:cstheme="minorBidi"/>
          <w:b w:val="0"/>
          <w:bCs w:val="0"/>
          <w:noProof/>
          <w:sz w:val="24"/>
        </w:rPr>
      </w:pPr>
      <w:r>
        <w:rPr>
          <w:noProof/>
        </w:rPr>
        <w:t>Chapter 1 – Context and purpose of this Consultation Paper</w:t>
      </w:r>
      <w:r>
        <w:rPr>
          <w:noProof/>
        </w:rPr>
        <w:tab/>
      </w:r>
      <w:r>
        <w:rPr>
          <w:noProof/>
        </w:rPr>
        <w:fldChar w:fldCharType="begin"/>
      </w:r>
      <w:r>
        <w:rPr>
          <w:noProof/>
        </w:rPr>
        <w:instrText xml:space="preserve"> PAGEREF _Toc527112886 \h </w:instrText>
      </w:r>
      <w:r>
        <w:rPr>
          <w:noProof/>
        </w:rPr>
      </w:r>
      <w:r>
        <w:rPr>
          <w:noProof/>
        </w:rPr>
        <w:fldChar w:fldCharType="separate"/>
      </w:r>
      <w:r>
        <w:rPr>
          <w:noProof/>
        </w:rPr>
        <w:t>7</w:t>
      </w:r>
      <w:r>
        <w:rPr>
          <w:noProof/>
        </w:rPr>
        <w:fldChar w:fldCharType="end"/>
      </w:r>
    </w:p>
    <w:p w14:paraId="6A0BA6CB" w14:textId="0D7682B4" w:rsidR="00EA353D" w:rsidRDefault="00EA353D">
      <w:pPr>
        <w:pStyle w:val="TOC2"/>
        <w:tabs>
          <w:tab w:val="right" w:leader="dot" w:pos="9736"/>
        </w:tabs>
        <w:rPr>
          <w:rFonts w:eastAsiaTheme="minorEastAsia" w:cstheme="minorBidi"/>
          <w:b w:val="0"/>
          <w:bCs w:val="0"/>
          <w:noProof/>
          <w:sz w:val="24"/>
          <w:szCs w:val="24"/>
        </w:rPr>
      </w:pPr>
      <w:r>
        <w:rPr>
          <w:noProof/>
        </w:rPr>
        <w:t>Important note</w:t>
      </w:r>
      <w:r>
        <w:rPr>
          <w:noProof/>
        </w:rPr>
        <w:tab/>
      </w:r>
      <w:r>
        <w:rPr>
          <w:noProof/>
        </w:rPr>
        <w:fldChar w:fldCharType="begin"/>
      </w:r>
      <w:r>
        <w:rPr>
          <w:noProof/>
        </w:rPr>
        <w:instrText xml:space="preserve"> PAGEREF _Toc527112887 \h </w:instrText>
      </w:r>
      <w:r>
        <w:rPr>
          <w:noProof/>
        </w:rPr>
      </w:r>
      <w:r>
        <w:rPr>
          <w:noProof/>
        </w:rPr>
        <w:fldChar w:fldCharType="separate"/>
      </w:r>
      <w:r>
        <w:rPr>
          <w:noProof/>
        </w:rPr>
        <w:t>8</w:t>
      </w:r>
      <w:r>
        <w:rPr>
          <w:noProof/>
        </w:rPr>
        <w:fldChar w:fldCharType="end"/>
      </w:r>
    </w:p>
    <w:p w14:paraId="5C0AA5A4" w14:textId="3F750D54" w:rsidR="00EA353D" w:rsidRDefault="00EA353D">
      <w:pPr>
        <w:pStyle w:val="TOC1"/>
        <w:rPr>
          <w:rFonts w:eastAsiaTheme="minorEastAsia" w:cstheme="minorBidi"/>
          <w:b w:val="0"/>
          <w:bCs w:val="0"/>
          <w:noProof/>
          <w:sz w:val="24"/>
        </w:rPr>
      </w:pPr>
      <w:r>
        <w:rPr>
          <w:noProof/>
        </w:rPr>
        <w:t>Chapter 2 – Our approach to identifying the issues</w:t>
      </w:r>
      <w:r>
        <w:rPr>
          <w:noProof/>
        </w:rPr>
        <w:tab/>
      </w:r>
      <w:r>
        <w:rPr>
          <w:noProof/>
        </w:rPr>
        <w:fldChar w:fldCharType="begin"/>
      </w:r>
      <w:r>
        <w:rPr>
          <w:noProof/>
        </w:rPr>
        <w:instrText xml:space="preserve"> PAGEREF _Toc527112888 \h </w:instrText>
      </w:r>
      <w:r>
        <w:rPr>
          <w:noProof/>
        </w:rPr>
      </w:r>
      <w:r>
        <w:rPr>
          <w:noProof/>
        </w:rPr>
        <w:fldChar w:fldCharType="separate"/>
      </w:r>
      <w:r>
        <w:rPr>
          <w:noProof/>
        </w:rPr>
        <w:t>9</w:t>
      </w:r>
      <w:r>
        <w:rPr>
          <w:noProof/>
        </w:rPr>
        <w:fldChar w:fldCharType="end"/>
      </w:r>
    </w:p>
    <w:p w14:paraId="1F817400" w14:textId="32D1560F" w:rsidR="00EA353D" w:rsidRDefault="00EA353D">
      <w:pPr>
        <w:pStyle w:val="TOC2"/>
        <w:tabs>
          <w:tab w:val="right" w:leader="dot" w:pos="9736"/>
        </w:tabs>
        <w:rPr>
          <w:rFonts w:eastAsiaTheme="minorEastAsia" w:cstheme="minorBidi"/>
          <w:b w:val="0"/>
          <w:bCs w:val="0"/>
          <w:noProof/>
          <w:sz w:val="24"/>
          <w:szCs w:val="24"/>
        </w:rPr>
      </w:pPr>
      <w:r>
        <w:rPr>
          <w:noProof/>
        </w:rPr>
        <w:t>Process for identifying issues</w:t>
      </w:r>
      <w:r>
        <w:rPr>
          <w:noProof/>
        </w:rPr>
        <w:tab/>
      </w:r>
      <w:r>
        <w:rPr>
          <w:noProof/>
        </w:rPr>
        <w:fldChar w:fldCharType="begin"/>
      </w:r>
      <w:r>
        <w:rPr>
          <w:noProof/>
        </w:rPr>
        <w:instrText xml:space="preserve"> PAGEREF _Toc527112889 \h </w:instrText>
      </w:r>
      <w:r>
        <w:rPr>
          <w:noProof/>
        </w:rPr>
      </w:r>
      <w:r>
        <w:rPr>
          <w:noProof/>
        </w:rPr>
        <w:fldChar w:fldCharType="separate"/>
      </w:r>
      <w:r>
        <w:rPr>
          <w:noProof/>
        </w:rPr>
        <w:t>9</w:t>
      </w:r>
      <w:r>
        <w:rPr>
          <w:noProof/>
        </w:rPr>
        <w:fldChar w:fldCharType="end"/>
      </w:r>
    </w:p>
    <w:p w14:paraId="444BDB4C" w14:textId="30D8439A" w:rsidR="00EA353D" w:rsidRDefault="00EA353D">
      <w:pPr>
        <w:pStyle w:val="TOC2"/>
        <w:tabs>
          <w:tab w:val="right" w:leader="dot" w:pos="9736"/>
        </w:tabs>
        <w:rPr>
          <w:rFonts w:eastAsiaTheme="minorEastAsia" w:cstheme="minorBidi"/>
          <w:b w:val="0"/>
          <w:bCs w:val="0"/>
          <w:noProof/>
          <w:sz w:val="24"/>
          <w:szCs w:val="24"/>
        </w:rPr>
      </w:pPr>
      <w:r>
        <w:rPr>
          <w:noProof/>
        </w:rPr>
        <w:t>Performance of the HSR System</w:t>
      </w:r>
      <w:r>
        <w:rPr>
          <w:noProof/>
        </w:rPr>
        <w:tab/>
      </w:r>
      <w:r>
        <w:rPr>
          <w:noProof/>
        </w:rPr>
        <w:fldChar w:fldCharType="begin"/>
      </w:r>
      <w:r>
        <w:rPr>
          <w:noProof/>
        </w:rPr>
        <w:instrText xml:space="preserve"> PAGEREF _Toc527112890 \h </w:instrText>
      </w:r>
      <w:r>
        <w:rPr>
          <w:noProof/>
        </w:rPr>
      </w:r>
      <w:r>
        <w:rPr>
          <w:noProof/>
        </w:rPr>
        <w:fldChar w:fldCharType="separate"/>
      </w:r>
      <w:r>
        <w:rPr>
          <w:noProof/>
        </w:rPr>
        <w:t>10</w:t>
      </w:r>
      <w:r>
        <w:rPr>
          <w:noProof/>
        </w:rPr>
        <w:fldChar w:fldCharType="end"/>
      </w:r>
    </w:p>
    <w:p w14:paraId="2D28CE66" w14:textId="058090D9" w:rsidR="00EA353D" w:rsidRDefault="00EA353D">
      <w:pPr>
        <w:pStyle w:val="TOC2"/>
        <w:tabs>
          <w:tab w:val="right" w:leader="dot" w:pos="9736"/>
        </w:tabs>
        <w:rPr>
          <w:rFonts w:eastAsiaTheme="minorEastAsia" w:cstheme="minorBidi"/>
          <w:b w:val="0"/>
          <w:bCs w:val="0"/>
          <w:noProof/>
          <w:sz w:val="24"/>
          <w:szCs w:val="24"/>
        </w:rPr>
      </w:pPr>
      <w:r>
        <w:rPr>
          <w:noProof/>
        </w:rPr>
        <w:t>Alignment with Dietary Guidelines</w:t>
      </w:r>
      <w:r>
        <w:rPr>
          <w:noProof/>
        </w:rPr>
        <w:tab/>
      </w:r>
      <w:r>
        <w:rPr>
          <w:noProof/>
        </w:rPr>
        <w:fldChar w:fldCharType="begin"/>
      </w:r>
      <w:r>
        <w:rPr>
          <w:noProof/>
        </w:rPr>
        <w:instrText xml:space="preserve"> PAGEREF _Toc527112891 \h </w:instrText>
      </w:r>
      <w:r>
        <w:rPr>
          <w:noProof/>
        </w:rPr>
      </w:r>
      <w:r>
        <w:rPr>
          <w:noProof/>
        </w:rPr>
        <w:fldChar w:fldCharType="separate"/>
      </w:r>
      <w:r>
        <w:rPr>
          <w:noProof/>
        </w:rPr>
        <w:t>11</w:t>
      </w:r>
      <w:r>
        <w:rPr>
          <w:noProof/>
        </w:rPr>
        <w:fldChar w:fldCharType="end"/>
      </w:r>
    </w:p>
    <w:p w14:paraId="1182E617" w14:textId="0FB15215" w:rsidR="00EA353D" w:rsidRDefault="00EA353D">
      <w:pPr>
        <w:pStyle w:val="TOC2"/>
        <w:tabs>
          <w:tab w:val="right" w:leader="dot" w:pos="9736"/>
        </w:tabs>
        <w:rPr>
          <w:rFonts w:eastAsiaTheme="minorEastAsia" w:cstheme="minorBidi"/>
          <w:b w:val="0"/>
          <w:bCs w:val="0"/>
          <w:noProof/>
          <w:sz w:val="24"/>
          <w:szCs w:val="24"/>
        </w:rPr>
      </w:pPr>
      <w:r w:rsidRPr="00DE5B0B">
        <w:rPr>
          <w:noProof/>
        </w:rPr>
        <w:t>Principles for approaching the issues</w:t>
      </w:r>
      <w:r>
        <w:rPr>
          <w:noProof/>
        </w:rPr>
        <w:tab/>
      </w:r>
      <w:r>
        <w:rPr>
          <w:noProof/>
        </w:rPr>
        <w:fldChar w:fldCharType="begin"/>
      </w:r>
      <w:r>
        <w:rPr>
          <w:noProof/>
        </w:rPr>
        <w:instrText xml:space="preserve"> PAGEREF _Toc527112892 \h </w:instrText>
      </w:r>
      <w:r>
        <w:rPr>
          <w:noProof/>
        </w:rPr>
      </w:r>
      <w:r>
        <w:rPr>
          <w:noProof/>
        </w:rPr>
        <w:fldChar w:fldCharType="separate"/>
      </w:r>
      <w:r>
        <w:rPr>
          <w:noProof/>
        </w:rPr>
        <w:t>14</w:t>
      </w:r>
      <w:r>
        <w:rPr>
          <w:noProof/>
        </w:rPr>
        <w:fldChar w:fldCharType="end"/>
      </w:r>
    </w:p>
    <w:p w14:paraId="65C1BB52" w14:textId="77EFC3E3" w:rsidR="00EA353D" w:rsidRDefault="00EA353D">
      <w:pPr>
        <w:pStyle w:val="TOC2"/>
        <w:tabs>
          <w:tab w:val="right" w:leader="dot" w:pos="9736"/>
        </w:tabs>
        <w:rPr>
          <w:rFonts w:eastAsiaTheme="minorEastAsia" w:cstheme="minorBidi"/>
          <w:b w:val="0"/>
          <w:bCs w:val="0"/>
          <w:noProof/>
          <w:sz w:val="24"/>
          <w:szCs w:val="24"/>
        </w:rPr>
      </w:pPr>
      <w:r>
        <w:rPr>
          <w:noProof/>
        </w:rPr>
        <w:t>Key issues for examination</w:t>
      </w:r>
      <w:r>
        <w:rPr>
          <w:noProof/>
        </w:rPr>
        <w:tab/>
      </w:r>
      <w:r>
        <w:rPr>
          <w:noProof/>
        </w:rPr>
        <w:fldChar w:fldCharType="begin"/>
      </w:r>
      <w:r>
        <w:rPr>
          <w:noProof/>
        </w:rPr>
        <w:instrText xml:space="preserve"> PAGEREF _Toc527112893 \h </w:instrText>
      </w:r>
      <w:r>
        <w:rPr>
          <w:noProof/>
        </w:rPr>
      </w:r>
      <w:r>
        <w:rPr>
          <w:noProof/>
        </w:rPr>
        <w:fldChar w:fldCharType="separate"/>
      </w:r>
      <w:r>
        <w:rPr>
          <w:noProof/>
        </w:rPr>
        <w:t>15</w:t>
      </w:r>
      <w:r>
        <w:rPr>
          <w:noProof/>
        </w:rPr>
        <w:fldChar w:fldCharType="end"/>
      </w:r>
    </w:p>
    <w:p w14:paraId="543C371E" w14:textId="09E17728" w:rsidR="00EA353D" w:rsidRDefault="00EA353D">
      <w:pPr>
        <w:pStyle w:val="TOC2"/>
        <w:tabs>
          <w:tab w:val="right" w:leader="dot" w:pos="9736"/>
        </w:tabs>
        <w:rPr>
          <w:rFonts w:eastAsiaTheme="minorEastAsia" w:cstheme="minorBidi"/>
          <w:b w:val="0"/>
          <w:bCs w:val="0"/>
          <w:noProof/>
          <w:sz w:val="24"/>
          <w:szCs w:val="24"/>
        </w:rPr>
      </w:pPr>
      <w:r w:rsidRPr="00DE5B0B">
        <w:rPr>
          <w:noProof/>
        </w:rPr>
        <w:t>Issues not explored in this Consultation Paper</w:t>
      </w:r>
      <w:r>
        <w:rPr>
          <w:noProof/>
        </w:rPr>
        <w:tab/>
      </w:r>
      <w:r>
        <w:rPr>
          <w:noProof/>
        </w:rPr>
        <w:fldChar w:fldCharType="begin"/>
      </w:r>
      <w:r>
        <w:rPr>
          <w:noProof/>
        </w:rPr>
        <w:instrText xml:space="preserve"> PAGEREF _Toc527112894 \h </w:instrText>
      </w:r>
      <w:r>
        <w:rPr>
          <w:noProof/>
        </w:rPr>
      </w:r>
      <w:r>
        <w:rPr>
          <w:noProof/>
        </w:rPr>
        <w:fldChar w:fldCharType="separate"/>
      </w:r>
      <w:r>
        <w:rPr>
          <w:noProof/>
        </w:rPr>
        <w:t>16</w:t>
      </w:r>
      <w:r>
        <w:rPr>
          <w:noProof/>
        </w:rPr>
        <w:fldChar w:fldCharType="end"/>
      </w:r>
    </w:p>
    <w:p w14:paraId="251B5D2E" w14:textId="1F8DFA7C" w:rsidR="00EA353D" w:rsidRDefault="00EA353D">
      <w:pPr>
        <w:pStyle w:val="TOC1"/>
        <w:rPr>
          <w:rFonts w:eastAsiaTheme="minorEastAsia" w:cstheme="minorBidi"/>
          <w:b w:val="0"/>
          <w:bCs w:val="0"/>
          <w:noProof/>
          <w:sz w:val="24"/>
        </w:rPr>
      </w:pPr>
      <w:r>
        <w:rPr>
          <w:noProof/>
        </w:rPr>
        <w:t>Chapter 3 – Scope of the HSR System</w:t>
      </w:r>
      <w:r>
        <w:rPr>
          <w:noProof/>
        </w:rPr>
        <w:tab/>
      </w:r>
      <w:r>
        <w:rPr>
          <w:noProof/>
        </w:rPr>
        <w:fldChar w:fldCharType="begin"/>
      </w:r>
      <w:r>
        <w:rPr>
          <w:noProof/>
        </w:rPr>
        <w:instrText xml:space="preserve"> PAGEREF _Toc527112895 \h </w:instrText>
      </w:r>
      <w:r>
        <w:rPr>
          <w:noProof/>
        </w:rPr>
      </w:r>
      <w:r>
        <w:rPr>
          <w:noProof/>
        </w:rPr>
        <w:fldChar w:fldCharType="separate"/>
      </w:r>
      <w:r>
        <w:rPr>
          <w:noProof/>
        </w:rPr>
        <w:t>18</w:t>
      </w:r>
      <w:r>
        <w:rPr>
          <w:noProof/>
        </w:rPr>
        <w:fldChar w:fldCharType="end"/>
      </w:r>
    </w:p>
    <w:p w14:paraId="25D27B0A" w14:textId="0657BA36"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_Toc527112896 \h </w:instrText>
      </w:r>
      <w:r>
        <w:rPr>
          <w:noProof/>
        </w:rPr>
      </w:r>
      <w:r>
        <w:rPr>
          <w:noProof/>
        </w:rPr>
        <w:fldChar w:fldCharType="separate"/>
      </w:r>
      <w:r>
        <w:rPr>
          <w:noProof/>
        </w:rPr>
        <w:t>18</w:t>
      </w:r>
      <w:r>
        <w:rPr>
          <w:noProof/>
        </w:rPr>
        <w:fldChar w:fldCharType="end"/>
      </w:r>
    </w:p>
    <w:p w14:paraId="16C6F37F" w14:textId="66A40460" w:rsidR="00EA353D" w:rsidRDefault="00EA353D">
      <w:pPr>
        <w:pStyle w:val="TOC2"/>
        <w:tabs>
          <w:tab w:val="right" w:leader="dot" w:pos="9736"/>
        </w:tabs>
        <w:rPr>
          <w:rFonts w:eastAsiaTheme="minorEastAsia" w:cstheme="minorBidi"/>
          <w:b w:val="0"/>
          <w:bCs w:val="0"/>
          <w:noProof/>
          <w:sz w:val="24"/>
          <w:szCs w:val="24"/>
        </w:rPr>
      </w:pPr>
      <w:r>
        <w:rPr>
          <w:noProof/>
        </w:rPr>
        <w:t>Fresh or minimally processed fruits and vegetables</w:t>
      </w:r>
      <w:r>
        <w:rPr>
          <w:noProof/>
        </w:rPr>
        <w:tab/>
      </w:r>
      <w:r>
        <w:rPr>
          <w:noProof/>
        </w:rPr>
        <w:fldChar w:fldCharType="begin"/>
      </w:r>
      <w:r>
        <w:rPr>
          <w:noProof/>
        </w:rPr>
        <w:instrText xml:space="preserve"> PAGEREF _Toc527112897 \h </w:instrText>
      </w:r>
      <w:r>
        <w:rPr>
          <w:noProof/>
        </w:rPr>
      </w:r>
      <w:r>
        <w:rPr>
          <w:noProof/>
        </w:rPr>
        <w:fldChar w:fldCharType="separate"/>
      </w:r>
      <w:r>
        <w:rPr>
          <w:noProof/>
        </w:rPr>
        <w:t>18</w:t>
      </w:r>
      <w:r>
        <w:rPr>
          <w:noProof/>
        </w:rPr>
        <w:fldChar w:fldCharType="end"/>
      </w:r>
    </w:p>
    <w:p w14:paraId="6977FFD7" w14:textId="3ED5EFAC" w:rsidR="00EA353D" w:rsidRDefault="00EA353D">
      <w:pPr>
        <w:pStyle w:val="TOC2"/>
        <w:tabs>
          <w:tab w:val="right" w:leader="dot" w:pos="9736"/>
        </w:tabs>
        <w:rPr>
          <w:rFonts w:eastAsiaTheme="minorEastAsia" w:cstheme="minorBidi"/>
          <w:b w:val="0"/>
          <w:bCs w:val="0"/>
          <w:noProof/>
          <w:sz w:val="24"/>
          <w:szCs w:val="24"/>
        </w:rPr>
      </w:pPr>
      <w:r>
        <w:rPr>
          <w:noProof/>
        </w:rPr>
        <w:t>Non-dairy beverages</w:t>
      </w:r>
      <w:r>
        <w:rPr>
          <w:noProof/>
        </w:rPr>
        <w:tab/>
      </w:r>
      <w:r>
        <w:rPr>
          <w:noProof/>
        </w:rPr>
        <w:fldChar w:fldCharType="begin"/>
      </w:r>
      <w:r>
        <w:rPr>
          <w:noProof/>
        </w:rPr>
        <w:instrText xml:space="preserve"> PAGEREF _Toc527112898 \h </w:instrText>
      </w:r>
      <w:r>
        <w:rPr>
          <w:noProof/>
        </w:rPr>
      </w:r>
      <w:r>
        <w:rPr>
          <w:noProof/>
        </w:rPr>
        <w:fldChar w:fldCharType="separate"/>
      </w:r>
      <w:r>
        <w:rPr>
          <w:noProof/>
        </w:rPr>
        <w:t>22</w:t>
      </w:r>
      <w:r>
        <w:rPr>
          <w:noProof/>
        </w:rPr>
        <w:fldChar w:fldCharType="end"/>
      </w:r>
    </w:p>
    <w:p w14:paraId="3B9EB77E" w14:textId="798B238A" w:rsidR="00EA353D" w:rsidRDefault="00EA353D">
      <w:pPr>
        <w:pStyle w:val="TOC1"/>
        <w:rPr>
          <w:rFonts w:eastAsiaTheme="minorEastAsia" w:cstheme="minorBidi"/>
          <w:b w:val="0"/>
          <w:bCs w:val="0"/>
          <w:noProof/>
          <w:sz w:val="24"/>
        </w:rPr>
      </w:pPr>
      <w:r>
        <w:rPr>
          <w:noProof/>
        </w:rPr>
        <w:t>Chapter 4 – Risk nutrients</w:t>
      </w:r>
      <w:r>
        <w:rPr>
          <w:noProof/>
        </w:rPr>
        <w:tab/>
      </w:r>
      <w:r>
        <w:rPr>
          <w:noProof/>
        </w:rPr>
        <w:fldChar w:fldCharType="begin"/>
      </w:r>
      <w:r>
        <w:rPr>
          <w:noProof/>
        </w:rPr>
        <w:instrText xml:space="preserve"> PAGEREF _Toc527112899 \h </w:instrText>
      </w:r>
      <w:r>
        <w:rPr>
          <w:noProof/>
        </w:rPr>
      </w:r>
      <w:r>
        <w:rPr>
          <w:noProof/>
        </w:rPr>
        <w:fldChar w:fldCharType="separate"/>
      </w:r>
      <w:r>
        <w:rPr>
          <w:noProof/>
        </w:rPr>
        <w:t>28</w:t>
      </w:r>
      <w:r>
        <w:rPr>
          <w:noProof/>
        </w:rPr>
        <w:fldChar w:fldCharType="end"/>
      </w:r>
    </w:p>
    <w:p w14:paraId="52F23530" w14:textId="7C914FD6"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_Toc527112900 \h </w:instrText>
      </w:r>
      <w:r>
        <w:rPr>
          <w:noProof/>
        </w:rPr>
      </w:r>
      <w:r>
        <w:rPr>
          <w:noProof/>
        </w:rPr>
        <w:fldChar w:fldCharType="separate"/>
      </w:r>
      <w:r>
        <w:rPr>
          <w:noProof/>
        </w:rPr>
        <w:t>28</w:t>
      </w:r>
      <w:r>
        <w:rPr>
          <w:noProof/>
        </w:rPr>
        <w:fldChar w:fldCharType="end"/>
      </w:r>
    </w:p>
    <w:p w14:paraId="30EF592A" w14:textId="103A7A0B" w:rsidR="00EA353D" w:rsidRDefault="00EA353D">
      <w:pPr>
        <w:pStyle w:val="TOC2"/>
        <w:tabs>
          <w:tab w:val="right" w:leader="dot" w:pos="9736"/>
        </w:tabs>
        <w:rPr>
          <w:rFonts w:eastAsiaTheme="minorEastAsia" w:cstheme="minorBidi"/>
          <w:b w:val="0"/>
          <w:bCs w:val="0"/>
          <w:noProof/>
          <w:sz w:val="24"/>
          <w:szCs w:val="24"/>
        </w:rPr>
      </w:pPr>
      <w:r>
        <w:rPr>
          <w:noProof/>
        </w:rPr>
        <w:t>Sugars</w:t>
      </w:r>
      <w:r>
        <w:rPr>
          <w:noProof/>
        </w:rPr>
        <w:tab/>
      </w:r>
      <w:r>
        <w:rPr>
          <w:noProof/>
        </w:rPr>
        <w:fldChar w:fldCharType="begin"/>
      </w:r>
      <w:r>
        <w:rPr>
          <w:noProof/>
        </w:rPr>
        <w:instrText xml:space="preserve"> PAGEREF _Toc527112901 \h </w:instrText>
      </w:r>
      <w:r>
        <w:rPr>
          <w:noProof/>
        </w:rPr>
      </w:r>
      <w:r>
        <w:rPr>
          <w:noProof/>
        </w:rPr>
        <w:fldChar w:fldCharType="separate"/>
      </w:r>
      <w:r>
        <w:rPr>
          <w:noProof/>
        </w:rPr>
        <w:t>28</w:t>
      </w:r>
      <w:r>
        <w:rPr>
          <w:noProof/>
        </w:rPr>
        <w:fldChar w:fldCharType="end"/>
      </w:r>
    </w:p>
    <w:p w14:paraId="693C7B38" w14:textId="358E74C4" w:rsidR="00EA353D" w:rsidRDefault="00EA353D">
      <w:pPr>
        <w:pStyle w:val="TOC2"/>
        <w:tabs>
          <w:tab w:val="right" w:leader="dot" w:pos="9736"/>
        </w:tabs>
        <w:rPr>
          <w:rFonts w:eastAsiaTheme="minorEastAsia" w:cstheme="minorBidi"/>
          <w:b w:val="0"/>
          <w:bCs w:val="0"/>
          <w:noProof/>
          <w:sz w:val="24"/>
          <w:szCs w:val="24"/>
        </w:rPr>
      </w:pPr>
      <w:r>
        <w:rPr>
          <w:noProof/>
        </w:rPr>
        <w:t>Sodium</w:t>
      </w:r>
      <w:r>
        <w:rPr>
          <w:noProof/>
        </w:rPr>
        <w:tab/>
      </w:r>
      <w:r>
        <w:rPr>
          <w:noProof/>
        </w:rPr>
        <w:fldChar w:fldCharType="begin"/>
      </w:r>
      <w:r>
        <w:rPr>
          <w:noProof/>
        </w:rPr>
        <w:instrText xml:space="preserve"> PAGEREF _Toc527112902 \h </w:instrText>
      </w:r>
      <w:r>
        <w:rPr>
          <w:noProof/>
        </w:rPr>
      </w:r>
      <w:r>
        <w:rPr>
          <w:noProof/>
        </w:rPr>
        <w:fldChar w:fldCharType="separate"/>
      </w:r>
      <w:r>
        <w:rPr>
          <w:noProof/>
        </w:rPr>
        <w:t>35</w:t>
      </w:r>
      <w:r>
        <w:rPr>
          <w:noProof/>
        </w:rPr>
        <w:fldChar w:fldCharType="end"/>
      </w:r>
    </w:p>
    <w:p w14:paraId="505000D0" w14:textId="02CFECB4" w:rsidR="00EA353D" w:rsidRDefault="00EA353D">
      <w:pPr>
        <w:pStyle w:val="TOC1"/>
        <w:rPr>
          <w:rFonts w:eastAsiaTheme="minorEastAsia" w:cstheme="minorBidi"/>
          <w:b w:val="0"/>
          <w:bCs w:val="0"/>
          <w:noProof/>
          <w:sz w:val="24"/>
        </w:rPr>
      </w:pPr>
      <w:r>
        <w:rPr>
          <w:noProof/>
        </w:rPr>
        <w:t>Chapter 5 – Positive nutrients</w:t>
      </w:r>
      <w:r>
        <w:rPr>
          <w:noProof/>
        </w:rPr>
        <w:tab/>
      </w:r>
      <w:r>
        <w:rPr>
          <w:noProof/>
        </w:rPr>
        <w:fldChar w:fldCharType="begin"/>
      </w:r>
      <w:r>
        <w:rPr>
          <w:noProof/>
        </w:rPr>
        <w:instrText xml:space="preserve"> PAGEREF _Toc527112903 \h </w:instrText>
      </w:r>
      <w:r>
        <w:rPr>
          <w:noProof/>
        </w:rPr>
      </w:r>
      <w:r>
        <w:rPr>
          <w:noProof/>
        </w:rPr>
        <w:fldChar w:fldCharType="separate"/>
      </w:r>
      <w:r>
        <w:rPr>
          <w:noProof/>
        </w:rPr>
        <w:t>39</w:t>
      </w:r>
      <w:r>
        <w:rPr>
          <w:noProof/>
        </w:rPr>
        <w:fldChar w:fldCharType="end"/>
      </w:r>
    </w:p>
    <w:p w14:paraId="283C13DD" w14:textId="47FFF683"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_Toc527112904 \h </w:instrText>
      </w:r>
      <w:r>
        <w:rPr>
          <w:noProof/>
        </w:rPr>
      </w:r>
      <w:r>
        <w:rPr>
          <w:noProof/>
        </w:rPr>
        <w:fldChar w:fldCharType="separate"/>
      </w:r>
      <w:r>
        <w:rPr>
          <w:noProof/>
        </w:rPr>
        <w:t>39</w:t>
      </w:r>
      <w:r>
        <w:rPr>
          <w:noProof/>
        </w:rPr>
        <w:fldChar w:fldCharType="end"/>
      </w:r>
    </w:p>
    <w:p w14:paraId="23D2D922" w14:textId="456599A3" w:rsidR="00EA353D" w:rsidRDefault="00EA353D">
      <w:pPr>
        <w:pStyle w:val="TOC2"/>
        <w:tabs>
          <w:tab w:val="right" w:leader="dot" w:pos="9736"/>
        </w:tabs>
        <w:rPr>
          <w:rFonts w:eastAsiaTheme="minorEastAsia" w:cstheme="minorBidi"/>
          <w:b w:val="0"/>
          <w:bCs w:val="0"/>
          <w:noProof/>
          <w:sz w:val="24"/>
          <w:szCs w:val="24"/>
        </w:rPr>
      </w:pPr>
      <w:r>
        <w:rPr>
          <w:noProof/>
        </w:rPr>
        <w:t>Protein</w:t>
      </w:r>
      <w:r>
        <w:rPr>
          <w:noProof/>
        </w:rPr>
        <w:tab/>
      </w:r>
      <w:r>
        <w:rPr>
          <w:noProof/>
        </w:rPr>
        <w:fldChar w:fldCharType="begin"/>
      </w:r>
      <w:r>
        <w:rPr>
          <w:noProof/>
        </w:rPr>
        <w:instrText xml:space="preserve"> PAGEREF _Toc527112905 \h </w:instrText>
      </w:r>
      <w:r>
        <w:rPr>
          <w:noProof/>
        </w:rPr>
      </w:r>
      <w:r>
        <w:rPr>
          <w:noProof/>
        </w:rPr>
        <w:fldChar w:fldCharType="separate"/>
      </w:r>
      <w:r>
        <w:rPr>
          <w:noProof/>
        </w:rPr>
        <w:t>39</w:t>
      </w:r>
      <w:r>
        <w:rPr>
          <w:noProof/>
        </w:rPr>
        <w:fldChar w:fldCharType="end"/>
      </w:r>
    </w:p>
    <w:p w14:paraId="6AE0AAA4" w14:textId="647561C3" w:rsidR="00EA353D" w:rsidRDefault="00EA353D">
      <w:pPr>
        <w:pStyle w:val="TOC2"/>
        <w:tabs>
          <w:tab w:val="right" w:leader="dot" w:pos="9736"/>
        </w:tabs>
        <w:rPr>
          <w:rFonts w:eastAsiaTheme="minorEastAsia" w:cstheme="minorBidi"/>
          <w:b w:val="0"/>
          <w:bCs w:val="0"/>
          <w:noProof/>
          <w:sz w:val="24"/>
          <w:szCs w:val="24"/>
        </w:rPr>
      </w:pPr>
      <w:r>
        <w:rPr>
          <w:noProof/>
        </w:rPr>
        <w:t>Fibre and wholegrain</w:t>
      </w:r>
      <w:r>
        <w:rPr>
          <w:noProof/>
        </w:rPr>
        <w:tab/>
      </w:r>
      <w:r>
        <w:rPr>
          <w:noProof/>
        </w:rPr>
        <w:fldChar w:fldCharType="begin"/>
      </w:r>
      <w:r>
        <w:rPr>
          <w:noProof/>
        </w:rPr>
        <w:instrText xml:space="preserve"> PAGEREF _Toc527112906 \h </w:instrText>
      </w:r>
      <w:r>
        <w:rPr>
          <w:noProof/>
        </w:rPr>
      </w:r>
      <w:r>
        <w:rPr>
          <w:noProof/>
        </w:rPr>
        <w:fldChar w:fldCharType="separate"/>
      </w:r>
      <w:r>
        <w:rPr>
          <w:noProof/>
        </w:rPr>
        <w:t>43</w:t>
      </w:r>
      <w:r>
        <w:rPr>
          <w:noProof/>
        </w:rPr>
        <w:fldChar w:fldCharType="end"/>
      </w:r>
    </w:p>
    <w:p w14:paraId="47FF45BF" w14:textId="101964FF" w:rsidR="00EA353D" w:rsidRDefault="00EA353D">
      <w:pPr>
        <w:pStyle w:val="TOC1"/>
        <w:rPr>
          <w:rFonts w:eastAsiaTheme="minorEastAsia" w:cstheme="minorBidi"/>
          <w:b w:val="0"/>
          <w:bCs w:val="0"/>
          <w:noProof/>
          <w:sz w:val="24"/>
        </w:rPr>
      </w:pPr>
      <w:r>
        <w:rPr>
          <w:noProof/>
        </w:rPr>
        <w:t>Chapter 6 – Product specific issues</w:t>
      </w:r>
      <w:r>
        <w:rPr>
          <w:noProof/>
        </w:rPr>
        <w:tab/>
      </w:r>
      <w:r>
        <w:rPr>
          <w:noProof/>
        </w:rPr>
        <w:fldChar w:fldCharType="begin"/>
      </w:r>
      <w:r>
        <w:rPr>
          <w:noProof/>
        </w:rPr>
        <w:instrText xml:space="preserve"> PAGEREF _Toc527112907 \h </w:instrText>
      </w:r>
      <w:r>
        <w:rPr>
          <w:noProof/>
        </w:rPr>
      </w:r>
      <w:r>
        <w:rPr>
          <w:noProof/>
        </w:rPr>
        <w:fldChar w:fldCharType="separate"/>
      </w:r>
      <w:r>
        <w:rPr>
          <w:noProof/>
        </w:rPr>
        <w:t>46</w:t>
      </w:r>
      <w:r>
        <w:rPr>
          <w:noProof/>
        </w:rPr>
        <w:fldChar w:fldCharType="end"/>
      </w:r>
    </w:p>
    <w:p w14:paraId="27238715" w14:textId="10B69A07"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_Toc527112908 \h </w:instrText>
      </w:r>
      <w:r>
        <w:rPr>
          <w:noProof/>
        </w:rPr>
      </w:r>
      <w:r>
        <w:rPr>
          <w:noProof/>
        </w:rPr>
        <w:fldChar w:fldCharType="separate"/>
      </w:r>
      <w:r>
        <w:rPr>
          <w:noProof/>
        </w:rPr>
        <w:t>46</w:t>
      </w:r>
      <w:r>
        <w:rPr>
          <w:noProof/>
        </w:rPr>
        <w:fldChar w:fldCharType="end"/>
      </w:r>
    </w:p>
    <w:p w14:paraId="1901EA2D" w14:textId="10947BA2" w:rsidR="00EA353D" w:rsidRDefault="00EA353D">
      <w:pPr>
        <w:pStyle w:val="TOC2"/>
        <w:tabs>
          <w:tab w:val="right" w:leader="dot" w:pos="9736"/>
        </w:tabs>
        <w:rPr>
          <w:rFonts w:eastAsiaTheme="minorEastAsia" w:cstheme="minorBidi"/>
          <w:b w:val="0"/>
          <w:bCs w:val="0"/>
          <w:noProof/>
          <w:sz w:val="24"/>
          <w:szCs w:val="24"/>
        </w:rPr>
      </w:pPr>
      <w:r>
        <w:rPr>
          <w:noProof/>
        </w:rPr>
        <w:t>Oils and oil-based spreads</w:t>
      </w:r>
      <w:r>
        <w:rPr>
          <w:noProof/>
        </w:rPr>
        <w:tab/>
      </w:r>
      <w:r>
        <w:rPr>
          <w:noProof/>
        </w:rPr>
        <w:fldChar w:fldCharType="begin"/>
      </w:r>
      <w:r>
        <w:rPr>
          <w:noProof/>
        </w:rPr>
        <w:instrText xml:space="preserve"> PAGEREF _Toc527112909 \h </w:instrText>
      </w:r>
      <w:r>
        <w:rPr>
          <w:noProof/>
        </w:rPr>
      </w:r>
      <w:r>
        <w:rPr>
          <w:noProof/>
        </w:rPr>
        <w:fldChar w:fldCharType="separate"/>
      </w:r>
      <w:r>
        <w:rPr>
          <w:noProof/>
        </w:rPr>
        <w:t>46</w:t>
      </w:r>
      <w:r>
        <w:rPr>
          <w:noProof/>
        </w:rPr>
        <w:fldChar w:fldCharType="end"/>
      </w:r>
    </w:p>
    <w:p w14:paraId="79818700" w14:textId="189BBDEF" w:rsidR="00EA353D" w:rsidRDefault="00EA353D">
      <w:pPr>
        <w:pStyle w:val="TOC2"/>
        <w:tabs>
          <w:tab w:val="right" w:leader="dot" w:pos="9736"/>
        </w:tabs>
        <w:rPr>
          <w:rFonts w:eastAsiaTheme="minorEastAsia" w:cstheme="minorBidi"/>
          <w:b w:val="0"/>
          <w:bCs w:val="0"/>
          <w:noProof/>
          <w:sz w:val="24"/>
          <w:szCs w:val="24"/>
        </w:rPr>
      </w:pPr>
      <w:r>
        <w:rPr>
          <w:noProof/>
        </w:rPr>
        <w:t>Salty snacks</w:t>
      </w:r>
      <w:r>
        <w:rPr>
          <w:noProof/>
        </w:rPr>
        <w:tab/>
      </w:r>
      <w:r>
        <w:rPr>
          <w:noProof/>
        </w:rPr>
        <w:fldChar w:fldCharType="begin"/>
      </w:r>
      <w:r>
        <w:rPr>
          <w:noProof/>
        </w:rPr>
        <w:instrText xml:space="preserve"> PAGEREF _Toc527112910 \h </w:instrText>
      </w:r>
      <w:r>
        <w:rPr>
          <w:noProof/>
        </w:rPr>
      </w:r>
      <w:r>
        <w:rPr>
          <w:noProof/>
        </w:rPr>
        <w:fldChar w:fldCharType="separate"/>
      </w:r>
      <w:r>
        <w:rPr>
          <w:noProof/>
        </w:rPr>
        <w:t>49</w:t>
      </w:r>
      <w:r>
        <w:rPr>
          <w:noProof/>
        </w:rPr>
        <w:fldChar w:fldCharType="end"/>
      </w:r>
    </w:p>
    <w:p w14:paraId="79251637" w14:textId="74CA6CC4" w:rsidR="00EA353D" w:rsidRDefault="00EA353D">
      <w:pPr>
        <w:pStyle w:val="TOC2"/>
        <w:tabs>
          <w:tab w:val="right" w:leader="dot" w:pos="9736"/>
        </w:tabs>
        <w:rPr>
          <w:rFonts w:eastAsiaTheme="minorEastAsia" w:cstheme="minorBidi"/>
          <w:b w:val="0"/>
          <w:bCs w:val="0"/>
          <w:noProof/>
          <w:sz w:val="24"/>
          <w:szCs w:val="24"/>
        </w:rPr>
      </w:pPr>
      <w:r>
        <w:rPr>
          <w:noProof/>
        </w:rPr>
        <w:t>Dairy desserts</w:t>
      </w:r>
      <w:r>
        <w:rPr>
          <w:noProof/>
        </w:rPr>
        <w:tab/>
      </w:r>
      <w:r>
        <w:rPr>
          <w:noProof/>
        </w:rPr>
        <w:fldChar w:fldCharType="begin"/>
      </w:r>
      <w:r>
        <w:rPr>
          <w:noProof/>
        </w:rPr>
        <w:instrText xml:space="preserve"> PAGEREF _Toc527112911 \h </w:instrText>
      </w:r>
      <w:r>
        <w:rPr>
          <w:noProof/>
        </w:rPr>
      </w:r>
      <w:r>
        <w:rPr>
          <w:noProof/>
        </w:rPr>
        <w:fldChar w:fldCharType="separate"/>
      </w:r>
      <w:r>
        <w:rPr>
          <w:noProof/>
        </w:rPr>
        <w:t>52</w:t>
      </w:r>
      <w:r>
        <w:rPr>
          <w:noProof/>
        </w:rPr>
        <w:fldChar w:fldCharType="end"/>
      </w:r>
    </w:p>
    <w:p w14:paraId="1ED228B4" w14:textId="352FDFE1" w:rsidR="00EA353D" w:rsidRDefault="00EA353D">
      <w:pPr>
        <w:pStyle w:val="TOC2"/>
        <w:tabs>
          <w:tab w:val="right" w:leader="dot" w:pos="9736"/>
        </w:tabs>
        <w:rPr>
          <w:rFonts w:eastAsiaTheme="minorEastAsia" w:cstheme="minorBidi"/>
          <w:b w:val="0"/>
          <w:bCs w:val="0"/>
          <w:noProof/>
          <w:sz w:val="24"/>
          <w:szCs w:val="24"/>
        </w:rPr>
      </w:pPr>
      <w:r>
        <w:rPr>
          <w:noProof/>
        </w:rPr>
        <w:t>Ice confections and jellies</w:t>
      </w:r>
      <w:r>
        <w:rPr>
          <w:noProof/>
        </w:rPr>
        <w:tab/>
      </w:r>
      <w:r>
        <w:rPr>
          <w:noProof/>
        </w:rPr>
        <w:fldChar w:fldCharType="begin"/>
      </w:r>
      <w:r>
        <w:rPr>
          <w:noProof/>
        </w:rPr>
        <w:instrText xml:space="preserve"> PAGEREF _Toc527112912 \h </w:instrText>
      </w:r>
      <w:r>
        <w:rPr>
          <w:noProof/>
        </w:rPr>
      </w:r>
      <w:r>
        <w:rPr>
          <w:noProof/>
        </w:rPr>
        <w:fldChar w:fldCharType="separate"/>
      </w:r>
      <w:r>
        <w:rPr>
          <w:noProof/>
        </w:rPr>
        <w:t>54</w:t>
      </w:r>
      <w:r>
        <w:rPr>
          <w:noProof/>
        </w:rPr>
        <w:fldChar w:fldCharType="end"/>
      </w:r>
    </w:p>
    <w:p w14:paraId="7F704A71" w14:textId="65BA8720" w:rsidR="00EA353D" w:rsidRDefault="00EA353D">
      <w:pPr>
        <w:pStyle w:val="TOC1"/>
        <w:rPr>
          <w:rFonts w:eastAsiaTheme="minorEastAsia" w:cstheme="minorBidi"/>
          <w:b w:val="0"/>
          <w:bCs w:val="0"/>
          <w:noProof/>
          <w:sz w:val="24"/>
        </w:rPr>
      </w:pPr>
      <w:r>
        <w:rPr>
          <w:noProof/>
        </w:rPr>
        <w:t>Chapter 7 – Impact of proposed changes</w:t>
      </w:r>
      <w:r>
        <w:rPr>
          <w:noProof/>
        </w:rPr>
        <w:tab/>
      </w:r>
      <w:r>
        <w:rPr>
          <w:noProof/>
        </w:rPr>
        <w:fldChar w:fldCharType="begin"/>
      </w:r>
      <w:r>
        <w:rPr>
          <w:noProof/>
        </w:rPr>
        <w:instrText xml:space="preserve"> PAGEREF _Toc527112913 \h </w:instrText>
      </w:r>
      <w:r>
        <w:rPr>
          <w:noProof/>
        </w:rPr>
      </w:r>
      <w:r>
        <w:rPr>
          <w:noProof/>
        </w:rPr>
        <w:fldChar w:fldCharType="separate"/>
      </w:r>
      <w:r>
        <w:rPr>
          <w:noProof/>
        </w:rPr>
        <w:t>56</w:t>
      </w:r>
      <w:r>
        <w:rPr>
          <w:noProof/>
        </w:rPr>
        <w:fldChar w:fldCharType="end"/>
      </w:r>
    </w:p>
    <w:p w14:paraId="11E4D514" w14:textId="47D33E94" w:rsidR="00EA353D" w:rsidRDefault="00EA353D">
      <w:pPr>
        <w:pStyle w:val="TOC2"/>
        <w:tabs>
          <w:tab w:val="right" w:leader="dot" w:pos="9736"/>
        </w:tabs>
        <w:rPr>
          <w:rFonts w:eastAsiaTheme="minorEastAsia" w:cstheme="minorBidi"/>
          <w:b w:val="0"/>
          <w:bCs w:val="0"/>
          <w:noProof/>
          <w:sz w:val="24"/>
          <w:szCs w:val="24"/>
        </w:rPr>
      </w:pPr>
      <w:r>
        <w:rPr>
          <w:noProof/>
        </w:rPr>
        <w:t>Summary of preferred options</w:t>
      </w:r>
      <w:r>
        <w:rPr>
          <w:noProof/>
        </w:rPr>
        <w:tab/>
      </w:r>
      <w:r>
        <w:rPr>
          <w:noProof/>
        </w:rPr>
        <w:fldChar w:fldCharType="begin"/>
      </w:r>
      <w:r>
        <w:rPr>
          <w:noProof/>
        </w:rPr>
        <w:instrText xml:space="preserve"> PAGEREF _Toc527112914 \h </w:instrText>
      </w:r>
      <w:r>
        <w:rPr>
          <w:noProof/>
        </w:rPr>
      </w:r>
      <w:r>
        <w:rPr>
          <w:noProof/>
        </w:rPr>
        <w:fldChar w:fldCharType="separate"/>
      </w:r>
      <w:r>
        <w:rPr>
          <w:noProof/>
        </w:rPr>
        <w:t>56</w:t>
      </w:r>
      <w:r>
        <w:rPr>
          <w:noProof/>
        </w:rPr>
        <w:fldChar w:fldCharType="end"/>
      </w:r>
    </w:p>
    <w:p w14:paraId="12CF15D8" w14:textId="751CB3DB" w:rsidR="00EA353D" w:rsidRDefault="00EA353D">
      <w:pPr>
        <w:pStyle w:val="TOC2"/>
        <w:tabs>
          <w:tab w:val="right" w:leader="dot" w:pos="9736"/>
        </w:tabs>
        <w:rPr>
          <w:rFonts w:eastAsiaTheme="minorEastAsia" w:cstheme="minorBidi"/>
          <w:b w:val="0"/>
          <w:bCs w:val="0"/>
          <w:noProof/>
          <w:sz w:val="24"/>
          <w:szCs w:val="24"/>
        </w:rPr>
      </w:pPr>
      <w:r>
        <w:rPr>
          <w:noProof/>
        </w:rPr>
        <w:t>Combined impact of changes on specific product types</w:t>
      </w:r>
      <w:r>
        <w:rPr>
          <w:noProof/>
        </w:rPr>
        <w:tab/>
      </w:r>
      <w:r>
        <w:rPr>
          <w:noProof/>
        </w:rPr>
        <w:fldChar w:fldCharType="begin"/>
      </w:r>
      <w:r>
        <w:rPr>
          <w:noProof/>
        </w:rPr>
        <w:instrText xml:space="preserve"> PAGEREF _Toc527112915 \h </w:instrText>
      </w:r>
      <w:r>
        <w:rPr>
          <w:noProof/>
        </w:rPr>
      </w:r>
      <w:r>
        <w:rPr>
          <w:noProof/>
        </w:rPr>
        <w:fldChar w:fldCharType="separate"/>
      </w:r>
      <w:r>
        <w:rPr>
          <w:noProof/>
        </w:rPr>
        <w:t>59</w:t>
      </w:r>
      <w:r>
        <w:rPr>
          <w:noProof/>
        </w:rPr>
        <w:fldChar w:fldCharType="end"/>
      </w:r>
    </w:p>
    <w:p w14:paraId="2D85AE13" w14:textId="4FE63E13" w:rsidR="00EA353D" w:rsidRDefault="00EA353D">
      <w:pPr>
        <w:pStyle w:val="TOC2"/>
        <w:tabs>
          <w:tab w:val="right" w:leader="dot" w:pos="9736"/>
        </w:tabs>
        <w:rPr>
          <w:rFonts w:eastAsiaTheme="minorEastAsia" w:cstheme="minorBidi"/>
          <w:b w:val="0"/>
          <w:bCs w:val="0"/>
          <w:noProof/>
          <w:sz w:val="24"/>
          <w:szCs w:val="24"/>
        </w:rPr>
      </w:pPr>
      <w:r>
        <w:rPr>
          <w:noProof/>
        </w:rPr>
        <w:t>Combined effect of changes</w:t>
      </w:r>
      <w:r>
        <w:rPr>
          <w:noProof/>
        </w:rPr>
        <w:tab/>
      </w:r>
      <w:r>
        <w:rPr>
          <w:noProof/>
        </w:rPr>
        <w:fldChar w:fldCharType="begin"/>
      </w:r>
      <w:r>
        <w:rPr>
          <w:noProof/>
        </w:rPr>
        <w:instrText xml:space="preserve"> PAGEREF _Toc527112916 \h </w:instrText>
      </w:r>
      <w:r>
        <w:rPr>
          <w:noProof/>
        </w:rPr>
      </w:r>
      <w:r>
        <w:rPr>
          <w:noProof/>
        </w:rPr>
        <w:fldChar w:fldCharType="separate"/>
      </w:r>
      <w:r>
        <w:rPr>
          <w:noProof/>
        </w:rPr>
        <w:t>62</w:t>
      </w:r>
      <w:r>
        <w:rPr>
          <w:noProof/>
        </w:rPr>
        <w:fldChar w:fldCharType="end"/>
      </w:r>
    </w:p>
    <w:p w14:paraId="7C73E7FD" w14:textId="5DB4159C" w:rsidR="00EA353D" w:rsidRDefault="00EA353D">
      <w:pPr>
        <w:pStyle w:val="TOC1"/>
        <w:rPr>
          <w:rFonts w:eastAsiaTheme="minorEastAsia" w:cstheme="minorBidi"/>
          <w:b w:val="0"/>
          <w:bCs w:val="0"/>
          <w:noProof/>
          <w:sz w:val="24"/>
        </w:rPr>
      </w:pPr>
      <w:r>
        <w:rPr>
          <w:noProof/>
        </w:rPr>
        <w:t>Chapter 8 – Next steps</w:t>
      </w:r>
      <w:r>
        <w:rPr>
          <w:noProof/>
        </w:rPr>
        <w:tab/>
      </w:r>
      <w:r>
        <w:rPr>
          <w:noProof/>
        </w:rPr>
        <w:fldChar w:fldCharType="begin"/>
      </w:r>
      <w:r>
        <w:rPr>
          <w:noProof/>
        </w:rPr>
        <w:instrText xml:space="preserve"> PAGEREF _Toc527112917 \h </w:instrText>
      </w:r>
      <w:r>
        <w:rPr>
          <w:noProof/>
        </w:rPr>
      </w:r>
      <w:r>
        <w:rPr>
          <w:noProof/>
        </w:rPr>
        <w:fldChar w:fldCharType="separate"/>
      </w:r>
      <w:r>
        <w:rPr>
          <w:noProof/>
        </w:rPr>
        <w:t>63</w:t>
      </w:r>
      <w:r>
        <w:rPr>
          <w:noProof/>
        </w:rPr>
        <w:fldChar w:fldCharType="end"/>
      </w:r>
    </w:p>
    <w:p w14:paraId="0597D3FE" w14:textId="319F9C81" w:rsidR="00EA353D" w:rsidRDefault="00EA353D">
      <w:pPr>
        <w:pStyle w:val="TOC1"/>
        <w:rPr>
          <w:rFonts w:eastAsiaTheme="minorEastAsia" w:cstheme="minorBidi"/>
          <w:b w:val="0"/>
          <w:bCs w:val="0"/>
          <w:noProof/>
          <w:sz w:val="24"/>
        </w:rPr>
      </w:pPr>
      <w:r>
        <w:rPr>
          <w:noProof/>
        </w:rPr>
        <w:t>Appendix 1 – The HSR Calculator</w:t>
      </w:r>
      <w:r>
        <w:rPr>
          <w:noProof/>
        </w:rPr>
        <w:tab/>
      </w:r>
      <w:r>
        <w:rPr>
          <w:noProof/>
        </w:rPr>
        <w:fldChar w:fldCharType="begin"/>
      </w:r>
      <w:r>
        <w:rPr>
          <w:noProof/>
        </w:rPr>
        <w:instrText xml:space="preserve"> PAGEREF _Toc527112918 \h </w:instrText>
      </w:r>
      <w:r>
        <w:rPr>
          <w:noProof/>
        </w:rPr>
      </w:r>
      <w:r>
        <w:rPr>
          <w:noProof/>
        </w:rPr>
        <w:fldChar w:fldCharType="separate"/>
      </w:r>
      <w:r>
        <w:rPr>
          <w:noProof/>
        </w:rPr>
        <w:t>64</w:t>
      </w:r>
      <w:r>
        <w:rPr>
          <w:noProof/>
        </w:rPr>
        <w:fldChar w:fldCharType="end"/>
      </w:r>
    </w:p>
    <w:p w14:paraId="2CAC6D26" w14:textId="6D0574FC"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_Toc527112919 \h </w:instrText>
      </w:r>
      <w:r>
        <w:rPr>
          <w:noProof/>
        </w:rPr>
      </w:r>
      <w:r>
        <w:rPr>
          <w:noProof/>
        </w:rPr>
        <w:fldChar w:fldCharType="separate"/>
      </w:r>
      <w:r>
        <w:rPr>
          <w:noProof/>
        </w:rPr>
        <w:t>64</w:t>
      </w:r>
      <w:r>
        <w:rPr>
          <w:noProof/>
        </w:rPr>
        <w:fldChar w:fldCharType="end"/>
      </w:r>
    </w:p>
    <w:p w14:paraId="6DE41548" w14:textId="3AC8273B" w:rsidR="00EA353D" w:rsidRDefault="00EA353D">
      <w:pPr>
        <w:pStyle w:val="TOC2"/>
        <w:tabs>
          <w:tab w:val="right" w:leader="dot" w:pos="9736"/>
        </w:tabs>
        <w:rPr>
          <w:rFonts w:eastAsiaTheme="minorEastAsia" w:cstheme="minorBidi"/>
          <w:b w:val="0"/>
          <w:bCs w:val="0"/>
          <w:noProof/>
          <w:sz w:val="24"/>
          <w:szCs w:val="24"/>
        </w:rPr>
      </w:pPr>
      <w:r>
        <w:rPr>
          <w:noProof/>
        </w:rPr>
        <w:t>How the HSR Calculator works</w:t>
      </w:r>
      <w:r>
        <w:rPr>
          <w:noProof/>
        </w:rPr>
        <w:tab/>
      </w:r>
      <w:r>
        <w:rPr>
          <w:noProof/>
        </w:rPr>
        <w:fldChar w:fldCharType="begin"/>
      </w:r>
      <w:r>
        <w:rPr>
          <w:noProof/>
        </w:rPr>
        <w:instrText xml:space="preserve"> PAGEREF _Toc527112920 \h </w:instrText>
      </w:r>
      <w:r>
        <w:rPr>
          <w:noProof/>
        </w:rPr>
      </w:r>
      <w:r>
        <w:rPr>
          <w:noProof/>
        </w:rPr>
        <w:fldChar w:fldCharType="separate"/>
      </w:r>
      <w:r>
        <w:rPr>
          <w:noProof/>
        </w:rPr>
        <w:t>64</w:t>
      </w:r>
      <w:r>
        <w:rPr>
          <w:noProof/>
        </w:rPr>
        <w:fldChar w:fldCharType="end"/>
      </w:r>
    </w:p>
    <w:p w14:paraId="62115A20" w14:textId="77CD888E" w:rsidR="00EA353D" w:rsidRDefault="00EA353D">
      <w:pPr>
        <w:pStyle w:val="TOC1"/>
        <w:rPr>
          <w:rFonts w:eastAsiaTheme="minorEastAsia" w:cstheme="minorBidi"/>
          <w:b w:val="0"/>
          <w:bCs w:val="0"/>
          <w:noProof/>
          <w:sz w:val="24"/>
        </w:rPr>
      </w:pPr>
      <w:r>
        <w:rPr>
          <w:noProof/>
        </w:rPr>
        <w:t>Appendix 2 – The TAG database</w:t>
      </w:r>
      <w:r>
        <w:rPr>
          <w:noProof/>
        </w:rPr>
        <w:tab/>
      </w:r>
      <w:r>
        <w:rPr>
          <w:noProof/>
        </w:rPr>
        <w:fldChar w:fldCharType="begin"/>
      </w:r>
      <w:r>
        <w:rPr>
          <w:noProof/>
        </w:rPr>
        <w:instrText xml:space="preserve"> PAGEREF _Toc527112921 \h </w:instrText>
      </w:r>
      <w:r>
        <w:rPr>
          <w:noProof/>
        </w:rPr>
      </w:r>
      <w:r>
        <w:rPr>
          <w:noProof/>
        </w:rPr>
        <w:fldChar w:fldCharType="separate"/>
      </w:r>
      <w:r>
        <w:rPr>
          <w:noProof/>
        </w:rPr>
        <w:t>66</w:t>
      </w:r>
      <w:r>
        <w:rPr>
          <w:noProof/>
        </w:rPr>
        <w:fldChar w:fldCharType="end"/>
      </w:r>
    </w:p>
    <w:p w14:paraId="4EBB57EA" w14:textId="719354C4" w:rsidR="00EA353D" w:rsidRDefault="00EA353D">
      <w:pPr>
        <w:pStyle w:val="TOC1"/>
        <w:rPr>
          <w:rFonts w:eastAsiaTheme="minorEastAsia" w:cstheme="minorBidi"/>
          <w:b w:val="0"/>
          <w:bCs w:val="0"/>
          <w:noProof/>
          <w:sz w:val="24"/>
        </w:rPr>
      </w:pPr>
      <w:r>
        <w:rPr>
          <w:noProof/>
        </w:rPr>
        <w:t>Appendix 3 – Impact of proposed changes</w:t>
      </w:r>
      <w:r>
        <w:rPr>
          <w:noProof/>
        </w:rPr>
        <w:tab/>
      </w:r>
      <w:r>
        <w:rPr>
          <w:noProof/>
        </w:rPr>
        <w:fldChar w:fldCharType="begin"/>
      </w:r>
      <w:r>
        <w:rPr>
          <w:noProof/>
        </w:rPr>
        <w:instrText xml:space="preserve"> PAGEREF _Toc527112922 \h </w:instrText>
      </w:r>
      <w:r>
        <w:rPr>
          <w:noProof/>
        </w:rPr>
      </w:r>
      <w:r>
        <w:rPr>
          <w:noProof/>
        </w:rPr>
        <w:fldChar w:fldCharType="separate"/>
      </w:r>
      <w:r>
        <w:rPr>
          <w:noProof/>
        </w:rPr>
        <w:t>68</w:t>
      </w:r>
      <w:r>
        <w:rPr>
          <w:noProof/>
        </w:rPr>
        <w:fldChar w:fldCharType="end"/>
      </w:r>
    </w:p>
    <w:p w14:paraId="04288121" w14:textId="6E15BF1C" w:rsidR="00EA353D" w:rsidRDefault="00EA353D">
      <w:pPr>
        <w:pStyle w:val="TOC1"/>
        <w:rPr>
          <w:rFonts w:eastAsiaTheme="minorEastAsia" w:cstheme="minorBidi"/>
          <w:b w:val="0"/>
          <w:bCs w:val="0"/>
          <w:noProof/>
          <w:sz w:val="24"/>
        </w:rPr>
      </w:pPr>
      <w:r>
        <w:rPr>
          <w:noProof/>
        </w:rPr>
        <w:t>Appendix 4 – Examples of products and the impact of proposed changes</w:t>
      </w:r>
      <w:r>
        <w:rPr>
          <w:noProof/>
        </w:rPr>
        <w:tab/>
      </w:r>
      <w:r>
        <w:rPr>
          <w:noProof/>
        </w:rPr>
        <w:fldChar w:fldCharType="begin"/>
      </w:r>
      <w:r>
        <w:rPr>
          <w:noProof/>
        </w:rPr>
        <w:instrText xml:space="preserve"> PAGEREF _Toc527112923 \h </w:instrText>
      </w:r>
      <w:r>
        <w:rPr>
          <w:noProof/>
        </w:rPr>
      </w:r>
      <w:r>
        <w:rPr>
          <w:noProof/>
        </w:rPr>
        <w:fldChar w:fldCharType="separate"/>
      </w:r>
      <w:r>
        <w:rPr>
          <w:noProof/>
        </w:rPr>
        <w:t>71</w:t>
      </w:r>
      <w:r>
        <w:rPr>
          <w:noProof/>
        </w:rPr>
        <w:fldChar w:fldCharType="end"/>
      </w:r>
    </w:p>
    <w:p w14:paraId="20EE8FA7" w14:textId="07E73CB0" w:rsidR="00EA353D" w:rsidRDefault="00EA353D">
      <w:pPr>
        <w:pStyle w:val="TOC1"/>
        <w:rPr>
          <w:rFonts w:eastAsiaTheme="minorEastAsia" w:cstheme="minorBidi"/>
          <w:b w:val="0"/>
          <w:bCs w:val="0"/>
          <w:noProof/>
          <w:sz w:val="24"/>
        </w:rPr>
      </w:pPr>
      <w:r w:rsidRPr="00DE5B0B">
        <w:rPr>
          <w:noProof/>
        </w:rPr>
        <w:t>Bibliography</w:t>
      </w:r>
      <w:r>
        <w:rPr>
          <w:noProof/>
        </w:rPr>
        <w:tab/>
      </w:r>
      <w:r>
        <w:rPr>
          <w:noProof/>
        </w:rPr>
        <w:fldChar w:fldCharType="begin"/>
      </w:r>
      <w:r>
        <w:rPr>
          <w:noProof/>
        </w:rPr>
        <w:instrText xml:space="preserve"> PAGEREF _Toc527112924 \h </w:instrText>
      </w:r>
      <w:r>
        <w:rPr>
          <w:noProof/>
        </w:rPr>
      </w:r>
      <w:r>
        <w:rPr>
          <w:noProof/>
        </w:rPr>
        <w:fldChar w:fldCharType="separate"/>
      </w:r>
      <w:r>
        <w:rPr>
          <w:noProof/>
        </w:rPr>
        <w:t>75</w:t>
      </w:r>
      <w:r>
        <w:rPr>
          <w:noProof/>
        </w:rPr>
        <w:fldChar w:fldCharType="end"/>
      </w:r>
    </w:p>
    <w:p w14:paraId="4AA38D74" w14:textId="4D173725" w:rsidR="00C41380" w:rsidRPr="00AB3873" w:rsidRDefault="0026108E" w:rsidP="0024269C">
      <w:pPr>
        <w:pStyle w:val="TOC9"/>
        <w:sectPr w:rsidR="00C41380" w:rsidRPr="00AB3873" w:rsidSect="00E50026">
          <w:headerReference w:type="default" r:id="rId10"/>
          <w:footerReference w:type="default" r:id="rId11"/>
          <w:pgSz w:w="11900" w:h="16840"/>
          <w:pgMar w:top="1304" w:right="1077" w:bottom="1304" w:left="1077" w:header="709" w:footer="709" w:gutter="0"/>
          <w:cols w:space="708"/>
          <w:docGrid w:linePitch="360"/>
        </w:sectPr>
      </w:pPr>
      <w:r w:rsidRPr="00AB3873">
        <w:fldChar w:fldCharType="end"/>
      </w:r>
    </w:p>
    <w:p w14:paraId="7017F52D" w14:textId="5DCD8EFC" w:rsidR="00013787" w:rsidRDefault="00013787" w:rsidP="008C6580">
      <w:pPr>
        <w:pStyle w:val="mpcheading1"/>
        <w:spacing w:after="0"/>
        <w:rPr>
          <w:rFonts w:cstheme="minorHAnsi"/>
        </w:rPr>
      </w:pPr>
      <w:bookmarkStart w:id="6" w:name="Glossary"/>
      <w:bookmarkStart w:id="7" w:name="_Toc527112885"/>
      <w:bookmarkStart w:id="8" w:name="_Toc503880604"/>
      <w:bookmarkStart w:id="9" w:name="_Toc491950030"/>
      <w:bookmarkEnd w:id="5"/>
      <w:bookmarkEnd w:id="6"/>
      <w:r>
        <w:rPr>
          <w:rFonts w:cstheme="minorHAnsi"/>
        </w:rPr>
        <w:lastRenderedPageBreak/>
        <w:t>Glossary</w:t>
      </w:r>
      <w:bookmarkEnd w:id="7"/>
    </w:p>
    <w:p w14:paraId="34DF6D83" w14:textId="77777777" w:rsidR="00013787" w:rsidRDefault="00013787" w:rsidP="00013787">
      <w:pPr>
        <w:pStyle w:val="mpctableheading"/>
        <w:rPr>
          <w:rFonts w:cstheme="minorHAnsi"/>
          <w:lang w:val="en-US"/>
        </w:rPr>
      </w:pPr>
      <w:bookmarkStart w:id="10" w:name="_Toc523140422"/>
    </w:p>
    <w:tbl>
      <w:tblPr>
        <w:tblStyle w:val="TableGrid"/>
        <w:tblW w:w="5000" w:type="pct"/>
        <w:tblCellMar>
          <w:top w:w="57" w:type="dxa"/>
          <w:bottom w:w="57" w:type="dxa"/>
        </w:tblCellMar>
        <w:tblLook w:val="04A0" w:firstRow="1" w:lastRow="0" w:firstColumn="1" w:lastColumn="0" w:noHBand="0" w:noVBand="1"/>
        <w:tblCaption w:val="Table 1: Glossary"/>
        <w:tblDescription w:val="Table 1 provides a glossary of definitions for terms used in this Consultation Paper."/>
      </w:tblPr>
      <w:tblGrid>
        <w:gridCol w:w="2026"/>
        <w:gridCol w:w="7936"/>
      </w:tblGrid>
      <w:tr w:rsidR="00013787" w:rsidRPr="006D413D" w14:paraId="0C52EF73" w14:textId="77777777" w:rsidTr="009D621A">
        <w:trPr>
          <w:tblHeader/>
        </w:trPr>
        <w:tc>
          <w:tcPr>
            <w:tcW w:w="1017" w:type="pct"/>
            <w:shd w:val="clear" w:color="auto" w:fill="516A8E"/>
          </w:tcPr>
          <w:p w14:paraId="4188CAE1" w14:textId="77777777" w:rsidR="00013787" w:rsidRPr="006D413D" w:rsidRDefault="00013787" w:rsidP="0024269C">
            <w:pPr>
              <w:rPr>
                <w:b/>
                <w:color w:val="FFFFFF" w:themeColor="background1"/>
                <w:sz w:val="20"/>
                <w:szCs w:val="20"/>
              </w:rPr>
            </w:pPr>
            <w:bookmarkStart w:id="11" w:name="Table_1_Glossary"/>
            <w:bookmarkStart w:id="12" w:name="ColumnTitle1"/>
            <w:bookmarkEnd w:id="10"/>
            <w:bookmarkEnd w:id="11"/>
            <w:bookmarkEnd w:id="12"/>
            <w:r w:rsidRPr="006D413D">
              <w:rPr>
                <w:b/>
                <w:color w:val="FFFFFF" w:themeColor="background1"/>
                <w:sz w:val="20"/>
                <w:szCs w:val="20"/>
              </w:rPr>
              <w:t>Term</w:t>
            </w:r>
          </w:p>
        </w:tc>
        <w:tc>
          <w:tcPr>
            <w:tcW w:w="3983" w:type="pct"/>
            <w:shd w:val="clear" w:color="auto" w:fill="516A8E"/>
          </w:tcPr>
          <w:p w14:paraId="37DBF501" w14:textId="77777777" w:rsidR="00013787" w:rsidRPr="006D413D" w:rsidRDefault="00013787" w:rsidP="0024269C">
            <w:pPr>
              <w:rPr>
                <w:b/>
                <w:color w:val="FFFFFF" w:themeColor="background1"/>
                <w:sz w:val="20"/>
                <w:szCs w:val="20"/>
              </w:rPr>
            </w:pPr>
            <w:r w:rsidRPr="006D413D">
              <w:rPr>
                <w:b/>
                <w:color w:val="FFFFFF" w:themeColor="background1"/>
                <w:sz w:val="20"/>
                <w:szCs w:val="20"/>
              </w:rPr>
              <w:t>Meaning</w:t>
            </w:r>
          </w:p>
        </w:tc>
      </w:tr>
      <w:tr w:rsidR="00A35873" w:rsidRPr="006D413D" w14:paraId="5A43CDD5" w14:textId="77777777" w:rsidTr="009D621A">
        <w:tc>
          <w:tcPr>
            <w:tcW w:w="1017" w:type="pct"/>
          </w:tcPr>
          <w:p w14:paraId="77E7D0B3" w14:textId="0DBFD9DE" w:rsidR="00A35873" w:rsidRPr="006D413D" w:rsidRDefault="00A35873" w:rsidP="00DE5ED4">
            <w:pPr>
              <w:pStyle w:val="mpctabletext"/>
              <w:spacing w:before="60" w:after="60"/>
              <w:rPr>
                <w:rFonts w:cstheme="minorHAnsi"/>
                <w:b/>
                <w:szCs w:val="20"/>
              </w:rPr>
            </w:pPr>
            <w:r w:rsidRPr="006D413D">
              <w:rPr>
                <w:rFonts w:cstheme="minorHAnsi"/>
                <w:b/>
                <w:szCs w:val="20"/>
              </w:rPr>
              <w:t>ADG (Australian Dietary Guidelines) 2013</w:t>
            </w:r>
          </w:p>
        </w:tc>
        <w:tc>
          <w:tcPr>
            <w:tcW w:w="3983" w:type="pct"/>
          </w:tcPr>
          <w:p w14:paraId="133E5B5E" w14:textId="773A903C" w:rsidR="00A35873" w:rsidRPr="006D413D" w:rsidRDefault="00A002C0" w:rsidP="00DE5ED4">
            <w:pPr>
              <w:pStyle w:val="mpctabletext"/>
              <w:spacing w:before="60" w:after="60"/>
              <w:rPr>
                <w:rFonts w:cstheme="minorHAnsi"/>
                <w:b/>
                <w:szCs w:val="20"/>
                <w:lang w:val="en"/>
              </w:rPr>
            </w:pPr>
            <w:r w:rsidRPr="006D413D">
              <w:rPr>
                <w:rFonts w:cstheme="minorHAnsi"/>
                <w:color w:val="000000" w:themeColor="text1"/>
                <w:szCs w:val="20"/>
              </w:rPr>
              <w:t xml:space="preserve">The </w:t>
            </w:r>
            <w:hyperlink r:id="rId12" w:history="1">
              <w:r w:rsidRPr="006D413D">
                <w:rPr>
                  <w:rStyle w:val="Hyperlink"/>
                  <w:rFonts w:cstheme="minorHAnsi"/>
                  <w:szCs w:val="20"/>
                </w:rPr>
                <w:t>ADG</w:t>
              </w:r>
            </w:hyperlink>
            <w:r w:rsidRPr="006D413D">
              <w:rPr>
                <w:rFonts w:cstheme="minorHAnsi"/>
                <w:color w:val="000000" w:themeColor="text1"/>
                <w:szCs w:val="20"/>
              </w:rPr>
              <w:t xml:space="preserve"> provide advice about the amount and types of foods </w:t>
            </w:r>
            <w:r w:rsidR="0023503B" w:rsidRPr="006D413D">
              <w:rPr>
                <w:rFonts w:cstheme="minorHAnsi"/>
                <w:color w:val="000000" w:themeColor="text1"/>
                <w:szCs w:val="20"/>
              </w:rPr>
              <w:t>that should be</w:t>
            </w:r>
            <w:r w:rsidRPr="006D413D">
              <w:rPr>
                <w:rFonts w:cstheme="minorHAnsi"/>
                <w:color w:val="000000" w:themeColor="text1"/>
                <w:szCs w:val="20"/>
              </w:rPr>
              <w:t xml:space="preserve"> eat</w:t>
            </w:r>
            <w:r w:rsidR="0023503B" w:rsidRPr="006D413D">
              <w:rPr>
                <w:rFonts w:cstheme="minorHAnsi"/>
                <w:color w:val="000000" w:themeColor="text1"/>
                <w:szCs w:val="20"/>
              </w:rPr>
              <w:t>en</w:t>
            </w:r>
            <w:r w:rsidRPr="006D413D">
              <w:rPr>
                <w:rFonts w:cstheme="minorHAnsi"/>
                <w:color w:val="000000" w:themeColor="text1"/>
                <w:szCs w:val="20"/>
              </w:rPr>
              <w:t xml:space="preserve"> for health and wellbeing</w:t>
            </w:r>
            <w:r w:rsidR="0023503B" w:rsidRPr="006D413D">
              <w:rPr>
                <w:rFonts w:cstheme="minorHAnsi"/>
                <w:color w:val="000000" w:themeColor="text1"/>
                <w:szCs w:val="20"/>
              </w:rPr>
              <w:t>, with</w:t>
            </w:r>
            <w:r w:rsidRPr="006D413D">
              <w:rPr>
                <w:rFonts w:cstheme="minorHAnsi"/>
                <w:color w:val="000000" w:themeColor="text1"/>
                <w:szCs w:val="20"/>
              </w:rPr>
              <w:t xml:space="preserve"> recommendations based on scientific evidence</w:t>
            </w:r>
            <w:r w:rsidR="0023503B" w:rsidRPr="006D413D">
              <w:rPr>
                <w:rFonts w:cstheme="minorHAnsi"/>
                <w:color w:val="000000" w:themeColor="text1"/>
                <w:szCs w:val="20"/>
              </w:rPr>
              <w:t>.</w:t>
            </w:r>
          </w:p>
        </w:tc>
      </w:tr>
      <w:tr w:rsidR="00A35873" w:rsidRPr="006D413D" w14:paraId="4BB0599A" w14:textId="77777777" w:rsidTr="009D621A">
        <w:tc>
          <w:tcPr>
            <w:tcW w:w="1017" w:type="pct"/>
          </w:tcPr>
          <w:p w14:paraId="763C566B" w14:textId="278569A5" w:rsidR="00A35873" w:rsidRPr="006D413D" w:rsidRDefault="00A35873" w:rsidP="00DE5ED4">
            <w:pPr>
              <w:pStyle w:val="mpctabletext"/>
              <w:spacing w:before="60" w:after="60"/>
              <w:rPr>
                <w:rFonts w:cstheme="minorHAnsi"/>
                <w:b/>
                <w:szCs w:val="20"/>
              </w:rPr>
            </w:pPr>
            <w:r w:rsidRPr="006D413D">
              <w:rPr>
                <w:rFonts w:cstheme="minorHAnsi"/>
                <w:b/>
                <w:szCs w:val="20"/>
              </w:rPr>
              <w:t>AHS (Australian Health Survey) 2011-13</w:t>
            </w:r>
          </w:p>
        </w:tc>
        <w:tc>
          <w:tcPr>
            <w:tcW w:w="3983" w:type="pct"/>
          </w:tcPr>
          <w:p w14:paraId="03CC323F" w14:textId="5C100A59" w:rsidR="00A35873" w:rsidRPr="006D413D" w:rsidRDefault="00A35873"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w:t>
            </w:r>
            <w:hyperlink r:id="rId13" w:history="1">
              <w:r w:rsidR="0023503B" w:rsidRPr="006D413D">
                <w:rPr>
                  <w:rStyle w:val="Hyperlink"/>
                  <w:rFonts w:cstheme="minorHAnsi"/>
                  <w:szCs w:val="20"/>
                </w:rPr>
                <w:t>AHS</w:t>
              </w:r>
            </w:hyperlink>
            <w:r w:rsidRPr="006D413D">
              <w:rPr>
                <w:rFonts w:cstheme="minorHAnsi"/>
                <w:color w:val="000000" w:themeColor="text1"/>
                <w:szCs w:val="20"/>
              </w:rPr>
              <w:t xml:space="preserve"> is the largest and most comprehensive health survey conducted in Australia. The AHS was undertaken by the Australian Bureau of Statistics (ABS) and collected a range of information about health</w:t>
            </w:r>
            <w:r w:rsidR="0023503B" w:rsidRPr="006D413D">
              <w:rPr>
                <w:rFonts w:cstheme="minorHAnsi"/>
                <w:color w:val="000000" w:themeColor="text1"/>
                <w:szCs w:val="20"/>
              </w:rPr>
              <w:t>-</w:t>
            </w:r>
            <w:r w:rsidRPr="006D413D">
              <w:rPr>
                <w:rFonts w:cstheme="minorHAnsi"/>
                <w:color w:val="000000" w:themeColor="text1"/>
                <w:szCs w:val="20"/>
              </w:rPr>
              <w:t>related issues</w:t>
            </w:r>
            <w:r w:rsidR="0023503B" w:rsidRPr="006D413D">
              <w:rPr>
                <w:rFonts w:cstheme="minorHAnsi"/>
                <w:color w:val="000000" w:themeColor="text1"/>
                <w:szCs w:val="20"/>
              </w:rPr>
              <w:t>.</w:t>
            </w:r>
            <w:r w:rsidRPr="006D413D">
              <w:rPr>
                <w:rFonts w:cstheme="minorHAnsi"/>
                <w:color w:val="000000" w:themeColor="text1"/>
                <w:szCs w:val="20"/>
              </w:rPr>
              <w:t xml:space="preserve"> </w:t>
            </w:r>
          </w:p>
        </w:tc>
      </w:tr>
      <w:tr w:rsidR="00A002C0" w:rsidRPr="006D413D" w14:paraId="6F3569D4" w14:textId="77777777" w:rsidTr="009D621A">
        <w:tc>
          <w:tcPr>
            <w:tcW w:w="1017" w:type="pct"/>
          </w:tcPr>
          <w:p w14:paraId="476A440F" w14:textId="6ECD9DBE" w:rsidR="00A002C0" w:rsidRPr="006D413D" w:rsidRDefault="00A002C0" w:rsidP="00DE5ED4">
            <w:pPr>
              <w:pStyle w:val="mpctabletext"/>
              <w:spacing w:before="60" w:after="60"/>
              <w:rPr>
                <w:rFonts w:cstheme="minorHAnsi"/>
                <w:b/>
                <w:color w:val="000000" w:themeColor="text1"/>
                <w:szCs w:val="20"/>
              </w:rPr>
            </w:pPr>
            <w:r w:rsidRPr="006D413D">
              <w:rPr>
                <w:rFonts w:cstheme="minorHAnsi"/>
                <w:b/>
                <w:szCs w:val="20"/>
              </w:rPr>
              <w:t>AHS Discretionary Foods List</w:t>
            </w:r>
          </w:p>
        </w:tc>
        <w:tc>
          <w:tcPr>
            <w:tcW w:w="3983" w:type="pct"/>
          </w:tcPr>
          <w:p w14:paraId="52C1C87E" w14:textId="1F66EF11"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w:t>
            </w:r>
            <w:hyperlink r:id="rId14" w:history="1">
              <w:r w:rsidRPr="006D413D">
                <w:rPr>
                  <w:rStyle w:val="Hyperlink"/>
                  <w:rFonts w:cstheme="minorHAnsi"/>
                  <w:szCs w:val="20"/>
                </w:rPr>
                <w:t>AHS Discretionary Foods List</w:t>
              </w:r>
            </w:hyperlink>
            <w:r w:rsidRPr="006D413D">
              <w:rPr>
                <w:rFonts w:cstheme="minorHAnsi"/>
                <w:color w:val="000000" w:themeColor="text1"/>
                <w:szCs w:val="20"/>
              </w:rPr>
              <w:t xml:space="preserve"> was developed by the Australian Bureau of Statistics (ABS) in 2014 for the purpose of the 2011-12 National Nutrition and Physical Activity Survey. It classifies foods as discretionary based on the AGD. </w:t>
            </w:r>
          </w:p>
        </w:tc>
      </w:tr>
      <w:tr w:rsidR="00A002C0" w:rsidRPr="006D413D" w14:paraId="4032B671" w14:textId="77777777" w:rsidTr="009D621A">
        <w:tc>
          <w:tcPr>
            <w:tcW w:w="1017" w:type="pct"/>
          </w:tcPr>
          <w:p w14:paraId="6F29E4F8" w14:textId="1055C63B" w:rsidR="00A002C0" w:rsidRPr="006D413D" w:rsidRDefault="00A002C0" w:rsidP="00DE5ED4">
            <w:pPr>
              <w:pStyle w:val="mpctabletext"/>
              <w:spacing w:before="60" w:after="60"/>
              <w:rPr>
                <w:rFonts w:cstheme="minorHAnsi"/>
                <w:b/>
                <w:color w:val="000000" w:themeColor="text1"/>
                <w:szCs w:val="20"/>
              </w:rPr>
            </w:pPr>
            <w:r w:rsidRPr="006D413D">
              <w:rPr>
                <w:rFonts w:cstheme="minorHAnsi"/>
                <w:b/>
                <w:szCs w:val="20"/>
              </w:rPr>
              <w:t>Australia New Zealand Foods Standards Code (the Code)</w:t>
            </w:r>
          </w:p>
        </w:tc>
        <w:tc>
          <w:tcPr>
            <w:tcW w:w="3983" w:type="pct"/>
          </w:tcPr>
          <w:p w14:paraId="45A27C0E" w14:textId="62277576"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standards in </w:t>
            </w:r>
            <w:hyperlink r:id="rId15" w:history="1">
              <w:r w:rsidRPr="006D413D">
                <w:rPr>
                  <w:rStyle w:val="Hyperlink"/>
                  <w:rFonts w:cstheme="minorHAnsi"/>
                  <w:szCs w:val="20"/>
                </w:rPr>
                <w:t>the Code</w:t>
              </w:r>
            </w:hyperlink>
            <w:r w:rsidRPr="006D413D">
              <w:rPr>
                <w:rFonts w:cstheme="minorHAnsi"/>
                <w:color w:val="000000" w:themeColor="text1"/>
                <w:szCs w:val="20"/>
              </w:rPr>
              <w:t xml:space="preserve"> are legislative instruments and include standards for food safety, food composition and labelling and foods that need pre-approval such as genetically modified foods.</w:t>
            </w:r>
            <w:r w:rsidR="00D54DAC" w:rsidRPr="006D413D">
              <w:rPr>
                <w:rFonts w:cstheme="minorHAnsi"/>
                <w:color w:val="000000" w:themeColor="text1"/>
                <w:szCs w:val="20"/>
              </w:rPr>
              <w:t xml:space="preserve"> </w:t>
            </w:r>
          </w:p>
          <w:p w14:paraId="35420125" w14:textId="4994A6E0"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The Code sets out regulatory requirements for food labelling and other information requirements on foods, plus food standards for: substances that can be added to or present in food; contaminants and resides; foods requiring pre-market clearance; microbiological limits; specific standards for food categories; food safety and primary production standards (Australia only).</w:t>
            </w:r>
          </w:p>
        </w:tc>
      </w:tr>
      <w:tr w:rsidR="00DE5ED4" w:rsidRPr="006D413D" w14:paraId="3731C70C" w14:textId="77777777" w:rsidTr="009D621A">
        <w:tc>
          <w:tcPr>
            <w:tcW w:w="1017" w:type="pct"/>
          </w:tcPr>
          <w:p w14:paraId="748DEA42" w14:textId="158B0C7E" w:rsidR="00DE5ED4" w:rsidRPr="006D413D" w:rsidRDefault="00DE5ED4" w:rsidP="00DE5ED4">
            <w:pPr>
              <w:pStyle w:val="mpctabletext"/>
              <w:spacing w:before="60" w:after="60"/>
              <w:rPr>
                <w:rFonts w:cstheme="minorHAnsi"/>
                <w:b/>
                <w:color w:val="000000" w:themeColor="text1"/>
                <w:szCs w:val="20"/>
              </w:rPr>
            </w:pPr>
            <w:r w:rsidRPr="006D413D">
              <w:rPr>
                <w:rFonts w:cstheme="minorHAnsi"/>
                <w:b/>
                <w:szCs w:val="20"/>
              </w:rPr>
              <w:t xml:space="preserve">Baseline points </w:t>
            </w:r>
          </w:p>
        </w:tc>
        <w:tc>
          <w:tcPr>
            <w:tcW w:w="3983" w:type="pct"/>
          </w:tcPr>
          <w:p w14:paraId="126B0ACE" w14:textId="2E7E4BF8" w:rsidR="00DE5ED4" w:rsidRPr="006D413D" w:rsidRDefault="00DE5ED4" w:rsidP="00DE5ED4">
            <w:pPr>
              <w:pStyle w:val="mpctabletext"/>
              <w:spacing w:before="60" w:after="60"/>
              <w:rPr>
                <w:rFonts w:cstheme="minorHAnsi"/>
                <w:color w:val="000000" w:themeColor="text1"/>
                <w:szCs w:val="20"/>
              </w:rPr>
            </w:pPr>
            <w:r w:rsidRPr="006D413D">
              <w:rPr>
                <w:rFonts w:cstheme="minorHAnsi"/>
                <w:color w:val="000000" w:themeColor="text1"/>
                <w:szCs w:val="20"/>
              </w:rPr>
              <w:t>In the NPSC system, b</w:t>
            </w:r>
            <w:r w:rsidRPr="006D413D" w:rsidDel="00EE3546">
              <w:rPr>
                <w:rFonts w:cstheme="minorHAnsi"/>
                <w:color w:val="000000" w:themeColor="text1"/>
                <w:szCs w:val="20"/>
              </w:rPr>
              <w:t xml:space="preserve">aseline points are </w:t>
            </w:r>
            <w:r w:rsidRPr="006D413D">
              <w:rPr>
                <w:rFonts w:cstheme="minorHAnsi"/>
                <w:color w:val="000000" w:themeColor="text1"/>
                <w:szCs w:val="20"/>
              </w:rPr>
              <w:t>allocated for the negative components considered in that system (energy, saturated fatty acids, total sugars and sodium)</w:t>
            </w:r>
            <w:r w:rsidR="001071FF" w:rsidRPr="006D413D">
              <w:rPr>
                <w:rFonts w:cstheme="minorHAnsi"/>
                <w:color w:val="000000" w:themeColor="text1"/>
                <w:szCs w:val="20"/>
              </w:rPr>
              <w:t>.</w:t>
            </w:r>
          </w:p>
          <w:p w14:paraId="0360E4AF" w14:textId="579863B8" w:rsidR="00DE5ED4" w:rsidRPr="006D413D" w:rsidRDefault="00DE5ED4" w:rsidP="00DE5ED4">
            <w:pPr>
              <w:pStyle w:val="mpctabletext"/>
              <w:spacing w:before="60" w:after="60"/>
              <w:rPr>
                <w:rFonts w:cstheme="minorHAnsi"/>
                <w:b/>
                <w:color w:val="000000" w:themeColor="text1"/>
                <w:szCs w:val="20"/>
              </w:rPr>
            </w:pPr>
            <w:r w:rsidRPr="006D413D">
              <w:rPr>
                <w:rFonts w:cstheme="minorHAnsi"/>
                <w:color w:val="000000" w:themeColor="text1"/>
                <w:szCs w:val="20"/>
              </w:rPr>
              <w:t>In the HSR Calculator, baseline points are allocated to these same risk-associated components (energy, saturated fatty acids, total sugars and sodium). HSR baseline points contribute inversely to the final HSR.</w:t>
            </w:r>
          </w:p>
        </w:tc>
      </w:tr>
      <w:tr w:rsidR="00B10147" w:rsidRPr="006D413D" w14:paraId="3D0B8526" w14:textId="77777777" w:rsidTr="009D621A">
        <w:tc>
          <w:tcPr>
            <w:tcW w:w="1017" w:type="pct"/>
          </w:tcPr>
          <w:p w14:paraId="703EC3F2" w14:textId="2F87A444"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1 </w:t>
            </w:r>
          </w:p>
        </w:tc>
        <w:tc>
          <w:tcPr>
            <w:tcW w:w="3983" w:type="pct"/>
          </w:tcPr>
          <w:p w14:paraId="32F00563" w14:textId="01B590C2"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beverages other than dairy beverages and alcoholic beverages.</w:t>
            </w:r>
          </w:p>
        </w:tc>
      </w:tr>
      <w:tr w:rsidR="00B10147" w:rsidRPr="006D413D" w14:paraId="7FB9A2C2" w14:textId="77777777" w:rsidTr="009D621A">
        <w:tc>
          <w:tcPr>
            <w:tcW w:w="1017" w:type="pct"/>
          </w:tcPr>
          <w:p w14:paraId="5865559D" w14:textId="2D7F23F7"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Category 1D</w:t>
            </w:r>
          </w:p>
        </w:tc>
        <w:tc>
          <w:tcPr>
            <w:tcW w:w="3983" w:type="pct"/>
          </w:tcPr>
          <w:p w14:paraId="4292404D" w14:textId="01938B23"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dairy beverages that meet the calcium content requirements of Schedule 4 of Standard 1.2.7 of the Code. Category 1D may include milk and dairy beverage alternatives derived from legumes, cereals, nuts or seeds, providing they meet the criterion for calcium content.</w:t>
            </w:r>
          </w:p>
        </w:tc>
      </w:tr>
      <w:tr w:rsidR="00B10147" w:rsidRPr="006D413D" w14:paraId="730B8BD2" w14:textId="77777777" w:rsidTr="009D621A">
        <w:tc>
          <w:tcPr>
            <w:tcW w:w="1017" w:type="pct"/>
          </w:tcPr>
          <w:p w14:paraId="0FA5F60C" w14:textId="144D5E0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2 </w:t>
            </w:r>
          </w:p>
        </w:tc>
        <w:tc>
          <w:tcPr>
            <w:tcW w:w="3983" w:type="pct"/>
          </w:tcPr>
          <w:p w14:paraId="6CDCF0B7" w14:textId="100E9904"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all foods other than those in Categories 1 and 1D, 2D, 3 and 3D.</w:t>
            </w:r>
          </w:p>
        </w:tc>
      </w:tr>
      <w:tr w:rsidR="00B10147" w:rsidRPr="006D413D" w14:paraId="768A390B" w14:textId="77777777" w:rsidTr="009D621A">
        <w:tc>
          <w:tcPr>
            <w:tcW w:w="1017" w:type="pct"/>
          </w:tcPr>
          <w:p w14:paraId="1CFFF47F" w14:textId="1558C0D7"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2D </w:t>
            </w:r>
          </w:p>
        </w:tc>
        <w:tc>
          <w:tcPr>
            <w:tcW w:w="3983" w:type="pct"/>
          </w:tcPr>
          <w:p w14:paraId="225373B2" w14:textId="12DA5FFA"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dairy foods other than those included in Categories 1D or 3D. This may include all cheeses with a calcium content ≤ 320mg/100g, yoghurt and other fermented milk products. Category 2D may include cheese and yoghurt alternatives derived from legumes providing the cheeses meet the criterion for 2D foods for calcium content.</w:t>
            </w:r>
          </w:p>
        </w:tc>
      </w:tr>
      <w:tr w:rsidR="00B10147" w:rsidRPr="006D413D" w14:paraId="1C61DFA3" w14:textId="77777777" w:rsidTr="009D621A">
        <w:tc>
          <w:tcPr>
            <w:tcW w:w="1017" w:type="pct"/>
          </w:tcPr>
          <w:p w14:paraId="2FBB62D8" w14:textId="311DDE4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3 </w:t>
            </w:r>
          </w:p>
        </w:tc>
        <w:tc>
          <w:tcPr>
            <w:tcW w:w="3983" w:type="pct"/>
          </w:tcPr>
          <w:p w14:paraId="177359F0" w14:textId="3E3542C9" w:rsidR="00B10147" w:rsidRPr="006D413D" w:rsidRDefault="00B10147" w:rsidP="006D413D">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oils and spreads, defined as follows in the Code</w:t>
            </w:r>
            <w:r w:rsidR="001071FF" w:rsidRPr="006D413D">
              <w:rPr>
                <w:rFonts w:cstheme="minorHAnsi"/>
                <w:color w:val="000000" w:themeColor="text1"/>
                <w:szCs w:val="20"/>
              </w:rPr>
              <w:t>:</w:t>
            </w:r>
          </w:p>
          <w:p w14:paraId="3F4E0A4E"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edible oil as defined in Standard 2.4.1  </w:t>
            </w:r>
          </w:p>
          <w:p w14:paraId="2FEE1C11"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edible oil spreads as defined in Standard 2.4.2 </w:t>
            </w:r>
          </w:p>
          <w:p w14:paraId="5CB787D3"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margarine as defined in Standard 2.4.2 </w:t>
            </w:r>
          </w:p>
          <w:p w14:paraId="42CBB815" w14:textId="07E286B8" w:rsidR="00B10147" w:rsidRPr="006D413D" w:rsidRDefault="00B10147" w:rsidP="00B91EBF">
            <w:pPr>
              <w:pStyle w:val="FSBullet"/>
              <w:numPr>
                <w:ilvl w:val="0"/>
                <w:numId w:val="30"/>
              </w:numPr>
              <w:spacing w:before="0" w:after="0"/>
              <w:ind w:left="357" w:hanging="357"/>
              <w:rPr>
                <w:rFonts w:asciiTheme="minorHAnsi" w:hAnsiTheme="minorHAnsi" w:cstheme="minorHAnsi"/>
                <w:sz w:val="20"/>
                <w:szCs w:val="20"/>
              </w:rPr>
            </w:pPr>
            <w:r w:rsidRPr="006D413D">
              <w:rPr>
                <w:rFonts w:asciiTheme="minorHAnsi" w:hAnsiTheme="minorHAnsi" w:cstheme="minorHAnsi"/>
                <w:sz w:val="20"/>
                <w:szCs w:val="20"/>
              </w:rPr>
              <w:t xml:space="preserve">butter as defined in </w:t>
            </w:r>
            <w:r w:rsidRPr="006D413D">
              <w:rPr>
                <w:rFonts w:asciiTheme="minorHAnsi" w:eastAsiaTheme="minorHAnsi" w:hAnsiTheme="minorHAnsi" w:cstheme="minorHAnsi"/>
                <w:sz w:val="20"/>
                <w:szCs w:val="20"/>
                <w:lang w:val="en-AU" w:bidi="ar-SA"/>
              </w:rPr>
              <w:t>Standard</w:t>
            </w:r>
            <w:r w:rsidRPr="006D413D">
              <w:rPr>
                <w:rFonts w:asciiTheme="minorHAnsi" w:hAnsiTheme="minorHAnsi" w:cstheme="minorHAnsi"/>
                <w:sz w:val="20"/>
                <w:szCs w:val="20"/>
              </w:rPr>
              <w:t xml:space="preserve"> 2.5.5</w:t>
            </w:r>
          </w:p>
        </w:tc>
      </w:tr>
      <w:tr w:rsidR="00B10147" w:rsidRPr="006D413D" w14:paraId="73D25731" w14:textId="77777777" w:rsidTr="009D621A">
        <w:tc>
          <w:tcPr>
            <w:tcW w:w="1017" w:type="pct"/>
          </w:tcPr>
          <w:p w14:paraId="71CD3A2B" w14:textId="1856E4E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3D </w:t>
            </w:r>
          </w:p>
        </w:tc>
        <w:tc>
          <w:tcPr>
            <w:tcW w:w="3983" w:type="pct"/>
          </w:tcPr>
          <w:p w14:paraId="693D682C" w14:textId="7CA6A1D6"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cheese and processed cheese as defined in Standard 2.5.4 of the Code (with calcium content &gt;320mg/100g). Category 3D may include cheese alternatives derived from legumes providing they meet the criterion for 3D foods for calcium content.</w:t>
            </w:r>
          </w:p>
        </w:tc>
      </w:tr>
      <w:tr w:rsidR="00B10147" w:rsidRPr="006D413D" w14:paraId="030F0E2F" w14:textId="77777777" w:rsidTr="009D621A">
        <w:tc>
          <w:tcPr>
            <w:tcW w:w="1017" w:type="pct"/>
          </w:tcPr>
          <w:p w14:paraId="151BDB76" w14:textId="4AFFB5C8"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lastRenderedPageBreak/>
              <w:t>Component</w:t>
            </w:r>
          </w:p>
        </w:tc>
        <w:tc>
          <w:tcPr>
            <w:tcW w:w="3983" w:type="pct"/>
          </w:tcPr>
          <w:p w14:paraId="68BF0426" w14:textId="5C593F0E"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In the context of the HSR System,</w:t>
            </w:r>
            <w:r w:rsidR="00D54DAC" w:rsidRPr="006D413D">
              <w:rPr>
                <w:rFonts w:cstheme="minorHAnsi"/>
                <w:color w:val="000000" w:themeColor="text1"/>
                <w:szCs w:val="20"/>
              </w:rPr>
              <w:t xml:space="preserve"> components</w:t>
            </w:r>
            <w:r w:rsidRPr="006D413D">
              <w:rPr>
                <w:rFonts w:cstheme="minorHAnsi"/>
                <w:color w:val="000000" w:themeColor="text1"/>
                <w:szCs w:val="20"/>
              </w:rPr>
              <w:t xml:space="preserve"> </w:t>
            </w:r>
            <w:r w:rsidR="00295D38" w:rsidRPr="006D413D">
              <w:rPr>
                <w:rFonts w:cstheme="minorHAnsi"/>
                <w:color w:val="000000" w:themeColor="text1"/>
                <w:szCs w:val="20"/>
              </w:rPr>
              <w:t>are</w:t>
            </w:r>
            <w:r w:rsidRPr="006D413D">
              <w:rPr>
                <w:rFonts w:cstheme="minorHAnsi"/>
                <w:color w:val="000000" w:themeColor="text1"/>
                <w:szCs w:val="20"/>
              </w:rPr>
              <w:t xml:space="preserve"> the nutrients, ingredients and other parameters </w:t>
            </w:r>
            <w:r w:rsidR="00D54DAC" w:rsidRPr="006D413D">
              <w:rPr>
                <w:rFonts w:cstheme="minorHAnsi"/>
                <w:color w:val="000000" w:themeColor="text1"/>
                <w:szCs w:val="20"/>
              </w:rPr>
              <w:t xml:space="preserve">used to determine a </w:t>
            </w:r>
            <w:r w:rsidR="00295D38" w:rsidRPr="006D413D">
              <w:rPr>
                <w:rFonts w:cstheme="minorHAnsi"/>
                <w:color w:val="000000" w:themeColor="text1"/>
                <w:szCs w:val="20"/>
              </w:rPr>
              <w:t>product’s</w:t>
            </w:r>
            <w:r w:rsidR="00D54DAC" w:rsidRPr="006D413D">
              <w:rPr>
                <w:rFonts w:cstheme="minorHAnsi"/>
                <w:color w:val="000000" w:themeColor="text1"/>
                <w:szCs w:val="20"/>
              </w:rPr>
              <w:t xml:space="preserve"> HSR, including</w:t>
            </w:r>
            <w:r w:rsidRPr="006D413D">
              <w:rPr>
                <w:rFonts w:cstheme="minorHAnsi"/>
                <w:color w:val="000000" w:themeColor="text1"/>
                <w:szCs w:val="20"/>
              </w:rPr>
              <w:t xml:space="preserve"> the energy, saturated fat, total sugars, sodium, protein, fibre and FVNL content.</w:t>
            </w:r>
          </w:p>
        </w:tc>
      </w:tr>
      <w:tr w:rsidR="00B10147" w:rsidRPr="006D413D" w14:paraId="0E05002A" w14:textId="77777777" w:rsidTr="009D621A">
        <w:tc>
          <w:tcPr>
            <w:tcW w:w="1017" w:type="pct"/>
          </w:tcPr>
          <w:p w14:paraId="739FD585" w14:textId="5EE96101"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Dietary Guidelines</w:t>
            </w:r>
          </w:p>
        </w:tc>
        <w:tc>
          <w:tcPr>
            <w:tcW w:w="3983" w:type="pct"/>
          </w:tcPr>
          <w:p w14:paraId="55CF5537" w14:textId="0BE8A8D7"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Collectively refers to the ADG and the </w:t>
            </w:r>
            <w:r w:rsidR="00D54DAC" w:rsidRPr="006D413D">
              <w:rPr>
                <w:rFonts w:cstheme="minorHAnsi"/>
                <w:color w:val="000000" w:themeColor="text1"/>
                <w:szCs w:val="20"/>
              </w:rPr>
              <w:t>NZEAG</w:t>
            </w:r>
            <w:r w:rsidRPr="006D413D">
              <w:rPr>
                <w:rFonts w:cstheme="minorHAnsi"/>
                <w:color w:val="000000" w:themeColor="text1"/>
                <w:szCs w:val="20"/>
              </w:rPr>
              <w:t xml:space="preserve">. </w:t>
            </w:r>
          </w:p>
        </w:tc>
      </w:tr>
      <w:tr w:rsidR="00B10147" w:rsidRPr="006D413D" w14:paraId="2EF6DBA6" w14:textId="77777777" w:rsidTr="009D621A">
        <w:tc>
          <w:tcPr>
            <w:tcW w:w="1017" w:type="pct"/>
          </w:tcPr>
          <w:p w14:paraId="70E41549" w14:textId="060F48FE" w:rsidR="00B10147" w:rsidRPr="006D413D" w:rsidRDefault="00B10147" w:rsidP="00B10147">
            <w:pPr>
              <w:pStyle w:val="mpctabletext"/>
              <w:spacing w:before="60" w:after="60"/>
              <w:rPr>
                <w:rFonts w:cstheme="minorHAnsi"/>
                <w:b/>
                <w:szCs w:val="20"/>
              </w:rPr>
            </w:pPr>
            <w:r w:rsidRPr="006D413D">
              <w:rPr>
                <w:rFonts w:cstheme="minorHAnsi"/>
                <w:b/>
                <w:color w:val="000000" w:themeColor="text1"/>
                <w:szCs w:val="20"/>
              </w:rPr>
              <w:t>Discretionary foods</w:t>
            </w:r>
          </w:p>
        </w:tc>
        <w:tc>
          <w:tcPr>
            <w:tcW w:w="3983" w:type="pct"/>
          </w:tcPr>
          <w:p w14:paraId="79117D0A" w14:textId="0854FE03"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Discretionary foods and drinks are those not necessary to provide the nutrients the body needs. Many of these are high in saturated fats, sugars, salt and/or alcohol. They can be included in the diet occasionally in small amounts by those who are physically active but are not a necessary part of the diet. This includes cakes, biscuits, confectionary, jellies, ice confections (gelato, sorbet), dairy desserts (custards and creams), salty snacks (potato crisps and other fatty/salty snack foods) and sugar-sweetened beverages.</w:t>
            </w:r>
          </w:p>
        </w:tc>
      </w:tr>
      <w:tr w:rsidR="00B10147" w:rsidRPr="006D413D" w14:paraId="41183DFC" w14:textId="77777777" w:rsidTr="009D621A">
        <w:tc>
          <w:tcPr>
            <w:tcW w:w="1017" w:type="pct"/>
          </w:tcPr>
          <w:p w14:paraId="4F554240" w14:textId="05BF0FA6"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Energy icon</w:t>
            </w:r>
          </w:p>
        </w:tc>
        <w:tc>
          <w:tcPr>
            <w:tcW w:w="3983" w:type="pct"/>
          </w:tcPr>
          <w:p w14:paraId="14DB6E04" w14:textId="39AAC792"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An optional element in the HSR System that can be used </w:t>
            </w:r>
            <w:r w:rsidR="00D54DAC" w:rsidRPr="006D413D">
              <w:rPr>
                <w:rFonts w:cstheme="minorHAnsi"/>
                <w:color w:val="000000" w:themeColor="text1"/>
                <w:szCs w:val="20"/>
              </w:rPr>
              <w:t xml:space="preserve">with or </w:t>
            </w:r>
            <w:r w:rsidRPr="006D413D">
              <w:rPr>
                <w:rFonts w:cstheme="minorHAnsi"/>
                <w:color w:val="000000" w:themeColor="text1"/>
                <w:szCs w:val="20"/>
              </w:rPr>
              <w:t xml:space="preserve">without the HSR </w:t>
            </w:r>
            <w:r w:rsidR="00D54DAC" w:rsidRPr="006D413D">
              <w:rPr>
                <w:rFonts w:cstheme="minorHAnsi"/>
                <w:color w:val="000000" w:themeColor="text1"/>
                <w:szCs w:val="20"/>
              </w:rPr>
              <w:t xml:space="preserve">stars </w:t>
            </w:r>
            <w:r w:rsidRPr="006D413D">
              <w:rPr>
                <w:rFonts w:cstheme="minorHAnsi"/>
                <w:color w:val="000000" w:themeColor="text1"/>
                <w:szCs w:val="20"/>
              </w:rPr>
              <w:t xml:space="preserve">(e.g. for small pack sizes and some confectionery and beverage products). </w:t>
            </w:r>
          </w:p>
        </w:tc>
      </w:tr>
      <w:tr w:rsidR="00B10147" w:rsidRPr="006D413D" w14:paraId="086DCCDF" w14:textId="77777777" w:rsidTr="009D621A">
        <w:tc>
          <w:tcPr>
            <w:tcW w:w="1017" w:type="pct"/>
          </w:tcPr>
          <w:p w14:paraId="5A0EBEAB" w14:textId="62296B9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Fibre points (F points)</w:t>
            </w:r>
          </w:p>
        </w:tc>
        <w:tc>
          <w:tcPr>
            <w:tcW w:w="3983" w:type="pct"/>
          </w:tcPr>
          <w:p w14:paraId="02B582F6" w14:textId="0A2760C5"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HSR Category 2 and 3 products score points for the proportion of fibre present. Category 1 </w:t>
            </w:r>
            <w:r w:rsidR="00F94C70" w:rsidRPr="006D413D">
              <w:rPr>
                <w:rFonts w:cstheme="minorHAnsi"/>
                <w:color w:val="000000" w:themeColor="text1"/>
                <w:szCs w:val="20"/>
              </w:rPr>
              <w:t>products can</w:t>
            </w:r>
            <w:r w:rsidRPr="006D413D">
              <w:rPr>
                <w:rFonts w:cstheme="minorHAnsi"/>
                <w:color w:val="000000" w:themeColor="text1"/>
                <w:szCs w:val="20"/>
              </w:rPr>
              <w:t>not score F points.</w:t>
            </w:r>
          </w:p>
        </w:tc>
      </w:tr>
      <w:tr w:rsidR="00B10147" w:rsidRPr="006D413D" w14:paraId="735183A7" w14:textId="77777777" w:rsidTr="009D621A">
        <w:tc>
          <w:tcPr>
            <w:tcW w:w="1017" w:type="pct"/>
          </w:tcPr>
          <w:p w14:paraId="77592EA6" w14:textId="30387B9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Five/Four Food Group (</w:t>
            </w:r>
            <w:r w:rsidR="00B10147" w:rsidRPr="006D413D">
              <w:rPr>
                <w:rFonts w:cstheme="minorHAnsi"/>
                <w:b/>
                <w:color w:val="000000" w:themeColor="text1"/>
                <w:szCs w:val="20"/>
              </w:rPr>
              <w:t>FFG</w:t>
            </w:r>
            <w:r w:rsidR="00F94C70" w:rsidRPr="006D413D">
              <w:rPr>
                <w:rFonts w:cstheme="minorHAnsi"/>
                <w:b/>
                <w:color w:val="000000" w:themeColor="text1"/>
                <w:szCs w:val="20"/>
              </w:rPr>
              <w:t xml:space="preserve">) </w:t>
            </w:r>
            <w:r w:rsidR="00B10147" w:rsidRPr="006D413D">
              <w:rPr>
                <w:rFonts w:cstheme="minorHAnsi"/>
                <w:b/>
                <w:color w:val="000000" w:themeColor="text1"/>
                <w:szCs w:val="20"/>
              </w:rPr>
              <w:t>foods</w:t>
            </w:r>
          </w:p>
        </w:tc>
        <w:tc>
          <w:tcPr>
            <w:tcW w:w="3983" w:type="pct"/>
          </w:tcPr>
          <w:p w14:paraId="335F8A83" w14:textId="12CAAB79"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FFG foods also known as ‘core’ foods are described by Dietary Guidelines as the basis of a healthy diet. This includes fruit and vegetables, grain foods (mostly wholegrain or high fibre varieties), dairy foods such as milk, cheese and yogurt (mostly reduced fat), legumes, nuts, seeds, lean meats, eggs, tofu, etc.</w:t>
            </w:r>
          </w:p>
        </w:tc>
      </w:tr>
      <w:tr w:rsidR="00B10147" w:rsidRPr="006D413D" w14:paraId="4CF2A18F" w14:textId="77777777" w:rsidTr="009D621A">
        <w:tc>
          <w:tcPr>
            <w:tcW w:w="1017" w:type="pct"/>
          </w:tcPr>
          <w:p w14:paraId="64B8B836" w14:textId="2451619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Front-of-Pack Labelling</w:t>
            </w:r>
            <w:r w:rsidR="002947D3" w:rsidRPr="006D413D">
              <w:rPr>
                <w:rFonts w:cstheme="minorHAnsi"/>
                <w:b/>
                <w:color w:val="000000" w:themeColor="text1"/>
                <w:szCs w:val="20"/>
              </w:rPr>
              <w:t xml:space="preserve"> (FoPL)</w:t>
            </w:r>
          </w:p>
        </w:tc>
        <w:tc>
          <w:tcPr>
            <w:tcW w:w="3983" w:type="pct"/>
          </w:tcPr>
          <w:p w14:paraId="1D7FDA9E" w14:textId="0FC92E7E"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The concept of putting simplified nutritional information on the front of food or beverage product package</w:t>
            </w:r>
            <w:r w:rsidR="001071FF" w:rsidRPr="006D413D">
              <w:rPr>
                <w:rFonts w:cstheme="minorHAnsi"/>
                <w:color w:val="000000" w:themeColor="text1"/>
                <w:szCs w:val="20"/>
              </w:rPr>
              <w:t>s</w:t>
            </w:r>
            <w:r w:rsidRPr="006D413D">
              <w:rPr>
                <w:rFonts w:cstheme="minorHAnsi"/>
                <w:color w:val="000000" w:themeColor="text1"/>
                <w:szCs w:val="20"/>
              </w:rPr>
              <w:t>, either numerically or graphically.</w:t>
            </w:r>
          </w:p>
        </w:tc>
      </w:tr>
      <w:tr w:rsidR="00B10147" w:rsidRPr="006D413D" w14:paraId="62B4A64C" w14:textId="77777777" w:rsidTr="009D621A">
        <w:tc>
          <w:tcPr>
            <w:tcW w:w="1017" w:type="pct"/>
          </w:tcPr>
          <w:p w14:paraId="08B5F469" w14:textId="794BC61E" w:rsidR="00B10147" w:rsidRPr="006D413D" w:rsidRDefault="00F94C70"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The </w:t>
            </w:r>
            <w:r w:rsidR="00B10147" w:rsidRPr="006D413D">
              <w:rPr>
                <w:rFonts w:cstheme="minorHAnsi"/>
                <w:b/>
                <w:color w:val="000000" w:themeColor="text1"/>
                <w:szCs w:val="20"/>
              </w:rPr>
              <w:t>Forum</w:t>
            </w:r>
          </w:p>
        </w:tc>
        <w:tc>
          <w:tcPr>
            <w:tcW w:w="3983" w:type="pct"/>
          </w:tcPr>
          <w:p w14:paraId="476E04A2" w14:textId="0EBF2213" w:rsidR="00B10147" w:rsidRPr="006D413D" w:rsidRDefault="00F17EE9" w:rsidP="00B10147">
            <w:pPr>
              <w:pStyle w:val="mpctabletext"/>
              <w:spacing w:before="60" w:after="60"/>
              <w:rPr>
                <w:rFonts w:cstheme="minorHAnsi"/>
                <w:color w:val="000000" w:themeColor="text1"/>
                <w:szCs w:val="20"/>
              </w:rPr>
            </w:pPr>
            <w:hyperlink r:id="rId16" w:history="1">
              <w:r w:rsidR="00B10147" w:rsidRPr="006D413D">
                <w:rPr>
                  <w:rStyle w:val="Hyperlink"/>
                  <w:rFonts w:cstheme="minorHAnsi"/>
                  <w:szCs w:val="20"/>
                </w:rPr>
                <w:t>Australia and New Zealand Ministerial Forum on Food Regulation</w:t>
              </w:r>
            </w:hyperlink>
          </w:p>
        </w:tc>
      </w:tr>
      <w:tr w:rsidR="00B10147" w:rsidRPr="006D413D" w14:paraId="51133A99" w14:textId="77777777" w:rsidTr="009D621A">
        <w:tc>
          <w:tcPr>
            <w:tcW w:w="1017" w:type="pct"/>
          </w:tcPr>
          <w:p w14:paraId="7956B1A2" w14:textId="1B06F0C9" w:rsidR="00B10147" w:rsidRPr="006D413D" w:rsidRDefault="00F94C70" w:rsidP="00B10147">
            <w:pPr>
              <w:pStyle w:val="mpctabletext"/>
              <w:spacing w:before="60" w:after="60"/>
              <w:rPr>
                <w:rFonts w:cstheme="minorHAnsi"/>
                <w:b/>
                <w:color w:val="000000" w:themeColor="text1"/>
                <w:szCs w:val="20"/>
              </w:rPr>
            </w:pPr>
            <w:r w:rsidRPr="006D413D">
              <w:rPr>
                <w:rFonts w:cstheme="minorHAnsi"/>
                <w:b/>
                <w:color w:val="000000" w:themeColor="text1"/>
                <w:szCs w:val="20"/>
              </w:rPr>
              <w:t>Food Standards Australia New Zealand</w:t>
            </w:r>
            <w:r w:rsidR="002947D3" w:rsidRPr="006D413D">
              <w:rPr>
                <w:rFonts w:cstheme="minorHAnsi"/>
                <w:b/>
                <w:color w:val="000000" w:themeColor="text1"/>
                <w:szCs w:val="20"/>
              </w:rPr>
              <w:t xml:space="preserve"> (FSANZ)</w:t>
            </w:r>
          </w:p>
        </w:tc>
        <w:tc>
          <w:tcPr>
            <w:tcW w:w="3983" w:type="pct"/>
          </w:tcPr>
          <w:p w14:paraId="0DE97AA8" w14:textId="15514880" w:rsidR="00B10147" w:rsidRPr="006D413D" w:rsidRDefault="00F17EE9" w:rsidP="00B10147">
            <w:pPr>
              <w:pStyle w:val="mpctabletext"/>
              <w:spacing w:before="60" w:after="60"/>
              <w:rPr>
                <w:rFonts w:cstheme="minorHAnsi"/>
                <w:color w:val="000000" w:themeColor="text1"/>
                <w:szCs w:val="20"/>
              </w:rPr>
            </w:pPr>
            <w:hyperlink r:id="rId17" w:history="1">
              <w:r w:rsidR="00B10147" w:rsidRPr="006D413D">
                <w:rPr>
                  <w:rStyle w:val="Hyperlink"/>
                  <w:rFonts w:cstheme="minorHAnsi"/>
                  <w:szCs w:val="20"/>
                </w:rPr>
                <w:t>FSANZ</w:t>
              </w:r>
            </w:hyperlink>
            <w:r w:rsidR="00B10147" w:rsidRPr="006D413D">
              <w:rPr>
                <w:rFonts w:cstheme="minorHAnsi"/>
                <w:color w:val="000000" w:themeColor="text1"/>
                <w:szCs w:val="20"/>
              </w:rPr>
              <w:t xml:space="preserve"> is a statutory authority in the Australian Government Health portfolio which develops and administers the Code.</w:t>
            </w:r>
          </w:p>
        </w:tc>
      </w:tr>
      <w:tr w:rsidR="00B10147" w:rsidRPr="006D413D" w14:paraId="6EB681B7" w14:textId="77777777" w:rsidTr="009D621A">
        <w:tc>
          <w:tcPr>
            <w:tcW w:w="1017" w:type="pct"/>
          </w:tcPr>
          <w:p w14:paraId="132CD3B4" w14:textId="4BECD0D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Fruit, vegetable, nut, legume (</w:t>
            </w:r>
            <w:r w:rsidR="00B10147" w:rsidRPr="006D413D">
              <w:rPr>
                <w:rFonts w:cstheme="minorHAnsi"/>
                <w:b/>
                <w:color w:val="000000" w:themeColor="text1"/>
                <w:szCs w:val="20"/>
              </w:rPr>
              <w:t>FVNL</w:t>
            </w:r>
            <w:r w:rsidRPr="006D413D">
              <w:rPr>
                <w:rFonts w:cstheme="minorHAnsi"/>
                <w:b/>
                <w:color w:val="000000" w:themeColor="text1"/>
                <w:szCs w:val="20"/>
              </w:rPr>
              <w:t>) content</w:t>
            </w:r>
          </w:p>
        </w:tc>
        <w:tc>
          <w:tcPr>
            <w:tcW w:w="3983" w:type="pct"/>
          </w:tcPr>
          <w:p w14:paraId="39C25152" w14:textId="44DE53A1"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Fruit, vegetable, nut, legume content as defined in Schedule 5 of the Code. This term is used in both the HSR system and the NPSC.</w:t>
            </w:r>
          </w:p>
        </w:tc>
      </w:tr>
      <w:tr w:rsidR="00B10147" w:rsidRPr="006D413D" w14:paraId="511F5E44" w14:textId="77777777" w:rsidTr="009D621A">
        <w:tc>
          <w:tcPr>
            <w:tcW w:w="1017" w:type="pct"/>
          </w:tcPr>
          <w:p w14:paraId="6A9B3BE5" w14:textId="33076062"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Industry</w:t>
            </w:r>
            <w:r w:rsidR="00F94C70" w:rsidRPr="006D413D">
              <w:rPr>
                <w:rFonts w:cstheme="minorHAnsi"/>
                <w:b/>
                <w:color w:val="000000" w:themeColor="text1"/>
                <w:szCs w:val="20"/>
              </w:rPr>
              <w:t xml:space="preserve"> Guide</w:t>
            </w:r>
          </w:p>
        </w:tc>
        <w:tc>
          <w:tcPr>
            <w:tcW w:w="3983" w:type="pct"/>
          </w:tcPr>
          <w:p w14:paraId="6055A81E" w14:textId="134717AC" w:rsidR="00B10147" w:rsidRPr="006D413D" w:rsidRDefault="00B10147" w:rsidP="0024269C">
            <w:pPr>
              <w:rPr>
                <w:rFonts w:eastAsiaTheme="minorHAnsi"/>
                <w:sz w:val="20"/>
                <w:szCs w:val="20"/>
              </w:rPr>
            </w:pPr>
            <w:r w:rsidRPr="006D413D">
              <w:rPr>
                <w:rFonts w:eastAsiaTheme="minorHAnsi"/>
                <w:sz w:val="20"/>
                <w:szCs w:val="20"/>
              </w:rPr>
              <w:t xml:space="preserve">The </w:t>
            </w:r>
            <w:hyperlink r:id="rId18" w:history="1">
              <w:r w:rsidRPr="006D413D">
                <w:rPr>
                  <w:rStyle w:val="Hyperlink"/>
                  <w:rFonts w:eastAsiaTheme="minorHAnsi"/>
                  <w:sz w:val="20"/>
                  <w:szCs w:val="20"/>
                </w:rPr>
                <w:t>Guide for Industry</w:t>
              </w:r>
            </w:hyperlink>
            <w:r w:rsidRPr="006D413D">
              <w:rPr>
                <w:rFonts w:eastAsiaTheme="minorHAnsi"/>
                <w:sz w:val="20"/>
                <w:szCs w:val="20"/>
              </w:rPr>
              <w:t xml:space="preserve"> to the HSR Calculator provides detailed information about how the HSR is calculated, including example calculations. This document contains important information that allows industry to calculate the HSR.</w:t>
            </w:r>
          </w:p>
        </w:tc>
      </w:tr>
      <w:tr w:rsidR="00B10147" w:rsidRPr="006D413D" w14:paraId="178C4E77" w14:textId="77777777" w:rsidTr="009D621A">
        <w:tc>
          <w:tcPr>
            <w:tcW w:w="1017" w:type="pct"/>
          </w:tcPr>
          <w:p w14:paraId="58FE323E" w14:textId="2BAD618B" w:rsidR="00B10147" w:rsidRPr="006D413D" w:rsidRDefault="00B10147" w:rsidP="00837283">
            <w:pPr>
              <w:pStyle w:val="mpctabletext"/>
              <w:spacing w:before="60" w:after="60"/>
              <w:rPr>
                <w:rFonts w:cstheme="minorHAnsi"/>
                <w:b/>
                <w:color w:val="000000" w:themeColor="text1"/>
                <w:szCs w:val="20"/>
              </w:rPr>
            </w:pPr>
            <w:r w:rsidRPr="006D413D">
              <w:rPr>
                <w:rFonts w:cstheme="minorHAnsi"/>
                <w:b/>
                <w:color w:val="000000" w:themeColor="text1"/>
                <w:szCs w:val="20"/>
              </w:rPr>
              <w:t>Health Star Rating Advisory Committee</w:t>
            </w:r>
            <w:r w:rsidR="002947D3" w:rsidRPr="006D413D">
              <w:rPr>
                <w:rFonts w:cstheme="minorHAnsi"/>
                <w:b/>
                <w:color w:val="000000" w:themeColor="text1"/>
                <w:szCs w:val="20"/>
              </w:rPr>
              <w:t xml:space="preserve"> (HSRAC)</w:t>
            </w:r>
          </w:p>
        </w:tc>
        <w:tc>
          <w:tcPr>
            <w:tcW w:w="3983" w:type="pct"/>
          </w:tcPr>
          <w:p w14:paraId="2ADA661E" w14:textId="220619FE" w:rsidR="00B10147" w:rsidRPr="006D413D" w:rsidRDefault="00F17EE9" w:rsidP="00837283">
            <w:pPr>
              <w:pStyle w:val="mpctabletext"/>
              <w:spacing w:before="60" w:after="60"/>
              <w:rPr>
                <w:rFonts w:cstheme="minorHAnsi"/>
                <w:color w:val="000000" w:themeColor="text1"/>
                <w:szCs w:val="20"/>
              </w:rPr>
            </w:pPr>
            <w:hyperlink r:id="rId19" w:history="1">
              <w:r w:rsidR="00B10147" w:rsidRPr="006D413D">
                <w:rPr>
                  <w:rFonts w:cstheme="minorHAnsi"/>
                  <w:color w:val="000000" w:themeColor="text1"/>
                  <w:szCs w:val="20"/>
                </w:rPr>
                <w:t>HSRAC</w:t>
              </w:r>
            </w:hyperlink>
            <w:r w:rsidR="00B10147" w:rsidRPr="006D413D">
              <w:rPr>
                <w:rFonts w:cstheme="minorHAnsi"/>
                <w:color w:val="000000" w:themeColor="text1"/>
                <w:szCs w:val="20"/>
              </w:rPr>
              <w:t xml:space="preserve"> is the trans-Tasman body responsible for overseeing the voluntary implementation of the HSR system, including in particular the monitoring and evaluation component of the system in Australia and New Zealand and the social marketing campaign in Australia. </w:t>
            </w:r>
          </w:p>
        </w:tc>
      </w:tr>
      <w:tr w:rsidR="0023503B" w:rsidRPr="006D413D" w14:paraId="596063AB" w14:textId="77777777" w:rsidTr="009D621A">
        <w:tc>
          <w:tcPr>
            <w:tcW w:w="1017" w:type="pct"/>
          </w:tcPr>
          <w:p w14:paraId="7CAADC3B" w14:textId="5559AE2E"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t>HSR Calculator</w:t>
            </w:r>
          </w:p>
        </w:tc>
        <w:tc>
          <w:tcPr>
            <w:tcW w:w="3983" w:type="pct"/>
          </w:tcPr>
          <w:p w14:paraId="6F01ABE6" w14:textId="4842DF91" w:rsidR="00837283"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 xml:space="preserve">The HSR Calculator </w:t>
            </w:r>
            <w:r w:rsidR="00F94C70" w:rsidRPr="006D413D">
              <w:rPr>
                <w:rFonts w:cstheme="minorHAnsi"/>
                <w:color w:val="000000" w:themeColor="text1"/>
                <w:szCs w:val="20"/>
              </w:rPr>
              <w:t>calculates the HSR for</w:t>
            </w:r>
            <w:r w:rsidRPr="006D413D">
              <w:rPr>
                <w:rFonts w:cstheme="minorHAnsi"/>
                <w:color w:val="000000" w:themeColor="text1"/>
                <w:szCs w:val="20"/>
              </w:rPr>
              <w:t xml:space="preserve"> products based on input of </w:t>
            </w:r>
            <w:r w:rsidR="00F94C70" w:rsidRPr="006D413D">
              <w:rPr>
                <w:rFonts w:cstheme="minorHAnsi"/>
                <w:color w:val="000000" w:themeColor="text1"/>
                <w:szCs w:val="20"/>
              </w:rPr>
              <w:t xml:space="preserve">their </w:t>
            </w:r>
            <w:r w:rsidRPr="006D413D">
              <w:rPr>
                <w:rFonts w:cstheme="minorHAnsi"/>
                <w:color w:val="000000" w:themeColor="text1"/>
                <w:szCs w:val="20"/>
              </w:rPr>
              <w:t xml:space="preserve">nutrition information. </w:t>
            </w:r>
            <w:r w:rsidR="00F94C70" w:rsidRPr="006D413D">
              <w:rPr>
                <w:rFonts w:cstheme="minorHAnsi"/>
                <w:color w:val="000000" w:themeColor="text1"/>
                <w:szCs w:val="20"/>
              </w:rPr>
              <w:t>T</w:t>
            </w:r>
            <w:r w:rsidRPr="006D413D">
              <w:rPr>
                <w:rFonts w:cstheme="minorHAnsi"/>
                <w:color w:val="000000" w:themeColor="text1"/>
                <w:szCs w:val="20"/>
              </w:rPr>
              <w:t xml:space="preserve">he HSR Calculator </w:t>
            </w:r>
            <w:r w:rsidR="00837283" w:rsidRPr="006D413D">
              <w:rPr>
                <w:rFonts w:cstheme="minorHAnsi"/>
                <w:color w:val="000000" w:themeColor="text1"/>
                <w:szCs w:val="20"/>
              </w:rPr>
              <w:t>considers</w:t>
            </w:r>
            <w:r w:rsidRPr="006D413D">
              <w:rPr>
                <w:rFonts w:cstheme="minorHAnsi"/>
                <w:color w:val="000000" w:themeColor="text1"/>
                <w:szCs w:val="20"/>
              </w:rPr>
              <w:t xml:space="preserve"> four </w:t>
            </w:r>
            <w:r w:rsidR="00837283" w:rsidRPr="006D413D">
              <w:rPr>
                <w:rFonts w:cstheme="minorHAnsi"/>
                <w:color w:val="000000" w:themeColor="text1"/>
                <w:szCs w:val="20"/>
              </w:rPr>
              <w:t>components</w:t>
            </w:r>
            <w:r w:rsidRPr="006D413D">
              <w:rPr>
                <w:rFonts w:cstheme="minorHAnsi"/>
                <w:color w:val="000000" w:themeColor="text1"/>
                <w:szCs w:val="20"/>
              </w:rPr>
              <w:t xml:space="preserve"> of a food associated with increasing the risk factors of chronic diseases </w:t>
            </w:r>
            <w:r w:rsidR="00837283" w:rsidRPr="006D413D">
              <w:rPr>
                <w:rFonts w:cstheme="minorHAnsi"/>
                <w:color w:val="000000" w:themeColor="text1"/>
                <w:szCs w:val="20"/>
              </w:rPr>
              <w:t>(</w:t>
            </w:r>
            <w:r w:rsidRPr="006D413D">
              <w:rPr>
                <w:rFonts w:cstheme="minorHAnsi"/>
                <w:color w:val="000000" w:themeColor="text1"/>
                <w:szCs w:val="20"/>
              </w:rPr>
              <w:t>energy, saturated fat, sodium and total sugars content</w:t>
            </w:r>
            <w:r w:rsidR="00837283" w:rsidRPr="006D413D">
              <w:rPr>
                <w:rFonts w:cstheme="minorHAnsi"/>
                <w:color w:val="000000" w:themeColor="text1"/>
                <w:szCs w:val="20"/>
              </w:rPr>
              <w:t>)</w:t>
            </w:r>
            <w:r w:rsidRPr="006D413D">
              <w:rPr>
                <w:rFonts w:cstheme="minorHAnsi"/>
                <w:color w:val="000000" w:themeColor="text1"/>
                <w:szCs w:val="20"/>
              </w:rPr>
              <w:t xml:space="preserve">. Certain ‘positive’ aspects of a food such as FVNL content, and in some instances, fibre and protein content are also considered. </w:t>
            </w:r>
            <w:r w:rsidR="00837283" w:rsidRPr="006D413D">
              <w:rPr>
                <w:rFonts w:cstheme="minorHAnsi"/>
                <w:color w:val="000000" w:themeColor="text1"/>
                <w:szCs w:val="20"/>
              </w:rPr>
              <w:t>P</w:t>
            </w:r>
            <w:r w:rsidRPr="006D413D">
              <w:rPr>
                <w:rFonts w:cstheme="minorHAnsi"/>
                <w:color w:val="000000" w:themeColor="text1"/>
                <w:szCs w:val="20"/>
              </w:rPr>
              <w:t>oints are allocated based on the nutritional composition of 100g or 100mL</w:t>
            </w:r>
            <w:r w:rsidR="00837283" w:rsidRPr="006D413D">
              <w:rPr>
                <w:rFonts w:cstheme="minorHAnsi"/>
                <w:color w:val="000000" w:themeColor="text1"/>
                <w:szCs w:val="20"/>
              </w:rPr>
              <w:t xml:space="preserve"> of the product</w:t>
            </w:r>
            <w:r w:rsidRPr="006D413D">
              <w:rPr>
                <w:rFonts w:cstheme="minorHAnsi"/>
                <w:color w:val="000000" w:themeColor="text1"/>
                <w:szCs w:val="20"/>
              </w:rPr>
              <w:t xml:space="preserve">, following the units used in the NIP of a packaged </w:t>
            </w:r>
            <w:r w:rsidR="00837283" w:rsidRPr="006D413D">
              <w:rPr>
                <w:rFonts w:cstheme="minorHAnsi"/>
                <w:color w:val="000000" w:themeColor="text1"/>
                <w:szCs w:val="20"/>
              </w:rPr>
              <w:t>product</w:t>
            </w:r>
            <w:r w:rsidRPr="006D413D">
              <w:rPr>
                <w:rFonts w:cstheme="minorHAnsi"/>
                <w:color w:val="000000" w:themeColor="text1"/>
                <w:szCs w:val="20"/>
              </w:rPr>
              <w:t>. The points are co</w:t>
            </w:r>
            <w:r w:rsidR="00837283" w:rsidRPr="006D413D">
              <w:rPr>
                <w:rFonts w:cstheme="minorHAnsi"/>
                <w:color w:val="000000" w:themeColor="text1"/>
                <w:szCs w:val="20"/>
              </w:rPr>
              <w:t>nverted to a star rating (from 0.5</w:t>
            </w:r>
            <w:r w:rsidRPr="006D413D">
              <w:rPr>
                <w:rFonts w:cstheme="minorHAnsi"/>
                <w:color w:val="000000" w:themeColor="text1"/>
                <w:szCs w:val="20"/>
              </w:rPr>
              <w:t xml:space="preserve"> to 5 stars). </w:t>
            </w:r>
          </w:p>
          <w:p w14:paraId="2802951A" w14:textId="14C62865" w:rsidR="0023503B"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The HSR Calculator is a modified version of the NPSC developed by FSANZ for the regulation of health claims in Australia and New Zealand and prescribed in Standard 1.2.7 – Nutrition, Health and Related Claims of the Code.</w:t>
            </w:r>
          </w:p>
          <w:p w14:paraId="41CFBBB2" w14:textId="6BB15995" w:rsidR="00295D38" w:rsidRPr="006D413D" w:rsidRDefault="00295D38" w:rsidP="00837283">
            <w:pPr>
              <w:pStyle w:val="mpctabletext"/>
              <w:spacing w:before="60" w:after="60"/>
              <w:rPr>
                <w:rFonts w:cstheme="minorHAnsi"/>
                <w:color w:val="000000" w:themeColor="text1"/>
                <w:szCs w:val="20"/>
              </w:rPr>
            </w:pPr>
            <w:r w:rsidRPr="006D413D">
              <w:rPr>
                <w:rFonts w:cstheme="minorHAnsi"/>
                <w:color w:val="000000" w:themeColor="text1"/>
                <w:szCs w:val="20"/>
              </w:rPr>
              <w:lastRenderedPageBreak/>
              <w:t xml:space="preserve">See </w:t>
            </w:r>
            <w:r w:rsidRPr="006D413D">
              <w:rPr>
                <w:rFonts w:cstheme="minorHAnsi"/>
                <w:color w:val="000000" w:themeColor="text1"/>
                <w:szCs w:val="20"/>
                <w:u w:val="single"/>
              </w:rPr>
              <w:t>Appendix 1</w:t>
            </w:r>
            <w:r w:rsidRPr="006D413D">
              <w:rPr>
                <w:rFonts w:cstheme="minorHAnsi"/>
                <w:color w:val="000000" w:themeColor="text1"/>
                <w:szCs w:val="20"/>
              </w:rPr>
              <w:t xml:space="preserve"> for a more detailed description of the HSR Calculator. </w:t>
            </w:r>
          </w:p>
        </w:tc>
      </w:tr>
      <w:tr w:rsidR="0023503B" w:rsidRPr="006D413D" w14:paraId="453CBEDC" w14:textId="77777777" w:rsidTr="009D621A">
        <w:tc>
          <w:tcPr>
            <w:tcW w:w="1017" w:type="pct"/>
          </w:tcPr>
          <w:p w14:paraId="61DC8650" w14:textId="2C26F46A"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lastRenderedPageBreak/>
              <w:t>HSR category</w:t>
            </w:r>
          </w:p>
        </w:tc>
        <w:tc>
          <w:tcPr>
            <w:tcW w:w="3983" w:type="pct"/>
          </w:tcPr>
          <w:p w14:paraId="64199A2E" w14:textId="3B51B2BD" w:rsidR="0023503B" w:rsidRPr="006D413D" w:rsidRDefault="0023503B" w:rsidP="0024269C">
            <w:pPr>
              <w:rPr>
                <w:rFonts w:eastAsiaTheme="minorHAnsi"/>
                <w:sz w:val="20"/>
                <w:szCs w:val="20"/>
              </w:rPr>
            </w:pPr>
            <w:r w:rsidRPr="006D413D">
              <w:rPr>
                <w:rFonts w:eastAsiaTheme="minorHAnsi"/>
                <w:sz w:val="20"/>
                <w:szCs w:val="20"/>
              </w:rPr>
              <w:t>The HSR system is based on six different product categories</w:t>
            </w:r>
            <w:r w:rsidR="00837283" w:rsidRPr="006D413D">
              <w:rPr>
                <w:rFonts w:eastAsiaTheme="minorHAnsi"/>
                <w:sz w:val="20"/>
                <w:szCs w:val="20"/>
              </w:rPr>
              <w:t xml:space="preserve"> (</w:t>
            </w:r>
            <w:r w:rsidRPr="006D413D">
              <w:rPr>
                <w:rFonts w:eastAsiaTheme="minorHAnsi"/>
                <w:sz w:val="20"/>
                <w:szCs w:val="20"/>
              </w:rPr>
              <w:t>1, 1D, 2, 2D, 3 and 3D</w:t>
            </w:r>
            <w:r w:rsidR="00837283" w:rsidRPr="006D413D">
              <w:rPr>
                <w:rFonts w:eastAsiaTheme="minorHAnsi"/>
                <w:sz w:val="20"/>
                <w:szCs w:val="20"/>
              </w:rPr>
              <w:t>).</w:t>
            </w:r>
          </w:p>
        </w:tc>
      </w:tr>
      <w:tr w:rsidR="0023503B" w:rsidRPr="006D413D" w14:paraId="3071AD15" w14:textId="77777777" w:rsidTr="009D621A">
        <w:tc>
          <w:tcPr>
            <w:tcW w:w="1017" w:type="pct"/>
          </w:tcPr>
          <w:p w14:paraId="4672EA31" w14:textId="31A23792" w:rsidR="0023503B" w:rsidRPr="006D413D" w:rsidRDefault="0023503B" w:rsidP="0023503B">
            <w:pPr>
              <w:pStyle w:val="mpctabletext"/>
              <w:spacing w:before="60" w:after="60"/>
              <w:rPr>
                <w:rFonts w:cstheme="minorHAnsi"/>
                <w:b/>
                <w:color w:val="000000" w:themeColor="text1"/>
                <w:szCs w:val="20"/>
              </w:rPr>
            </w:pPr>
            <w:r w:rsidRPr="006D413D" w:rsidDel="000D01DE">
              <w:rPr>
                <w:rFonts w:cstheme="minorHAnsi"/>
                <w:b/>
                <w:color w:val="000000" w:themeColor="text1"/>
                <w:szCs w:val="20"/>
              </w:rPr>
              <w:t>Modifying points</w:t>
            </w:r>
            <w:r w:rsidRPr="006D413D">
              <w:rPr>
                <w:rFonts w:cstheme="minorHAnsi"/>
                <w:b/>
                <w:color w:val="000000" w:themeColor="text1"/>
                <w:szCs w:val="20"/>
              </w:rPr>
              <w:t xml:space="preserve"> </w:t>
            </w:r>
          </w:p>
        </w:tc>
        <w:tc>
          <w:tcPr>
            <w:tcW w:w="3983" w:type="pct"/>
          </w:tcPr>
          <w:p w14:paraId="4361033E" w14:textId="5EBAD7A9" w:rsidR="00837283"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In the NPSC, m</w:t>
            </w:r>
            <w:r w:rsidRPr="006D413D" w:rsidDel="000D01DE">
              <w:rPr>
                <w:rFonts w:cstheme="minorHAnsi"/>
                <w:color w:val="000000" w:themeColor="text1"/>
                <w:szCs w:val="20"/>
              </w:rPr>
              <w:t xml:space="preserve">odifying points are calculated as part of the nutrient profiling score. Modifying points are allocated for the </w:t>
            </w:r>
            <w:r w:rsidR="00837283" w:rsidRPr="006D413D">
              <w:rPr>
                <w:rFonts w:cstheme="minorHAnsi"/>
                <w:color w:val="000000" w:themeColor="text1"/>
                <w:szCs w:val="20"/>
              </w:rPr>
              <w:t>positive components</w:t>
            </w:r>
            <w:r w:rsidRPr="006D413D" w:rsidDel="000D01DE">
              <w:rPr>
                <w:rFonts w:cstheme="minorHAnsi"/>
                <w:color w:val="000000" w:themeColor="text1"/>
                <w:szCs w:val="20"/>
              </w:rPr>
              <w:t xml:space="preserve"> (%FVN</w:t>
            </w:r>
            <w:r w:rsidRPr="006D413D">
              <w:rPr>
                <w:rFonts w:cstheme="minorHAnsi"/>
                <w:color w:val="000000" w:themeColor="text1"/>
                <w:szCs w:val="20"/>
              </w:rPr>
              <w:t>L and, in some instances</w:t>
            </w:r>
            <w:r w:rsidRPr="006D413D" w:rsidDel="000D01DE">
              <w:rPr>
                <w:rFonts w:cstheme="minorHAnsi"/>
                <w:color w:val="000000" w:themeColor="text1"/>
                <w:szCs w:val="20"/>
              </w:rPr>
              <w:t>, protein, fibre) present in foods and beverages, in accordance with Schedule 5 of Standard 1.2.7</w:t>
            </w:r>
            <w:r w:rsidRPr="006D413D">
              <w:rPr>
                <w:rFonts w:cstheme="minorHAnsi"/>
                <w:color w:val="000000" w:themeColor="text1"/>
                <w:szCs w:val="20"/>
              </w:rPr>
              <w:t xml:space="preserve"> of the Code</w:t>
            </w:r>
            <w:r w:rsidR="00837283" w:rsidRPr="006D413D">
              <w:rPr>
                <w:rFonts w:cstheme="minorHAnsi"/>
                <w:color w:val="000000" w:themeColor="text1"/>
                <w:szCs w:val="20"/>
              </w:rPr>
              <w:t xml:space="preserve">. </w:t>
            </w:r>
          </w:p>
          <w:p w14:paraId="418F45B3" w14:textId="3A14C3AF" w:rsidR="0023503B"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 xml:space="preserve">In the </w:t>
            </w:r>
            <w:r w:rsidR="00837283" w:rsidRPr="006D413D">
              <w:rPr>
                <w:rFonts w:cstheme="minorHAnsi"/>
                <w:color w:val="000000" w:themeColor="text1"/>
                <w:szCs w:val="20"/>
              </w:rPr>
              <w:t>HSR C</w:t>
            </w:r>
            <w:r w:rsidRPr="006D413D">
              <w:rPr>
                <w:rFonts w:cstheme="minorHAnsi"/>
                <w:color w:val="000000" w:themeColor="text1"/>
                <w:szCs w:val="20"/>
              </w:rPr>
              <w:t xml:space="preserve">alculator, extended modifying points are allocated to </w:t>
            </w:r>
            <w:r w:rsidR="00837283" w:rsidRPr="006D413D">
              <w:rPr>
                <w:rFonts w:cstheme="minorHAnsi"/>
                <w:color w:val="000000" w:themeColor="text1"/>
                <w:szCs w:val="20"/>
              </w:rPr>
              <w:t>the same positive</w:t>
            </w:r>
            <w:r w:rsidRPr="006D413D">
              <w:rPr>
                <w:rFonts w:cstheme="minorHAnsi"/>
                <w:color w:val="000000" w:themeColor="text1"/>
                <w:szCs w:val="20"/>
              </w:rPr>
              <w:t xml:space="preserve"> components</w:t>
            </w:r>
            <w:r w:rsidR="00837283" w:rsidRPr="006D413D">
              <w:rPr>
                <w:rFonts w:cstheme="minorHAnsi"/>
                <w:color w:val="000000" w:themeColor="text1"/>
                <w:szCs w:val="20"/>
              </w:rPr>
              <w:t xml:space="preserve">, increasing the </w:t>
            </w:r>
            <w:r w:rsidRPr="006D413D">
              <w:rPr>
                <w:rFonts w:cstheme="minorHAnsi"/>
                <w:color w:val="000000" w:themeColor="text1"/>
                <w:szCs w:val="20"/>
              </w:rPr>
              <w:t>final HSR</w:t>
            </w:r>
            <w:r w:rsidR="00837283" w:rsidRPr="006D413D">
              <w:rPr>
                <w:rFonts w:cstheme="minorHAnsi"/>
                <w:color w:val="000000" w:themeColor="text1"/>
                <w:szCs w:val="20"/>
              </w:rPr>
              <w:t xml:space="preserve"> for a product</w:t>
            </w:r>
            <w:r w:rsidRPr="006D413D">
              <w:rPr>
                <w:rFonts w:cstheme="minorHAnsi"/>
                <w:color w:val="000000" w:themeColor="text1"/>
                <w:szCs w:val="20"/>
              </w:rPr>
              <w:t>.</w:t>
            </w:r>
          </w:p>
        </w:tc>
      </w:tr>
      <w:tr w:rsidR="0023503B" w:rsidRPr="006D413D" w14:paraId="27EF3385" w14:textId="77777777" w:rsidTr="009D621A">
        <w:tc>
          <w:tcPr>
            <w:tcW w:w="1017" w:type="pct"/>
          </w:tcPr>
          <w:p w14:paraId="1409DC4B" w14:textId="12791ABB"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t>Nutrition Information Panel</w:t>
            </w:r>
            <w:r w:rsidR="002947D3" w:rsidRPr="006D413D">
              <w:rPr>
                <w:rFonts w:cstheme="minorHAnsi"/>
                <w:b/>
                <w:color w:val="000000" w:themeColor="text1"/>
                <w:szCs w:val="20"/>
              </w:rPr>
              <w:t xml:space="preserve"> (NIP)</w:t>
            </w:r>
          </w:p>
        </w:tc>
        <w:tc>
          <w:tcPr>
            <w:tcW w:w="3983" w:type="pct"/>
          </w:tcPr>
          <w:p w14:paraId="5954DEAB" w14:textId="305296C7" w:rsidR="0023503B" w:rsidRPr="006D413D" w:rsidRDefault="0023503B" w:rsidP="0024269C">
            <w:pPr>
              <w:rPr>
                <w:rFonts w:eastAsiaTheme="minorHAnsi"/>
                <w:sz w:val="20"/>
                <w:szCs w:val="20"/>
              </w:rPr>
            </w:pPr>
            <w:r w:rsidRPr="006D413D">
              <w:rPr>
                <w:rFonts w:eastAsiaTheme="minorHAnsi"/>
                <w:sz w:val="20"/>
                <w:szCs w:val="20"/>
              </w:rPr>
              <w:t xml:space="preserve">Nutrition Information Requirements in Standard 1.2.8 of the Code requires nutrition information on most food labels in the form of </w:t>
            </w:r>
            <w:r w:rsidR="00837283" w:rsidRPr="006D413D">
              <w:rPr>
                <w:rFonts w:eastAsiaTheme="minorHAnsi"/>
                <w:sz w:val="20"/>
                <w:szCs w:val="20"/>
              </w:rPr>
              <w:t xml:space="preserve">a </w:t>
            </w:r>
            <w:hyperlink r:id="rId20" w:history="1">
              <w:r w:rsidRPr="006D413D">
                <w:rPr>
                  <w:rStyle w:val="Hyperlink"/>
                  <w:rFonts w:eastAsiaTheme="minorHAnsi"/>
                  <w:sz w:val="20"/>
                  <w:szCs w:val="20"/>
                </w:rPr>
                <w:t>NIP</w:t>
              </w:r>
            </w:hyperlink>
            <w:r w:rsidRPr="006D413D">
              <w:rPr>
                <w:rFonts w:eastAsiaTheme="minorHAnsi"/>
                <w:sz w:val="20"/>
                <w:szCs w:val="20"/>
              </w:rPr>
              <w:t xml:space="preserve">. In the NIP, information on the amount of energy, protein, total fat, saturated fat, carbohydrate, total sugars and sodium must be displayed. Manufacturers can elect to sub-label protein, carbohydrates and fats. Total sugars declarations can declare sub groups as specific sugars, such as lactose, if desired. </w:t>
            </w:r>
          </w:p>
        </w:tc>
      </w:tr>
      <w:tr w:rsidR="0023503B" w:rsidRPr="006D413D" w14:paraId="38DF11A8" w14:textId="77777777" w:rsidTr="009D621A">
        <w:tc>
          <w:tcPr>
            <w:tcW w:w="1017" w:type="pct"/>
          </w:tcPr>
          <w:p w14:paraId="20152B2C" w14:textId="1C13623A" w:rsidR="0023503B" w:rsidRPr="006D413D" w:rsidRDefault="00837283" w:rsidP="0023503B">
            <w:pPr>
              <w:pStyle w:val="mpctabletext"/>
              <w:spacing w:before="60" w:after="60"/>
              <w:rPr>
                <w:rFonts w:cstheme="minorHAnsi"/>
                <w:b/>
                <w:color w:val="000000" w:themeColor="text1"/>
                <w:szCs w:val="20"/>
              </w:rPr>
            </w:pPr>
            <w:r w:rsidRPr="006D413D">
              <w:rPr>
                <w:rFonts w:cstheme="minorHAnsi"/>
                <w:b/>
                <w:color w:val="000000" w:themeColor="text1"/>
                <w:szCs w:val="20"/>
              </w:rPr>
              <w:t>Nutrient Profiling Scoring Calculator</w:t>
            </w:r>
            <w:r w:rsidR="002947D3" w:rsidRPr="006D413D">
              <w:rPr>
                <w:rFonts w:cstheme="minorHAnsi"/>
                <w:b/>
                <w:color w:val="000000" w:themeColor="text1"/>
                <w:szCs w:val="20"/>
              </w:rPr>
              <w:t xml:space="preserve"> (NPSC</w:t>
            </w:r>
            <w:r w:rsidRPr="006D413D">
              <w:rPr>
                <w:rFonts w:cstheme="minorHAnsi"/>
                <w:b/>
                <w:color w:val="000000" w:themeColor="text1"/>
                <w:szCs w:val="20"/>
              </w:rPr>
              <w:t>)</w:t>
            </w:r>
          </w:p>
        </w:tc>
        <w:tc>
          <w:tcPr>
            <w:tcW w:w="3983" w:type="pct"/>
          </w:tcPr>
          <w:p w14:paraId="672606C8" w14:textId="2AD89453" w:rsidR="0023503B" w:rsidRPr="006D413D" w:rsidRDefault="008B7BDF" w:rsidP="0024269C">
            <w:pPr>
              <w:rPr>
                <w:rFonts w:eastAsiaTheme="minorHAnsi"/>
                <w:sz w:val="20"/>
                <w:szCs w:val="20"/>
              </w:rPr>
            </w:pPr>
            <w:r w:rsidRPr="006D413D">
              <w:rPr>
                <w:rFonts w:eastAsiaTheme="minorHAnsi"/>
                <w:sz w:val="20"/>
                <w:szCs w:val="20"/>
              </w:rPr>
              <w:t xml:space="preserve">The </w:t>
            </w:r>
            <w:hyperlink r:id="rId21" w:history="1">
              <w:r w:rsidRPr="006D413D">
                <w:rPr>
                  <w:rStyle w:val="Hyperlink"/>
                  <w:rFonts w:eastAsiaTheme="minorHAnsi"/>
                  <w:sz w:val="20"/>
                  <w:szCs w:val="20"/>
                </w:rPr>
                <w:t>NPSC</w:t>
              </w:r>
            </w:hyperlink>
            <w:r w:rsidRPr="006D413D">
              <w:rPr>
                <w:rFonts w:eastAsiaTheme="minorHAnsi"/>
                <w:sz w:val="20"/>
                <w:szCs w:val="20"/>
              </w:rPr>
              <w:t xml:space="preserve"> is a nutrient profiling system referred to in Standard 1.2.7 and detailed in Schedule 5 of The Code. The NPSC is used in Australia and New Zealand to determine whether a food is suitable to make a health claim, based on its nutrient profile. Only foods that meet a certain score will be allowed to have health claims made about them. The HSR algorithm is based on the NPSC with some modifications to better meet the needs of a scale rather than binary application.</w:t>
            </w:r>
          </w:p>
        </w:tc>
      </w:tr>
      <w:tr w:rsidR="0023503B" w:rsidRPr="006D413D" w14:paraId="53560EBB" w14:textId="77777777" w:rsidTr="009D621A">
        <w:tc>
          <w:tcPr>
            <w:tcW w:w="1017" w:type="pct"/>
          </w:tcPr>
          <w:p w14:paraId="6EAAA300" w14:textId="34BA2CE7" w:rsidR="0023503B" w:rsidRPr="006D413D" w:rsidRDefault="0023503B" w:rsidP="0024269C">
            <w:pPr>
              <w:rPr>
                <w:rFonts w:eastAsiaTheme="minorHAnsi"/>
                <w:b/>
                <w:sz w:val="20"/>
                <w:szCs w:val="20"/>
              </w:rPr>
            </w:pPr>
            <w:r w:rsidRPr="006D413D">
              <w:rPr>
                <w:rFonts w:eastAsiaTheme="minorHAnsi"/>
                <w:b/>
                <w:sz w:val="20"/>
                <w:szCs w:val="20"/>
              </w:rPr>
              <w:t>New Zealand Eating and Activity Guidelines 2015</w:t>
            </w:r>
            <w:r w:rsidR="002947D3" w:rsidRPr="006D413D">
              <w:rPr>
                <w:rFonts w:eastAsiaTheme="minorHAnsi"/>
                <w:b/>
                <w:sz w:val="20"/>
                <w:szCs w:val="20"/>
              </w:rPr>
              <w:t xml:space="preserve"> (NZEAG)</w:t>
            </w:r>
          </w:p>
        </w:tc>
        <w:tc>
          <w:tcPr>
            <w:tcW w:w="3983" w:type="pct"/>
          </w:tcPr>
          <w:p w14:paraId="233C1749" w14:textId="5EE2D264" w:rsidR="0023503B" w:rsidRPr="006D413D" w:rsidRDefault="0023503B" w:rsidP="0024269C">
            <w:pPr>
              <w:rPr>
                <w:rFonts w:eastAsiaTheme="minorHAnsi"/>
                <w:sz w:val="20"/>
                <w:szCs w:val="20"/>
              </w:rPr>
            </w:pPr>
            <w:r w:rsidRPr="006D413D">
              <w:rPr>
                <w:rFonts w:eastAsiaTheme="minorHAnsi"/>
                <w:sz w:val="20"/>
                <w:szCs w:val="20"/>
              </w:rPr>
              <w:t xml:space="preserve">The NZEAG provide evidence-based population health advice on healthy eating and being physically active. The document is written for health practitioners and others who provide advice on nutrition and physical activity for New Zealand adults. </w:t>
            </w:r>
          </w:p>
        </w:tc>
      </w:tr>
      <w:tr w:rsidR="0023503B" w:rsidRPr="006D413D" w14:paraId="7AD93929" w14:textId="77777777" w:rsidTr="009D621A">
        <w:tc>
          <w:tcPr>
            <w:tcW w:w="1017" w:type="pct"/>
          </w:tcPr>
          <w:p w14:paraId="277FF327" w14:textId="49A88774" w:rsidR="0023503B" w:rsidRPr="006D413D" w:rsidRDefault="002947D3" w:rsidP="0024269C">
            <w:pPr>
              <w:rPr>
                <w:rFonts w:eastAsiaTheme="minorHAnsi"/>
                <w:b/>
                <w:sz w:val="20"/>
                <w:szCs w:val="20"/>
              </w:rPr>
            </w:pPr>
            <w:r w:rsidRPr="006D413D">
              <w:rPr>
                <w:rFonts w:eastAsiaTheme="minorHAnsi"/>
                <w:b/>
                <w:sz w:val="20"/>
                <w:szCs w:val="20"/>
              </w:rPr>
              <w:t>Protein points (</w:t>
            </w:r>
            <w:r w:rsidR="0023503B" w:rsidRPr="006D413D">
              <w:rPr>
                <w:rFonts w:eastAsiaTheme="minorHAnsi"/>
                <w:b/>
                <w:sz w:val="20"/>
                <w:szCs w:val="20"/>
              </w:rPr>
              <w:t xml:space="preserve">P </w:t>
            </w:r>
            <w:r w:rsidRPr="006D413D">
              <w:rPr>
                <w:rFonts w:eastAsiaTheme="minorHAnsi"/>
                <w:b/>
                <w:sz w:val="20"/>
                <w:szCs w:val="20"/>
              </w:rPr>
              <w:t>p</w:t>
            </w:r>
            <w:r w:rsidR="0023503B" w:rsidRPr="006D413D">
              <w:rPr>
                <w:rFonts w:eastAsiaTheme="minorHAnsi"/>
                <w:b/>
                <w:sz w:val="20"/>
                <w:szCs w:val="20"/>
              </w:rPr>
              <w:t>oints</w:t>
            </w:r>
            <w:r w:rsidRPr="006D413D">
              <w:rPr>
                <w:rFonts w:eastAsiaTheme="minorHAnsi"/>
                <w:b/>
                <w:sz w:val="20"/>
                <w:szCs w:val="20"/>
              </w:rPr>
              <w:t>)</w:t>
            </w:r>
          </w:p>
        </w:tc>
        <w:tc>
          <w:tcPr>
            <w:tcW w:w="3983" w:type="pct"/>
          </w:tcPr>
          <w:p w14:paraId="729FE320" w14:textId="0BAF5B80" w:rsidR="0023503B" w:rsidRPr="006D413D" w:rsidRDefault="0023503B" w:rsidP="0024269C">
            <w:pPr>
              <w:rPr>
                <w:rFonts w:eastAsiaTheme="minorHAnsi"/>
                <w:sz w:val="20"/>
                <w:szCs w:val="20"/>
              </w:rPr>
            </w:pPr>
            <w:r w:rsidRPr="006D413D">
              <w:rPr>
                <w:rFonts w:eastAsiaTheme="minorHAnsi"/>
                <w:sz w:val="20"/>
                <w:szCs w:val="20"/>
              </w:rPr>
              <w:t>In the HSR system, food products score P points for the amount of protein present in the food. Protein points contribute to modifying points</w:t>
            </w:r>
            <w:r w:rsidR="008B7BDF" w:rsidRPr="006D413D">
              <w:rPr>
                <w:rFonts w:eastAsiaTheme="minorHAnsi"/>
                <w:sz w:val="20"/>
                <w:szCs w:val="20"/>
              </w:rPr>
              <w:t xml:space="preserve"> and</w:t>
            </w:r>
            <w:r w:rsidRPr="006D413D">
              <w:rPr>
                <w:rFonts w:eastAsiaTheme="minorHAnsi"/>
                <w:sz w:val="20"/>
                <w:szCs w:val="20"/>
              </w:rPr>
              <w:t xml:space="preserve"> can be scored if a food product scores less than 13 baseline points in the HSR Calculator. A food product that scores more than or equal to 13 baseline points can only score protein points if the food scores 5 or more V points in the HSR Calculator.</w:t>
            </w:r>
          </w:p>
        </w:tc>
      </w:tr>
      <w:tr w:rsidR="0023503B" w:rsidRPr="006D413D" w14:paraId="30787350" w14:textId="77777777" w:rsidTr="009D621A">
        <w:tc>
          <w:tcPr>
            <w:tcW w:w="1017" w:type="pct"/>
          </w:tcPr>
          <w:p w14:paraId="7A72C184" w14:textId="603D6898" w:rsidR="0023503B" w:rsidRPr="006D413D" w:rsidRDefault="0023503B" w:rsidP="0024269C">
            <w:pPr>
              <w:rPr>
                <w:rFonts w:eastAsiaTheme="minorHAnsi"/>
                <w:b/>
                <w:sz w:val="20"/>
                <w:szCs w:val="20"/>
              </w:rPr>
            </w:pPr>
            <w:r w:rsidRPr="006D413D">
              <w:rPr>
                <w:rFonts w:eastAsiaTheme="minorHAnsi"/>
                <w:b/>
                <w:sz w:val="20"/>
                <w:szCs w:val="20"/>
              </w:rPr>
              <w:t>Rescaling</w:t>
            </w:r>
          </w:p>
        </w:tc>
        <w:tc>
          <w:tcPr>
            <w:tcW w:w="3983" w:type="pct"/>
          </w:tcPr>
          <w:p w14:paraId="06A6CF49" w14:textId="77777777" w:rsidR="008B7BDF" w:rsidRPr="006D413D" w:rsidRDefault="0023503B" w:rsidP="008B7BDF">
            <w:pPr>
              <w:pStyle w:val="mpctabletext"/>
              <w:spacing w:before="60" w:after="60"/>
              <w:rPr>
                <w:rFonts w:cstheme="minorHAnsi"/>
                <w:color w:val="000000" w:themeColor="text1"/>
                <w:szCs w:val="20"/>
              </w:rPr>
            </w:pPr>
            <w:r w:rsidRPr="006D413D">
              <w:rPr>
                <w:rFonts w:cstheme="minorHAnsi"/>
                <w:color w:val="000000" w:themeColor="text1"/>
                <w:szCs w:val="20"/>
              </w:rPr>
              <w:t xml:space="preserve">Current scaling of each HSR category is based on the outputs produced by the HSR </w:t>
            </w:r>
            <w:r w:rsidR="008B7BDF" w:rsidRPr="006D413D">
              <w:rPr>
                <w:rFonts w:cstheme="minorHAnsi"/>
                <w:color w:val="000000" w:themeColor="text1"/>
                <w:szCs w:val="20"/>
              </w:rPr>
              <w:t>Calculator</w:t>
            </w:r>
            <w:r w:rsidRPr="006D413D">
              <w:rPr>
                <w:rFonts w:cstheme="minorHAnsi"/>
                <w:color w:val="000000" w:themeColor="text1"/>
                <w:szCs w:val="20"/>
              </w:rPr>
              <w:t xml:space="preserve"> using the databas</w:t>
            </w:r>
            <w:r w:rsidR="008B7BDF" w:rsidRPr="006D413D">
              <w:rPr>
                <w:rFonts w:cstheme="minorHAnsi"/>
                <w:color w:val="000000" w:themeColor="text1"/>
                <w:szCs w:val="20"/>
              </w:rPr>
              <w:t>e used to develop and test the HSR S</w:t>
            </w:r>
            <w:r w:rsidRPr="006D413D">
              <w:rPr>
                <w:rFonts w:cstheme="minorHAnsi"/>
                <w:color w:val="000000" w:themeColor="text1"/>
                <w:szCs w:val="20"/>
              </w:rPr>
              <w:t>ystem. The intention of scaling is to distribute products</w:t>
            </w:r>
            <w:r w:rsidR="008B7BDF" w:rsidRPr="006D413D">
              <w:rPr>
                <w:rFonts w:cstheme="minorHAnsi"/>
                <w:color w:val="000000" w:themeColor="text1"/>
                <w:szCs w:val="20"/>
              </w:rPr>
              <w:t xml:space="preserve"> within each category</w:t>
            </w:r>
            <w:r w:rsidRPr="006D413D">
              <w:rPr>
                <w:rFonts w:cstheme="minorHAnsi"/>
                <w:color w:val="000000" w:themeColor="text1"/>
                <w:szCs w:val="20"/>
              </w:rPr>
              <w:t xml:space="preserve"> across the range of HSRs available (i.e. from 0.5-5.0), thereby providing greater differentiation between rankings.</w:t>
            </w:r>
          </w:p>
          <w:p w14:paraId="1F76ED40" w14:textId="056EB432" w:rsidR="0023503B" w:rsidRPr="006D413D" w:rsidRDefault="0023503B" w:rsidP="008B7BDF">
            <w:pPr>
              <w:pStyle w:val="mpctabletext"/>
              <w:spacing w:before="60" w:after="60"/>
              <w:rPr>
                <w:rFonts w:cstheme="minorHAnsi"/>
                <w:color w:val="000000" w:themeColor="text1"/>
                <w:szCs w:val="20"/>
              </w:rPr>
            </w:pPr>
            <w:r w:rsidRPr="006D413D">
              <w:rPr>
                <w:rFonts w:cstheme="minorHAnsi"/>
                <w:color w:val="000000" w:themeColor="text1"/>
                <w:szCs w:val="20"/>
              </w:rPr>
              <w:t xml:space="preserve">HSR categories could be rescaled to redistribute products according to their relative nutrient content if a new distribution of products displays less differentiation. </w:t>
            </w:r>
          </w:p>
        </w:tc>
      </w:tr>
      <w:tr w:rsidR="0023503B" w:rsidRPr="006D413D" w14:paraId="2B60D054" w14:textId="77777777" w:rsidTr="009D621A">
        <w:tc>
          <w:tcPr>
            <w:tcW w:w="1017" w:type="pct"/>
          </w:tcPr>
          <w:p w14:paraId="1E98304A" w14:textId="51D95BF9" w:rsidR="0023503B" w:rsidRPr="006D413D" w:rsidRDefault="0023503B" w:rsidP="0024269C">
            <w:pPr>
              <w:rPr>
                <w:rFonts w:eastAsiaTheme="minorHAnsi"/>
                <w:b/>
                <w:sz w:val="20"/>
                <w:szCs w:val="20"/>
              </w:rPr>
            </w:pPr>
            <w:r w:rsidRPr="006D413D">
              <w:rPr>
                <w:rFonts w:eastAsiaTheme="minorHAnsi"/>
                <w:b/>
                <w:sz w:val="20"/>
                <w:szCs w:val="20"/>
              </w:rPr>
              <w:t>Style Guide</w:t>
            </w:r>
          </w:p>
        </w:tc>
        <w:tc>
          <w:tcPr>
            <w:tcW w:w="3983" w:type="pct"/>
          </w:tcPr>
          <w:p w14:paraId="4F81387C" w14:textId="34F579F8" w:rsidR="0023503B" w:rsidRPr="006D413D" w:rsidRDefault="0023503B" w:rsidP="0024269C">
            <w:pPr>
              <w:rPr>
                <w:rFonts w:eastAsiaTheme="minorHAnsi"/>
                <w:sz w:val="20"/>
                <w:szCs w:val="20"/>
              </w:rPr>
            </w:pPr>
            <w:r w:rsidRPr="006D413D">
              <w:rPr>
                <w:rFonts w:eastAsiaTheme="minorHAnsi"/>
                <w:sz w:val="20"/>
                <w:szCs w:val="20"/>
              </w:rPr>
              <w:t xml:space="preserve">The </w:t>
            </w:r>
            <w:hyperlink r:id="rId22" w:history="1">
              <w:r w:rsidRPr="006D413D">
                <w:rPr>
                  <w:rStyle w:val="Hyperlink"/>
                  <w:rFonts w:eastAsiaTheme="minorHAnsi"/>
                  <w:sz w:val="20"/>
                  <w:szCs w:val="20"/>
                </w:rPr>
                <w:t>Style Guide</w:t>
              </w:r>
            </w:hyperlink>
            <w:r w:rsidRPr="006D413D">
              <w:rPr>
                <w:rFonts w:eastAsiaTheme="minorHAnsi"/>
                <w:sz w:val="20"/>
                <w:szCs w:val="20"/>
              </w:rPr>
              <w:t xml:space="preserve"> provides guidance for the application of the HSR </w:t>
            </w:r>
            <w:r w:rsidR="008B7BDF" w:rsidRPr="006D413D">
              <w:rPr>
                <w:rFonts w:eastAsiaTheme="minorHAnsi"/>
                <w:sz w:val="20"/>
                <w:szCs w:val="20"/>
              </w:rPr>
              <w:t>S</w:t>
            </w:r>
            <w:r w:rsidRPr="006D413D">
              <w:rPr>
                <w:rFonts w:eastAsiaTheme="minorHAnsi"/>
                <w:sz w:val="20"/>
                <w:szCs w:val="20"/>
              </w:rPr>
              <w:t xml:space="preserve">ystem on </w:t>
            </w:r>
            <w:r w:rsidR="008B7BDF" w:rsidRPr="006D413D">
              <w:rPr>
                <w:rFonts w:eastAsiaTheme="minorHAnsi"/>
                <w:sz w:val="20"/>
                <w:szCs w:val="20"/>
              </w:rPr>
              <w:t>product packaging</w:t>
            </w:r>
            <w:r w:rsidRPr="006D413D">
              <w:rPr>
                <w:rFonts w:eastAsiaTheme="minorHAnsi"/>
                <w:sz w:val="20"/>
                <w:szCs w:val="20"/>
              </w:rPr>
              <w:t xml:space="preserve">. </w:t>
            </w:r>
          </w:p>
        </w:tc>
      </w:tr>
      <w:tr w:rsidR="0023503B" w:rsidRPr="006D413D" w14:paraId="1A4E709A" w14:textId="77777777" w:rsidTr="009D621A">
        <w:tc>
          <w:tcPr>
            <w:tcW w:w="1017" w:type="pct"/>
          </w:tcPr>
          <w:p w14:paraId="3B70289A" w14:textId="49CD10D6" w:rsidR="0023503B" w:rsidRPr="006D413D" w:rsidRDefault="008B7BDF" w:rsidP="0024269C">
            <w:pPr>
              <w:rPr>
                <w:rFonts w:eastAsiaTheme="minorHAnsi"/>
                <w:b/>
                <w:sz w:val="20"/>
                <w:szCs w:val="20"/>
              </w:rPr>
            </w:pPr>
            <w:r w:rsidRPr="006D413D">
              <w:rPr>
                <w:rFonts w:eastAsiaTheme="minorHAnsi"/>
                <w:b/>
                <w:sz w:val="20"/>
                <w:szCs w:val="20"/>
              </w:rPr>
              <w:t>TAG (Technical Advisory Group</w:t>
            </w:r>
            <w:r w:rsidR="0023503B" w:rsidRPr="006D413D">
              <w:rPr>
                <w:rFonts w:eastAsiaTheme="minorHAnsi"/>
                <w:b/>
                <w:sz w:val="20"/>
                <w:szCs w:val="20"/>
              </w:rPr>
              <w:t>)</w:t>
            </w:r>
          </w:p>
        </w:tc>
        <w:tc>
          <w:tcPr>
            <w:tcW w:w="3983" w:type="pct"/>
          </w:tcPr>
          <w:p w14:paraId="58D263E0" w14:textId="7EDAC0F1" w:rsidR="0023503B" w:rsidRPr="006D413D" w:rsidRDefault="0023503B" w:rsidP="0024269C">
            <w:pPr>
              <w:rPr>
                <w:rFonts w:eastAsiaTheme="minorHAnsi"/>
                <w:sz w:val="20"/>
                <w:szCs w:val="20"/>
              </w:rPr>
            </w:pPr>
            <w:r w:rsidRPr="006D413D">
              <w:rPr>
                <w:rFonts w:eastAsiaTheme="minorHAnsi"/>
                <w:sz w:val="20"/>
                <w:szCs w:val="20"/>
              </w:rPr>
              <w:t xml:space="preserve">The </w:t>
            </w:r>
            <w:hyperlink r:id="rId23" w:history="1">
              <w:r w:rsidR="008B7BDF" w:rsidRPr="006D413D">
                <w:rPr>
                  <w:rStyle w:val="Hyperlink"/>
                  <w:rFonts w:eastAsiaTheme="minorHAnsi"/>
                  <w:sz w:val="20"/>
                  <w:szCs w:val="20"/>
                </w:rPr>
                <w:t>TAG</w:t>
              </w:r>
            </w:hyperlink>
            <w:r w:rsidRPr="006D413D">
              <w:rPr>
                <w:rFonts w:eastAsiaTheme="minorHAnsi"/>
                <w:sz w:val="20"/>
                <w:szCs w:val="20"/>
              </w:rPr>
              <w:t xml:space="preserve"> consists of a tripartite (government, food industry, public health) group of experts with relevant technical skills. The TAG’s role is to analyse and review the performance of the HSR Calculator and respond to technical issues and related matters referred to it by the HSRAC.</w:t>
            </w:r>
          </w:p>
        </w:tc>
      </w:tr>
      <w:tr w:rsidR="0023503B" w:rsidRPr="006D413D" w14:paraId="20FBC884" w14:textId="77777777" w:rsidTr="009D621A">
        <w:tc>
          <w:tcPr>
            <w:tcW w:w="1017" w:type="pct"/>
            <w:shd w:val="clear" w:color="auto" w:fill="auto"/>
          </w:tcPr>
          <w:p w14:paraId="4E4290D2" w14:textId="21516CD5" w:rsidR="0023503B" w:rsidRPr="006D413D" w:rsidRDefault="002947D3" w:rsidP="0024269C">
            <w:pPr>
              <w:rPr>
                <w:rFonts w:eastAsiaTheme="minorHAnsi"/>
                <w:b/>
                <w:sz w:val="20"/>
                <w:szCs w:val="20"/>
              </w:rPr>
            </w:pPr>
            <w:r w:rsidRPr="006D413D">
              <w:rPr>
                <w:rFonts w:eastAsiaTheme="minorHAnsi"/>
                <w:b/>
                <w:sz w:val="20"/>
                <w:szCs w:val="20"/>
              </w:rPr>
              <w:t xml:space="preserve">FVNL </w:t>
            </w:r>
            <w:r w:rsidR="00295D38" w:rsidRPr="006D413D">
              <w:rPr>
                <w:rFonts w:eastAsiaTheme="minorHAnsi"/>
                <w:b/>
                <w:sz w:val="20"/>
                <w:szCs w:val="20"/>
              </w:rPr>
              <w:t>points (</w:t>
            </w:r>
            <w:r w:rsidR="0023503B" w:rsidRPr="006D413D">
              <w:rPr>
                <w:rFonts w:eastAsiaTheme="minorHAnsi"/>
                <w:b/>
                <w:sz w:val="20"/>
                <w:szCs w:val="20"/>
              </w:rPr>
              <w:t>V points</w:t>
            </w:r>
            <w:r w:rsidR="00295D38" w:rsidRPr="006D413D">
              <w:rPr>
                <w:rFonts w:eastAsiaTheme="minorHAnsi"/>
                <w:b/>
                <w:sz w:val="20"/>
                <w:szCs w:val="20"/>
              </w:rPr>
              <w:t>)</w:t>
            </w:r>
          </w:p>
        </w:tc>
        <w:tc>
          <w:tcPr>
            <w:tcW w:w="3983" w:type="pct"/>
            <w:shd w:val="clear" w:color="auto" w:fill="auto"/>
          </w:tcPr>
          <w:p w14:paraId="1260A738" w14:textId="71114C9E" w:rsidR="0023503B" w:rsidRPr="006D413D" w:rsidRDefault="0023503B" w:rsidP="0024269C">
            <w:pPr>
              <w:rPr>
                <w:rFonts w:eastAsiaTheme="minorHAnsi"/>
                <w:sz w:val="20"/>
                <w:szCs w:val="20"/>
              </w:rPr>
            </w:pPr>
            <w:r w:rsidRPr="006D413D">
              <w:rPr>
                <w:rFonts w:eastAsiaTheme="minorHAnsi"/>
                <w:sz w:val="20"/>
                <w:szCs w:val="20"/>
              </w:rPr>
              <w:t>In the NPSC</w:t>
            </w:r>
            <w:r w:rsidR="008B7BDF" w:rsidRPr="006D413D">
              <w:rPr>
                <w:rFonts w:eastAsiaTheme="minorHAnsi"/>
                <w:sz w:val="20"/>
                <w:szCs w:val="20"/>
              </w:rPr>
              <w:t xml:space="preserve"> and the HSR System</w:t>
            </w:r>
            <w:r w:rsidRPr="006D413D">
              <w:rPr>
                <w:rFonts w:eastAsiaTheme="minorHAnsi"/>
                <w:sz w:val="20"/>
                <w:szCs w:val="20"/>
              </w:rPr>
              <w:t>, products score V points for the proportion of their ingredients comprising of FVNL (fruits, vegetables, nuts and legumes including coconut, spices, herbs, fungi, seeds and algae). Note that V points have been expanded in the HSR Calculator compared to the table in the NPSC.</w:t>
            </w:r>
          </w:p>
        </w:tc>
      </w:tr>
    </w:tbl>
    <w:p w14:paraId="6C335512" w14:textId="77777777" w:rsidR="00CD6B62" w:rsidRPr="00CD6B62" w:rsidRDefault="00CD6B62" w:rsidP="0024269C"/>
    <w:p w14:paraId="04BA46DA" w14:textId="77777777" w:rsidR="00CD6B62" w:rsidRPr="00CD6B62" w:rsidRDefault="00CD6B62" w:rsidP="0024269C"/>
    <w:p w14:paraId="5D05AF2E" w14:textId="085374F3" w:rsidR="00D448FA" w:rsidRPr="00AB3873" w:rsidRDefault="00013787" w:rsidP="0024269C">
      <w:pPr>
        <w:pStyle w:val="mpcheading1"/>
      </w:pPr>
      <w:r>
        <w:br w:type="column"/>
      </w:r>
      <w:bookmarkStart w:id="13" w:name="Chapter1"/>
      <w:bookmarkStart w:id="14" w:name="_Toc527112886"/>
      <w:bookmarkEnd w:id="13"/>
      <w:r w:rsidR="00D448FA" w:rsidRPr="00AB3873">
        <w:lastRenderedPageBreak/>
        <w:t xml:space="preserve">Chapter 1 – </w:t>
      </w:r>
      <w:r w:rsidR="00B37AFB">
        <w:t xml:space="preserve">Context and </w:t>
      </w:r>
      <w:r w:rsidR="00B37AFB" w:rsidRPr="0024269C">
        <w:t>purpose</w:t>
      </w:r>
      <w:r w:rsidR="00B37AFB">
        <w:t xml:space="preserve"> of this </w:t>
      </w:r>
      <w:r w:rsidR="000C5DBF">
        <w:t>Consultation</w:t>
      </w:r>
      <w:r w:rsidR="00B37AFB">
        <w:t xml:space="preserve"> Paper</w:t>
      </w:r>
      <w:bookmarkEnd w:id="14"/>
      <w:r w:rsidR="00D448FA" w:rsidRPr="00AB3873">
        <w:t xml:space="preserve"> </w:t>
      </w:r>
      <w:bookmarkEnd w:id="8"/>
    </w:p>
    <w:p w14:paraId="4B579BA2" w14:textId="79C47596" w:rsidR="004B3AF9" w:rsidRPr="00FC28D2" w:rsidRDefault="004B3AF9" w:rsidP="0024269C">
      <w:r w:rsidRPr="00FC28D2">
        <w:t xml:space="preserve">The Health Star Rating (HSR) </w:t>
      </w:r>
      <w:r w:rsidR="003001A2" w:rsidRPr="00FC28D2">
        <w:t>System</w:t>
      </w:r>
      <w:r w:rsidRPr="00FC28D2">
        <w:t xml:space="preserve"> is a voluntary front-of-pack labelling </w:t>
      </w:r>
      <w:r w:rsidR="003001A2" w:rsidRPr="00FC28D2">
        <w:t xml:space="preserve">(FoPL) scheme that rates the </w:t>
      </w:r>
      <w:r w:rsidRPr="00FC28D2">
        <w:t>overall nutritional profile of packaged food and assigns it a rating fro</w:t>
      </w:r>
      <w:r w:rsidR="003001A2" w:rsidRPr="00FC28D2">
        <w:t xml:space="preserve">m 0.5 to 5 stars. With a focus </w:t>
      </w:r>
      <w:r w:rsidRPr="00FC28D2">
        <w:t xml:space="preserve">on processed packaged foods, the </w:t>
      </w:r>
      <w:r w:rsidR="00595A02" w:rsidRPr="00FC28D2">
        <w:t xml:space="preserve">objective of the HSR </w:t>
      </w:r>
      <w:r w:rsidR="003001A2" w:rsidRPr="00FC28D2">
        <w:t>System</w:t>
      </w:r>
      <w:r w:rsidR="00595A02" w:rsidRPr="00FC28D2">
        <w:t xml:space="preserve"> is t</w:t>
      </w:r>
      <w:r w:rsidR="003001A2" w:rsidRPr="00FC28D2">
        <w:t xml:space="preserve">o provide convenient, relevant </w:t>
      </w:r>
      <w:r w:rsidRPr="00FC28D2">
        <w:t xml:space="preserve">and readily understood nutrition information and/or guidance </w:t>
      </w:r>
      <w:r w:rsidR="003001A2" w:rsidRPr="00FC28D2">
        <w:t xml:space="preserve">to assist consumers to </w:t>
      </w:r>
      <w:r w:rsidRPr="00FC28D2">
        <w:t xml:space="preserve">make informed food purchases and healthier eating choices. </w:t>
      </w:r>
    </w:p>
    <w:p w14:paraId="7AFA8198" w14:textId="77777777" w:rsidR="004B3AF9" w:rsidRPr="00FC28D2" w:rsidRDefault="004B3AF9" w:rsidP="0024269C"/>
    <w:p w14:paraId="4664D478" w14:textId="00DFFD7F" w:rsidR="00902302" w:rsidRPr="00FC28D2" w:rsidRDefault="004B3AF9" w:rsidP="0024269C">
      <w:r w:rsidRPr="00FC28D2">
        <w:t xml:space="preserve">In July 2017, mpconsulting was engaged to undertake a Five Year Review of the </w:t>
      </w:r>
      <w:r w:rsidR="00595A02" w:rsidRPr="00FC28D2">
        <w:t>HSR</w:t>
      </w:r>
      <w:r w:rsidR="003001A2" w:rsidRPr="00FC28D2">
        <w:t xml:space="preserve"> System</w:t>
      </w:r>
      <w:r w:rsidRPr="00FC28D2">
        <w:t xml:space="preserve"> (the Review). The Review is considering </w:t>
      </w:r>
      <w:r w:rsidR="00595A02" w:rsidRPr="00FC28D2">
        <w:t>the extent to which</w:t>
      </w:r>
      <w:r w:rsidRPr="00FC28D2">
        <w:t xml:space="preserve"> the objectives of the HSR </w:t>
      </w:r>
      <w:r w:rsidR="003001A2" w:rsidRPr="00FC28D2">
        <w:t>System</w:t>
      </w:r>
      <w:r w:rsidRPr="00FC28D2">
        <w:t xml:space="preserve"> have been met</w:t>
      </w:r>
      <w:r w:rsidR="00D904F7">
        <w:t>,</w:t>
      </w:r>
      <w:r w:rsidRPr="00FC28D2">
        <w:t xml:space="preserve"> and identifying options for improvements to the ongoing implementation of the </w:t>
      </w:r>
      <w:r w:rsidR="003001A2" w:rsidRPr="00FC28D2">
        <w:t>System</w:t>
      </w:r>
      <w:r w:rsidRPr="00FC28D2">
        <w:t>.</w:t>
      </w:r>
      <w:r w:rsidR="00902302" w:rsidRPr="00FC28D2">
        <w:t xml:space="preserve"> </w:t>
      </w:r>
    </w:p>
    <w:p w14:paraId="6C7793A8" w14:textId="77777777" w:rsidR="00902302" w:rsidRPr="00FC28D2" w:rsidRDefault="00902302" w:rsidP="0024269C"/>
    <w:p w14:paraId="0C038140" w14:textId="241E3489" w:rsidR="005263DF" w:rsidRPr="00FC28D2" w:rsidRDefault="004B3AF9" w:rsidP="0024269C">
      <w:r w:rsidRPr="00FC28D2">
        <w:t>Over the past 12 months</w:t>
      </w:r>
      <w:r w:rsidR="00595A02" w:rsidRPr="00FC28D2">
        <w:t>,</w:t>
      </w:r>
      <w:r w:rsidRPr="00FC28D2">
        <w:t xml:space="preserve"> </w:t>
      </w:r>
      <w:r w:rsidR="000C5DBF">
        <w:t>we have</w:t>
      </w:r>
      <w:r w:rsidRPr="00FC28D2">
        <w:t xml:space="preserve"> consulted extensively with stakeholders</w:t>
      </w:r>
      <w:r w:rsidR="00595A02" w:rsidRPr="00FC28D2">
        <w:t xml:space="preserve"> regarding</w:t>
      </w:r>
      <w:r w:rsidRPr="00FC28D2">
        <w:t xml:space="preserve"> </w:t>
      </w:r>
      <w:r w:rsidR="00595A02" w:rsidRPr="00FC28D2">
        <w:t>the</w:t>
      </w:r>
      <w:r w:rsidR="005263DF" w:rsidRPr="00FC28D2">
        <w:t>:</w:t>
      </w:r>
    </w:p>
    <w:p w14:paraId="1C69E2EB" w14:textId="77777777" w:rsidR="005263DF" w:rsidRPr="00FC28D2" w:rsidRDefault="005263DF" w:rsidP="0024269C"/>
    <w:p w14:paraId="0D909F7F" w14:textId="53516B0C" w:rsidR="005263DF" w:rsidRPr="00FC28D2" w:rsidRDefault="005263DF" w:rsidP="0024269C">
      <w:pPr>
        <w:pStyle w:val="mpcbullets1"/>
      </w:pPr>
      <w:r w:rsidRPr="00FC28D2">
        <w:t xml:space="preserve">objectives and impact of the HSR </w:t>
      </w:r>
      <w:r w:rsidR="003001A2" w:rsidRPr="00FC28D2">
        <w:t>System</w:t>
      </w:r>
      <w:r w:rsidRPr="00FC28D2">
        <w:t xml:space="preserve"> </w:t>
      </w:r>
    </w:p>
    <w:p w14:paraId="10B6D4AA" w14:textId="71883B2B" w:rsidR="005263DF" w:rsidRPr="00FC28D2" w:rsidRDefault="00134A68" w:rsidP="0024269C">
      <w:pPr>
        <w:pStyle w:val="mpcbullets1"/>
        <w:rPr>
          <w:rFonts w:cstheme="minorHAnsi"/>
        </w:rPr>
      </w:pPr>
      <w:r w:rsidRPr="00FC28D2">
        <w:rPr>
          <w:rFonts w:cstheme="minorHAnsi"/>
        </w:rPr>
        <w:t xml:space="preserve">uptake, </w:t>
      </w:r>
      <w:r w:rsidR="00595A02" w:rsidRPr="00FC28D2">
        <w:rPr>
          <w:rFonts w:cstheme="minorHAnsi"/>
        </w:rPr>
        <w:t>governance</w:t>
      </w:r>
      <w:r w:rsidR="005263DF" w:rsidRPr="00FC28D2">
        <w:rPr>
          <w:rFonts w:cstheme="minorHAnsi"/>
        </w:rPr>
        <w:t xml:space="preserve"> and communications around the </w:t>
      </w:r>
      <w:r w:rsidR="003001A2" w:rsidRPr="00FC28D2">
        <w:rPr>
          <w:rFonts w:cstheme="minorHAnsi"/>
        </w:rPr>
        <w:t>System</w:t>
      </w:r>
      <w:r w:rsidR="005263DF" w:rsidRPr="00FC28D2">
        <w:rPr>
          <w:rFonts w:cstheme="minorHAnsi"/>
        </w:rPr>
        <w:t xml:space="preserve"> </w:t>
      </w:r>
    </w:p>
    <w:p w14:paraId="2BDA73E8" w14:textId="69913B63" w:rsidR="005263DF" w:rsidRPr="00FC28D2" w:rsidRDefault="005263DF" w:rsidP="0024269C">
      <w:pPr>
        <w:pStyle w:val="mpcbullets1"/>
        <w:rPr>
          <w:rFonts w:cstheme="minorHAnsi"/>
        </w:rPr>
      </w:pPr>
      <w:r w:rsidRPr="00FC28D2">
        <w:rPr>
          <w:rFonts w:cstheme="minorHAnsi"/>
        </w:rPr>
        <w:t xml:space="preserve">the </w:t>
      </w:r>
      <w:r w:rsidR="00134A68" w:rsidRPr="00FC28D2">
        <w:rPr>
          <w:rFonts w:cstheme="minorHAnsi"/>
        </w:rPr>
        <w:t xml:space="preserve">scope of the </w:t>
      </w:r>
      <w:r w:rsidR="003001A2" w:rsidRPr="00FC28D2">
        <w:rPr>
          <w:rFonts w:cstheme="minorHAnsi"/>
        </w:rPr>
        <w:t>System</w:t>
      </w:r>
      <w:r w:rsidR="00134A68" w:rsidRPr="00FC28D2">
        <w:rPr>
          <w:rFonts w:cstheme="minorHAnsi"/>
        </w:rPr>
        <w:t xml:space="preserve"> and performance of the </w:t>
      </w:r>
      <w:r w:rsidRPr="00FC28D2">
        <w:rPr>
          <w:rFonts w:cstheme="minorHAnsi"/>
        </w:rPr>
        <w:t>HSR Calculator</w:t>
      </w:r>
      <w:r w:rsidR="00134A68" w:rsidRPr="00FC28D2">
        <w:rPr>
          <w:rFonts w:cstheme="minorHAnsi"/>
        </w:rPr>
        <w:t>.</w:t>
      </w:r>
    </w:p>
    <w:p w14:paraId="68E42BD5" w14:textId="77777777" w:rsidR="00595A02" w:rsidRPr="00FC28D2" w:rsidRDefault="00595A02" w:rsidP="0024269C"/>
    <w:p w14:paraId="53787277" w14:textId="1B4FC933" w:rsidR="004B3AF9" w:rsidRPr="00FC28D2" w:rsidRDefault="004B3AF9" w:rsidP="0024269C">
      <w:r w:rsidRPr="00FC28D2">
        <w:t xml:space="preserve">In </w:t>
      </w:r>
      <w:r w:rsidR="000C5DBF">
        <w:t>January</w:t>
      </w:r>
      <w:r w:rsidRPr="00FC28D2">
        <w:t xml:space="preserve"> 2018, we released a Navigation Paper detailing some early findings</w:t>
      </w:r>
      <w:r w:rsidR="00D904F7">
        <w:t>,</w:t>
      </w:r>
      <w:r w:rsidRPr="00FC28D2">
        <w:t xml:space="preserve"> and </w:t>
      </w:r>
      <w:r w:rsidR="005263DF" w:rsidRPr="00FC28D2">
        <w:t>highlighting key issues raised by stakeholders for</w:t>
      </w:r>
      <w:r w:rsidRPr="00FC28D2">
        <w:t xml:space="preserve"> further examination</w:t>
      </w:r>
      <w:r w:rsidR="005263DF" w:rsidRPr="00FC28D2">
        <w:t xml:space="preserve">. Throughout February to April </w:t>
      </w:r>
      <w:r w:rsidR="00035465">
        <w:t>2018</w:t>
      </w:r>
      <w:r w:rsidR="005263DF" w:rsidRPr="00FC28D2">
        <w:t xml:space="preserve">, we facilitated nine public forums across Australia and in New Zealand to hear from stakeholders on a range of key issues. </w:t>
      </w:r>
      <w:r w:rsidR="00DF2CCA" w:rsidRPr="00FC28D2">
        <w:t>C</w:t>
      </w:r>
      <w:r w:rsidR="00D904F7">
        <w:t>onsumers plus</w:t>
      </w:r>
      <w:r w:rsidR="00887501" w:rsidRPr="00FC28D2">
        <w:t xml:space="preserve"> industry, public health and government </w:t>
      </w:r>
      <w:r w:rsidR="00DF2CCA" w:rsidRPr="00FC28D2">
        <w:t xml:space="preserve">representatives identified </w:t>
      </w:r>
      <w:r w:rsidR="0014352C" w:rsidRPr="00FC28D2">
        <w:t xml:space="preserve">key areas </w:t>
      </w:r>
      <w:r w:rsidR="00DF2CCA" w:rsidRPr="00FC28D2">
        <w:t xml:space="preserve">in which </w:t>
      </w:r>
      <w:r w:rsidR="00887501" w:rsidRPr="00FC28D2">
        <w:t xml:space="preserve">they felt the </w:t>
      </w:r>
      <w:r w:rsidR="003001A2" w:rsidRPr="00FC28D2">
        <w:t>System</w:t>
      </w:r>
      <w:r w:rsidR="00887501" w:rsidRPr="00FC28D2">
        <w:t xml:space="preserve"> </w:t>
      </w:r>
      <w:r w:rsidR="000C5DBF">
        <w:t>is</w:t>
      </w:r>
      <w:r w:rsidR="00DF2CCA" w:rsidRPr="00FC28D2">
        <w:t xml:space="preserve">, and </w:t>
      </w:r>
      <w:r w:rsidR="000C5DBF">
        <w:t>is not</w:t>
      </w:r>
      <w:r w:rsidR="00DF2CCA" w:rsidRPr="00FC28D2">
        <w:t>,</w:t>
      </w:r>
      <w:r w:rsidR="00887501" w:rsidRPr="00FC28D2">
        <w:t xml:space="preserve"> meeting expectations. </w:t>
      </w:r>
    </w:p>
    <w:p w14:paraId="2E494D05" w14:textId="55D59020" w:rsidR="004B3AF9" w:rsidRPr="00FC28D2" w:rsidRDefault="004B3AF9" w:rsidP="0024269C">
      <w:r w:rsidRPr="00FC28D2">
        <w:br/>
      </w:r>
      <w:r w:rsidR="00271DD8" w:rsidRPr="00FC28D2">
        <w:t xml:space="preserve">Many </w:t>
      </w:r>
      <w:r w:rsidRPr="00FC28D2">
        <w:t xml:space="preserve">stakeholders acknowledged they did not have a strong understanding of the </w:t>
      </w:r>
      <w:r w:rsidR="000C5DBF">
        <w:t xml:space="preserve">detailed </w:t>
      </w:r>
      <w:r w:rsidR="003C06E5">
        <w:t>workings</w:t>
      </w:r>
      <w:r w:rsidRPr="00FC28D2">
        <w:t xml:space="preserve"> of the </w:t>
      </w:r>
      <w:r w:rsidR="0014352C" w:rsidRPr="00FC28D2">
        <w:t>HSR C</w:t>
      </w:r>
      <w:r w:rsidRPr="00FC28D2">
        <w:t xml:space="preserve">alculator </w:t>
      </w:r>
      <w:r w:rsidR="003211BA">
        <w:t xml:space="preserve">(which determines the HSR of a product) </w:t>
      </w:r>
      <w:r w:rsidRPr="00FC28D2">
        <w:t xml:space="preserve">and would value further modelling to understand the extent of any perceived ‘problems’ with the </w:t>
      </w:r>
      <w:r w:rsidR="003001A2" w:rsidRPr="00FC28D2">
        <w:t>System</w:t>
      </w:r>
      <w:r w:rsidR="00D904F7">
        <w:t>,</w:t>
      </w:r>
      <w:r w:rsidRPr="00FC28D2">
        <w:t xml:space="preserve"> and </w:t>
      </w:r>
      <w:r w:rsidR="0014352C" w:rsidRPr="00FC28D2">
        <w:t>the impact of o</w:t>
      </w:r>
      <w:r w:rsidRPr="00FC28D2">
        <w:t>ptions for addressing any such issues.</w:t>
      </w:r>
    </w:p>
    <w:p w14:paraId="4D1C80D2" w14:textId="77777777" w:rsidR="004B3AF9" w:rsidRPr="00FC28D2" w:rsidRDefault="004B3AF9" w:rsidP="0024269C"/>
    <w:p w14:paraId="5986E77B" w14:textId="472E99AA" w:rsidR="004B3AF9" w:rsidRPr="00FC28D2" w:rsidRDefault="003C515C" w:rsidP="0024269C">
      <w:r w:rsidRPr="00FC28D2">
        <w:t>The</w:t>
      </w:r>
      <w:r w:rsidR="0066791A" w:rsidRPr="00FC28D2">
        <w:t xml:space="preserve"> Health Star Rating Advisory Committee </w:t>
      </w:r>
      <w:r w:rsidRPr="00FC28D2">
        <w:t>(</w:t>
      </w:r>
      <w:r w:rsidR="004B3AF9" w:rsidRPr="00FC28D2">
        <w:t>HSRAC</w:t>
      </w:r>
      <w:r w:rsidRPr="00FC28D2">
        <w:t>) has worked closely with the Technical Advisory Group</w:t>
      </w:r>
      <w:r w:rsidR="004B3AF9" w:rsidRPr="00FC28D2">
        <w:t xml:space="preserve"> </w:t>
      </w:r>
      <w:r w:rsidRPr="00FC28D2">
        <w:t>(</w:t>
      </w:r>
      <w:r w:rsidR="004B3AF9" w:rsidRPr="00FC28D2">
        <w:t>TAG</w:t>
      </w:r>
      <w:r w:rsidRPr="00FC28D2">
        <w:t xml:space="preserve">) to develop a range of </w:t>
      </w:r>
      <w:r w:rsidR="0066791A" w:rsidRPr="00FC28D2">
        <w:t xml:space="preserve">technical papers on various issues identified by stakeholders. </w:t>
      </w:r>
      <w:r w:rsidR="00902302" w:rsidRPr="00FC28D2">
        <w:t xml:space="preserve">These papers are available </w:t>
      </w:r>
      <w:r w:rsidR="00B70F0B" w:rsidRPr="00FC28D2">
        <w:t>at</w:t>
      </w:r>
      <w:r w:rsidR="00C5485C">
        <w:t xml:space="preserve"> the </w:t>
      </w:r>
      <w:hyperlink r:id="rId24" w:history="1">
        <w:r w:rsidR="00C5485C" w:rsidRPr="00C5485C">
          <w:rPr>
            <w:rStyle w:val="Hyperlink"/>
          </w:rPr>
          <w:t>mpconsulting website</w:t>
        </w:r>
      </w:hyperlink>
      <w:r w:rsidR="00902302" w:rsidRPr="00FC28D2">
        <w:t>.</w:t>
      </w:r>
    </w:p>
    <w:p w14:paraId="57050EB7" w14:textId="77777777" w:rsidR="00B37AFB" w:rsidRPr="00FC28D2" w:rsidRDefault="00B37AFB" w:rsidP="0024269C"/>
    <w:p w14:paraId="12602120" w14:textId="6D498210" w:rsidR="00B37AFB" w:rsidRPr="00FC28D2" w:rsidRDefault="0064018B" w:rsidP="0024269C">
      <w:r w:rsidRPr="00FC28D2">
        <w:t>Drawi</w:t>
      </w:r>
      <w:r w:rsidR="00902302" w:rsidRPr="00FC28D2">
        <w:t xml:space="preserve">ng on these </w:t>
      </w:r>
      <w:r w:rsidR="000C5DBF">
        <w:t xml:space="preserve">technical </w:t>
      </w:r>
      <w:r w:rsidR="00902302" w:rsidRPr="00FC28D2">
        <w:t xml:space="preserve">papers, </w:t>
      </w:r>
      <w:r w:rsidR="00D904F7">
        <w:t xml:space="preserve">as well as </w:t>
      </w:r>
      <w:r w:rsidR="0066791A" w:rsidRPr="00FC28D2">
        <w:t>the Dietary Guidelines</w:t>
      </w:r>
      <w:r w:rsidR="003C06E5">
        <w:t xml:space="preserve"> (the </w:t>
      </w:r>
      <w:r w:rsidR="003C06E5" w:rsidRPr="00FC28D2">
        <w:t>Australian Dietary Guidelines (ADG)</w:t>
      </w:r>
      <w:r w:rsidR="003C06E5" w:rsidRPr="00FC28D2">
        <w:rPr>
          <w:rStyle w:val="FootnoteReference"/>
          <w:sz w:val="22"/>
        </w:rPr>
        <w:footnoteReference w:id="1"/>
      </w:r>
      <w:r w:rsidR="003C06E5" w:rsidRPr="00FC28D2">
        <w:t xml:space="preserve"> and the New Zealand Eating and Activity Guidelines (NZEAG)</w:t>
      </w:r>
      <w:r w:rsidR="003C06E5" w:rsidRPr="00FC28D2">
        <w:rPr>
          <w:rStyle w:val="FootnoteReference"/>
          <w:sz w:val="22"/>
        </w:rPr>
        <w:footnoteReference w:id="2"/>
      </w:r>
      <w:r w:rsidR="003C06E5">
        <w:t>)</w:t>
      </w:r>
      <w:r w:rsidR="0066791A" w:rsidRPr="00FC28D2">
        <w:t xml:space="preserve">, monitoring data, relevant evidence and </w:t>
      </w:r>
      <w:r w:rsidRPr="00FC28D2">
        <w:t>consultations, we have independently identified what we consider are the main issues for the Review,</w:t>
      </w:r>
      <w:r w:rsidR="00246BAA" w:rsidRPr="00FC28D2">
        <w:t xml:space="preserve"> as they relate to </w:t>
      </w:r>
      <w:r w:rsidR="0066791A" w:rsidRPr="00FC28D2">
        <w:t xml:space="preserve">the scope of the HSR </w:t>
      </w:r>
      <w:r w:rsidR="0007271B" w:rsidRPr="00FC28D2">
        <w:t xml:space="preserve">System </w:t>
      </w:r>
      <w:r w:rsidR="0066791A" w:rsidRPr="00FC28D2">
        <w:t>(</w:t>
      </w:r>
      <w:r w:rsidR="00B1103F" w:rsidRPr="00FC28D2">
        <w:t xml:space="preserve">the products on which it appears) and the HSR Calculator. </w:t>
      </w:r>
      <w:r w:rsidR="00D904F7">
        <w:t xml:space="preserve">We have </w:t>
      </w:r>
      <w:r w:rsidR="00246BAA" w:rsidRPr="00FC28D2">
        <w:t>proposed a range of options for addressing identified issues</w:t>
      </w:r>
      <w:r w:rsidR="00C90609" w:rsidRPr="00FC28D2">
        <w:t xml:space="preserve"> and, where possible, </w:t>
      </w:r>
      <w:r w:rsidR="000C5DBF">
        <w:t>specified</w:t>
      </w:r>
      <w:r w:rsidR="00C90609" w:rsidRPr="00FC28D2">
        <w:t xml:space="preserve"> our prefe</w:t>
      </w:r>
      <w:r w:rsidR="00B70F0B" w:rsidRPr="00FC28D2">
        <w:t xml:space="preserve">rred option. </w:t>
      </w:r>
      <w:r w:rsidR="00C90609" w:rsidRPr="00FC28D2">
        <w:t xml:space="preserve">We are mindful that </w:t>
      </w:r>
      <w:r w:rsidR="00040D45" w:rsidRPr="00FC28D2">
        <w:t xml:space="preserve">some of </w:t>
      </w:r>
      <w:r w:rsidR="00C90609" w:rsidRPr="00FC28D2">
        <w:t xml:space="preserve">these options differ to those </w:t>
      </w:r>
      <w:r w:rsidR="00040D45" w:rsidRPr="00FC28D2">
        <w:t>modelled</w:t>
      </w:r>
      <w:r w:rsidR="00C90609" w:rsidRPr="00FC28D2">
        <w:t xml:space="preserve"> by </w:t>
      </w:r>
      <w:r w:rsidR="00DD03DD" w:rsidRPr="00FC28D2">
        <w:t xml:space="preserve">the </w:t>
      </w:r>
      <w:r w:rsidR="00040D45" w:rsidRPr="00FC28D2">
        <w:t>HSRAC/</w:t>
      </w:r>
      <w:r w:rsidR="00C90609" w:rsidRPr="00FC28D2">
        <w:t>TAG (a</w:t>
      </w:r>
      <w:r w:rsidR="0066791A" w:rsidRPr="00FC28D2">
        <w:t>s</w:t>
      </w:r>
      <w:r w:rsidR="00C90609" w:rsidRPr="00FC28D2">
        <w:t xml:space="preserve"> reflected in </w:t>
      </w:r>
      <w:r w:rsidR="000C5DBF">
        <w:t>the</w:t>
      </w:r>
      <w:r w:rsidR="00C90609" w:rsidRPr="00FC28D2">
        <w:t xml:space="preserve"> technical papers). Where this is the case</w:t>
      </w:r>
      <w:r w:rsidR="00040D45" w:rsidRPr="00FC28D2">
        <w:t>,</w:t>
      </w:r>
      <w:r w:rsidR="00C90609" w:rsidRPr="00FC28D2">
        <w:t xml:space="preserve"> we have explained our reasoning</w:t>
      </w:r>
      <w:r w:rsidR="00040D45" w:rsidRPr="00FC28D2">
        <w:t xml:space="preserve"> for proposing different or additional options.</w:t>
      </w:r>
    </w:p>
    <w:p w14:paraId="0DDAA618" w14:textId="77777777" w:rsidR="00B37AFB" w:rsidRPr="00FC28D2" w:rsidRDefault="00B37AFB" w:rsidP="0024269C"/>
    <w:p w14:paraId="6C9E9D40" w14:textId="380F8677" w:rsidR="0097036E" w:rsidRPr="00FC28D2" w:rsidRDefault="00C90609" w:rsidP="0024269C">
      <w:r w:rsidRPr="00FC28D2">
        <w:t>We now seek stakeholder views on the issues and the opt</w:t>
      </w:r>
      <w:r w:rsidR="003D7ECF" w:rsidRPr="00FC28D2">
        <w:t>ions</w:t>
      </w:r>
      <w:r w:rsidR="0097036E" w:rsidRPr="00FC28D2">
        <w:t xml:space="preserve">. We also welcome input </w:t>
      </w:r>
      <w:r w:rsidR="00040D45" w:rsidRPr="00FC28D2">
        <w:t xml:space="preserve">on </w:t>
      </w:r>
      <w:r w:rsidR="0097036E" w:rsidRPr="00FC28D2">
        <w:t>the impacts of the various options</w:t>
      </w:r>
      <w:r w:rsidR="00D904F7">
        <w:t>,</w:t>
      </w:r>
      <w:r w:rsidR="0097036E" w:rsidRPr="00FC28D2">
        <w:t xml:space="preserve"> and any suggestions </w:t>
      </w:r>
      <w:r w:rsidR="00DD03DD" w:rsidRPr="00FC28D2">
        <w:t>for</w:t>
      </w:r>
      <w:r w:rsidR="0097036E" w:rsidRPr="00FC28D2">
        <w:t xml:space="preserve"> </w:t>
      </w:r>
      <w:r w:rsidR="000C5DBF">
        <w:t>alternative</w:t>
      </w:r>
      <w:r w:rsidR="0097036E" w:rsidRPr="00FC28D2">
        <w:t xml:space="preserve"> options</w:t>
      </w:r>
      <w:r w:rsidR="00DD03DD" w:rsidRPr="00FC28D2">
        <w:t xml:space="preserve"> to address the identified issues</w:t>
      </w:r>
      <w:r w:rsidR="0097036E" w:rsidRPr="00FC28D2">
        <w:t xml:space="preserve">. </w:t>
      </w:r>
    </w:p>
    <w:p w14:paraId="2543EA24" w14:textId="50B423C3" w:rsidR="00BF777B" w:rsidRPr="00FC28D2" w:rsidRDefault="00BF777B" w:rsidP="0024269C"/>
    <w:p w14:paraId="306593A3" w14:textId="3FE37951" w:rsidR="0097036E" w:rsidRPr="0024269C" w:rsidRDefault="003211BA" w:rsidP="0024269C">
      <w:pPr>
        <w:pStyle w:val="mpcNormal"/>
      </w:pPr>
      <w:r>
        <w:t>T</w:t>
      </w:r>
      <w:r w:rsidR="004B3AF9" w:rsidRPr="00FC28D2">
        <w:t xml:space="preserve">his paper deals only with issues and options relating to the scope of the HSR </w:t>
      </w:r>
      <w:r w:rsidR="003001A2" w:rsidRPr="00FC28D2">
        <w:t>System</w:t>
      </w:r>
      <w:r w:rsidR="00365E1A" w:rsidRPr="00FC28D2">
        <w:t xml:space="preserve"> and the </w:t>
      </w:r>
      <w:r w:rsidR="006F3489" w:rsidRPr="00FC28D2">
        <w:t>per</w:t>
      </w:r>
      <w:r w:rsidR="00040D45" w:rsidRPr="00FC28D2">
        <w:t>formance of the HSR Calculator</w:t>
      </w:r>
      <w:r w:rsidR="004B3AF9" w:rsidRPr="00FC28D2">
        <w:t>. It does not deal with the range of other issues that the Review is examining including</w:t>
      </w:r>
      <w:r w:rsidR="004E2120" w:rsidRPr="00FC28D2">
        <w:t xml:space="preserve"> </w:t>
      </w:r>
      <w:r w:rsidR="00040D45" w:rsidRPr="00FC28D2">
        <w:t xml:space="preserve">the impact of the </w:t>
      </w:r>
      <w:r w:rsidR="003001A2" w:rsidRPr="00FC28D2">
        <w:t>System</w:t>
      </w:r>
      <w:r w:rsidR="00040D45" w:rsidRPr="00FC28D2">
        <w:t xml:space="preserve">, the </w:t>
      </w:r>
      <w:r w:rsidR="004E2120" w:rsidRPr="00FC28D2">
        <w:t xml:space="preserve">governance </w:t>
      </w:r>
      <w:r w:rsidR="0097036E" w:rsidRPr="00FC28D2">
        <w:t xml:space="preserve">of the </w:t>
      </w:r>
      <w:r w:rsidR="003001A2" w:rsidRPr="00FC28D2">
        <w:t>System</w:t>
      </w:r>
      <w:r w:rsidR="0097036E" w:rsidRPr="00FC28D2">
        <w:t xml:space="preserve"> </w:t>
      </w:r>
      <w:r w:rsidR="004B3AF9" w:rsidRPr="00FC28D2">
        <w:t xml:space="preserve">and whether the </w:t>
      </w:r>
      <w:r w:rsidR="003001A2" w:rsidRPr="00FC28D2">
        <w:t>System</w:t>
      </w:r>
      <w:r w:rsidR="004B3AF9" w:rsidRPr="00FC28D2">
        <w:t xml:space="preserve"> should remain voluntary or </w:t>
      </w:r>
      <w:r w:rsidR="004B3AF9" w:rsidRPr="0024269C">
        <w:lastRenderedPageBreak/>
        <w:t>be mandated.</w:t>
      </w:r>
      <w:r w:rsidR="00896167" w:rsidRPr="0024269C">
        <w:t xml:space="preserve"> </w:t>
      </w:r>
      <w:r w:rsidR="00BF777B" w:rsidRPr="0024269C">
        <w:t>These elements of the Review have been informed through stakeholder submissions and discussions at public forums. We also await further impact data from the National Heart Foundation (in Australia) and the Minis</w:t>
      </w:r>
      <w:r w:rsidR="00A06F2E" w:rsidRPr="0024269C">
        <w:t xml:space="preserve">try </w:t>
      </w:r>
      <w:r w:rsidR="000C5DBF" w:rsidRPr="0024269C">
        <w:t>for</w:t>
      </w:r>
      <w:r w:rsidR="00A06F2E" w:rsidRPr="0024269C">
        <w:t xml:space="preserve"> Primary Industries (</w:t>
      </w:r>
      <w:r w:rsidR="00BF777B" w:rsidRPr="0024269C">
        <w:t>in New Zealand).</w:t>
      </w:r>
    </w:p>
    <w:p w14:paraId="6D43EAD2" w14:textId="7DE5BE9E" w:rsidR="004B3AF9" w:rsidRPr="0024269C" w:rsidRDefault="004B3AF9" w:rsidP="0024269C">
      <w:pPr>
        <w:pStyle w:val="mpcNormal"/>
      </w:pPr>
    </w:p>
    <w:p w14:paraId="3952D16E" w14:textId="7672D709" w:rsidR="000C1913" w:rsidRPr="0024269C" w:rsidRDefault="004B3AF9" w:rsidP="0024269C">
      <w:pPr>
        <w:pStyle w:val="mpcNormal"/>
      </w:pPr>
      <w:r w:rsidRPr="0024269C">
        <w:t>Stakeholders will have an opportunity to comment on these broader issues (and see them dealt with in the context of any recommend</w:t>
      </w:r>
      <w:r w:rsidR="00D904F7" w:rsidRPr="0024269C">
        <w:t>ed</w:t>
      </w:r>
      <w:r w:rsidRPr="0024269C">
        <w:t xml:space="preserve"> changes to the </w:t>
      </w:r>
      <w:r w:rsidR="003001A2" w:rsidRPr="0024269C">
        <w:t>System</w:t>
      </w:r>
      <w:r w:rsidRPr="0024269C">
        <w:t xml:space="preserve">) in the </w:t>
      </w:r>
      <w:r w:rsidR="00B67791" w:rsidRPr="0024269C">
        <w:t>D</w:t>
      </w:r>
      <w:r w:rsidRPr="0024269C">
        <w:t xml:space="preserve">raft Review Report to be published </w:t>
      </w:r>
      <w:r w:rsidR="009F2D55" w:rsidRPr="0024269C">
        <w:t xml:space="preserve">for comment </w:t>
      </w:r>
      <w:r w:rsidRPr="0024269C">
        <w:t>in early 2019.</w:t>
      </w:r>
    </w:p>
    <w:p w14:paraId="723259F7" w14:textId="10B24814" w:rsidR="0023657E" w:rsidRPr="0024269C" w:rsidRDefault="0023657E" w:rsidP="0024269C">
      <w:pPr>
        <w:pStyle w:val="mpcNormal"/>
      </w:pPr>
    </w:p>
    <w:p w14:paraId="45EE4F53" w14:textId="51B84A75" w:rsidR="0064018B" w:rsidRPr="0024269C" w:rsidRDefault="0023657E" w:rsidP="0024269C">
      <w:pPr>
        <w:pStyle w:val="mpcNormal"/>
      </w:pPr>
      <w:r w:rsidRPr="0024269C">
        <w:t xml:space="preserve">We would like to take the opportunity to thank the HSRAC and </w:t>
      </w:r>
      <w:r w:rsidR="009F2D55" w:rsidRPr="0024269C">
        <w:t xml:space="preserve">the </w:t>
      </w:r>
      <w:r w:rsidRPr="0024269C">
        <w:t xml:space="preserve">TAG for their significant work in modelling </w:t>
      </w:r>
      <w:r w:rsidR="00DD03DD" w:rsidRPr="0024269C">
        <w:t xml:space="preserve">options </w:t>
      </w:r>
      <w:r w:rsidRPr="0024269C">
        <w:t xml:space="preserve">and developing </w:t>
      </w:r>
      <w:r w:rsidR="00DD03DD" w:rsidRPr="0024269C">
        <w:t xml:space="preserve">the </w:t>
      </w:r>
      <w:r w:rsidRPr="0024269C">
        <w:t>technical papers. We also extend our appreciation to the wide range of acade</w:t>
      </w:r>
      <w:r w:rsidR="00D904F7" w:rsidRPr="0024269C">
        <w:t xml:space="preserve">mics, consumers, nutritionists and representatives from </w:t>
      </w:r>
      <w:r w:rsidRPr="0024269C">
        <w:t>government, public health and industry who have shared their experiences and expertise</w:t>
      </w:r>
      <w:r w:rsidR="00D904F7" w:rsidRPr="0024269C">
        <w:t>,</w:t>
      </w:r>
      <w:r w:rsidRPr="0024269C">
        <w:t xml:space="preserve"> and provided valuable information to inform the Review. We </w:t>
      </w:r>
      <w:r w:rsidR="000C1913" w:rsidRPr="0024269C">
        <w:t xml:space="preserve">look forward to continuing to engage with </w:t>
      </w:r>
      <w:r w:rsidRPr="0024269C">
        <w:t>you as the Review progresses</w:t>
      </w:r>
      <w:r w:rsidR="004312FF" w:rsidRPr="0024269C">
        <w:t>.</w:t>
      </w:r>
    </w:p>
    <w:p w14:paraId="26D6F7CD" w14:textId="1FED35B6" w:rsidR="004312FF" w:rsidRPr="0024269C" w:rsidRDefault="004312FF" w:rsidP="0024269C">
      <w:pPr>
        <w:pStyle w:val="mpcNormal"/>
      </w:pPr>
    </w:p>
    <w:p w14:paraId="27460521" w14:textId="435BA0A7" w:rsidR="004312FF" w:rsidRDefault="00A52702" w:rsidP="0024269C">
      <w:pPr>
        <w:pStyle w:val="mpcheading2"/>
      </w:pPr>
      <w:bookmarkStart w:id="15" w:name="ImportantNote"/>
      <w:bookmarkStart w:id="16" w:name="_Toc527112887"/>
      <w:bookmarkEnd w:id="15"/>
      <w:r w:rsidRPr="0024269C">
        <w:t>Important</w:t>
      </w:r>
      <w:r>
        <w:t xml:space="preserve"> note</w:t>
      </w:r>
      <w:bookmarkEnd w:id="16"/>
    </w:p>
    <w:p w14:paraId="443F8E4B" w14:textId="77777777" w:rsidR="004312FF" w:rsidRDefault="004312FF" w:rsidP="004312FF">
      <w:pPr>
        <w:pStyle w:val="mpcbullets1"/>
        <w:numPr>
          <w:ilvl w:val="0"/>
          <w:numId w:val="0"/>
        </w:numPr>
        <w:spacing w:after="240"/>
        <w:ind w:left="360" w:hanging="360"/>
        <w:contextualSpacing/>
        <w:rPr>
          <w:rFonts w:cstheme="minorHAnsi"/>
        </w:rPr>
      </w:pPr>
    </w:p>
    <w:tbl>
      <w:tblPr>
        <w:tblStyle w:val="TableGrid"/>
        <w:tblW w:w="0" w:type="auto"/>
        <w:tblLook w:val="04A0" w:firstRow="1" w:lastRow="0" w:firstColumn="1" w:lastColumn="0" w:noHBand="0" w:noVBand="1"/>
        <w:tblCaption w:val="Important Note"/>
        <w:tblDescription w:val="Notes limitations re sources drawn on in the development of the Consultation Paper, including Australian Bureau of Statistics (ABS) data, modelling undertaken by the TAG, and data provided by stakeholders. "/>
      </w:tblPr>
      <w:tblGrid>
        <w:gridCol w:w="9736"/>
      </w:tblGrid>
      <w:tr w:rsidR="00FC28D2" w14:paraId="772C8DAD" w14:textId="77777777" w:rsidTr="00D37907">
        <w:trPr>
          <w:tblHeader/>
        </w:trPr>
        <w:tc>
          <w:tcPr>
            <w:tcW w:w="9736" w:type="dxa"/>
            <w:shd w:val="clear" w:color="auto" w:fill="F2F2F2" w:themeFill="background1" w:themeFillShade="F2"/>
          </w:tcPr>
          <w:p w14:paraId="2390194C" w14:textId="13CCA740" w:rsidR="00FC28D2" w:rsidRPr="00506EB1" w:rsidRDefault="0024269C" w:rsidP="00FC28D2">
            <w:pPr>
              <w:pStyle w:val="mpcbullets1"/>
              <w:numPr>
                <w:ilvl w:val="0"/>
                <w:numId w:val="0"/>
              </w:numPr>
              <w:spacing w:after="240"/>
              <w:contextualSpacing/>
              <w:rPr>
                <w:rFonts w:cstheme="minorHAnsi"/>
                <w:sz w:val="21"/>
                <w:szCs w:val="21"/>
              </w:rPr>
            </w:pPr>
            <w:r w:rsidRPr="00506EB1">
              <w:rPr>
                <w:rFonts w:cstheme="minorHAnsi"/>
                <w:sz w:val="21"/>
                <w:szCs w:val="21"/>
              </w:rPr>
              <w:t>I</w:t>
            </w:r>
            <w:r w:rsidR="00FC28D2" w:rsidRPr="00506EB1">
              <w:rPr>
                <w:rFonts w:cstheme="minorHAnsi"/>
                <w:sz w:val="21"/>
                <w:szCs w:val="21"/>
              </w:rPr>
              <w:t xml:space="preserve">n the development of this Consultation Paper we have drawn on a range of sources, </w:t>
            </w:r>
            <w:r w:rsidR="00B67791" w:rsidRPr="00506EB1">
              <w:rPr>
                <w:rFonts w:cstheme="minorHAnsi"/>
                <w:sz w:val="21"/>
                <w:szCs w:val="21"/>
              </w:rPr>
              <w:t>including</w:t>
            </w:r>
            <w:r w:rsidR="00FC28D2" w:rsidRPr="00506EB1">
              <w:rPr>
                <w:rFonts w:cstheme="minorHAnsi"/>
                <w:sz w:val="21"/>
                <w:szCs w:val="21"/>
              </w:rPr>
              <w:t xml:space="preserve"> Australian Bureau of Statistics (ABS) data, modelling undertaken by</w:t>
            </w:r>
            <w:r w:rsidR="00B67791" w:rsidRPr="00506EB1">
              <w:rPr>
                <w:rFonts w:cstheme="minorHAnsi"/>
                <w:sz w:val="21"/>
                <w:szCs w:val="21"/>
              </w:rPr>
              <w:t xml:space="preserve"> the</w:t>
            </w:r>
            <w:r w:rsidR="00FC28D2" w:rsidRPr="00506EB1">
              <w:rPr>
                <w:rFonts w:cstheme="minorHAnsi"/>
                <w:sz w:val="21"/>
                <w:szCs w:val="21"/>
              </w:rPr>
              <w:t xml:space="preserve"> TAG</w:t>
            </w:r>
            <w:r w:rsidR="00D904F7" w:rsidRPr="00506EB1">
              <w:rPr>
                <w:rFonts w:cstheme="minorHAnsi"/>
                <w:sz w:val="21"/>
                <w:szCs w:val="21"/>
              </w:rPr>
              <w:t>,</w:t>
            </w:r>
            <w:r w:rsidR="00FC28D2" w:rsidRPr="00506EB1">
              <w:rPr>
                <w:rFonts w:cstheme="minorHAnsi"/>
                <w:sz w:val="21"/>
                <w:szCs w:val="21"/>
              </w:rPr>
              <w:t xml:space="preserve"> and data provided by stakeholders. </w:t>
            </w:r>
          </w:p>
          <w:p w14:paraId="6A273706" w14:textId="77777777" w:rsidR="00FC28D2" w:rsidRPr="00506EB1" w:rsidRDefault="00FC28D2" w:rsidP="00FC28D2">
            <w:pPr>
              <w:pStyle w:val="mpcbullets1"/>
              <w:numPr>
                <w:ilvl w:val="0"/>
                <w:numId w:val="0"/>
              </w:numPr>
              <w:spacing w:after="240"/>
              <w:contextualSpacing/>
              <w:rPr>
                <w:rFonts w:cstheme="minorHAnsi"/>
                <w:sz w:val="20"/>
                <w:szCs w:val="21"/>
              </w:rPr>
            </w:pPr>
          </w:p>
          <w:p w14:paraId="7D76C6C7" w14:textId="5E6C5B48" w:rsidR="00FC28D2" w:rsidRPr="00506EB1" w:rsidRDefault="00FC28D2" w:rsidP="0024269C">
            <w:pPr>
              <w:pStyle w:val="mpcbullets1"/>
              <w:rPr>
                <w:sz w:val="21"/>
                <w:szCs w:val="21"/>
              </w:rPr>
            </w:pPr>
            <w:r w:rsidRPr="00506EB1">
              <w:rPr>
                <w:sz w:val="21"/>
                <w:szCs w:val="21"/>
              </w:rPr>
              <w:t>Unless otherwise specified, where we have quoted statistics regarding population level intakes of nutrients and/or foods</w:t>
            </w:r>
            <w:r w:rsidR="009F2D55" w:rsidRPr="00506EB1">
              <w:rPr>
                <w:sz w:val="21"/>
                <w:szCs w:val="21"/>
              </w:rPr>
              <w:t>,</w:t>
            </w:r>
            <w:r w:rsidRPr="00506EB1">
              <w:rPr>
                <w:sz w:val="21"/>
                <w:szCs w:val="21"/>
              </w:rPr>
              <w:t xml:space="preserve"> we have used:</w:t>
            </w:r>
          </w:p>
          <w:p w14:paraId="50B4CC2F" w14:textId="7C41978B" w:rsidR="00FC28D2" w:rsidRPr="00506EB1" w:rsidRDefault="00FC28D2" w:rsidP="00B91EBF">
            <w:pPr>
              <w:pStyle w:val="mpcbullets1"/>
              <w:numPr>
                <w:ilvl w:val="1"/>
                <w:numId w:val="23"/>
              </w:numPr>
              <w:contextualSpacing/>
              <w:rPr>
                <w:rFonts w:cstheme="minorHAnsi"/>
                <w:sz w:val="21"/>
                <w:szCs w:val="21"/>
              </w:rPr>
            </w:pPr>
            <w:r w:rsidRPr="00506EB1">
              <w:rPr>
                <w:rFonts w:cstheme="minorHAnsi"/>
                <w:sz w:val="21"/>
                <w:szCs w:val="21"/>
              </w:rPr>
              <w:t>for Australia, the 2011-12 Australian Health Survey (AHS)</w:t>
            </w:r>
            <w:r w:rsidRPr="00506EB1">
              <w:rPr>
                <w:rStyle w:val="FootnoteReference"/>
                <w:rFonts w:cstheme="minorHAnsi"/>
                <w:sz w:val="21"/>
                <w:szCs w:val="21"/>
              </w:rPr>
              <w:footnoteReference w:id="3"/>
            </w:r>
          </w:p>
          <w:p w14:paraId="7289DA66" w14:textId="74821A34" w:rsidR="00FC28D2" w:rsidRPr="00506EB1" w:rsidRDefault="00FC28D2" w:rsidP="00B91EBF">
            <w:pPr>
              <w:pStyle w:val="mpcbullets1"/>
              <w:numPr>
                <w:ilvl w:val="1"/>
                <w:numId w:val="23"/>
              </w:numPr>
              <w:contextualSpacing/>
              <w:rPr>
                <w:rFonts w:cstheme="minorHAnsi"/>
                <w:sz w:val="21"/>
                <w:szCs w:val="21"/>
              </w:rPr>
            </w:pPr>
            <w:r w:rsidRPr="00506EB1">
              <w:rPr>
                <w:rFonts w:cstheme="minorHAnsi"/>
                <w:sz w:val="21"/>
                <w:szCs w:val="21"/>
              </w:rPr>
              <w:t>for New Zealand, the 2008/09 New Zealand Adult Nutrition Survey (NZANS)</w:t>
            </w:r>
            <w:r w:rsidRPr="00506EB1">
              <w:rPr>
                <w:rStyle w:val="FootnoteReference"/>
                <w:rFonts w:cstheme="minorHAnsi"/>
                <w:sz w:val="21"/>
                <w:szCs w:val="21"/>
              </w:rPr>
              <w:footnoteReference w:id="4"/>
            </w:r>
            <w:r w:rsidRPr="00506EB1">
              <w:rPr>
                <w:rFonts w:cstheme="minorHAnsi"/>
                <w:sz w:val="21"/>
                <w:szCs w:val="21"/>
              </w:rPr>
              <w:t>.</w:t>
            </w:r>
          </w:p>
          <w:p w14:paraId="2D8C7F9B" w14:textId="7B5FB098" w:rsidR="00FC28D2" w:rsidRPr="00506EB1" w:rsidRDefault="00FC28D2" w:rsidP="00FC28D2">
            <w:pPr>
              <w:pStyle w:val="mpcbullets1"/>
              <w:numPr>
                <w:ilvl w:val="0"/>
                <w:numId w:val="0"/>
              </w:numPr>
              <w:ind w:left="360"/>
              <w:contextualSpacing/>
              <w:rPr>
                <w:rFonts w:cstheme="minorHAnsi"/>
                <w:sz w:val="21"/>
                <w:szCs w:val="21"/>
              </w:rPr>
            </w:pPr>
            <w:r w:rsidRPr="00506EB1">
              <w:rPr>
                <w:rFonts w:cstheme="minorHAnsi"/>
                <w:sz w:val="21"/>
                <w:szCs w:val="21"/>
              </w:rPr>
              <w:t>We acknowledge that these datasets are dated and that, in some cases, more recent studies based on smaller datasets produce different results. However, these surveys are widely considered the largest, most comprehensive and reliable datasets available with regard to national health and nutrition.</w:t>
            </w:r>
          </w:p>
          <w:p w14:paraId="2BDD8018" w14:textId="77777777" w:rsidR="00FC28D2" w:rsidRPr="00091DA8" w:rsidRDefault="00FC28D2" w:rsidP="0024269C">
            <w:pPr>
              <w:pStyle w:val="mpcbullets1"/>
              <w:numPr>
                <w:ilvl w:val="0"/>
                <w:numId w:val="0"/>
              </w:numPr>
              <w:ind w:left="360"/>
              <w:rPr>
                <w:sz w:val="20"/>
                <w:szCs w:val="21"/>
              </w:rPr>
            </w:pPr>
          </w:p>
          <w:p w14:paraId="0C55EB3A" w14:textId="75B774A6" w:rsidR="00FC28D2" w:rsidRPr="00506EB1" w:rsidRDefault="00FC28D2" w:rsidP="0024269C">
            <w:pPr>
              <w:pStyle w:val="mpcbullets1"/>
              <w:rPr>
                <w:sz w:val="21"/>
                <w:szCs w:val="21"/>
              </w:rPr>
            </w:pPr>
            <w:r w:rsidRPr="00506EB1">
              <w:rPr>
                <w:sz w:val="21"/>
                <w:szCs w:val="21"/>
              </w:rPr>
              <w:t>When we refer to Dietary Guidelines, we are referring collectively to the ADG and NZEAG. We acknowledge that the</w:t>
            </w:r>
            <w:r w:rsidR="009F2D55" w:rsidRPr="00506EB1">
              <w:rPr>
                <w:sz w:val="21"/>
                <w:szCs w:val="21"/>
              </w:rPr>
              <w:t>se</w:t>
            </w:r>
            <w:r w:rsidRPr="00506EB1">
              <w:rPr>
                <w:sz w:val="21"/>
                <w:szCs w:val="21"/>
              </w:rPr>
              <w:t xml:space="preserve"> Dietary Guidelines differ in important respects and, where these differences are directly relevant to the discussion, we have highlighted these differences.</w:t>
            </w:r>
          </w:p>
          <w:p w14:paraId="1A02FD77" w14:textId="77777777" w:rsidR="00FB1629" w:rsidRPr="00091DA8" w:rsidRDefault="00FB1629" w:rsidP="0024269C">
            <w:pPr>
              <w:pStyle w:val="mpcbullets1"/>
              <w:numPr>
                <w:ilvl w:val="0"/>
                <w:numId w:val="0"/>
              </w:numPr>
              <w:ind w:left="360"/>
              <w:rPr>
                <w:sz w:val="20"/>
                <w:szCs w:val="21"/>
              </w:rPr>
            </w:pPr>
          </w:p>
          <w:p w14:paraId="5F47FF2A" w14:textId="60CA2424" w:rsidR="00FB1629" w:rsidRPr="00506EB1" w:rsidRDefault="00FB1629" w:rsidP="0024269C">
            <w:pPr>
              <w:pStyle w:val="mpcbullets1"/>
              <w:rPr>
                <w:sz w:val="21"/>
                <w:szCs w:val="21"/>
              </w:rPr>
            </w:pPr>
            <w:r w:rsidRPr="00506EB1">
              <w:rPr>
                <w:sz w:val="21"/>
                <w:szCs w:val="21"/>
              </w:rPr>
              <w:t>We have relied upon the Australian Health Survey’s (AHS) Discretionary Foods List</w:t>
            </w:r>
            <w:r w:rsidR="009546A4" w:rsidRPr="00506EB1">
              <w:rPr>
                <w:sz w:val="21"/>
                <w:szCs w:val="21"/>
                <w:vertAlign w:val="superscript"/>
              </w:rPr>
              <w:footnoteReference w:id="5"/>
            </w:r>
            <w:r w:rsidRPr="00506EB1">
              <w:rPr>
                <w:sz w:val="21"/>
                <w:szCs w:val="21"/>
              </w:rPr>
              <w:t xml:space="preserve"> </w:t>
            </w:r>
            <w:r w:rsidR="0098079E" w:rsidRPr="00506EB1">
              <w:rPr>
                <w:sz w:val="21"/>
                <w:szCs w:val="21"/>
              </w:rPr>
              <w:t xml:space="preserve">as the best available reference </w:t>
            </w:r>
            <w:r w:rsidR="0074764C" w:rsidRPr="00506EB1">
              <w:rPr>
                <w:sz w:val="21"/>
                <w:szCs w:val="21"/>
              </w:rPr>
              <w:t>for c</w:t>
            </w:r>
            <w:r w:rsidRPr="00506EB1">
              <w:rPr>
                <w:sz w:val="21"/>
                <w:szCs w:val="21"/>
              </w:rPr>
              <w:t>lassify</w:t>
            </w:r>
            <w:r w:rsidR="0074764C" w:rsidRPr="00506EB1">
              <w:rPr>
                <w:sz w:val="21"/>
                <w:szCs w:val="21"/>
              </w:rPr>
              <w:t>ing</w:t>
            </w:r>
            <w:r w:rsidRPr="00506EB1">
              <w:rPr>
                <w:sz w:val="21"/>
                <w:szCs w:val="21"/>
              </w:rPr>
              <w:t xml:space="preserve"> foods as discretionary (foods for limited intake). The list was developed </w:t>
            </w:r>
            <w:r w:rsidR="0074764C" w:rsidRPr="00506EB1">
              <w:rPr>
                <w:sz w:val="21"/>
                <w:szCs w:val="21"/>
              </w:rPr>
              <w:t>based on the ADGs</w:t>
            </w:r>
            <w:r w:rsidRPr="00506EB1">
              <w:rPr>
                <w:sz w:val="21"/>
                <w:szCs w:val="21"/>
              </w:rPr>
              <w:t xml:space="preserve">. The list is unique to Australia and has </w:t>
            </w:r>
            <w:r w:rsidR="0074764C" w:rsidRPr="00506EB1">
              <w:rPr>
                <w:sz w:val="21"/>
                <w:szCs w:val="21"/>
              </w:rPr>
              <w:t xml:space="preserve">some </w:t>
            </w:r>
            <w:r w:rsidRPr="00506EB1">
              <w:rPr>
                <w:sz w:val="21"/>
                <w:szCs w:val="21"/>
              </w:rPr>
              <w:t>limitations</w:t>
            </w:r>
            <w:r w:rsidR="00A7368A">
              <w:rPr>
                <w:sz w:val="21"/>
                <w:szCs w:val="21"/>
              </w:rPr>
              <w:t xml:space="preserve">. </w:t>
            </w:r>
            <w:r w:rsidR="00091DA8">
              <w:rPr>
                <w:sz w:val="21"/>
                <w:szCs w:val="21"/>
              </w:rPr>
              <w:t>While it provides a general guide as to foods that are FFG or discretionary, this Consultation Paper explores areas where it may not be a useful guide to the performance of the HSR in terms of differentiating FFG and discretionary foods.</w:t>
            </w:r>
            <w:r w:rsidRPr="00506EB1">
              <w:rPr>
                <w:sz w:val="21"/>
                <w:szCs w:val="21"/>
              </w:rPr>
              <w:t xml:space="preserve"> </w:t>
            </w:r>
          </w:p>
          <w:p w14:paraId="572DC98B" w14:textId="77777777" w:rsidR="00FC28D2" w:rsidRPr="00091DA8" w:rsidRDefault="00FC28D2" w:rsidP="0024269C">
            <w:pPr>
              <w:pStyle w:val="mpcbullets1"/>
              <w:numPr>
                <w:ilvl w:val="0"/>
                <w:numId w:val="0"/>
              </w:numPr>
              <w:ind w:left="360"/>
              <w:rPr>
                <w:sz w:val="20"/>
                <w:szCs w:val="21"/>
              </w:rPr>
            </w:pPr>
          </w:p>
          <w:p w14:paraId="1299B02F" w14:textId="73620E54" w:rsidR="00FC28D2" w:rsidRPr="00506EB1" w:rsidRDefault="00B67791" w:rsidP="0024269C">
            <w:pPr>
              <w:pStyle w:val="mpcbullets1"/>
              <w:rPr>
                <w:sz w:val="21"/>
                <w:szCs w:val="21"/>
              </w:rPr>
            </w:pPr>
            <w:r w:rsidRPr="00506EB1">
              <w:rPr>
                <w:sz w:val="21"/>
                <w:szCs w:val="21"/>
              </w:rPr>
              <w:t xml:space="preserve">The </w:t>
            </w:r>
            <w:r w:rsidR="00FC28D2" w:rsidRPr="00506EB1">
              <w:rPr>
                <w:sz w:val="21"/>
                <w:szCs w:val="21"/>
              </w:rPr>
              <w:t>TAG has undertaken modelling to inform the options present</w:t>
            </w:r>
            <w:r w:rsidR="009F2D55" w:rsidRPr="00506EB1">
              <w:rPr>
                <w:sz w:val="21"/>
                <w:szCs w:val="21"/>
              </w:rPr>
              <w:t>ed in this Consultation Paper. At the time of modelling, t</w:t>
            </w:r>
            <w:r w:rsidR="00FC28D2" w:rsidRPr="00506EB1">
              <w:rPr>
                <w:sz w:val="21"/>
                <w:szCs w:val="21"/>
              </w:rPr>
              <w:t>he TAG database comprise</w:t>
            </w:r>
            <w:r w:rsidR="009F2D55" w:rsidRPr="00506EB1">
              <w:rPr>
                <w:sz w:val="21"/>
                <w:szCs w:val="21"/>
              </w:rPr>
              <w:t>d</w:t>
            </w:r>
            <w:r w:rsidR="00FC28D2" w:rsidRPr="00506EB1">
              <w:rPr>
                <w:sz w:val="21"/>
                <w:szCs w:val="21"/>
              </w:rPr>
              <w:t xml:space="preserve"> 5,885 products with data provided voluntarily by industry. We acknowledge that the TAG database has limited representation across some product types</w:t>
            </w:r>
            <w:r w:rsidR="00D904F7" w:rsidRPr="00506EB1">
              <w:rPr>
                <w:sz w:val="21"/>
                <w:szCs w:val="21"/>
              </w:rPr>
              <w:t>,</w:t>
            </w:r>
            <w:r w:rsidRPr="00506EB1">
              <w:rPr>
                <w:sz w:val="21"/>
                <w:szCs w:val="21"/>
              </w:rPr>
              <w:t xml:space="preserve"> and</w:t>
            </w:r>
            <w:r w:rsidR="00FC28D2" w:rsidRPr="00506EB1">
              <w:rPr>
                <w:sz w:val="21"/>
                <w:szCs w:val="21"/>
              </w:rPr>
              <w:t xml:space="preserve"> </w:t>
            </w:r>
            <w:r w:rsidR="003211BA" w:rsidRPr="00506EB1">
              <w:rPr>
                <w:sz w:val="21"/>
                <w:szCs w:val="21"/>
              </w:rPr>
              <w:t xml:space="preserve">does not include </w:t>
            </w:r>
            <w:r w:rsidR="002C102D" w:rsidRPr="00506EB1">
              <w:rPr>
                <w:sz w:val="21"/>
                <w:szCs w:val="21"/>
              </w:rPr>
              <w:t>ingredient information</w:t>
            </w:r>
            <w:r w:rsidRPr="00506EB1">
              <w:rPr>
                <w:sz w:val="21"/>
                <w:szCs w:val="21"/>
              </w:rPr>
              <w:t>.</w:t>
            </w:r>
            <w:r w:rsidR="00091DA8">
              <w:rPr>
                <w:sz w:val="21"/>
                <w:szCs w:val="21"/>
              </w:rPr>
              <w:t xml:space="preserve"> Following stakeholder feedback on the options, we will explore avenues for modelling preferred options using larger databases.</w:t>
            </w:r>
          </w:p>
          <w:p w14:paraId="2D08A556" w14:textId="77777777" w:rsidR="00FC28D2" w:rsidRPr="00091DA8" w:rsidRDefault="00FC28D2" w:rsidP="00FC28D2">
            <w:pPr>
              <w:pStyle w:val="mpcbullets1"/>
              <w:numPr>
                <w:ilvl w:val="0"/>
                <w:numId w:val="0"/>
              </w:numPr>
              <w:ind w:left="992"/>
              <w:contextualSpacing/>
              <w:rPr>
                <w:rFonts w:cstheme="minorHAnsi"/>
                <w:sz w:val="20"/>
                <w:szCs w:val="21"/>
              </w:rPr>
            </w:pPr>
          </w:p>
          <w:p w14:paraId="04CACF77" w14:textId="1A718A85" w:rsidR="00506EB1" w:rsidRPr="00506EB1" w:rsidRDefault="00FC28D2" w:rsidP="00506EB1">
            <w:pPr>
              <w:pStyle w:val="mpcbullets1"/>
              <w:rPr>
                <w:sz w:val="21"/>
                <w:szCs w:val="21"/>
              </w:rPr>
            </w:pPr>
            <w:r w:rsidRPr="00506EB1">
              <w:rPr>
                <w:sz w:val="21"/>
                <w:szCs w:val="21"/>
              </w:rPr>
              <w:t>A number of stakeholders, including industry and public health organisations, have provided data and information to inform this Consultation Paper. Where possible, we have used this information to corroborate or supplement analysis undertaken by the TAG.</w:t>
            </w:r>
          </w:p>
          <w:p w14:paraId="3DF1EAD5" w14:textId="77777777" w:rsidR="00506EB1" w:rsidRPr="00506EB1" w:rsidRDefault="00506EB1" w:rsidP="00506EB1">
            <w:pPr>
              <w:pStyle w:val="mpcbullets1"/>
              <w:numPr>
                <w:ilvl w:val="0"/>
                <w:numId w:val="0"/>
              </w:numPr>
              <w:rPr>
                <w:sz w:val="21"/>
                <w:szCs w:val="21"/>
              </w:rPr>
            </w:pPr>
          </w:p>
          <w:p w14:paraId="4DA612D0" w14:textId="0542F396" w:rsidR="00992B01" w:rsidRPr="00506EB1" w:rsidRDefault="00506EB1" w:rsidP="0024269C">
            <w:pPr>
              <w:rPr>
                <w:sz w:val="21"/>
                <w:szCs w:val="21"/>
              </w:rPr>
            </w:pPr>
            <w:r>
              <w:rPr>
                <w:rFonts w:eastAsiaTheme="minorHAnsi"/>
                <w:sz w:val="21"/>
                <w:szCs w:val="21"/>
              </w:rPr>
              <w:t>M</w:t>
            </w:r>
            <w:r w:rsidR="00FC28D2" w:rsidRPr="00506EB1">
              <w:rPr>
                <w:rFonts w:eastAsiaTheme="minorHAnsi"/>
                <w:sz w:val="21"/>
                <w:szCs w:val="21"/>
              </w:rPr>
              <w:t>uch of the discussion in this Consultation Paper relies on an understanding of the HSR Calculator</w:t>
            </w:r>
            <w:r>
              <w:rPr>
                <w:rFonts w:eastAsiaTheme="minorHAnsi"/>
                <w:sz w:val="21"/>
                <w:szCs w:val="21"/>
              </w:rPr>
              <w:t xml:space="preserve"> and the </w:t>
            </w:r>
            <w:r w:rsidRPr="00506EB1">
              <w:rPr>
                <w:rFonts w:eastAsiaTheme="minorHAnsi"/>
                <w:sz w:val="21"/>
                <w:szCs w:val="21"/>
              </w:rPr>
              <w:t>Guide for Industry to the</w:t>
            </w:r>
            <w:r>
              <w:rPr>
                <w:rFonts w:eastAsiaTheme="minorHAnsi"/>
                <w:sz w:val="21"/>
                <w:szCs w:val="21"/>
              </w:rPr>
              <w:t xml:space="preserve"> HSR Calculator (Industry Guide. Further information is available at </w:t>
            </w:r>
            <w:r w:rsidRPr="00506EB1">
              <w:rPr>
                <w:rFonts w:eastAsiaTheme="minorHAnsi"/>
                <w:sz w:val="21"/>
                <w:szCs w:val="21"/>
                <w:u w:val="single"/>
              </w:rPr>
              <w:t>Appendix 1</w:t>
            </w:r>
            <w:r>
              <w:rPr>
                <w:rFonts w:eastAsiaTheme="minorHAnsi"/>
                <w:sz w:val="21"/>
                <w:szCs w:val="21"/>
              </w:rPr>
              <w:t xml:space="preserve"> and</w:t>
            </w:r>
            <w:r w:rsidRPr="00506EB1">
              <w:rPr>
                <w:rFonts w:eastAsiaTheme="minorHAnsi"/>
                <w:sz w:val="21"/>
                <w:szCs w:val="21"/>
              </w:rPr>
              <w:t xml:space="preserve"> on the</w:t>
            </w:r>
            <w:r w:rsidRPr="00506EB1">
              <w:rPr>
                <w:sz w:val="21"/>
                <w:szCs w:val="21"/>
              </w:rPr>
              <w:t xml:space="preserve"> </w:t>
            </w:r>
            <w:hyperlink r:id="rId25" w:history="1">
              <w:r w:rsidRPr="00506EB1">
                <w:rPr>
                  <w:rStyle w:val="Hyperlink"/>
                  <w:sz w:val="21"/>
                  <w:szCs w:val="21"/>
                </w:rPr>
                <w:t>HSR website</w:t>
              </w:r>
            </w:hyperlink>
            <w:r w:rsidRPr="00506EB1">
              <w:rPr>
                <w:sz w:val="21"/>
                <w:szCs w:val="21"/>
              </w:rPr>
              <w:t>.</w:t>
            </w:r>
          </w:p>
        </w:tc>
      </w:tr>
    </w:tbl>
    <w:p w14:paraId="1288B369" w14:textId="78D715D5" w:rsidR="00896167" w:rsidRPr="006F5FD6" w:rsidRDefault="0061351C" w:rsidP="0024269C">
      <w:pPr>
        <w:pStyle w:val="mpcheading1"/>
      </w:pPr>
      <w:r w:rsidRPr="00AB3873">
        <w:br w:type="column"/>
      </w:r>
      <w:bookmarkStart w:id="17" w:name="Chapter2"/>
      <w:bookmarkStart w:id="18" w:name="_Toc527112888"/>
      <w:bookmarkEnd w:id="17"/>
      <w:r w:rsidR="00091DA8">
        <w:lastRenderedPageBreak/>
        <w:t>Chapter</w:t>
      </w:r>
      <w:r w:rsidR="00683AE5" w:rsidRPr="00AB3873">
        <w:t xml:space="preserve"> 2 </w:t>
      </w:r>
      <w:r w:rsidR="009B3DB1">
        <w:t>–</w:t>
      </w:r>
      <w:r w:rsidR="00683AE5" w:rsidRPr="00AB3873">
        <w:t xml:space="preserve"> </w:t>
      </w:r>
      <w:r w:rsidR="00896167">
        <w:t xml:space="preserve">Our approach to </w:t>
      </w:r>
      <w:r w:rsidR="00561741" w:rsidRPr="0024269C">
        <w:t>identifying</w:t>
      </w:r>
      <w:r w:rsidR="00561741">
        <w:t xml:space="preserve"> </w:t>
      </w:r>
      <w:r w:rsidR="00896167">
        <w:t>the issues</w:t>
      </w:r>
      <w:bookmarkEnd w:id="18"/>
      <w:r w:rsidR="00896167">
        <w:t xml:space="preserve"> </w:t>
      </w:r>
    </w:p>
    <w:p w14:paraId="46268895" w14:textId="6CC3AB63" w:rsidR="00896167" w:rsidRDefault="006F5FD6" w:rsidP="0024269C">
      <w:pPr>
        <w:pStyle w:val="mpcheading2"/>
      </w:pPr>
      <w:bookmarkStart w:id="19" w:name="Processforidentifyingissues"/>
      <w:bookmarkStart w:id="20" w:name="_Toc527112889"/>
      <w:bookmarkEnd w:id="19"/>
      <w:r>
        <w:t>Process for identifying issues</w:t>
      </w:r>
      <w:bookmarkEnd w:id="20"/>
    </w:p>
    <w:p w14:paraId="06E5976A" w14:textId="77777777" w:rsidR="00896167" w:rsidRDefault="00896167" w:rsidP="00DA3342">
      <w:pPr>
        <w:pStyle w:val="mpcbullets1"/>
        <w:keepNext/>
        <w:numPr>
          <w:ilvl w:val="0"/>
          <w:numId w:val="0"/>
        </w:numPr>
      </w:pPr>
    </w:p>
    <w:p w14:paraId="547C621B" w14:textId="6B8FB3F1" w:rsidR="006F5FD6" w:rsidRPr="003D65BF" w:rsidRDefault="00531C07" w:rsidP="0024269C">
      <w:pPr>
        <w:pStyle w:val="mpcNormal"/>
      </w:pPr>
      <w:r w:rsidRPr="003D65BF">
        <w:t>Over the course of the Review</w:t>
      </w:r>
      <w:r w:rsidR="00986747">
        <w:t>,</w:t>
      </w:r>
      <w:r w:rsidRPr="003D65BF">
        <w:t xml:space="preserve"> stakeholders have raised a wide range of issues relating to the products on which the HSR appears and the way the HSR is calculated.</w:t>
      </w:r>
      <w:r w:rsidR="006F5FD6" w:rsidRPr="003D65BF">
        <w:t xml:space="preserve"> </w:t>
      </w:r>
    </w:p>
    <w:p w14:paraId="3E02E813" w14:textId="77777777" w:rsidR="006F5FD6" w:rsidRPr="003D65BF" w:rsidRDefault="006F5FD6" w:rsidP="0024269C">
      <w:pPr>
        <w:pStyle w:val="mpcNormal"/>
      </w:pPr>
    </w:p>
    <w:p w14:paraId="0C66B6BF" w14:textId="2A5039D9" w:rsidR="00531C07" w:rsidRPr="003D65BF" w:rsidRDefault="00531C07" w:rsidP="0024269C">
      <w:pPr>
        <w:pStyle w:val="mpcNormal"/>
      </w:pPr>
      <w:r w:rsidRPr="003D65BF">
        <w:t xml:space="preserve">When the Navigation Paper </w:t>
      </w:r>
      <w:r w:rsidR="003F7423">
        <w:t xml:space="preserve">was published </w:t>
      </w:r>
      <w:r w:rsidRPr="003D65BF">
        <w:t xml:space="preserve">in January 2018 (and </w:t>
      </w:r>
      <w:r w:rsidR="00986747">
        <w:t xml:space="preserve">public </w:t>
      </w:r>
      <w:r w:rsidRPr="003D65BF">
        <w:t xml:space="preserve">forums </w:t>
      </w:r>
      <w:r w:rsidR="009E5E7B">
        <w:t xml:space="preserve">were subsequently </w:t>
      </w:r>
      <w:r w:rsidR="003F7423" w:rsidRPr="003D65BF">
        <w:t xml:space="preserve">conducted </w:t>
      </w:r>
      <w:r w:rsidRPr="003D65BF">
        <w:t>throughout February – April</w:t>
      </w:r>
      <w:r w:rsidR="00986747">
        <w:t xml:space="preserve"> 2018</w:t>
      </w:r>
      <w:r w:rsidRPr="003D65BF">
        <w:t xml:space="preserve">) we sought to distil the key problems requiring consideration – identifying those </w:t>
      </w:r>
      <w:r w:rsidR="0095032C">
        <w:t>that</w:t>
      </w:r>
      <w:r w:rsidRPr="003D65BF">
        <w:t xml:space="preserve"> might </w:t>
      </w:r>
      <w:r w:rsidR="0049313F" w:rsidRPr="003D65BF">
        <w:t>be</w:t>
      </w:r>
      <w:r w:rsidRPr="003D65BF">
        <w:t xml:space="preserve"> addressed through changes to the HSR </w:t>
      </w:r>
      <w:r w:rsidR="00F4559C" w:rsidRPr="003D65BF">
        <w:t>System</w:t>
      </w:r>
      <w:r w:rsidR="0095032C">
        <w:t>,</w:t>
      </w:r>
      <w:r w:rsidR="00F4559C" w:rsidRPr="003D65BF">
        <w:t xml:space="preserve"> </w:t>
      </w:r>
      <w:r w:rsidRPr="003D65BF">
        <w:t>and those that could not.</w:t>
      </w:r>
      <w:r w:rsidRPr="003D65BF">
        <w:br/>
      </w:r>
    </w:p>
    <w:p w14:paraId="108CB1D8" w14:textId="0D229292" w:rsidR="00531C07" w:rsidRPr="003D65BF" w:rsidRDefault="00531C07" w:rsidP="0024269C">
      <w:pPr>
        <w:pStyle w:val="mpcNormal"/>
      </w:pPr>
      <w:r w:rsidRPr="003D65BF">
        <w:t>Overall</w:t>
      </w:r>
      <w:r w:rsidR="00986747">
        <w:t>,</w:t>
      </w:r>
      <w:r w:rsidRPr="003D65BF">
        <w:t xml:space="preserve"> there </w:t>
      </w:r>
      <w:r w:rsidR="00C63021">
        <w:t xml:space="preserve">were a number of key themes emerging from stakeholder consultations </w:t>
      </w:r>
      <w:r w:rsidR="00B4791D">
        <w:t>regarding</w:t>
      </w:r>
      <w:r w:rsidR="00986747">
        <w:t xml:space="preserve"> the </w:t>
      </w:r>
      <w:r w:rsidRPr="003D65BF">
        <w:t>areas</w:t>
      </w:r>
      <w:r w:rsidR="0095032C">
        <w:t xml:space="preserve"> of focus</w:t>
      </w:r>
      <w:r w:rsidRPr="003D65BF">
        <w:t xml:space="preserve"> </w:t>
      </w:r>
      <w:r w:rsidR="00B4791D">
        <w:t>for the Review</w:t>
      </w:r>
      <w:r w:rsidRPr="003D65BF">
        <w:t>:</w:t>
      </w:r>
    </w:p>
    <w:p w14:paraId="26B36CCA" w14:textId="77777777" w:rsidR="00127C5C" w:rsidRPr="003D65BF" w:rsidRDefault="00127C5C" w:rsidP="006F5FD6">
      <w:pPr>
        <w:pStyle w:val="mpcbullets1"/>
        <w:keepNext/>
        <w:numPr>
          <w:ilvl w:val="0"/>
          <w:numId w:val="0"/>
        </w:numPr>
      </w:pPr>
    </w:p>
    <w:p w14:paraId="0EB88FC7" w14:textId="4F77C22F" w:rsidR="00655BEA" w:rsidRPr="00410060" w:rsidRDefault="00531C07" w:rsidP="0024269C">
      <w:pPr>
        <w:pStyle w:val="mpcbullets1"/>
      </w:pPr>
      <w:r w:rsidRPr="00410060">
        <w:t xml:space="preserve">how well the HSR </w:t>
      </w:r>
      <w:r w:rsidR="003001A2" w:rsidRPr="00410060">
        <w:t>System</w:t>
      </w:r>
      <w:r w:rsidRPr="00410060">
        <w:t xml:space="preserve"> aligns with </w:t>
      </w:r>
      <w:r w:rsidR="009A1CDF" w:rsidRPr="00410060">
        <w:t xml:space="preserve">the Dietary Guidelines </w:t>
      </w:r>
      <w:r w:rsidRPr="00410060">
        <w:t xml:space="preserve">and whether the </w:t>
      </w:r>
      <w:r w:rsidR="00926B08" w:rsidRPr="00410060">
        <w:t>System</w:t>
      </w:r>
      <w:r w:rsidRPr="00410060">
        <w:t xml:space="preserve"> adequately </w:t>
      </w:r>
      <w:r w:rsidR="00C63021" w:rsidRPr="00410060">
        <w:t xml:space="preserve">promotes the </w:t>
      </w:r>
      <w:r w:rsidR="00655BEA" w:rsidRPr="00410060">
        <w:t>Four/</w:t>
      </w:r>
      <w:r w:rsidR="002C102D" w:rsidRPr="00410060">
        <w:t xml:space="preserve">Five Food Group (FFG) foods (i.e. foods that form the basis of a healthy diet) </w:t>
      </w:r>
    </w:p>
    <w:p w14:paraId="42E6A0FF" w14:textId="3BFF3B8F" w:rsidR="00531C07" w:rsidRDefault="008432ED" w:rsidP="0024269C">
      <w:pPr>
        <w:pStyle w:val="mpcbullets1"/>
      </w:pPr>
      <w:r w:rsidRPr="003D65BF">
        <w:t xml:space="preserve">whether the HSR </w:t>
      </w:r>
      <w:r w:rsidR="00F83F00">
        <w:t xml:space="preserve">System </w:t>
      </w:r>
      <w:r w:rsidRPr="003D65BF">
        <w:t xml:space="preserve">should apply </w:t>
      </w:r>
      <w:r w:rsidR="00531C07" w:rsidRPr="003D65BF">
        <w:t>to packaged fresh fruit</w:t>
      </w:r>
      <w:r w:rsidR="003A6F52">
        <w:t>s</w:t>
      </w:r>
      <w:r w:rsidR="00531C07" w:rsidRPr="003D65BF">
        <w:t xml:space="preserve"> and vegetables (and </w:t>
      </w:r>
      <w:r w:rsidRPr="003D65BF">
        <w:t xml:space="preserve">also </w:t>
      </w:r>
      <w:r w:rsidR="00531C07" w:rsidRPr="003D65BF">
        <w:t xml:space="preserve">whether such foods should automatically receive </w:t>
      </w:r>
      <w:r w:rsidR="002760DA">
        <w:t>a</w:t>
      </w:r>
      <w:r w:rsidR="00227CF0">
        <w:t>n</w:t>
      </w:r>
      <w:r w:rsidR="002760DA">
        <w:t xml:space="preserve"> HSR of 5</w:t>
      </w:r>
      <w:r w:rsidR="00531C07" w:rsidRPr="003D65BF">
        <w:t>)</w:t>
      </w:r>
    </w:p>
    <w:p w14:paraId="44FCE2FF" w14:textId="01D6B457" w:rsidR="00B4791D" w:rsidRPr="003D65BF" w:rsidRDefault="00B4791D" w:rsidP="0024269C">
      <w:pPr>
        <w:pStyle w:val="mpcbullets1"/>
      </w:pPr>
      <w:r>
        <w:t>whether the HSR Calculator is appropriately rating non-dairy beverages and what HSR System graphic non-dairy beverages should display</w:t>
      </w:r>
    </w:p>
    <w:p w14:paraId="5CB0AB40" w14:textId="406161D6" w:rsidR="00531C07" w:rsidRPr="003D65BF" w:rsidRDefault="008432ED" w:rsidP="0024269C">
      <w:pPr>
        <w:pStyle w:val="mpcbullets1"/>
      </w:pPr>
      <w:r w:rsidRPr="003D65BF">
        <w:t>w</w:t>
      </w:r>
      <w:r w:rsidR="00531C07" w:rsidRPr="003D65BF">
        <w:t xml:space="preserve">hether the HSR </w:t>
      </w:r>
      <w:r w:rsidR="002760DA">
        <w:t xml:space="preserve">Calculator </w:t>
      </w:r>
      <w:r w:rsidR="00531C07" w:rsidRPr="003D65BF">
        <w:t xml:space="preserve">appropriately </w:t>
      </w:r>
      <w:r w:rsidR="00C63021">
        <w:t>accounts for</w:t>
      </w:r>
      <w:r w:rsidR="00C63021" w:rsidRPr="003D65BF">
        <w:t xml:space="preserve"> </w:t>
      </w:r>
      <w:r w:rsidR="00531C07" w:rsidRPr="003D65BF">
        <w:t>sugar</w:t>
      </w:r>
      <w:r w:rsidR="002760DA">
        <w:t>s</w:t>
      </w:r>
      <w:r w:rsidR="0095032C">
        <w:t xml:space="preserve"> </w:t>
      </w:r>
      <w:r w:rsidR="00531C07" w:rsidRPr="003D65BF">
        <w:t>and</w:t>
      </w:r>
      <w:r w:rsidR="0095032C">
        <w:t xml:space="preserve">, specifically, </w:t>
      </w:r>
      <w:r w:rsidR="00531C07" w:rsidRPr="003D65BF">
        <w:t xml:space="preserve">whether the HSR </w:t>
      </w:r>
      <w:r w:rsidR="002760DA">
        <w:t xml:space="preserve">Calculator </w:t>
      </w:r>
      <w:r w:rsidR="00531C07" w:rsidRPr="003D65BF">
        <w:t>should take account of added sugar</w:t>
      </w:r>
      <w:r w:rsidR="002760DA">
        <w:t>s</w:t>
      </w:r>
    </w:p>
    <w:p w14:paraId="73F36324" w14:textId="4DCB0F32" w:rsidR="00B4791D" w:rsidRDefault="00B4791D" w:rsidP="0024269C">
      <w:pPr>
        <w:pStyle w:val="mpcbullets1"/>
      </w:pPr>
      <w:r w:rsidRPr="003D65BF">
        <w:t xml:space="preserve">whether protein should </w:t>
      </w:r>
      <w:r w:rsidR="0095032C">
        <w:t xml:space="preserve">continue to </w:t>
      </w:r>
      <w:r w:rsidRPr="003D65BF">
        <w:t xml:space="preserve">be included as a positive nutrient in the HSR Calculator, as the majority of Australians and New Zealanders meet or exceed recommended intakes for protein </w:t>
      </w:r>
    </w:p>
    <w:p w14:paraId="609FEC72" w14:textId="72F323A2" w:rsidR="00531C07" w:rsidRPr="00B4791D" w:rsidRDefault="00531C07" w:rsidP="0024269C">
      <w:pPr>
        <w:pStyle w:val="mpcbullets1"/>
      </w:pPr>
      <w:r w:rsidRPr="00B4791D">
        <w:t>whether</w:t>
      </w:r>
      <w:r w:rsidR="008432ED" w:rsidRPr="00B4791D">
        <w:t xml:space="preserve"> </w:t>
      </w:r>
      <w:r w:rsidRPr="00B4791D">
        <w:t>wholegrain</w:t>
      </w:r>
      <w:r w:rsidR="002760DA" w:rsidRPr="00B4791D">
        <w:t xml:space="preserve"> content should be factored into the HSR Calculator to </w:t>
      </w:r>
      <w:r w:rsidR="008432ED" w:rsidRPr="00B4791D">
        <w:t xml:space="preserve">better reflect </w:t>
      </w:r>
      <w:r w:rsidR="002760DA" w:rsidRPr="00B4791D">
        <w:t xml:space="preserve">Dietary Guideline </w:t>
      </w:r>
      <w:r w:rsidR="008432ED" w:rsidRPr="00B4791D">
        <w:t>recommend</w:t>
      </w:r>
      <w:r w:rsidR="002760DA" w:rsidRPr="00B4791D">
        <w:t>ations to</w:t>
      </w:r>
      <w:r w:rsidR="008432ED" w:rsidRPr="00B4791D">
        <w:t xml:space="preserve"> eat grain foods, mostly wholegrain and</w:t>
      </w:r>
      <w:r w:rsidR="002760DA" w:rsidRPr="00B4791D">
        <w:t>/or high cereal fibre varieties</w:t>
      </w:r>
    </w:p>
    <w:p w14:paraId="1B6BC6B2" w14:textId="74AAF655" w:rsidR="00531C07" w:rsidRPr="003D65BF" w:rsidRDefault="006F5FD6" w:rsidP="0024269C">
      <w:pPr>
        <w:pStyle w:val="mpcbullets1"/>
      </w:pPr>
      <w:r w:rsidRPr="003D65BF">
        <w:t>some areas of concern</w:t>
      </w:r>
      <w:r w:rsidR="00531C07" w:rsidRPr="003D65BF">
        <w:t xml:space="preserve"> rel</w:t>
      </w:r>
      <w:r w:rsidRPr="003D65BF">
        <w:t>ating to</w:t>
      </w:r>
      <w:r w:rsidR="00531C07" w:rsidRPr="003D65BF">
        <w:t xml:space="preserve"> specific</w:t>
      </w:r>
      <w:r w:rsidR="00227CF0">
        <w:t xml:space="preserve"> product</w:t>
      </w:r>
      <w:r w:rsidRPr="003D65BF">
        <w:t xml:space="preserve"> categories or</w:t>
      </w:r>
      <w:r w:rsidR="00531C07" w:rsidRPr="003D65BF">
        <w:t xml:space="preserve"> </w:t>
      </w:r>
      <w:r w:rsidR="00227CF0">
        <w:t>sub</w:t>
      </w:r>
      <w:r w:rsidRPr="003D65BF">
        <w:t xml:space="preserve">categories </w:t>
      </w:r>
      <w:r w:rsidR="001E16F8" w:rsidRPr="003D65BF">
        <w:t xml:space="preserve">such as </w:t>
      </w:r>
      <w:r w:rsidR="00531C07" w:rsidRPr="003D65BF">
        <w:t xml:space="preserve">certain dairy </w:t>
      </w:r>
      <w:r w:rsidR="002760DA">
        <w:t>desserts</w:t>
      </w:r>
      <w:r w:rsidR="00531C07" w:rsidRPr="003D65BF">
        <w:t>, oils and spreads</w:t>
      </w:r>
      <w:r w:rsidR="002760DA">
        <w:t>, salty snacks</w:t>
      </w:r>
      <w:r w:rsidR="007B7EB8">
        <w:t xml:space="preserve">, </w:t>
      </w:r>
      <w:r w:rsidR="00431EB2">
        <w:t>jellies and ice confection</w:t>
      </w:r>
      <w:r w:rsidR="00127C5C" w:rsidRPr="003D65BF">
        <w:t>.</w:t>
      </w:r>
    </w:p>
    <w:p w14:paraId="336678D6" w14:textId="77777777" w:rsidR="008432ED" w:rsidRPr="003D65BF" w:rsidRDefault="008432ED" w:rsidP="0024269C">
      <w:pPr>
        <w:pStyle w:val="ListParagraph"/>
      </w:pPr>
    </w:p>
    <w:p w14:paraId="090323AA" w14:textId="0BA8ECEF" w:rsidR="00531C07" w:rsidRPr="003D65BF" w:rsidRDefault="00127C5C" w:rsidP="0024269C">
      <w:pPr>
        <w:pStyle w:val="mpcNormal"/>
      </w:pPr>
      <w:r w:rsidRPr="003D65BF">
        <w:t>Stakeholders</w:t>
      </w:r>
      <w:r w:rsidR="006F5FD6" w:rsidRPr="003D65BF">
        <w:t xml:space="preserve"> </w:t>
      </w:r>
      <w:r w:rsidRPr="003D65BF">
        <w:t>also</w:t>
      </w:r>
      <w:r w:rsidR="006F5FD6" w:rsidRPr="003D65BF">
        <w:t xml:space="preserve"> generally </w:t>
      </w:r>
      <w:r w:rsidR="00531C07" w:rsidRPr="003D65BF">
        <w:t>acknowle</w:t>
      </w:r>
      <w:r w:rsidR="006F5FD6" w:rsidRPr="003D65BF">
        <w:t>dged</w:t>
      </w:r>
      <w:r w:rsidR="00531C07" w:rsidRPr="003D65BF">
        <w:t xml:space="preserve"> that:</w:t>
      </w:r>
    </w:p>
    <w:p w14:paraId="6A964578" w14:textId="77777777" w:rsidR="00127C5C" w:rsidRPr="003D65BF" w:rsidRDefault="00127C5C" w:rsidP="0024269C">
      <w:pPr>
        <w:pStyle w:val="mpcNormal"/>
      </w:pPr>
    </w:p>
    <w:p w14:paraId="0C07C448" w14:textId="5DB91E14" w:rsidR="00531C07" w:rsidRPr="003D65BF" w:rsidRDefault="00431EB2" w:rsidP="0024269C">
      <w:pPr>
        <w:pStyle w:val="mpcbullets1"/>
      </w:pPr>
      <w:r>
        <w:t xml:space="preserve">changes should only be made where necessary </w:t>
      </w:r>
      <w:r w:rsidR="0095032C">
        <w:t>(including to avoid</w:t>
      </w:r>
      <w:r>
        <w:t xml:space="preserve"> negatively impact</w:t>
      </w:r>
      <w:r w:rsidR="0095032C">
        <w:t>ing</w:t>
      </w:r>
      <w:r>
        <w:t xml:space="preserve"> on </w:t>
      </w:r>
      <w:r w:rsidR="00127C5C" w:rsidRPr="003D65BF">
        <w:t>consumer confidence and indu</w:t>
      </w:r>
      <w:r>
        <w:t>stry willingness to participate</w:t>
      </w:r>
      <w:r w:rsidR="0095032C">
        <w:t>)</w:t>
      </w:r>
    </w:p>
    <w:p w14:paraId="7C898031" w14:textId="4733B301" w:rsidR="004C23BB" w:rsidRPr="003D65BF" w:rsidRDefault="004C23BB" w:rsidP="0024269C">
      <w:pPr>
        <w:pStyle w:val="mpcbullets1"/>
      </w:pPr>
      <w:r w:rsidRPr="003D65BF">
        <w:t>where possible</w:t>
      </w:r>
      <w:r w:rsidR="00431EB2">
        <w:t>,</w:t>
      </w:r>
      <w:r w:rsidRPr="003D65BF">
        <w:t xml:space="preserve"> we </w:t>
      </w:r>
      <w:r w:rsidR="006F5FD6" w:rsidRPr="003D65BF">
        <w:t xml:space="preserve">should </w:t>
      </w:r>
      <w:r w:rsidRPr="003D65BF">
        <w:t xml:space="preserve">seek closer </w:t>
      </w:r>
      <w:r w:rsidR="00127C5C" w:rsidRPr="003D65BF">
        <w:t>alignment</w:t>
      </w:r>
      <w:r w:rsidRPr="003D65BF">
        <w:t xml:space="preserve"> with </w:t>
      </w:r>
      <w:r w:rsidR="00431EB2">
        <w:t>Dietary Guidelines</w:t>
      </w:r>
      <w:r w:rsidRPr="003D65BF">
        <w:t xml:space="preserve"> (noting that absolute alignment is not possible because the ADG and NZEAG </w:t>
      </w:r>
      <w:r w:rsidR="00431EB2">
        <w:t>differ in some respects</w:t>
      </w:r>
      <w:r w:rsidRPr="003D65BF">
        <w:t>)</w:t>
      </w:r>
    </w:p>
    <w:p w14:paraId="07753134" w14:textId="53B9A0B3" w:rsidR="00E613C8" w:rsidRPr="003D65BF" w:rsidRDefault="00D30C9E" w:rsidP="0024269C">
      <w:pPr>
        <w:pStyle w:val="mpcbullets1"/>
      </w:pPr>
      <w:r w:rsidRPr="003D65BF">
        <w:t>t</w:t>
      </w:r>
      <w:r w:rsidR="00E613C8" w:rsidRPr="003D65BF">
        <w:t>h</w:t>
      </w:r>
      <w:r w:rsidRPr="003D65BF">
        <w:t xml:space="preserve">e </w:t>
      </w:r>
      <w:r w:rsidR="00DC442E">
        <w:t>products</w:t>
      </w:r>
      <w:r w:rsidRPr="003D65BF">
        <w:t xml:space="preserve"> </w:t>
      </w:r>
      <w:r w:rsidR="00E613C8" w:rsidRPr="003D65BF">
        <w:t>of p</w:t>
      </w:r>
      <w:r w:rsidRPr="003D65BF">
        <w:t xml:space="preserve">articular </w:t>
      </w:r>
      <w:r w:rsidR="00E613C8" w:rsidRPr="003D65BF">
        <w:t>inter</w:t>
      </w:r>
      <w:r w:rsidRPr="003D65BF">
        <w:t>e</w:t>
      </w:r>
      <w:r w:rsidR="00E613C8" w:rsidRPr="003D65BF">
        <w:t xml:space="preserve">st to </w:t>
      </w:r>
      <w:r w:rsidR="00DC442E">
        <w:t>stakeholders</w:t>
      </w:r>
      <w:r w:rsidR="00E613C8" w:rsidRPr="003D65BF">
        <w:t xml:space="preserve"> </w:t>
      </w:r>
      <w:r w:rsidRPr="003D65BF">
        <w:t xml:space="preserve">(in terms of whether the HSR </w:t>
      </w:r>
      <w:r w:rsidR="00DC442E">
        <w:t xml:space="preserve">System </w:t>
      </w:r>
      <w:r w:rsidRPr="003D65BF">
        <w:t>is ‘working’</w:t>
      </w:r>
      <w:r w:rsidR="00DC442E">
        <w:t xml:space="preserve"> as expected)</w:t>
      </w:r>
      <w:r w:rsidRPr="003D65BF">
        <w:t xml:space="preserve"> </w:t>
      </w:r>
      <w:r w:rsidR="00E613C8" w:rsidRPr="003D65BF">
        <w:t>are</w:t>
      </w:r>
      <w:r w:rsidRPr="003D65BF">
        <w:t xml:space="preserve"> </w:t>
      </w:r>
      <w:r w:rsidR="00E613C8" w:rsidRPr="003D65BF">
        <w:t xml:space="preserve">breakfast cereals, ‘lunch box’ </w:t>
      </w:r>
      <w:r w:rsidR="00E613C8" w:rsidRPr="00DC442E">
        <w:t xml:space="preserve">foods </w:t>
      </w:r>
      <w:r w:rsidRPr="00DC442E">
        <w:t>(</w:t>
      </w:r>
      <w:r w:rsidR="00E613C8" w:rsidRPr="00DC442E">
        <w:t>including mues</w:t>
      </w:r>
      <w:r w:rsidR="002C102D">
        <w:t>li bars), ready-to-eat meals, some dairy products and non-dairy beverages such as juices</w:t>
      </w:r>
      <w:r w:rsidRPr="00DC442E">
        <w:t xml:space="preserve">. </w:t>
      </w:r>
      <w:r w:rsidR="002C102D">
        <w:t>Many of t</w:t>
      </w:r>
      <w:r w:rsidRPr="00DC442E">
        <w:t xml:space="preserve">hese </w:t>
      </w:r>
      <w:r w:rsidR="00DC442E" w:rsidRPr="00DC442E">
        <w:t>products</w:t>
      </w:r>
      <w:r w:rsidRPr="00DC442E">
        <w:t xml:space="preserve"> </w:t>
      </w:r>
      <w:r w:rsidR="00813BC9">
        <w:t xml:space="preserve">are also the subject of draft targets </w:t>
      </w:r>
      <w:r w:rsidRPr="00DC442E">
        <w:t>for reformulation</w:t>
      </w:r>
      <w:r w:rsidR="00C63021">
        <w:t xml:space="preserve"> in Australia</w:t>
      </w:r>
      <w:r w:rsidRPr="00DC442E">
        <w:t xml:space="preserve"> (under </w:t>
      </w:r>
      <w:r w:rsidR="00DC442E" w:rsidRPr="00DC442E">
        <w:t>the Healthy Food Partnership</w:t>
      </w:r>
      <w:r w:rsidR="00227CF0">
        <w:t>)</w:t>
      </w:r>
      <w:r w:rsidR="00DC442E">
        <w:t>.</w:t>
      </w:r>
    </w:p>
    <w:p w14:paraId="5187576F" w14:textId="4BE1E3F8" w:rsidR="00531C07" w:rsidRPr="003D65BF" w:rsidRDefault="00531C07" w:rsidP="00DA3342">
      <w:pPr>
        <w:pStyle w:val="mpcbullets1"/>
        <w:keepNext/>
        <w:numPr>
          <w:ilvl w:val="0"/>
          <w:numId w:val="0"/>
        </w:numPr>
      </w:pPr>
    </w:p>
    <w:p w14:paraId="33F37ADC" w14:textId="4C614318" w:rsidR="004C23BB" w:rsidRPr="003D65BF" w:rsidRDefault="004C23BB" w:rsidP="0024269C">
      <w:pPr>
        <w:pStyle w:val="mpcNormal"/>
      </w:pPr>
      <w:r w:rsidRPr="003D65BF">
        <w:t xml:space="preserve">This </w:t>
      </w:r>
      <w:r w:rsidR="006F5FD6" w:rsidRPr="003D65BF">
        <w:t>Chapter</w:t>
      </w:r>
      <w:r w:rsidR="00127C5C" w:rsidRPr="003D65BF">
        <w:t>:</w:t>
      </w:r>
    </w:p>
    <w:p w14:paraId="4A57D506" w14:textId="77777777" w:rsidR="00127C5C" w:rsidRPr="003D65BF" w:rsidRDefault="00127C5C" w:rsidP="00DA3342">
      <w:pPr>
        <w:pStyle w:val="mpcbullets1"/>
        <w:keepNext/>
        <w:numPr>
          <w:ilvl w:val="0"/>
          <w:numId w:val="0"/>
        </w:numPr>
      </w:pPr>
    </w:p>
    <w:p w14:paraId="1A774707" w14:textId="5E863958" w:rsidR="006F5FD6" w:rsidRPr="003D65BF" w:rsidRDefault="00127C5C" w:rsidP="0024269C">
      <w:pPr>
        <w:pStyle w:val="mpcbullets1"/>
      </w:pPr>
      <w:r w:rsidRPr="003D65BF">
        <w:t>d</w:t>
      </w:r>
      <w:r w:rsidR="006F5FD6" w:rsidRPr="003D65BF">
        <w:t xml:space="preserve">escribes the performance of the HSR </w:t>
      </w:r>
      <w:r w:rsidR="00926B08" w:rsidRPr="003D65BF">
        <w:t>System</w:t>
      </w:r>
      <w:r w:rsidR="006F5FD6" w:rsidRPr="003D65BF">
        <w:t xml:space="preserve"> (by way of context for </w:t>
      </w:r>
      <w:r w:rsidRPr="003D65BF">
        <w:t>consideration</w:t>
      </w:r>
      <w:r w:rsidR="006F5FD6" w:rsidRPr="003D65BF">
        <w:t xml:space="preserve"> of any changes)</w:t>
      </w:r>
    </w:p>
    <w:p w14:paraId="5F6AC6A0" w14:textId="1356CC59" w:rsidR="006F5FD6" w:rsidRPr="003D65BF" w:rsidRDefault="00127C5C" w:rsidP="0024269C">
      <w:pPr>
        <w:pStyle w:val="mpcbullets1"/>
      </w:pPr>
      <w:r w:rsidRPr="003D65BF">
        <w:t>d</w:t>
      </w:r>
      <w:r w:rsidR="006F5FD6" w:rsidRPr="003D65BF">
        <w:t xml:space="preserve">etails how well the HSR </w:t>
      </w:r>
      <w:r w:rsidR="00926B08" w:rsidRPr="003D65BF">
        <w:t>System</w:t>
      </w:r>
      <w:r w:rsidR="006F5FD6" w:rsidRPr="003D65BF">
        <w:t xml:space="preserve"> aligns with Dietary Guidelines and whether the </w:t>
      </w:r>
      <w:r w:rsidR="00926B08" w:rsidRPr="003D65BF">
        <w:t>System</w:t>
      </w:r>
      <w:r w:rsidR="006F5FD6" w:rsidRPr="003D65BF">
        <w:t xml:space="preserve"> adequately </w:t>
      </w:r>
      <w:r w:rsidR="0095032C">
        <w:t>distinguishes FFG</w:t>
      </w:r>
      <w:r w:rsidR="00FA2802" w:rsidRPr="003D65BF">
        <w:t xml:space="preserve"> and discretionary foods</w:t>
      </w:r>
    </w:p>
    <w:p w14:paraId="2A34538D" w14:textId="0B054FF9" w:rsidR="00127C5C" w:rsidRPr="003D65BF" w:rsidRDefault="00127C5C" w:rsidP="0024269C">
      <w:pPr>
        <w:pStyle w:val="mpcbullets1"/>
      </w:pPr>
      <w:r w:rsidRPr="003D65BF">
        <w:t xml:space="preserve">describes how the issues have been further refined based on available data about the performance of the </w:t>
      </w:r>
      <w:r w:rsidR="00926B08" w:rsidRPr="003D65BF">
        <w:t>System</w:t>
      </w:r>
      <w:r w:rsidR="008A13C7">
        <w:t>,</w:t>
      </w:r>
      <w:r w:rsidRPr="003D65BF">
        <w:t xml:space="preserve"> particularly in relation to alignment with Dietary</w:t>
      </w:r>
      <w:r w:rsidR="001E16F8" w:rsidRPr="003D65BF">
        <w:t xml:space="preserve"> Guidelines (and discernment</w:t>
      </w:r>
      <w:r w:rsidRPr="003D65BF">
        <w:t xml:space="preserve"> of </w:t>
      </w:r>
      <w:r w:rsidR="0095032C">
        <w:t>FFG</w:t>
      </w:r>
      <w:r w:rsidRPr="003D65BF">
        <w:t xml:space="preserve"> and d</w:t>
      </w:r>
      <w:r w:rsidR="00FA2802" w:rsidRPr="003D65BF">
        <w:t>is</w:t>
      </w:r>
      <w:r w:rsidRPr="003D65BF">
        <w:t>c</w:t>
      </w:r>
      <w:r w:rsidR="00FA2802" w:rsidRPr="003D65BF">
        <w:t>re</w:t>
      </w:r>
      <w:r w:rsidRPr="003D65BF">
        <w:t>tionary foods)</w:t>
      </w:r>
      <w:r w:rsidR="00FA2802" w:rsidRPr="003D65BF">
        <w:t>.</w:t>
      </w:r>
    </w:p>
    <w:p w14:paraId="3139A62D" w14:textId="77777777" w:rsidR="00127C5C" w:rsidRDefault="00127C5C" w:rsidP="00DA3342">
      <w:pPr>
        <w:pStyle w:val="mpcbullets1"/>
        <w:keepNext/>
        <w:numPr>
          <w:ilvl w:val="0"/>
          <w:numId w:val="0"/>
        </w:numPr>
      </w:pPr>
    </w:p>
    <w:p w14:paraId="04EF4E8A" w14:textId="101152EE" w:rsidR="00896167" w:rsidRDefault="00896167" w:rsidP="00992B01">
      <w:pPr>
        <w:pStyle w:val="mpcheading2"/>
        <w:keepNext/>
      </w:pPr>
      <w:bookmarkStart w:id="21" w:name="PerformanceoftheHSRSystem"/>
      <w:bookmarkStart w:id="22" w:name="_Toc527112890"/>
      <w:bookmarkEnd w:id="21"/>
      <w:r>
        <w:t xml:space="preserve">Performance of the HSR </w:t>
      </w:r>
      <w:r w:rsidR="00926B08">
        <w:t>System</w:t>
      </w:r>
      <w:bookmarkEnd w:id="22"/>
    </w:p>
    <w:p w14:paraId="7EECE6D2" w14:textId="77777777" w:rsidR="00896167" w:rsidRDefault="00896167" w:rsidP="00992B01">
      <w:pPr>
        <w:pStyle w:val="mpcbullets1"/>
        <w:keepNext/>
        <w:numPr>
          <w:ilvl w:val="0"/>
          <w:numId w:val="0"/>
        </w:numPr>
      </w:pPr>
    </w:p>
    <w:p w14:paraId="7C778201" w14:textId="4ADAF5B1" w:rsidR="003F661D" w:rsidRPr="003D65BF" w:rsidRDefault="00865C69" w:rsidP="00992B01">
      <w:pPr>
        <w:pStyle w:val="mpcbullets1"/>
        <w:keepNext/>
        <w:numPr>
          <w:ilvl w:val="0"/>
          <w:numId w:val="0"/>
        </w:numPr>
      </w:pPr>
      <w:r>
        <w:rPr>
          <w:rFonts w:cstheme="minorHAnsi"/>
        </w:rPr>
        <w:t>M</w:t>
      </w:r>
      <w:r w:rsidR="003F661D" w:rsidRPr="003D65BF">
        <w:rPr>
          <w:rFonts w:cstheme="minorHAnsi"/>
        </w:rPr>
        <w:t>onitoring shows that:</w:t>
      </w:r>
    </w:p>
    <w:p w14:paraId="535FA363" w14:textId="77777777" w:rsidR="003F661D" w:rsidRPr="003D65BF" w:rsidRDefault="003F661D" w:rsidP="003F661D">
      <w:pPr>
        <w:pStyle w:val="mpcbullets1"/>
        <w:numPr>
          <w:ilvl w:val="0"/>
          <w:numId w:val="0"/>
        </w:numPr>
        <w:contextualSpacing/>
        <w:rPr>
          <w:rFonts w:cstheme="minorHAnsi"/>
        </w:rPr>
      </w:pPr>
    </w:p>
    <w:p w14:paraId="4A3F644C" w14:textId="4D106F4D" w:rsidR="003F661D" w:rsidRPr="003D65BF" w:rsidRDefault="003F661D" w:rsidP="0024269C">
      <w:pPr>
        <w:pStyle w:val="mpcbullets1"/>
      </w:pPr>
      <w:r w:rsidRPr="003D65BF">
        <w:t xml:space="preserve">uptake of the HSR </w:t>
      </w:r>
      <w:r w:rsidR="00926B08" w:rsidRPr="003D65BF">
        <w:t>System</w:t>
      </w:r>
      <w:r w:rsidRPr="003D65BF">
        <w:t xml:space="preserve"> continues to increase, with the HSR </w:t>
      </w:r>
      <w:r w:rsidR="00246A9B">
        <w:t xml:space="preserve">having been </w:t>
      </w:r>
      <w:r w:rsidRPr="003D65BF">
        <w:t>displayed on 10,333 products in Australia</w:t>
      </w:r>
      <w:r w:rsidR="005D1C57">
        <w:t xml:space="preserve"> </w:t>
      </w:r>
      <w:r w:rsidRPr="003D65BF">
        <w:t xml:space="preserve">and </w:t>
      </w:r>
      <w:r w:rsidR="00193B68">
        <w:t>over 4,000</w:t>
      </w:r>
      <w:r w:rsidRPr="003D65BF">
        <w:t xml:space="preserve"> products in New Zealand</w:t>
      </w:r>
      <w:r w:rsidR="00246A9B">
        <w:t xml:space="preserve"> since inception</w:t>
      </w:r>
      <w:r w:rsidRPr="003D65BF">
        <w:t>. Uptake is highest in cereals, convenience foods, packaged fruit</w:t>
      </w:r>
      <w:r w:rsidR="003A6F52">
        <w:t>s</w:t>
      </w:r>
      <w:r w:rsidRPr="003D65BF">
        <w:t xml:space="preserve"> and vegetables, sauces an</w:t>
      </w:r>
      <w:r w:rsidR="00227CF0">
        <w:t>d spreads, confectionery, sugar-</w:t>
      </w:r>
      <w:r w:rsidRPr="003D65BF">
        <w:t>sweetened beverages, cakes, muffins and bakery products.</w:t>
      </w:r>
      <w:r w:rsidR="005D1C57" w:rsidRPr="005D1C57">
        <w:rPr>
          <w:rStyle w:val="FootnoteReference"/>
          <w:rFonts w:cstheme="minorHAnsi"/>
        </w:rPr>
        <w:t xml:space="preserve"> </w:t>
      </w:r>
      <w:r w:rsidR="005D1C57" w:rsidRPr="003D65BF">
        <w:rPr>
          <w:rStyle w:val="FootnoteReference"/>
          <w:rFonts w:cstheme="minorHAnsi"/>
        </w:rPr>
        <w:footnoteReference w:id="6"/>
      </w:r>
      <w:r w:rsidR="005D1C57">
        <w:t xml:space="preserve"> </w:t>
      </w:r>
      <w:r w:rsidR="005D1C57" w:rsidRPr="003D65BF">
        <w:rPr>
          <w:rStyle w:val="FootnoteReference"/>
          <w:rFonts w:cstheme="minorHAnsi"/>
        </w:rPr>
        <w:footnoteReference w:id="7"/>
      </w:r>
      <w:r w:rsidR="005D1C57">
        <w:t xml:space="preserve"> The official monitoring of the HSR System does not currently provide the proportion of eligible products displaying the HSR or the yearly totals.</w:t>
      </w:r>
    </w:p>
    <w:p w14:paraId="7C206BDB" w14:textId="77777777" w:rsidR="003F661D" w:rsidRPr="003D65BF" w:rsidRDefault="003F661D" w:rsidP="003F661D">
      <w:pPr>
        <w:pStyle w:val="mpcbullets1"/>
        <w:numPr>
          <w:ilvl w:val="0"/>
          <w:numId w:val="0"/>
        </w:numPr>
        <w:contextualSpacing/>
        <w:rPr>
          <w:rFonts w:cstheme="minorHAnsi"/>
        </w:rPr>
      </w:pPr>
    </w:p>
    <w:p w14:paraId="7E038024" w14:textId="5ED904C3" w:rsidR="003F661D" w:rsidRPr="0024269C" w:rsidRDefault="00246A9B" w:rsidP="0024269C">
      <w:pPr>
        <w:pStyle w:val="mpcbullets2"/>
      </w:pPr>
      <w:r w:rsidRPr="0024269C">
        <w:t>Using a different methodology, a</w:t>
      </w:r>
      <w:r w:rsidR="003F661D" w:rsidRPr="0024269C">
        <w:t xml:space="preserve"> study published in July 2018</w:t>
      </w:r>
      <w:r w:rsidR="003F661D" w:rsidRPr="0024269C">
        <w:rPr>
          <w:vertAlign w:val="superscript"/>
        </w:rPr>
        <w:footnoteReference w:id="8"/>
      </w:r>
      <w:r w:rsidR="003F661D" w:rsidRPr="0024269C">
        <w:t xml:space="preserve"> found that uptake of the HSR </w:t>
      </w:r>
      <w:r w:rsidR="00926B08" w:rsidRPr="0024269C">
        <w:t>System</w:t>
      </w:r>
      <w:r w:rsidR="003F661D" w:rsidRPr="0024269C">
        <w:t xml:space="preserve"> is increasing</w:t>
      </w:r>
      <w:r w:rsidRPr="0024269C">
        <w:t xml:space="preserve"> in Australia</w:t>
      </w:r>
      <w:r w:rsidR="003F661D" w:rsidRPr="0024269C">
        <w:t>, with</w:t>
      </w:r>
      <w:r w:rsidR="000C24FC" w:rsidRPr="0024269C">
        <w:t xml:space="preserve"> </w:t>
      </w:r>
      <w:r w:rsidRPr="0024269C">
        <w:t>a</w:t>
      </w:r>
      <w:r w:rsidR="001D5FC5" w:rsidRPr="0024269C">
        <w:t xml:space="preserve"> total of 7,922 products display</w:t>
      </w:r>
      <w:r w:rsidRPr="0024269C">
        <w:t>ing</w:t>
      </w:r>
      <w:r w:rsidR="001D5FC5" w:rsidRPr="0024269C">
        <w:t xml:space="preserve"> the HSR between 30 June 2014 and 30 June 2018</w:t>
      </w:r>
      <w:r w:rsidRPr="0024269C">
        <w:t>. In 2017 alone, 4,348 out of 15,767 eligible products (28%) displayed the HSR</w:t>
      </w:r>
      <w:r w:rsidR="001D5FC5" w:rsidRPr="0024269C">
        <w:t xml:space="preserve">. </w:t>
      </w:r>
      <w:r w:rsidR="003F661D" w:rsidRPr="0024269C">
        <w:t>The study found that uptake of the HSR was highest on convenien</w:t>
      </w:r>
      <w:r w:rsidR="000C24FC" w:rsidRPr="0024269C">
        <w:t>ce foods (44%), cereals (36.7%)</w:t>
      </w:r>
      <w:r w:rsidR="003F661D" w:rsidRPr="0024269C">
        <w:t xml:space="preserve"> and fruit</w:t>
      </w:r>
      <w:r w:rsidR="003A6F52" w:rsidRPr="0024269C">
        <w:t>s</w:t>
      </w:r>
      <w:r w:rsidR="003F661D" w:rsidRPr="0024269C">
        <w:t xml:space="preserve"> and vegetable products (35.9%)</w:t>
      </w:r>
      <w:r w:rsidR="00227CF0" w:rsidRPr="0024269C">
        <w:t>,</w:t>
      </w:r>
      <w:r w:rsidR="003F661D" w:rsidRPr="0024269C">
        <w:t xml:space="preserve"> and that 118 manufacturers were using the HSR </w:t>
      </w:r>
      <w:r w:rsidR="00926B08" w:rsidRPr="0024269C">
        <w:t>System</w:t>
      </w:r>
      <w:r w:rsidR="000C24FC" w:rsidRPr="0024269C">
        <w:t xml:space="preserve"> in Australia</w:t>
      </w:r>
      <w:r w:rsidR="003F661D" w:rsidRPr="0024269C">
        <w:t>.</w:t>
      </w:r>
    </w:p>
    <w:p w14:paraId="6086A4E9" w14:textId="77777777" w:rsidR="00DA3342" w:rsidRPr="003D65BF" w:rsidRDefault="00DA3342" w:rsidP="0024269C"/>
    <w:p w14:paraId="59FA88ED" w14:textId="504C1C37" w:rsidR="00DA3342" w:rsidRPr="003D65BF" w:rsidRDefault="00DA3342" w:rsidP="0024269C">
      <w:pPr>
        <w:pStyle w:val="mpcbullets1"/>
        <w:rPr>
          <w:b/>
          <w:i/>
        </w:rPr>
      </w:pPr>
      <w:r w:rsidRPr="003D65BF">
        <w:t>t</w:t>
      </w:r>
      <w:r w:rsidR="003F661D" w:rsidRPr="003D65BF">
        <w:t>he HSR</w:t>
      </w:r>
      <w:r w:rsidR="000C24FC">
        <w:t xml:space="preserve"> System </w:t>
      </w:r>
      <w:r w:rsidR="003F661D" w:rsidRPr="003D65BF">
        <w:t xml:space="preserve">is becoming increasingly recognised and used by consumers, with most respondents in Australia believing the HSR </w:t>
      </w:r>
      <w:r w:rsidR="00926B08" w:rsidRPr="003D65BF">
        <w:t>System</w:t>
      </w:r>
      <w:r w:rsidR="003F661D" w:rsidRPr="003D65BF">
        <w:t xml:space="preserve"> </w:t>
      </w:r>
      <w:r w:rsidR="00BE3B91">
        <w:t xml:space="preserve">is </w:t>
      </w:r>
      <w:r w:rsidR="003F661D" w:rsidRPr="003D65BF">
        <w:t>easy to use (76%), understand (76%) and makes choosing foods easier (63%).</w:t>
      </w:r>
      <w:r w:rsidRPr="003D65BF">
        <w:t xml:space="preserve"> </w:t>
      </w:r>
      <w:r w:rsidR="003F661D" w:rsidRPr="003D65BF">
        <w:t xml:space="preserve">In New Zealand, </w:t>
      </w:r>
      <w:r w:rsidR="00865C69">
        <w:t>76</w:t>
      </w:r>
      <w:r w:rsidR="003F661D" w:rsidRPr="003D65BF">
        <w:t xml:space="preserve">% of respondents were aware of the HSR </w:t>
      </w:r>
      <w:r w:rsidR="00926B08" w:rsidRPr="003D65BF">
        <w:t>System</w:t>
      </w:r>
      <w:r w:rsidR="003F661D" w:rsidRPr="003D65BF">
        <w:t xml:space="preserve"> when prompted, 49% understood how to use the HSR </w:t>
      </w:r>
      <w:r w:rsidR="00926B08" w:rsidRPr="003D65BF">
        <w:t>System</w:t>
      </w:r>
      <w:r w:rsidR="003F661D" w:rsidRPr="003D65BF">
        <w:t xml:space="preserve"> and 5</w:t>
      </w:r>
      <w:r w:rsidR="00865C69">
        <w:t>9</w:t>
      </w:r>
      <w:r w:rsidR="003F661D" w:rsidRPr="003D65BF">
        <w:t xml:space="preserve">% of those who had used the HSR </w:t>
      </w:r>
      <w:r w:rsidR="00926B08" w:rsidRPr="003D65BF">
        <w:t>System</w:t>
      </w:r>
      <w:r w:rsidR="003F661D" w:rsidRPr="003D65BF">
        <w:t xml:space="preserve"> were influenced to buy a product they would not normally</w:t>
      </w:r>
      <w:r w:rsidR="00C63021">
        <w:t xml:space="preserve"> purchase</w:t>
      </w:r>
      <w:r w:rsidR="003F661D" w:rsidRPr="003D65BF">
        <w:t>.</w:t>
      </w:r>
      <w:r w:rsidR="00813BC9" w:rsidRPr="003D65BF">
        <w:rPr>
          <w:rStyle w:val="FootnoteReference"/>
          <w:rFonts w:cstheme="minorHAnsi"/>
        </w:rPr>
        <w:footnoteReference w:id="9"/>
      </w:r>
    </w:p>
    <w:p w14:paraId="7B63BF57" w14:textId="77777777" w:rsidR="00DA3342" w:rsidRPr="003D65BF" w:rsidRDefault="00DA3342" w:rsidP="0024269C">
      <w:pPr>
        <w:pStyle w:val="mpcbullets1"/>
        <w:numPr>
          <w:ilvl w:val="0"/>
          <w:numId w:val="0"/>
        </w:numPr>
        <w:ind w:left="360"/>
      </w:pPr>
    </w:p>
    <w:p w14:paraId="064D50B4" w14:textId="155A27A5" w:rsidR="003F661D" w:rsidRPr="003D65BF" w:rsidRDefault="00DA3342" w:rsidP="0024269C">
      <w:pPr>
        <w:pStyle w:val="mpcbullets1"/>
      </w:pPr>
      <w:r w:rsidRPr="003D65BF">
        <w:t>There is a reasonable level of c</w:t>
      </w:r>
      <w:r w:rsidR="003F661D" w:rsidRPr="003D65BF">
        <w:t xml:space="preserve">onfidence in the HSR </w:t>
      </w:r>
      <w:r w:rsidR="00926B08" w:rsidRPr="003D65BF">
        <w:t>System</w:t>
      </w:r>
      <w:r w:rsidR="00227CF0">
        <w:t>,</w:t>
      </w:r>
      <w:r w:rsidR="003F661D" w:rsidRPr="003D65BF">
        <w:t xml:space="preserve"> with most </w:t>
      </w:r>
      <w:r w:rsidRPr="003D65BF">
        <w:t xml:space="preserve">Australian </w:t>
      </w:r>
      <w:r w:rsidR="003F661D" w:rsidRPr="003D65BF">
        <w:t xml:space="preserve">respondents believing the HSR </w:t>
      </w:r>
      <w:r w:rsidR="00926B08" w:rsidRPr="003D65BF">
        <w:t>System</w:t>
      </w:r>
      <w:r w:rsidR="003F661D" w:rsidRPr="003D65BF">
        <w:t xml:space="preserve"> is credible (63%), reliable (61%), trustworthy (59%) and open and transparent (58%).</w:t>
      </w:r>
      <w:r w:rsidR="00460E06" w:rsidRPr="003D65BF">
        <w:rPr>
          <w:rStyle w:val="FootnoteReference"/>
          <w:rFonts w:cstheme="minorHAnsi"/>
        </w:rPr>
        <w:footnoteReference w:id="10"/>
      </w:r>
      <w:r w:rsidRPr="003D65BF">
        <w:t xml:space="preserve"> </w:t>
      </w:r>
      <w:r w:rsidR="003F661D" w:rsidRPr="003D65BF">
        <w:t>In New Zealand, 4</w:t>
      </w:r>
      <w:r w:rsidR="00460E06">
        <w:t>7</w:t>
      </w:r>
      <w:r w:rsidR="003F661D" w:rsidRPr="003D65BF">
        <w:t xml:space="preserve">% of respondents felt confident to use the HSR </w:t>
      </w:r>
      <w:r w:rsidR="00926B08" w:rsidRPr="003D65BF">
        <w:t>System</w:t>
      </w:r>
      <w:r w:rsidR="003F661D" w:rsidRPr="003D65BF">
        <w:t xml:space="preserve"> to choose packaged foods, </w:t>
      </w:r>
      <w:r w:rsidR="00460E06">
        <w:t>40</w:t>
      </w:r>
      <w:r w:rsidR="003F661D" w:rsidRPr="003D65BF">
        <w:t xml:space="preserve">% said they trust the HSR </w:t>
      </w:r>
      <w:r w:rsidR="00926B08" w:rsidRPr="003D65BF">
        <w:t>System</w:t>
      </w:r>
      <w:r w:rsidR="003F661D" w:rsidRPr="003D65BF">
        <w:t xml:space="preserve"> and </w:t>
      </w:r>
      <w:r w:rsidR="00460E06">
        <w:t>59</w:t>
      </w:r>
      <w:r w:rsidR="003F661D" w:rsidRPr="003D65BF">
        <w:t xml:space="preserve">% agree the HSR </w:t>
      </w:r>
      <w:r w:rsidR="00926B08" w:rsidRPr="003D65BF">
        <w:t>System</w:t>
      </w:r>
      <w:r w:rsidR="003F661D" w:rsidRPr="003D65BF">
        <w:t xml:space="preserve"> can help them make food shopping decisions for them and their families.</w:t>
      </w:r>
      <w:r w:rsidR="00460E06" w:rsidRPr="003D65BF">
        <w:rPr>
          <w:rStyle w:val="FootnoteReference"/>
          <w:rFonts w:cstheme="minorHAnsi"/>
        </w:rPr>
        <w:footnoteReference w:id="11"/>
      </w:r>
    </w:p>
    <w:p w14:paraId="59EB2270" w14:textId="62BE4C45" w:rsidR="003F661D" w:rsidRPr="003D65BF" w:rsidRDefault="003F661D" w:rsidP="0024269C">
      <w:pPr>
        <w:pStyle w:val="mpcbullets1"/>
        <w:numPr>
          <w:ilvl w:val="0"/>
          <w:numId w:val="0"/>
        </w:numPr>
        <w:ind w:left="360"/>
      </w:pPr>
    </w:p>
    <w:p w14:paraId="512CAE30" w14:textId="3EAFA588" w:rsidR="00BE3B91" w:rsidRDefault="00A06F2E" w:rsidP="0024269C">
      <w:pPr>
        <w:pStyle w:val="mpcbullets1"/>
      </w:pPr>
      <w:r w:rsidRPr="00036E01">
        <w:t>For companies displaying the HSR, compliance</w:t>
      </w:r>
      <w:r w:rsidR="009D397F">
        <w:t xml:space="preserve"> in calculating the HSR</w:t>
      </w:r>
      <w:r w:rsidRPr="00036E01">
        <w:t xml:space="preserve"> is high. </w:t>
      </w:r>
      <w:r w:rsidR="00BE3B91" w:rsidRPr="00036E01">
        <w:t xml:space="preserve">In Australia, at the end of </w:t>
      </w:r>
      <w:r w:rsidR="00FE3CA8">
        <w:t>June 2016</w:t>
      </w:r>
      <w:r w:rsidR="00BE3B91" w:rsidRPr="00036E01">
        <w:t xml:space="preserve"> for individual products with complete data available, </w:t>
      </w:r>
      <w:r w:rsidR="00BC0AA2">
        <w:t>97</w:t>
      </w:r>
      <w:r w:rsidR="00BE3B91" w:rsidRPr="00036E01">
        <w:t>% were displaying the correct HSR (</w:t>
      </w:r>
      <w:r w:rsidR="00FE3CA8">
        <w:t>1,755 of 1,804</w:t>
      </w:r>
      <w:r w:rsidR="00BE3B91" w:rsidRPr="00036E01">
        <w:t xml:space="preserve"> products sampled)</w:t>
      </w:r>
      <w:r w:rsidR="00036E01" w:rsidRPr="00036E01">
        <w:t>.</w:t>
      </w:r>
      <w:r w:rsidR="003211BA">
        <w:t xml:space="preserve"> Of th</w:t>
      </w:r>
      <w:r w:rsidR="00FE3CA8">
        <w:t>e 49 products for which the HSR displayed did not match the calculated HSR</w:t>
      </w:r>
      <w:r w:rsidR="003211BA">
        <w:t xml:space="preserve">, </w:t>
      </w:r>
      <w:r w:rsidR="00FE3CA8">
        <w:t>30</w:t>
      </w:r>
      <w:r w:rsidR="003211BA">
        <w:t xml:space="preserve"> had understated the HSR and 1</w:t>
      </w:r>
      <w:r w:rsidR="00FE3CA8">
        <w:t>9</w:t>
      </w:r>
      <w:r w:rsidR="003211BA">
        <w:t xml:space="preserve"> had overstated the HSR.</w:t>
      </w:r>
      <w:r w:rsidR="00BC0AA2" w:rsidRPr="00BE3B91">
        <w:rPr>
          <w:vertAlign w:val="superscript"/>
        </w:rPr>
        <w:footnoteReference w:id="12"/>
      </w:r>
    </w:p>
    <w:p w14:paraId="20373214" w14:textId="77777777" w:rsidR="00A06F2E" w:rsidRPr="003D65BF" w:rsidRDefault="00A06F2E" w:rsidP="003F661D">
      <w:pPr>
        <w:pStyle w:val="mpcbullets1"/>
        <w:numPr>
          <w:ilvl w:val="0"/>
          <w:numId w:val="0"/>
        </w:numPr>
        <w:contextualSpacing/>
        <w:rPr>
          <w:rFonts w:cstheme="minorHAnsi"/>
        </w:rPr>
      </w:pPr>
    </w:p>
    <w:p w14:paraId="1C6C4BA0" w14:textId="11A067A5" w:rsidR="00A06F2E" w:rsidRPr="0024269C" w:rsidRDefault="00A06F2E" w:rsidP="0024269C">
      <w:pPr>
        <w:pStyle w:val="mpcNormal"/>
      </w:pPr>
      <w:r w:rsidRPr="0024269C">
        <w:t>In addition, feedback from industry indicat</w:t>
      </w:r>
      <w:r w:rsidR="00896167" w:rsidRPr="0024269C">
        <w:t>e</w:t>
      </w:r>
      <w:r w:rsidRPr="0024269C">
        <w:t>s the</w:t>
      </w:r>
      <w:r w:rsidR="00896167" w:rsidRPr="0024269C">
        <w:t xml:space="preserve"> </w:t>
      </w:r>
      <w:r w:rsidR="00383319" w:rsidRPr="0024269C">
        <w:t xml:space="preserve">HSR </w:t>
      </w:r>
      <w:r w:rsidR="00926B08" w:rsidRPr="0024269C">
        <w:t>System</w:t>
      </w:r>
      <w:r w:rsidR="003F661D" w:rsidRPr="0024269C">
        <w:t xml:space="preserve"> is encouraging manufacturers to reformulate </w:t>
      </w:r>
      <w:r w:rsidR="00036E01" w:rsidRPr="0024269C">
        <w:t>to</w:t>
      </w:r>
      <w:r w:rsidR="003F661D" w:rsidRPr="0024269C">
        <w:t xml:space="preserve"> reduc</w:t>
      </w:r>
      <w:r w:rsidR="00036E01" w:rsidRPr="0024269C">
        <w:t>e</w:t>
      </w:r>
      <w:r w:rsidR="003F661D" w:rsidRPr="0024269C">
        <w:t xml:space="preserve"> sodium, sugars and</w:t>
      </w:r>
      <w:r w:rsidR="00036E01" w:rsidRPr="0024269C">
        <w:t>/or</w:t>
      </w:r>
      <w:r w:rsidR="003F661D" w:rsidRPr="0024269C">
        <w:t xml:space="preserve"> saturated fat</w:t>
      </w:r>
      <w:r w:rsidR="003F0285" w:rsidRPr="0024269C">
        <w:t>s</w:t>
      </w:r>
      <w:r w:rsidR="003F661D" w:rsidRPr="0024269C">
        <w:t xml:space="preserve"> and, in some cases, increas</w:t>
      </w:r>
      <w:r w:rsidR="003F0285" w:rsidRPr="0024269C">
        <w:t>e</w:t>
      </w:r>
      <w:r w:rsidR="003F661D" w:rsidRPr="0024269C">
        <w:t xml:space="preserve"> the content of ingredients with nutritional benefits such as </w:t>
      </w:r>
      <w:r w:rsidR="003F0285" w:rsidRPr="0024269C">
        <w:t xml:space="preserve">dietary </w:t>
      </w:r>
      <w:r w:rsidR="003F661D" w:rsidRPr="0024269C">
        <w:t>fibre</w:t>
      </w:r>
      <w:r w:rsidR="00036E01" w:rsidRPr="0024269C">
        <w:t xml:space="preserve"> to increase the product’s HSR</w:t>
      </w:r>
      <w:r w:rsidR="003F661D" w:rsidRPr="0024269C">
        <w:t xml:space="preserve">. </w:t>
      </w:r>
      <w:r w:rsidRPr="0024269C">
        <w:t>This feedback is consistent with</w:t>
      </w:r>
      <w:r w:rsidR="005D638C" w:rsidRPr="0024269C">
        <w:t>:</w:t>
      </w:r>
      <w:r w:rsidRPr="0024269C">
        <w:t xml:space="preserve"> </w:t>
      </w:r>
    </w:p>
    <w:p w14:paraId="275EAA02" w14:textId="77777777" w:rsidR="00A06F2E" w:rsidRPr="003D65BF" w:rsidRDefault="00A06F2E" w:rsidP="003F661D">
      <w:pPr>
        <w:pStyle w:val="mpcbullets1"/>
        <w:numPr>
          <w:ilvl w:val="0"/>
          <w:numId w:val="0"/>
        </w:numPr>
        <w:contextualSpacing/>
        <w:rPr>
          <w:rFonts w:cstheme="minorHAnsi"/>
        </w:rPr>
      </w:pPr>
    </w:p>
    <w:p w14:paraId="5E55EB2A" w14:textId="355D9A28" w:rsidR="003F661D" w:rsidRPr="0024269C" w:rsidRDefault="00896167" w:rsidP="0024269C">
      <w:pPr>
        <w:pStyle w:val="mpcbullets1"/>
      </w:pPr>
      <w:r w:rsidRPr="0024269C">
        <w:lastRenderedPageBreak/>
        <w:t>an Australian</w:t>
      </w:r>
      <w:r w:rsidR="00A06F2E" w:rsidRPr="0024269C">
        <w:t xml:space="preserve"> </w:t>
      </w:r>
      <w:r w:rsidR="003F661D" w:rsidRPr="0024269C">
        <w:t>study published in May 2018</w:t>
      </w:r>
      <w:r w:rsidR="003F661D" w:rsidRPr="0024269C">
        <w:rPr>
          <w:vertAlign w:val="superscript"/>
        </w:rPr>
        <w:footnoteReference w:id="13"/>
      </w:r>
      <w:r w:rsidR="003F661D" w:rsidRPr="0024269C">
        <w:t xml:space="preserve"> </w:t>
      </w:r>
      <w:r w:rsidR="00383319" w:rsidRPr="0024269C">
        <w:t xml:space="preserve">that </w:t>
      </w:r>
      <w:r w:rsidR="003F661D" w:rsidRPr="0024269C">
        <w:t>analysed the change in composition for products displaying HSR from 2013-2016. It found the average energy density of products di</w:t>
      </w:r>
      <w:r w:rsidR="00036E01" w:rsidRPr="0024269C">
        <w:t xml:space="preserve">splaying the HSR was lower post </w:t>
      </w:r>
      <w:r w:rsidR="003F661D" w:rsidRPr="0024269C">
        <w:t xml:space="preserve">implementation of the HSR </w:t>
      </w:r>
      <w:r w:rsidR="00926B08" w:rsidRPr="0024269C">
        <w:t>System</w:t>
      </w:r>
      <w:r w:rsidR="003F661D" w:rsidRPr="0024269C">
        <w:t xml:space="preserve">. Products that did not display the HSR showed </w:t>
      </w:r>
      <w:r w:rsidR="00383319" w:rsidRPr="0024269C">
        <w:t>less reduction (or even some</w:t>
      </w:r>
      <w:r w:rsidR="003F661D" w:rsidRPr="0024269C">
        <w:t xml:space="preserve"> increases</w:t>
      </w:r>
      <w:r w:rsidR="00383319" w:rsidRPr="0024269C">
        <w:t>)</w:t>
      </w:r>
      <w:r w:rsidR="003F661D" w:rsidRPr="0024269C">
        <w:t xml:space="preserve"> in energy density. Findings suggested the HSR </w:t>
      </w:r>
      <w:r w:rsidR="00926B08" w:rsidRPr="0024269C">
        <w:t>System</w:t>
      </w:r>
      <w:r w:rsidR="003F661D" w:rsidRPr="0024269C">
        <w:t>’s impact on product reformulation has the potential to generate increasing health benefits and red</w:t>
      </w:r>
      <w:r w:rsidR="00A06F2E" w:rsidRPr="0024269C">
        <w:t>uce mean population body weight</w:t>
      </w:r>
    </w:p>
    <w:p w14:paraId="212B8A18" w14:textId="77777777" w:rsidR="003F661D" w:rsidRPr="0024269C" w:rsidRDefault="003F661D" w:rsidP="0024269C">
      <w:pPr>
        <w:pStyle w:val="mpcbullets1"/>
        <w:numPr>
          <w:ilvl w:val="0"/>
          <w:numId w:val="0"/>
        </w:numPr>
        <w:ind w:left="360"/>
      </w:pPr>
    </w:p>
    <w:p w14:paraId="1E5D7A69" w14:textId="6428F8F1" w:rsidR="003F661D" w:rsidRPr="0024269C" w:rsidRDefault="00A06F2E" w:rsidP="0024269C">
      <w:pPr>
        <w:pStyle w:val="mpcbullets1"/>
      </w:pPr>
      <w:r w:rsidRPr="0024269C">
        <w:t>a</w:t>
      </w:r>
      <w:r w:rsidR="003F661D" w:rsidRPr="0024269C">
        <w:t xml:space="preserve"> </w:t>
      </w:r>
      <w:r w:rsidR="00896167" w:rsidRPr="0024269C">
        <w:t xml:space="preserve">New Zealand </w:t>
      </w:r>
      <w:r w:rsidR="003F661D" w:rsidRPr="0024269C">
        <w:t>study published in August 2017</w:t>
      </w:r>
      <w:r w:rsidR="003F661D" w:rsidRPr="0024269C">
        <w:rPr>
          <w:rStyle w:val="FootnoteReference"/>
          <w:sz w:val="22"/>
        </w:rPr>
        <w:footnoteReference w:id="14"/>
      </w:r>
      <w:r w:rsidR="003F661D" w:rsidRPr="0024269C">
        <w:rPr>
          <w:vertAlign w:val="superscript"/>
        </w:rPr>
        <w:t xml:space="preserve"> </w:t>
      </w:r>
      <w:r w:rsidR="003F661D" w:rsidRPr="0024269C">
        <w:t>showed that products displaying the HSR had significantly lower mean satura</w:t>
      </w:r>
      <w:r w:rsidR="00436E5E" w:rsidRPr="0024269C">
        <w:t>ted fat, total sugar and sodium,</w:t>
      </w:r>
      <w:r w:rsidR="003F661D" w:rsidRPr="0024269C">
        <w:t xml:space="preserve"> and higher fibre content</w:t>
      </w:r>
      <w:r w:rsidR="00853D17" w:rsidRPr="0024269C">
        <w:t>,</w:t>
      </w:r>
      <w:r w:rsidR="003F661D" w:rsidRPr="0024269C">
        <w:t xml:space="preserve"> than </w:t>
      </w:r>
      <w:r w:rsidR="00436E5E" w:rsidRPr="0024269C">
        <w:t xml:space="preserve">products not displaying the </w:t>
      </w:r>
      <w:r w:rsidR="003F661D" w:rsidRPr="0024269C">
        <w:t xml:space="preserve">HSR. Small but statistically significant changes were observed in mean energy density, sodium and fibre contents of products displaying the HSR compared with their composition prior to </w:t>
      </w:r>
      <w:r w:rsidR="00436E5E" w:rsidRPr="0024269C">
        <w:t xml:space="preserve">their </w:t>
      </w:r>
      <w:r w:rsidR="003F661D" w:rsidRPr="0024269C">
        <w:t>adoption of</w:t>
      </w:r>
      <w:r w:rsidR="00436E5E" w:rsidRPr="0024269C">
        <w:t xml:space="preserve"> the</w:t>
      </w:r>
      <w:r w:rsidR="003F661D" w:rsidRPr="0024269C">
        <w:t xml:space="preserve"> HSR. Reformulation of products displaying the HSR was greater than that of products that did not display the HSR over the same period. It was concluded that the roll-out of the HSR </w:t>
      </w:r>
      <w:r w:rsidR="00926B08" w:rsidRPr="0024269C">
        <w:t>System</w:t>
      </w:r>
      <w:r w:rsidR="003F661D" w:rsidRPr="0024269C">
        <w:t xml:space="preserve"> is driving healthier reformulation of some products.</w:t>
      </w:r>
    </w:p>
    <w:p w14:paraId="2A3DEC05" w14:textId="77777777" w:rsidR="008E7B0B" w:rsidRDefault="008E7B0B" w:rsidP="0024269C">
      <w:pPr>
        <w:pStyle w:val="ListParagraph"/>
      </w:pPr>
    </w:p>
    <w:p w14:paraId="249432D1" w14:textId="3EED26F4" w:rsidR="008E7B0B" w:rsidRDefault="008E7B0B" w:rsidP="0024269C">
      <w:pPr>
        <w:pStyle w:val="mpcheading2"/>
      </w:pPr>
      <w:bookmarkStart w:id="23" w:name="AlignmentwithDG"/>
      <w:bookmarkStart w:id="24" w:name="_Toc527112891"/>
      <w:bookmarkEnd w:id="23"/>
      <w:r w:rsidRPr="0024269C">
        <w:t>Alignment</w:t>
      </w:r>
      <w:r>
        <w:t xml:space="preserve"> with Dietary Guidelines</w:t>
      </w:r>
      <w:bookmarkEnd w:id="24"/>
    </w:p>
    <w:p w14:paraId="30E483A2" w14:textId="48DE8AC7" w:rsidR="003F661D" w:rsidRPr="00AB3873" w:rsidRDefault="003F661D" w:rsidP="008E7B0B">
      <w:pPr>
        <w:pStyle w:val="mpcbullets1"/>
        <w:numPr>
          <w:ilvl w:val="0"/>
          <w:numId w:val="0"/>
        </w:numPr>
        <w:contextualSpacing/>
        <w:rPr>
          <w:rFonts w:cstheme="minorHAnsi"/>
        </w:rPr>
      </w:pPr>
    </w:p>
    <w:p w14:paraId="4A72B942" w14:textId="69A72F58" w:rsidR="001248FC" w:rsidRDefault="003C3082" w:rsidP="0024269C">
      <w:pPr>
        <w:pStyle w:val="mpcNormal"/>
      </w:pPr>
      <w:r>
        <w:t>Dietary</w:t>
      </w:r>
      <w:r w:rsidRPr="003C3082">
        <w:t xml:space="preserve"> Guidelines aim to promote the benefits of healthy eating, not only to reduce the risk of diet-related disease but also to improve community health and wellbeing. </w:t>
      </w:r>
      <w:r>
        <w:t xml:space="preserve">Dietary Guidelines </w:t>
      </w:r>
      <w:r w:rsidR="00022671">
        <w:t>provide advice on the types and amounts o</w:t>
      </w:r>
      <w:r w:rsidR="003F0285">
        <w:t>f</w:t>
      </w:r>
      <w:r w:rsidR="00022671">
        <w:t xml:space="preserve"> foods </w:t>
      </w:r>
      <w:r w:rsidR="003F0285">
        <w:t xml:space="preserve">and beverages </w:t>
      </w:r>
      <w:r w:rsidR="00022671">
        <w:t xml:space="preserve">people should </w:t>
      </w:r>
      <w:r w:rsidR="003F0285">
        <w:t>consume</w:t>
      </w:r>
      <w:r w:rsidR="00022671">
        <w:t xml:space="preserve">, with </w:t>
      </w:r>
      <w:r>
        <w:t>recommendations based on whole foods rather than specific food components or nutrients</w:t>
      </w:r>
      <w:r w:rsidR="00A107BB">
        <w:t xml:space="preserve"> (noting however, that they do recommend avoiding foods high in certain nutrients)</w:t>
      </w:r>
      <w:r>
        <w:t xml:space="preserve">. </w:t>
      </w:r>
      <w:r w:rsidR="000C1277">
        <w:t xml:space="preserve">The ADG classify foods as </w:t>
      </w:r>
      <w:r w:rsidR="00853D17">
        <w:t>FFG</w:t>
      </w:r>
      <w:r w:rsidR="002C102D">
        <w:t xml:space="preserve"> </w:t>
      </w:r>
      <w:r w:rsidR="00853D17">
        <w:t>(</w:t>
      </w:r>
      <w:r w:rsidR="003F0285">
        <w:t>foods</w:t>
      </w:r>
      <w:r w:rsidR="002C102D">
        <w:t xml:space="preserve"> </w:t>
      </w:r>
      <w:r w:rsidR="001248FC">
        <w:t>that form the basis of a healthy diet</w:t>
      </w:r>
      <w:r w:rsidR="00853D17">
        <w:t>)</w:t>
      </w:r>
      <w:r w:rsidR="001248FC">
        <w:t xml:space="preserve"> or discretionary </w:t>
      </w:r>
      <w:r w:rsidR="00853D17">
        <w:t>(</w:t>
      </w:r>
      <w:r w:rsidR="003F0285">
        <w:t>foods</w:t>
      </w:r>
      <w:r w:rsidR="002C102D">
        <w:t xml:space="preserve"> </w:t>
      </w:r>
      <w:r w:rsidR="001248FC">
        <w:t>to limit in the diet</w:t>
      </w:r>
      <w:r w:rsidR="00853D17">
        <w:t>)</w:t>
      </w:r>
      <w:r w:rsidR="001248FC">
        <w:t>. W</w:t>
      </w:r>
      <w:r w:rsidR="000C1277">
        <w:t xml:space="preserve">hile the NZEAG do not use these terms, advice </w:t>
      </w:r>
      <w:r w:rsidR="0086348C">
        <w:t xml:space="preserve">is consistent regarding recommendations to limit intake of </w:t>
      </w:r>
      <w:r w:rsidR="00846C75">
        <w:t>foods</w:t>
      </w:r>
      <w:r w:rsidR="0086348C">
        <w:t xml:space="preserve"> high in added sugars, sodium and/or saturated fats. </w:t>
      </w:r>
    </w:p>
    <w:p w14:paraId="02C2CF78" w14:textId="77777777" w:rsidR="001248FC" w:rsidRDefault="001248FC" w:rsidP="0024269C">
      <w:pPr>
        <w:pStyle w:val="mpcNormal"/>
      </w:pPr>
    </w:p>
    <w:p w14:paraId="40C9BDA4" w14:textId="454969C3" w:rsidR="00DF6C4C" w:rsidRPr="003D65BF" w:rsidRDefault="008E7B0B" w:rsidP="0024269C">
      <w:pPr>
        <w:pStyle w:val="mpcNormal"/>
      </w:pPr>
      <w:r w:rsidRPr="003D65BF">
        <w:t>In contrast, the HSR</w:t>
      </w:r>
      <w:r w:rsidR="000C1277">
        <w:t xml:space="preserve"> System uses </w:t>
      </w:r>
      <w:r w:rsidR="005B78B4">
        <w:t>a product’s</w:t>
      </w:r>
      <w:r w:rsidR="000C1277">
        <w:t xml:space="preserve"> </w:t>
      </w:r>
      <w:r w:rsidR="003F0285">
        <w:t>nutritional</w:t>
      </w:r>
      <w:r w:rsidR="000C1277">
        <w:t xml:space="preserve"> composition to </w:t>
      </w:r>
      <w:r w:rsidR="001248FC">
        <w:t xml:space="preserve">provide </w:t>
      </w:r>
      <w:r w:rsidR="005B78B4">
        <w:t>an empirical scale of</w:t>
      </w:r>
      <w:r w:rsidR="001248FC">
        <w:t xml:space="preserve"> </w:t>
      </w:r>
      <w:r w:rsidR="005B78B4">
        <w:t>its</w:t>
      </w:r>
      <w:r w:rsidR="001248FC">
        <w:t xml:space="preserve"> </w:t>
      </w:r>
      <w:r w:rsidR="005B78B4">
        <w:t xml:space="preserve">relative </w:t>
      </w:r>
      <w:r w:rsidR="001248FC">
        <w:t>healthiness</w:t>
      </w:r>
      <w:r w:rsidRPr="003D65BF">
        <w:t xml:space="preserve"> (</w:t>
      </w:r>
      <w:r w:rsidR="005B78B4">
        <w:t xml:space="preserve">rating products at </w:t>
      </w:r>
      <w:r w:rsidRPr="003D65BF">
        <w:t xml:space="preserve">10 intervals between 0.5 and 5 stars). </w:t>
      </w:r>
      <w:r w:rsidR="00853D17">
        <w:t>Given the different focus</w:t>
      </w:r>
      <w:r w:rsidR="00DF6C4C" w:rsidRPr="003D65BF">
        <w:t xml:space="preserve"> of the HSR</w:t>
      </w:r>
      <w:r w:rsidR="005B78B4">
        <w:t xml:space="preserve"> System</w:t>
      </w:r>
      <w:r w:rsidR="00DF6C4C" w:rsidRPr="003D65BF">
        <w:t xml:space="preserve">, it cannot be expected to align entirely with the Dietary Guidelines, nor communicate all of the messages embedded in </w:t>
      </w:r>
      <w:r w:rsidR="005B78B4">
        <w:t>the</w:t>
      </w:r>
      <w:r w:rsidR="00DF6C4C" w:rsidRPr="003D65BF">
        <w:t xml:space="preserve"> Dietary Guidelines </w:t>
      </w:r>
      <w:r w:rsidR="005B78B4">
        <w:t>(</w:t>
      </w:r>
      <w:r w:rsidR="00DF6C4C" w:rsidRPr="003D65BF">
        <w:t xml:space="preserve">including in relation to </w:t>
      </w:r>
      <w:r w:rsidR="00A84EF4">
        <w:t xml:space="preserve">a product’s portion size/quantity or </w:t>
      </w:r>
      <w:r w:rsidR="00337DD9">
        <w:t>a person’s</w:t>
      </w:r>
      <w:r w:rsidR="00337DD9" w:rsidRPr="00337DD9">
        <w:t xml:space="preserve"> </w:t>
      </w:r>
      <w:r w:rsidR="00A84EF4" w:rsidRPr="00337DD9">
        <w:t>whole diet)</w:t>
      </w:r>
      <w:r w:rsidR="00DF6C4C" w:rsidRPr="00337DD9">
        <w:t>.</w:t>
      </w:r>
    </w:p>
    <w:p w14:paraId="611C6368" w14:textId="30C364C9" w:rsidR="00DF6C4C" w:rsidRPr="003D65BF" w:rsidRDefault="00DF6C4C" w:rsidP="0024269C">
      <w:pPr>
        <w:pStyle w:val="mpcNormal"/>
      </w:pPr>
    </w:p>
    <w:p w14:paraId="19E616E3" w14:textId="5992BAC7" w:rsidR="001462E2" w:rsidRDefault="00DF6C4C" w:rsidP="0024269C">
      <w:pPr>
        <w:pStyle w:val="mpcNormal"/>
        <w:rPr>
          <w:rFonts w:ascii="Calibri" w:hAnsi="Calibri"/>
          <w:color w:val="000000"/>
          <w:szCs w:val="22"/>
        </w:rPr>
      </w:pPr>
      <w:r w:rsidRPr="00940C22">
        <w:t xml:space="preserve">However, one way of examining the </w:t>
      </w:r>
      <w:r w:rsidR="00A107BB" w:rsidRPr="00940C22">
        <w:t>alignment of the HSR system with Dietary Guidelines (</w:t>
      </w:r>
      <w:r w:rsidR="00570A58" w:rsidRPr="00940C22">
        <w:t>particularly in the Australian context)</w:t>
      </w:r>
      <w:r w:rsidRPr="00940C22">
        <w:t xml:space="preserve"> is to consider </w:t>
      </w:r>
      <w:r w:rsidR="003F661D" w:rsidRPr="00940C22">
        <w:t>how well it scores products against the AHS Discretionary Foods List.</w:t>
      </w:r>
      <w:r w:rsidR="00940C22">
        <w:t xml:space="preserve"> </w:t>
      </w:r>
      <w:r w:rsidR="00940C22" w:rsidRPr="00940C22">
        <w:t>The Discretionary Foods List was developed by the Australian Bureau of Statistics (ABS) in 2014 for the purpose of the 2011-12 National Nutrition and Physical Activity Survey. It provides a binary system for classifying foods into core (FFG) and discretionary (foods for limited intake) based on the AD</w:t>
      </w:r>
      <w:r w:rsidR="009D2A2D">
        <w:t>G</w:t>
      </w:r>
      <w:r w:rsidR="00940C22" w:rsidRPr="00940C22">
        <w:t xml:space="preserve">. </w:t>
      </w:r>
      <w:r w:rsidR="009D2A2D">
        <w:t xml:space="preserve">While the List has some limitations, it provides a general </w:t>
      </w:r>
      <w:r w:rsidR="00940C22" w:rsidRPr="00940C22">
        <w:t>indication of foods that are FFG or discretionary.</w:t>
      </w:r>
      <w:r w:rsidR="00940C22">
        <w:t xml:space="preserve"> </w:t>
      </w:r>
      <w:r w:rsidR="007A08C8" w:rsidRPr="00887BBC">
        <w:t>A principle in the development of the HSR System was to ensure, where possible, that</w:t>
      </w:r>
      <w:r w:rsidR="003F661D" w:rsidRPr="00887BBC">
        <w:t xml:space="preserve"> </w:t>
      </w:r>
      <w:r w:rsidR="00887BBC">
        <w:t xml:space="preserve">products </w:t>
      </w:r>
      <w:r w:rsidR="00BC04C6">
        <w:t xml:space="preserve">eligible to carry a health claim and </w:t>
      </w:r>
      <w:r w:rsidR="001C4DFB" w:rsidRPr="00887BBC">
        <w:t xml:space="preserve">FFG </w:t>
      </w:r>
      <w:r w:rsidR="003F661D" w:rsidRPr="00887BBC">
        <w:t>products score a</w:t>
      </w:r>
      <w:r w:rsidR="00853D17">
        <w:t>n</w:t>
      </w:r>
      <w:r w:rsidR="003F661D" w:rsidRPr="00887BBC">
        <w:t xml:space="preserve"> HSR </w:t>
      </w:r>
      <w:r w:rsidR="00F148F2" w:rsidRPr="00887BBC">
        <w:rPr>
          <w:rFonts w:ascii="Calibri" w:hAnsi="Calibri"/>
          <w:color w:val="000000"/>
          <w:szCs w:val="22"/>
        </w:rPr>
        <w:t>≥</w:t>
      </w:r>
      <w:r w:rsidR="00E0324C">
        <w:t xml:space="preserve"> 3, while </w:t>
      </w:r>
      <w:r w:rsidR="003F661D" w:rsidRPr="00887BBC">
        <w:t>discretionary products score a</w:t>
      </w:r>
      <w:r w:rsidR="00853D17">
        <w:t>n</w:t>
      </w:r>
      <w:r w:rsidR="003F661D" w:rsidRPr="00887BBC">
        <w:t xml:space="preserve"> HSR </w:t>
      </w:r>
      <w:r w:rsidR="00F148F2" w:rsidRPr="00887BBC">
        <w:t>&lt;</w:t>
      </w:r>
      <w:r w:rsidR="003F661D" w:rsidRPr="00887BBC">
        <w:t xml:space="preserve"> 3.</w:t>
      </w:r>
      <w:r w:rsidR="00E76C03">
        <w:rPr>
          <w:rStyle w:val="FootnoteReference"/>
        </w:rPr>
        <w:footnoteReference w:id="15"/>
      </w:r>
      <w:r w:rsidR="00F148F2" w:rsidRPr="00887BBC">
        <w:t xml:space="preserve"> </w:t>
      </w:r>
      <w:r w:rsidR="00076D31" w:rsidRPr="00337DD9">
        <w:rPr>
          <w:rFonts w:ascii="Calibri" w:hAnsi="Calibri"/>
          <w:color w:val="000000"/>
          <w:szCs w:val="22"/>
        </w:rPr>
        <w:t xml:space="preserve">Recent monitoring </w:t>
      </w:r>
      <w:r w:rsidR="001462E2" w:rsidRPr="00337DD9">
        <w:rPr>
          <w:rFonts w:ascii="Calibri" w:hAnsi="Calibri"/>
          <w:color w:val="000000"/>
          <w:szCs w:val="22"/>
        </w:rPr>
        <w:t xml:space="preserve">data shows that </w:t>
      </w:r>
      <w:r w:rsidR="00484CC0" w:rsidRPr="00337DD9">
        <w:rPr>
          <w:rFonts w:ascii="Calibri" w:hAnsi="Calibri"/>
          <w:color w:val="000000"/>
          <w:szCs w:val="22"/>
        </w:rPr>
        <w:t>95</w:t>
      </w:r>
      <w:r w:rsidR="001462E2" w:rsidRPr="00337DD9">
        <w:rPr>
          <w:rFonts w:ascii="Calibri" w:hAnsi="Calibri"/>
          <w:color w:val="000000"/>
          <w:szCs w:val="22"/>
        </w:rPr>
        <w:t>% of consumers believe a</w:t>
      </w:r>
      <w:r w:rsidR="00853D17" w:rsidRPr="00337DD9">
        <w:rPr>
          <w:rFonts w:ascii="Calibri" w:hAnsi="Calibri"/>
          <w:color w:val="000000"/>
          <w:szCs w:val="22"/>
        </w:rPr>
        <w:t>n</w:t>
      </w:r>
      <w:r w:rsidR="001462E2" w:rsidRPr="00337DD9">
        <w:rPr>
          <w:rFonts w:ascii="Calibri" w:hAnsi="Calibri"/>
          <w:color w:val="000000"/>
          <w:szCs w:val="22"/>
        </w:rPr>
        <w:t xml:space="preserve"> HSR </w:t>
      </w:r>
      <w:r w:rsidR="007A08C8" w:rsidRPr="00337DD9">
        <w:rPr>
          <w:rFonts w:ascii="Calibri" w:hAnsi="Calibri"/>
          <w:color w:val="000000"/>
          <w:szCs w:val="22"/>
        </w:rPr>
        <w:t>≥</w:t>
      </w:r>
      <w:r w:rsidR="00484CC0" w:rsidRPr="00337DD9">
        <w:rPr>
          <w:rFonts w:ascii="Calibri" w:hAnsi="Calibri"/>
          <w:color w:val="000000"/>
          <w:szCs w:val="22"/>
        </w:rPr>
        <w:t xml:space="preserve"> </w:t>
      </w:r>
      <w:r w:rsidR="00853D17" w:rsidRPr="00337DD9">
        <w:rPr>
          <w:rFonts w:ascii="Calibri" w:hAnsi="Calibri"/>
          <w:color w:val="000000"/>
          <w:szCs w:val="22"/>
        </w:rPr>
        <w:t>4</w:t>
      </w:r>
      <w:r w:rsidR="007A08C8" w:rsidRPr="00337DD9">
        <w:rPr>
          <w:rFonts w:ascii="Calibri" w:hAnsi="Calibri"/>
          <w:color w:val="000000"/>
          <w:szCs w:val="22"/>
        </w:rPr>
        <w:t xml:space="preserve"> is ‘</w:t>
      </w:r>
      <w:r w:rsidR="001462E2" w:rsidRPr="00337DD9">
        <w:rPr>
          <w:rFonts w:ascii="Calibri" w:hAnsi="Calibri"/>
          <w:color w:val="000000"/>
          <w:szCs w:val="22"/>
        </w:rPr>
        <w:t>healthy</w:t>
      </w:r>
      <w:r w:rsidR="007A08C8" w:rsidRPr="00337DD9">
        <w:rPr>
          <w:rFonts w:ascii="Calibri" w:hAnsi="Calibri"/>
          <w:color w:val="000000"/>
          <w:szCs w:val="22"/>
        </w:rPr>
        <w:t xml:space="preserve">’, while </w:t>
      </w:r>
      <w:r w:rsidR="00484CC0" w:rsidRPr="00337DD9">
        <w:rPr>
          <w:rFonts w:ascii="Calibri" w:hAnsi="Calibri"/>
          <w:color w:val="000000"/>
          <w:szCs w:val="22"/>
        </w:rPr>
        <w:t>97% of consumers believe a</w:t>
      </w:r>
      <w:r w:rsidR="00853D17" w:rsidRPr="00337DD9">
        <w:rPr>
          <w:rFonts w:ascii="Calibri" w:hAnsi="Calibri"/>
          <w:color w:val="000000"/>
          <w:szCs w:val="22"/>
        </w:rPr>
        <w:t>n</w:t>
      </w:r>
      <w:r w:rsidR="00484CC0" w:rsidRPr="00337DD9">
        <w:rPr>
          <w:rFonts w:ascii="Calibri" w:hAnsi="Calibri"/>
          <w:color w:val="000000"/>
          <w:szCs w:val="22"/>
        </w:rPr>
        <w:t xml:space="preserve"> HSR ≤3.5 is ‘unhealthy’.</w:t>
      </w:r>
      <w:r w:rsidR="00484CC0" w:rsidRPr="00337DD9">
        <w:rPr>
          <w:rStyle w:val="FootnoteReference"/>
          <w:rFonts w:ascii="Calibri" w:hAnsi="Calibri"/>
          <w:color w:val="000000"/>
          <w:szCs w:val="22"/>
        </w:rPr>
        <w:footnoteReference w:id="16"/>
      </w:r>
    </w:p>
    <w:p w14:paraId="4B52C357" w14:textId="77777777" w:rsidR="003F661D" w:rsidRPr="003D65BF" w:rsidRDefault="003F661D" w:rsidP="0024269C">
      <w:pPr>
        <w:pStyle w:val="mpcNormal"/>
      </w:pPr>
    </w:p>
    <w:p w14:paraId="411CC0BD" w14:textId="7E269FEF" w:rsidR="003F661D" w:rsidRPr="003D65BF" w:rsidRDefault="00570A58" w:rsidP="00853D17">
      <w:pPr>
        <w:pStyle w:val="mpcbullets1"/>
        <w:keepNext/>
        <w:numPr>
          <w:ilvl w:val="0"/>
          <w:numId w:val="0"/>
        </w:numPr>
        <w:contextualSpacing/>
        <w:rPr>
          <w:rFonts w:cstheme="minorHAnsi"/>
        </w:rPr>
      </w:pPr>
      <w:r w:rsidRPr="003D65BF">
        <w:rPr>
          <w:rFonts w:cstheme="minorHAnsi"/>
        </w:rPr>
        <w:lastRenderedPageBreak/>
        <w:t xml:space="preserve">Based on modelling undertaken by </w:t>
      </w:r>
      <w:r w:rsidR="001C4DFB">
        <w:rPr>
          <w:rFonts w:cstheme="minorHAnsi"/>
        </w:rPr>
        <w:t xml:space="preserve">the </w:t>
      </w:r>
      <w:r w:rsidR="003F661D" w:rsidRPr="003D65BF">
        <w:rPr>
          <w:rFonts w:cstheme="minorHAnsi"/>
        </w:rPr>
        <w:t xml:space="preserve">TAG </w:t>
      </w:r>
      <w:r w:rsidRPr="003D65BF">
        <w:rPr>
          <w:rFonts w:cstheme="minorHAnsi"/>
        </w:rPr>
        <w:t>(and described in more detail in the technical papers)</w:t>
      </w:r>
      <w:r w:rsidR="003F661D" w:rsidRPr="003D65BF">
        <w:rPr>
          <w:rFonts w:cstheme="minorHAnsi"/>
        </w:rPr>
        <w:t>:</w:t>
      </w:r>
    </w:p>
    <w:p w14:paraId="688CE867" w14:textId="77777777" w:rsidR="00570A58" w:rsidRPr="003D65BF" w:rsidRDefault="00570A58" w:rsidP="00853D17">
      <w:pPr>
        <w:pStyle w:val="mpcbullets1"/>
        <w:keepNext/>
        <w:numPr>
          <w:ilvl w:val="0"/>
          <w:numId w:val="0"/>
        </w:numPr>
        <w:contextualSpacing/>
        <w:rPr>
          <w:rFonts w:cstheme="minorHAnsi"/>
        </w:rPr>
      </w:pPr>
    </w:p>
    <w:p w14:paraId="071AEE3A" w14:textId="6482B743" w:rsidR="003F661D" w:rsidRPr="0024269C" w:rsidRDefault="003F661D" w:rsidP="0024269C">
      <w:pPr>
        <w:pStyle w:val="mpcbullets1"/>
      </w:pPr>
      <w:r w:rsidRPr="0024269C">
        <w:t>there is 72% overall alignment with Dietary Guidelines</w:t>
      </w:r>
      <w:r w:rsidR="00AB06C5" w:rsidRPr="0024269C">
        <w:t xml:space="preserve"> (with </w:t>
      </w:r>
      <w:r w:rsidR="001C4DFB" w:rsidRPr="0024269C">
        <w:t xml:space="preserve">84% of FFG </w:t>
      </w:r>
      <w:r w:rsidR="00524E5A" w:rsidRPr="0024269C">
        <w:t>foods</w:t>
      </w:r>
      <w:r w:rsidR="001C4DFB" w:rsidRPr="0024269C">
        <w:t xml:space="preserve"> scoring a</w:t>
      </w:r>
      <w:r w:rsidR="00853D17" w:rsidRPr="0024269C">
        <w:t>n</w:t>
      </w:r>
      <w:r w:rsidR="001C4DFB" w:rsidRPr="0024269C">
        <w:t xml:space="preserve"> HSR </w:t>
      </w:r>
      <w:r w:rsidR="001C4DFB" w:rsidRPr="0024269C">
        <w:sym w:font="Symbol" w:char="F0B3"/>
      </w:r>
      <w:r w:rsidRPr="0024269C">
        <w:t xml:space="preserve"> 3 and 61% of discretionary </w:t>
      </w:r>
      <w:r w:rsidR="00524E5A" w:rsidRPr="0024269C">
        <w:t>foods</w:t>
      </w:r>
      <w:r w:rsidRPr="0024269C">
        <w:t xml:space="preserve"> scoring a</w:t>
      </w:r>
      <w:r w:rsidR="00853D17" w:rsidRPr="0024269C">
        <w:t>n</w:t>
      </w:r>
      <w:r w:rsidRPr="0024269C">
        <w:t xml:space="preserve"> HSR</w:t>
      </w:r>
      <w:r w:rsidR="001C4DFB" w:rsidRPr="0024269C">
        <w:t xml:space="preserve"> &lt;</w:t>
      </w:r>
      <w:r w:rsidRPr="0024269C">
        <w:t xml:space="preserve"> 3</w:t>
      </w:r>
      <w:r w:rsidR="00AB06C5" w:rsidRPr="0024269C">
        <w:t>)</w:t>
      </w:r>
    </w:p>
    <w:p w14:paraId="2F31D933" w14:textId="4D46D5E4" w:rsidR="003F661D" w:rsidRPr="0024269C" w:rsidRDefault="00AB06C5" w:rsidP="0024269C">
      <w:pPr>
        <w:pStyle w:val="mpcbullets1"/>
      </w:pPr>
      <w:r w:rsidRPr="0024269C">
        <w:t>‘</w:t>
      </w:r>
      <w:r w:rsidR="003F661D" w:rsidRPr="0024269C">
        <w:t>outliers</w:t>
      </w:r>
      <w:r w:rsidRPr="0024269C">
        <w:t>’</w:t>
      </w:r>
      <w:r w:rsidR="003F661D" w:rsidRPr="0024269C">
        <w:t xml:space="preserve"> were classified as FFG </w:t>
      </w:r>
      <w:r w:rsidR="00524E5A" w:rsidRPr="0024269C">
        <w:t>foods</w:t>
      </w:r>
      <w:r w:rsidR="003F661D" w:rsidRPr="0024269C">
        <w:t xml:space="preserve"> </w:t>
      </w:r>
      <w:r w:rsidRPr="0024269C">
        <w:t>with</w:t>
      </w:r>
      <w:r w:rsidR="003F661D" w:rsidRPr="0024269C">
        <w:t xml:space="preserve"> a</w:t>
      </w:r>
      <w:r w:rsidR="00853D17" w:rsidRPr="0024269C">
        <w:t>n</w:t>
      </w:r>
      <w:r w:rsidR="003F661D" w:rsidRPr="0024269C">
        <w:t xml:space="preserve"> HSR </w:t>
      </w:r>
      <w:r w:rsidR="009E72B1" w:rsidRPr="0024269C">
        <w:t>&lt;</w:t>
      </w:r>
      <w:r w:rsidR="003F661D" w:rsidRPr="0024269C">
        <w:t xml:space="preserve"> 3 and discretionary </w:t>
      </w:r>
      <w:r w:rsidR="00524E5A" w:rsidRPr="0024269C">
        <w:t>foods</w:t>
      </w:r>
      <w:r w:rsidR="003F661D" w:rsidRPr="0024269C">
        <w:t xml:space="preserve"> </w:t>
      </w:r>
      <w:r w:rsidRPr="0024269C">
        <w:t>with</w:t>
      </w:r>
      <w:r w:rsidR="003F661D" w:rsidRPr="0024269C">
        <w:t xml:space="preserve"> a</w:t>
      </w:r>
      <w:r w:rsidR="00853D17" w:rsidRPr="0024269C">
        <w:t>n</w:t>
      </w:r>
      <w:r w:rsidR="003F661D" w:rsidRPr="0024269C">
        <w:t xml:space="preserve"> HSR</w:t>
      </w:r>
      <w:r w:rsidRPr="0024269C">
        <w:t xml:space="preserve"> </w:t>
      </w:r>
      <w:r w:rsidR="009E72B1" w:rsidRPr="0024269C">
        <w:sym w:font="Symbol" w:char="F0B3"/>
      </w:r>
      <w:r w:rsidR="003F661D" w:rsidRPr="0024269C">
        <w:t xml:space="preserve"> 3</w:t>
      </w:r>
    </w:p>
    <w:p w14:paraId="266640DC" w14:textId="77777777" w:rsidR="003F661D" w:rsidRPr="00AB06C5" w:rsidRDefault="003F661D" w:rsidP="0024269C">
      <w:pPr>
        <w:pStyle w:val="mpcbullets2"/>
      </w:pPr>
      <w:r w:rsidRPr="003D65BF">
        <w:t>FFG outliers are mainly cheeses and yoghurts</w:t>
      </w:r>
    </w:p>
    <w:p w14:paraId="3BD30EC4" w14:textId="77777777" w:rsidR="003F661D" w:rsidRPr="00AB06C5" w:rsidRDefault="003F661D" w:rsidP="0024269C">
      <w:pPr>
        <w:pStyle w:val="mpcbullets2"/>
      </w:pPr>
      <w:r w:rsidRPr="003D65BF">
        <w:t>discretionary outliers are mainly savoury sauces and gravies (31%), soups and stocks (12%), ice creams and confections (11%) and muesli bars (8%)</w:t>
      </w:r>
    </w:p>
    <w:p w14:paraId="0F094C0F" w14:textId="3188690A" w:rsidR="00570A58" w:rsidRPr="0024269C" w:rsidRDefault="00570A58" w:rsidP="0024269C">
      <w:pPr>
        <w:pStyle w:val="mpcbullets1"/>
      </w:pPr>
      <w:r w:rsidRPr="0024269C">
        <w:t>of the 1,435 outliers</w:t>
      </w:r>
      <w:r w:rsidR="00FA2802" w:rsidRPr="0024269C">
        <w:t>:</w:t>
      </w:r>
    </w:p>
    <w:p w14:paraId="5E8E49A5" w14:textId="59327CF9" w:rsidR="00E9726B" w:rsidRPr="003D65BF" w:rsidRDefault="00E9726B" w:rsidP="0024269C">
      <w:pPr>
        <w:pStyle w:val="mpcbullets2"/>
        <w:rPr>
          <w:b/>
          <w:i/>
        </w:rPr>
      </w:pPr>
      <w:r w:rsidRPr="003D65BF">
        <w:t xml:space="preserve">32% </w:t>
      </w:r>
      <w:r w:rsidR="007A65FC">
        <w:t>indicate potential</w:t>
      </w:r>
      <w:r w:rsidRPr="003D65BF">
        <w:t xml:space="preserve"> issues with the HSR System. These products included </w:t>
      </w:r>
      <w:r w:rsidR="003A7943">
        <w:t xml:space="preserve">some </w:t>
      </w:r>
      <w:r w:rsidRPr="003D65BF">
        <w:t>muesli/cereal bars, recipes/sauce mixes, ice confection, ice cream, dry gravy mixes, salty snacks, coffee-based beverages, sugar</w:t>
      </w:r>
      <w:r w:rsidRPr="003D65BF">
        <w:noBreakHyphen/>
        <w:t>based desserts (jelly and dairy desserts), proces</w:t>
      </w:r>
      <w:r w:rsidR="00524E5A">
        <w:t>sed meats and breakfast cereals</w:t>
      </w:r>
    </w:p>
    <w:p w14:paraId="2204CB57" w14:textId="2CF9811A" w:rsidR="00C624D1" w:rsidRPr="00C624D1" w:rsidRDefault="00C624D1" w:rsidP="0024269C">
      <w:pPr>
        <w:pStyle w:val="mpcbullets2"/>
      </w:pPr>
      <w:r w:rsidRPr="00C624D1">
        <w:t>68% indicate potential issues with the ADG (based on the AHS Discretionary Foods List)</w:t>
      </w:r>
      <w:r>
        <w:t>:</w:t>
      </w:r>
    </w:p>
    <w:p w14:paraId="26DECD08" w14:textId="60FA6DCC" w:rsidR="00E9726B" w:rsidRPr="0024269C" w:rsidRDefault="00E9726B" w:rsidP="0024269C">
      <w:pPr>
        <w:pStyle w:val="mpcbullets3"/>
      </w:pPr>
      <w:r w:rsidRPr="0024269C">
        <w:t>31</w:t>
      </w:r>
      <w:r w:rsidR="003F661D" w:rsidRPr="0024269C">
        <w:t xml:space="preserve">% </w:t>
      </w:r>
      <w:r w:rsidR="002929BE" w:rsidRPr="0024269C">
        <w:t xml:space="preserve">had either a low HSR and a </w:t>
      </w:r>
      <w:r w:rsidR="000B2044" w:rsidRPr="0024269C">
        <w:t xml:space="preserve">relatively </w:t>
      </w:r>
      <w:r w:rsidR="002929BE" w:rsidRPr="0024269C">
        <w:t xml:space="preserve">poor </w:t>
      </w:r>
      <w:r w:rsidRPr="0024269C">
        <w:t>nutritional</w:t>
      </w:r>
      <w:r w:rsidR="002929BE" w:rsidRPr="0024269C">
        <w:t xml:space="preserve"> profile but were categorised as FFG (e.g. </w:t>
      </w:r>
      <w:r w:rsidR="00485893" w:rsidRPr="0024269C">
        <w:t xml:space="preserve">some </w:t>
      </w:r>
      <w:r w:rsidRPr="0024269C">
        <w:t>rice crackers, instant noodles, peanut butter, smoked salmon</w:t>
      </w:r>
      <w:r w:rsidR="00485893" w:rsidRPr="0024269C">
        <w:t xml:space="preserve"> products</w:t>
      </w:r>
      <w:r w:rsidRPr="0024269C">
        <w:t>), or had a high HSR and</w:t>
      </w:r>
      <w:r w:rsidR="00225101" w:rsidRPr="0024269C">
        <w:t xml:space="preserve"> a</w:t>
      </w:r>
      <w:r w:rsidRPr="0024269C">
        <w:t xml:space="preserve"> </w:t>
      </w:r>
      <w:r w:rsidR="000B2044" w:rsidRPr="0024269C">
        <w:t xml:space="preserve">relatively </w:t>
      </w:r>
      <w:r w:rsidRPr="0024269C">
        <w:t xml:space="preserve">healthy nutritional profile but were categorised as discretionary (e.g. </w:t>
      </w:r>
      <w:r w:rsidR="00485893" w:rsidRPr="0024269C">
        <w:t xml:space="preserve">some </w:t>
      </w:r>
      <w:r w:rsidRPr="0024269C">
        <w:t>tomato-based sauces, crumbed fish</w:t>
      </w:r>
      <w:r w:rsidR="00485893" w:rsidRPr="0024269C">
        <w:t>, vegetable and legume-based dips</w:t>
      </w:r>
      <w:r w:rsidRPr="0024269C">
        <w:t xml:space="preserve"> </w:t>
      </w:r>
      <w:r w:rsidR="00524E5A" w:rsidRPr="0024269C">
        <w:t>a</w:t>
      </w:r>
      <w:r w:rsidR="00C624D1" w:rsidRPr="0024269C">
        <w:t>nd oven baked potato products)</w:t>
      </w:r>
    </w:p>
    <w:p w14:paraId="2AEA3CB0" w14:textId="00F13C38" w:rsidR="003F661D" w:rsidRPr="0024269C" w:rsidRDefault="00E9726B" w:rsidP="0024269C">
      <w:pPr>
        <w:pStyle w:val="mpcbullets3"/>
      </w:pPr>
      <w:r w:rsidRPr="0024269C">
        <w:t>37% had a low HSR and</w:t>
      </w:r>
      <w:r w:rsidR="00320DBE" w:rsidRPr="0024269C">
        <w:t>,</w:t>
      </w:r>
      <w:r w:rsidRPr="0024269C">
        <w:t xml:space="preserve"> within their product category</w:t>
      </w:r>
      <w:r w:rsidR="00320DBE" w:rsidRPr="0024269C">
        <w:t>,</w:t>
      </w:r>
      <w:r w:rsidRPr="0024269C">
        <w:t xml:space="preserve"> a relatively poor nutritional profile</w:t>
      </w:r>
      <w:r w:rsidR="00964AE1" w:rsidRPr="0024269C">
        <w:t>,</w:t>
      </w:r>
      <w:r w:rsidRPr="0024269C">
        <w:t xml:space="preserve"> but were categorised as FFG (e.g. </w:t>
      </w:r>
      <w:r w:rsidR="00964AE1" w:rsidRPr="0024269C">
        <w:t>full fat cheeses, yog</w:t>
      </w:r>
      <w:r w:rsidR="00655BEA" w:rsidRPr="0024269C">
        <w:t>h</w:t>
      </w:r>
      <w:r w:rsidR="00964AE1" w:rsidRPr="0024269C">
        <w:t>urts, flavoured milks, custards)</w:t>
      </w:r>
      <w:r w:rsidRPr="0024269C">
        <w:t>.</w:t>
      </w:r>
    </w:p>
    <w:p w14:paraId="25257168" w14:textId="77777777" w:rsidR="00570A58" w:rsidRPr="003D65BF" w:rsidRDefault="00570A58" w:rsidP="008E7B0B">
      <w:pPr>
        <w:pStyle w:val="mpcbullets1"/>
        <w:numPr>
          <w:ilvl w:val="0"/>
          <w:numId w:val="0"/>
        </w:numPr>
        <w:contextualSpacing/>
        <w:rPr>
          <w:rFonts w:cstheme="minorHAnsi"/>
        </w:rPr>
      </w:pPr>
    </w:p>
    <w:p w14:paraId="2AF9644D" w14:textId="0EF4791D" w:rsidR="003F661D" w:rsidRPr="003D65BF" w:rsidRDefault="003F661D" w:rsidP="008E7B0B">
      <w:pPr>
        <w:pStyle w:val="mpcbullets1"/>
        <w:numPr>
          <w:ilvl w:val="0"/>
          <w:numId w:val="0"/>
        </w:numPr>
        <w:contextualSpacing/>
        <w:rPr>
          <w:rFonts w:cstheme="minorHAnsi"/>
        </w:rPr>
      </w:pPr>
      <w:r w:rsidRPr="003D65BF">
        <w:rPr>
          <w:rFonts w:cstheme="minorHAnsi"/>
        </w:rPr>
        <w:t xml:space="preserve">A number of other reviews have </w:t>
      </w:r>
      <w:r w:rsidR="00FA2802" w:rsidRPr="003D65BF">
        <w:rPr>
          <w:rFonts w:cstheme="minorHAnsi"/>
        </w:rPr>
        <w:t xml:space="preserve">also </w:t>
      </w:r>
      <w:r w:rsidR="00D77543">
        <w:rPr>
          <w:rFonts w:cstheme="minorHAnsi"/>
        </w:rPr>
        <w:t>examined the alignment of the HSR System with Dietary Guidelines</w:t>
      </w:r>
      <w:r w:rsidR="00853D17">
        <w:rPr>
          <w:rFonts w:cstheme="minorHAnsi"/>
        </w:rPr>
        <w:t>:</w:t>
      </w:r>
    </w:p>
    <w:p w14:paraId="41756853" w14:textId="77777777" w:rsidR="00FA2802" w:rsidRPr="003D65BF" w:rsidRDefault="00FA2802" w:rsidP="008E7B0B">
      <w:pPr>
        <w:pStyle w:val="mpcbullets1"/>
        <w:numPr>
          <w:ilvl w:val="0"/>
          <w:numId w:val="0"/>
        </w:numPr>
        <w:contextualSpacing/>
        <w:rPr>
          <w:rFonts w:cstheme="minorHAnsi"/>
        </w:rPr>
      </w:pPr>
    </w:p>
    <w:p w14:paraId="065E2647" w14:textId="5A31A688" w:rsidR="003F661D" w:rsidRPr="003D65BF" w:rsidRDefault="003F661D" w:rsidP="0024269C">
      <w:pPr>
        <w:pStyle w:val="mpcbullets1"/>
        <w:rPr>
          <w:b/>
          <w:i/>
        </w:rPr>
      </w:pPr>
      <w:r w:rsidRPr="003D65BF">
        <w:t xml:space="preserve">Research undertaken by the George Institute </w:t>
      </w:r>
      <w:r w:rsidR="007A65FC">
        <w:t>for Global Health (George Institute) published in April </w:t>
      </w:r>
      <w:r w:rsidRPr="003D65BF">
        <w:t>2018</w:t>
      </w:r>
      <w:r w:rsidRPr="003D65BF">
        <w:rPr>
          <w:rStyle w:val="FootnoteReference"/>
          <w:rFonts w:cstheme="minorHAnsi"/>
        </w:rPr>
        <w:footnoteReference w:id="17"/>
      </w:r>
      <w:r w:rsidRPr="003D65BF">
        <w:t xml:space="preserve"> found there is 86.6% overall alignment with </w:t>
      </w:r>
      <w:r w:rsidR="000832A0">
        <w:t>the ADG</w:t>
      </w:r>
      <w:r w:rsidRPr="003D65BF">
        <w:t xml:space="preserve">, with FFG foods scoring an average HSR of 4 and discretionary foods scoring an average HSR of 2. Of the outliers, 83% were </w:t>
      </w:r>
      <w:r w:rsidR="00524E5A">
        <w:t>characterised as an</w:t>
      </w:r>
      <w:r w:rsidR="000832A0">
        <w:t xml:space="preserve"> ADG</w:t>
      </w:r>
      <w:r w:rsidRPr="003D65BF">
        <w:t xml:space="preserve"> </w:t>
      </w:r>
      <w:r w:rsidR="00524E5A">
        <w:t xml:space="preserve">failure </w:t>
      </w:r>
      <w:r w:rsidR="00964AE1">
        <w:t>(</w:t>
      </w:r>
      <w:r w:rsidR="009E72B1">
        <w:t xml:space="preserve">based on the AHS Discretionary Foods List </w:t>
      </w:r>
      <w:r w:rsidR="00964AE1">
        <w:t xml:space="preserve">due to challenges </w:t>
      </w:r>
      <w:r w:rsidR="000832A0">
        <w:t>in</w:t>
      </w:r>
      <w:r w:rsidR="00964AE1">
        <w:t xml:space="preserve"> defining </w:t>
      </w:r>
      <w:r w:rsidR="00F1341C">
        <w:t>FFG</w:t>
      </w:r>
      <w:r w:rsidR="00964AE1">
        <w:t xml:space="preserve"> and discretionary) </w:t>
      </w:r>
      <w:r w:rsidRPr="003D65BF">
        <w:t xml:space="preserve">rather than </w:t>
      </w:r>
      <w:r w:rsidR="00560F9E">
        <w:t>a</w:t>
      </w:r>
      <w:r w:rsidR="007E6515">
        <w:t>n</w:t>
      </w:r>
      <w:r w:rsidRPr="003D65BF">
        <w:t xml:space="preserve"> HSR </w:t>
      </w:r>
      <w:r w:rsidR="00926B08" w:rsidRPr="003D65BF">
        <w:t>System</w:t>
      </w:r>
      <w:r w:rsidR="00560F9E">
        <w:t xml:space="preserve"> failure. 17% </w:t>
      </w:r>
      <w:r w:rsidRPr="003D65BF">
        <w:t xml:space="preserve">of the outliers were </w:t>
      </w:r>
      <w:r w:rsidR="00560F9E">
        <w:t>attributed</w:t>
      </w:r>
      <w:r w:rsidRPr="003D65BF">
        <w:t xml:space="preserve"> to issues with the HSR </w:t>
      </w:r>
      <w:r w:rsidR="00926B08" w:rsidRPr="003D65BF">
        <w:t>System</w:t>
      </w:r>
      <w:r w:rsidRPr="003D65BF">
        <w:t xml:space="preserve">, including </w:t>
      </w:r>
      <w:r w:rsidR="00E0324C">
        <w:t xml:space="preserve">in relation to </w:t>
      </w:r>
      <w:r w:rsidRPr="003D65BF">
        <w:t>sauces, dressings, spreads and dips, savoury snacks, meat</w:t>
      </w:r>
      <w:r w:rsidR="000832A0">
        <w:t>s</w:t>
      </w:r>
      <w:r w:rsidRPr="003D65BF">
        <w:t xml:space="preserve"> and meat products, convenience foods, fruit</w:t>
      </w:r>
      <w:r w:rsidR="000832A0">
        <w:t>s</w:t>
      </w:r>
      <w:r w:rsidRPr="003D65BF">
        <w:t xml:space="preserve"> and flavoured yoghurts.</w:t>
      </w:r>
    </w:p>
    <w:p w14:paraId="64EF2E1C" w14:textId="378132B5" w:rsidR="003F661D" w:rsidRPr="003D65BF" w:rsidRDefault="003F661D" w:rsidP="0024269C">
      <w:pPr>
        <w:pStyle w:val="mpcbullets1"/>
      </w:pPr>
      <w:r w:rsidRPr="003D65BF">
        <w:t>A study published in January 2018</w:t>
      </w:r>
      <w:r w:rsidRPr="003D65BF">
        <w:rPr>
          <w:rStyle w:val="FootnoteReference"/>
          <w:rFonts w:cstheme="minorHAnsi"/>
        </w:rPr>
        <w:footnoteReference w:id="18"/>
      </w:r>
      <w:r w:rsidRPr="003D65BF">
        <w:t xml:space="preserve"> found the median HSR displayed on discretionary foods was 2.5, significantly lower than the median HSR </w:t>
      </w:r>
      <w:r w:rsidR="00524E5A" w:rsidRPr="003D65BF">
        <w:t>of 4</w:t>
      </w:r>
      <w:r w:rsidR="00524E5A">
        <w:t xml:space="preserve"> </w:t>
      </w:r>
      <w:r w:rsidRPr="003D65BF">
        <w:t>for FFG foods.</w:t>
      </w:r>
    </w:p>
    <w:p w14:paraId="46C8CA7A" w14:textId="5B566E5E" w:rsidR="003F661D" w:rsidRPr="003D65BF" w:rsidRDefault="003F661D" w:rsidP="0024269C">
      <w:pPr>
        <w:pStyle w:val="mpcbullets1"/>
      </w:pPr>
      <w:r w:rsidRPr="003D65BF">
        <w:t>Research commissioned by the NSW Ministry of Health in 2015</w:t>
      </w:r>
      <w:r w:rsidRPr="003D65BF">
        <w:rPr>
          <w:rStyle w:val="FootnoteReference"/>
          <w:rFonts w:cstheme="minorHAnsi"/>
        </w:rPr>
        <w:footnoteReference w:id="19"/>
      </w:r>
      <w:r w:rsidRPr="003D65BF">
        <w:t xml:space="preserve"> found that 79% of foods and beverages classified as FFG score a</w:t>
      </w:r>
      <w:r w:rsidR="00853D17">
        <w:t>n</w:t>
      </w:r>
      <w:r w:rsidRPr="003D65BF">
        <w:t xml:space="preserve"> HSR of ≥3.5, while only 14% of foods and beverages classified as discretionary score a</w:t>
      </w:r>
      <w:r w:rsidR="00853D17">
        <w:t>n</w:t>
      </w:r>
      <w:r w:rsidRPr="003D65BF">
        <w:t xml:space="preserve"> HSR of ≥3.5. </w:t>
      </w:r>
    </w:p>
    <w:p w14:paraId="200C9026" w14:textId="2FCAE733" w:rsidR="003F661D" w:rsidRPr="003D65BF" w:rsidRDefault="003F661D" w:rsidP="0024269C">
      <w:pPr>
        <w:pStyle w:val="mpcbullets1"/>
      </w:pPr>
      <w:r w:rsidRPr="003D65BF">
        <w:t>A study published in May 2016</w:t>
      </w:r>
      <w:r w:rsidRPr="003D65BF">
        <w:rPr>
          <w:rStyle w:val="FootnoteReference"/>
          <w:rFonts w:cstheme="minorHAnsi"/>
        </w:rPr>
        <w:footnoteReference w:id="20"/>
      </w:r>
      <w:r w:rsidRPr="003D65BF">
        <w:t xml:space="preserve"> found that</w:t>
      </w:r>
      <w:r w:rsidR="000832A0">
        <w:t>,</w:t>
      </w:r>
      <w:r w:rsidRPr="003D65BF">
        <w:t xml:space="preserve"> for dairy products, the HSR </w:t>
      </w:r>
      <w:r w:rsidR="000832A0">
        <w:t>System</w:t>
      </w:r>
      <w:r w:rsidRPr="003D65BF">
        <w:t xml:space="preserve"> largely aligned with the </w:t>
      </w:r>
      <w:hyperlink r:id="rId26" w:history="1">
        <w:r w:rsidR="001E13BA" w:rsidRPr="001E13BA">
          <w:rPr>
            <w:rStyle w:val="Hyperlink"/>
            <w:rFonts w:cstheme="minorHAnsi"/>
          </w:rPr>
          <w:t>Nutrient Profiling Scoring Criterion</w:t>
        </w:r>
      </w:hyperlink>
      <w:r w:rsidR="001E13BA">
        <w:t xml:space="preserve"> (</w:t>
      </w:r>
      <w:r w:rsidRPr="003D65BF">
        <w:t>NPSC</w:t>
      </w:r>
      <w:r w:rsidR="001E13BA">
        <w:t>)</w:t>
      </w:r>
      <w:r w:rsidRPr="003D65BF">
        <w:t xml:space="preserve"> used for determining eligibility for health claims. Both </w:t>
      </w:r>
      <w:r w:rsidR="000832A0">
        <w:t>s</w:t>
      </w:r>
      <w:r w:rsidR="00926B08" w:rsidRPr="003D65BF">
        <w:t>ystem</w:t>
      </w:r>
      <w:r w:rsidRPr="003D65BF">
        <w:t xml:space="preserve">s appeared </w:t>
      </w:r>
      <w:r w:rsidR="00E0324C">
        <w:t xml:space="preserve">to </w:t>
      </w:r>
      <w:r w:rsidRPr="003D65BF">
        <w:t xml:space="preserve">be consistent with the </w:t>
      </w:r>
      <w:r w:rsidR="000832A0">
        <w:t>ADG</w:t>
      </w:r>
      <w:r w:rsidRPr="003D65BF">
        <w:t xml:space="preserve"> for dairy products, with lower-fat products rating higher.</w:t>
      </w:r>
    </w:p>
    <w:p w14:paraId="201C031B" w14:textId="16144A6D" w:rsidR="003F661D" w:rsidRPr="003D65BF" w:rsidRDefault="003F661D" w:rsidP="0024269C">
      <w:pPr>
        <w:pStyle w:val="mpcbullets1"/>
      </w:pPr>
      <w:r w:rsidRPr="003D65BF">
        <w:t>A study published in August 2016</w:t>
      </w:r>
      <w:r w:rsidRPr="003D65BF">
        <w:rPr>
          <w:vertAlign w:val="superscript"/>
        </w:rPr>
        <w:footnoteReference w:id="21"/>
      </w:r>
      <w:r w:rsidRPr="003D65BF">
        <w:rPr>
          <w:vertAlign w:val="superscript"/>
        </w:rPr>
        <w:t xml:space="preserve"> </w:t>
      </w:r>
      <w:r w:rsidRPr="003D65BF">
        <w:t xml:space="preserve">found the HSR </w:t>
      </w:r>
      <w:r w:rsidR="00926B08" w:rsidRPr="003D65BF">
        <w:t>System</w:t>
      </w:r>
      <w:r w:rsidRPr="003D65BF">
        <w:t xml:space="preserve"> rated packaged </w:t>
      </w:r>
      <w:r w:rsidR="00495FF7">
        <w:t xml:space="preserve">dairy </w:t>
      </w:r>
      <w:r w:rsidRPr="003D65BF">
        <w:t xml:space="preserve">foods and </w:t>
      </w:r>
      <w:r w:rsidR="00F1341C">
        <w:t>beverages</w:t>
      </w:r>
      <w:r w:rsidRPr="003D65BF">
        <w:t xml:space="preserve"> broadly in line with </w:t>
      </w:r>
      <w:r w:rsidR="00F1341C">
        <w:t>the ADG</w:t>
      </w:r>
      <w:r w:rsidRPr="003D65BF">
        <w:t xml:space="preserve"> by assigning </w:t>
      </w:r>
      <w:r w:rsidR="00F1341C">
        <w:t>FFG</w:t>
      </w:r>
      <w:r w:rsidRPr="003D65BF">
        <w:t xml:space="preserve"> foods higher </w:t>
      </w:r>
      <w:r w:rsidR="00F1341C">
        <w:t>HSRs</w:t>
      </w:r>
      <w:r w:rsidRPr="003D65BF">
        <w:t xml:space="preserve"> and discretionary foods lower </w:t>
      </w:r>
      <w:r w:rsidR="00F1341C">
        <w:t>HSRs</w:t>
      </w:r>
      <w:r w:rsidRPr="003D65BF">
        <w:t>.</w:t>
      </w:r>
    </w:p>
    <w:p w14:paraId="55459685" w14:textId="69AC4481" w:rsidR="00FA2802" w:rsidRPr="003D65BF" w:rsidRDefault="00FA2802" w:rsidP="0024269C">
      <w:pPr>
        <w:pStyle w:val="mpcbullets1"/>
        <w:numPr>
          <w:ilvl w:val="0"/>
          <w:numId w:val="0"/>
        </w:numPr>
        <w:ind w:left="360"/>
      </w:pPr>
    </w:p>
    <w:tbl>
      <w:tblPr>
        <w:tblStyle w:val="TableGrid"/>
        <w:tblW w:w="0" w:type="auto"/>
        <w:tblLook w:val="04A0" w:firstRow="1" w:lastRow="0" w:firstColumn="1" w:lastColumn="0" w:noHBand="0" w:noVBand="1"/>
        <w:tblCaption w:val="Examples"/>
        <w:tblDescription w:val="Examples of the way in which foods may be miscategorised applying the AHS Discretionary Foods List "/>
      </w:tblPr>
      <w:tblGrid>
        <w:gridCol w:w="9736"/>
      </w:tblGrid>
      <w:tr w:rsidR="00F1341C" w14:paraId="4CD840BB" w14:textId="77777777" w:rsidTr="00D37907">
        <w:trPr>
          <w:cantSplit/>
          <w:tblHeader/>
        </w:trPr>
        <w:tc>
          <w:tcPr>
            <w:tcW w:w="9736" w:type="dxa"/>
            <w:shd w:val="clear" w:color="auto" w:fill="F2F2F2" w:themeFill="background1" w:themeFillShade="F2"/>
          </w:tcPr>
          <w:p w14:paraId="5E0E25B8" w14:textId="2377E23C" w:rsidR="00F1341C" w:rsidRPr="000832A0" w:rsidRDefault="00F1341C" w:rsidP="0024269C">
            <w:r w:rsidRPr="000832A0">
              <w:lastRenderedPageBreak/>
              <w:t>Examples of the way in which foods may be miscategorised applying the AHS Discretionary Foods List include:</w:t>
            </w:r>
          </w:p>
          <w:p w14:paraId="5FC9E147" w14:textId="11C2A908" w:rsidR="00F1341C" w:rsidRDefault="00F1341C" w:rsidP="0024269C"/>
          <w:p w14:paraId="3219570E" w14:textId="457A1A99" w:rsidR="00643C09" w:rsidRDefault="00643C09" w:rsidP="00A313E3">
            <w:pPr>
              <w:pStyle w:val="mpcbullets1"/>
            </w:pPr>
            <w:r w:rsidRPr="00A313E3">
              <w:t>FFG</w:t>
            </w:r>
            <w:r>
              <w:t xml:space="preserve"> </w:t>
            </w:r>
            <w:r w:rsidR="00524E5A">
              <w:t>foods</w:t>
            </w:r>
            <w:r>
              <w:t xml:space="preserve"> with</w:t>
            </w:r>
            <w:r w:rsidR="0002741C">
              <w:t xml:space="preserve"> relatively</w:t>
            </w:r>
            <w:r>
              <w:t xml:space="preserve"> poor nutrient profiles:</w:t>
            </w:r>
          </w:p>
          <w:p w14:paraId="73DB51C0" w14:textId="23F5E4A4" w:rsidR="00F1341C" w:rsidRPr="00FE6630" w:rsidRDefault="00F1341C" w:rsidP="00A313E3">
            <w:pPr>
              <w:pStyle w:val="mpcbullets2"/>
            </w:pPr>
            <w:r>
              <w:t>All cheeses</w:t>
            </w:r>
            <w:r w:rsidR="0083717F">
              <w:t xml:space="preserve"> are FFG although </w:t>
            </w:r>
            <w:r>
              <w:t xml:space="preserve">some are high in </w:t>
            </w:r>
            <w:r w:rsidR="00FE6630">
              <w:t>saturated fats and/or sodium</w:t>
            </w:r>
            <w:r w:rsidR="00643C09">
              <w:t xml:space="preserve"> (using the </w:t>
            </w:r>
            <w:r w:rsidR="00643C09" w:rsidRPr="00643C09">
              <w:t xml:space="preserve">UK </w:t>
            </w:r>
            <w:r w:rsidR="00B30B14">
              <w:rPr>
                <w:szCs w:val="22"/>
              </w:rPr>
              <w:t xml:space="preserve">Traffic Light System </w:t>
            </w:r>
            <w:r w:rsidR="0092789D">
              <w:t>to</w:t>
            </w:r>
            <w:r w:rsidR="00643C09" w:rsidRPr="00643C09">
              <w:t xml:space="preserve"> assess </w:t>
            </w:r>
            <w:r w:rsidR="00E0324C">
              <w:t>‘</w:t>
            </w:r>
            <w:r w:rsidR="00046381">
              <w:t>low</w:t>
            </w:r>
            <w:r w:rsidR="00E0324C">
              <w:t>’</w:t>
            </w:r>
            <w:r w:rsidR="00046381">
              <w:t xml:space="preserve"> or </w:t>
            </w:r>
            <w:r w:rsidR="00E0324C">
              <w:t>‘</w:t>
            </w:r>
            <w:r w:rsidR="00643C09" w:rsidRPr="00643C09">
              <w:t>high</w:t>
            </w:r>
            <w:r w:rsidR="00E0324C">
              <w:t>’</w:t>
            </w:r>
            <w:r w:rsidR="00643C09" w:rsidRPr="00643C09">
              <w:t>)</w:t>
            </w:r>
            <w:r w:rsidR="001E13BA">
              <w:t>.</w:t>
            </w:r>
          </w:p>
          <w:p w14:paraId="111D10C2" w14:textId="247FC47C" w:rsidR="00643C09" w:rsidRDefault="00643C09" w:rsidP="00A313E3">
            <w:pPr>
              <w:pStyle w:val="mpcbullets2"/>
            </w:pPr>
            <w:r>
              <w:t>All yog</w:t>
            </w:r>
            <w:r w:rsidR="00655BEA">
              <w:t>h</w:t>
            </w:r>
            <w:r>
              <w:t>urts</w:t>
            </w:r>
            <w:r w:rsidR="0083717F">
              <w:t xml:space="preserve"> are FFG</w:t>
            </w:r>
            <w:r>
              <w:t>, although some are high in saturated fats and/or total sugars</w:t>
            </w:r>
            <w:r w:rsidR="001E13BA">
              <w:t>.</w:t>
            </w:r>
          </w:p>
          <w:p w14:paraId="679BFB2F" w14:textId="39418337" w:rsidR="00643C09" w:rsidRDefault="00643C09" w:rsidP="00A313E3">
            <w:pPr>
              <w:pStyle w:val="mpcbullets2"/>
            </w:pPr>
            <w:r>
              <w:t>Dried fruit products</w:t>
            </w:r>
            <w:r w:rsidR="0083717F">
              <w:t xml:space="preserve"> are FFG</w:t>
            </w:r>
            <w:r>
              <w:t xml:space="preserve">, although some are high </w:t>
            </w:r>
            <w:r w:rsidR="001E13BA">
              <w:t xml:space="preserve">in </w:t>
            </w:r>
            <w:r>
              <w:t>total sugars</w:t>
            </w:r>
            <w:r w:rsidR="001E13BA">
              <w:t>.</w:t>
            </w:r>
          </w:p>
          <w:p w14:paraId="004DBB95" w14:textId="368A4D59" w:rsidR="00643C09" w:rsidRDefault="0092789D" w:rsidP="00A313E3">
            <w:pPr>
              <w:pStyle w:val="mpcbullets2"/>
            </w:pPr>
            <w:r>
              <w:t>S</w:t>
            </w:r>
            <w:r w:rsidR="00643C09">
              <w:t>moked salmon</w:t>
            </w:r>
            <w:r>
              <w:t xml:space="preserve"> is</w:t>
            </w:r>
            <w:r w:rsidR="0083717F">
              <w:t xml:space="preserve"> FFG</w:t>
            </w:r>
            <w:r w:rsidR="00643C09">
              <w:t xml:space="preserve">, although </w:t>
            </w:r>
            <w:r>
              <w:t>relativ</w:t>
            </w:r>
            <w:r w:rsidR="0002741C">
              <w:t>el</w:t>
            </w:r>
            <w:r>
              <w:t>y</w:t>
            </w:r>
            <w:r w:rsidR="00643C09">
              <w:t xml:space="preserve"> high in saturated fats and/or sodium</w:t>
            </w:r>
            <w:r w:rsidR="001E13BA">
              <w:t>.</w:t>
            </w:r>
          </w:p>
          <w:p w14:paraId="0FA08C5C" w14:textId="7C1D476A" w:rsidR="0083717F" w:rsidRDefault="0002741C" w:rsidP="00A313E3">
            <w:pPr>
              <w:pStyle w:val="mpcbullets2"/>
            </w:pPr>
            <w:r>
              <w:t xml:space="preserve">Some breakfast cereals are FFG despite being </w:t>
            </w:r>
            <w:r w:rsidR="0083717F">
              <w:t>high in total sugars</w:t>
            </w:r>
            <w:r w:rsidR="00495FF7">
              <w:t xml:space="preserve"> (i.e. up to and including 30g </w:t>
            </w:r>
            <w:r w:rsidR="00AF0107">
              <w:t xml:space="preserve">total </w:t>
            </w:r>
            <w:r w:rsidR="00495FF7">
              <w:t>sugars per 100g)</w:t>
            </w:r>
            <w:r>
              <w:t>.</w:t>
            </w:r>
          </w:p>
          <w:p w14:paraId="50E4E8CE" w14:textId="77777777" w:rsidR="00FE6630" w:rsidRPr="00F1341C" w:rsidRDefault="00FE6630" w:rsidP="0002741C">
            <w:pPr>
              <w:pStyle w:val="mpcbullets1"/>
              <w:numPr>
                <w:ilvl w:val="0"/>
                <w:numId w:val="0"/>
              </w:numPr>
              <w:contextualSpacing/>
              <w:rPr>
                <w:rFonts w:cstheme="minorHAnsi"/>
              </w:rPr>
            </w:pPr>
          </w:p>
          <w:p w14:paraId="44656A2A" w14:textId="14C540CD" w:rsidR="00046381" w:rsidRDefault="00046381" w:rsidP="00A313E3">
            <w:pPr>
              <w:pStyle w:val="mpcbullets1"/>
            </w:pPr>
            <w:r>
              <w:t xml:space="preserve">Discretionary </w:t>
            </w:r>
            <w:r w:rsidR="00524E5A">
              <w:t>foods</w:t>
            </w:r>
            <w:r>
              <w:t xml:space="preserve"> </w:t>
            </w:r>
            <w:r w:rsidRPr="00A313E3">
              <w:t>with</w:t>
            </w:r>
            <w:r>
              <w:t xml:space="preserve"> </w:t>
            </w:r>
            <w:r w:rsidR="0083717F">
              <w:t>relatively healthy</w:t>
            </w:r>
            <w:r>
              <w:t xml:space="preserve"> nutrient profiles:</w:t>
            </w:r>
          </w:p>
          <w:p w14:paraId="5ED44E09" w14:textId="2153A921" w:rsidR="00F1341C" w:rsidRDefault="00046381" w:rsidP="00A313E3">
            <w:pPr>
              <w:pStyle w:val="mpcbullets2"/>
            </w:pPr>
            <w:r>
              <w:t>All savoury sauces</w:t>
            </w:r>
            <w:r w:rsidR="0083717F">
              <w:t xml:space="preserve"> are discretionary</w:t>
            </w:r>
            <w:r>
              <w:t xml:space="preserve"> (except homemade tomato-based sauces), although some are low in saturated fats, total sugars and sodium</w:t>
            </w:r>
            <w:r w:rsidR="001E13BA">
              <w:t>.</w:t>
            </w:r>
          </w:p>
          <w:p w14:paraId="495ABBAE" w14:textId="64934906" w:rsidR="0083717F" w:rsidRDefault="00D50409" w:rsidP="00A313E3">
            <w:pPr>
              <w:pStyle w:val="mpcbullets2"/>
            </w:pPr>
            <w:r>
              <w:t xml:space="preserve">All </w:t>
            </w:r>
            <w:r w:rsidR="0083717F">
              <w:t>dips are discretionary, although some are low in saturated fats, total sugars and sodium</w:t>
            </w:r>
            <w:r w:rsidR="001E13BA">
              <w:t>.</w:t>
            </w:r>
          </w:p>
          <w:p w14:paraId="101D3DCB" w14:textId="218EE1F8" w:rsidR="00F1341C" w:rsidRDefault="00D50409" w:rsidP="0024269C">
            <w:pPr>
              <w:pStyle w:val="mpcbullets2"/>
            </w:pPr>
            <w:r>
              <w:t>All muesli, cereal and nut-based bars are discretionary, although some are low in saturated fats, total sugars and sodium</w:t>
            </w:r>
            <w:r w:rsidR="001E13BA">
              <w:t>.</w:t>
            </w:r>
          </w:p>
        </w:tc>
      </w:tr>
    </w:tbl>
    <w:p w14:paraId="640C1761" w14:textId="77777777" w:rsidR="00F1341C" w:rsidRDefault="00F1341C" w:rsidP="0024269C"/>
    <w:p w14:paraId="60A18B2F" w14:textId="0DB85B24" w:rsidR="000B1D6D" w:rsidRPr="003D65BF" w:rsidRDefault="00FA2802" w:rsidP="0024269C">
      <w:r w:rsidRPr="003D65BF">
        <w:t xml:space="preserve">The performance monitoring, </w:t>
      </w:r>
      <w:r w:rsidR="007D6C0F">
        <w:t xml:space="preserve">TAG </w:t>
      </w:r>
      <w:r w:rsidRPr="003D65BF">
        <w:t xml:space="preserve">modelling and </w:t>
      </w:r>
      <w:r w:rsidR="007D6C0F">
        <w:t xml:space="preserve">other </w:t>
      </w:r>
      <w:r w:rsidRPr="003D65BF">
        <w:t xml:space="preserve">studies have </w:t>
      </w:r>
      <w:r w:rsidR="001E16F8" w:rsidRPr="003D65BF">
        <w:t xml:space="preserve">assisted in distilling the issues for </w:t>
      </w:r>
      <w:r w:rsidR="000B1D6D" w:rsidRPr="003D65BF">
        <w:t>examination. For example</w:t>
      </w:r>
      <w:r w:rsidR="00F1341C">
        <w:t>,</w:t>
      </w:r>
      <w:r w:rsidR="000B1D6D" w:rsidRPr="003D65BF">
        <w:t xml:space="preserve"> </w:t>
      </w:r>
      <w:r w:rsidR="001E13BA">
        <w:t>the information highlights that there are</w:t>
      </w:r>
      <w:r w:rsidR="000B1D6D" w:rsidRPr="003D65BF">
        <w:t>:</w:t>
      </w:r>
    </w:p>
    <w:p w14:paraId="3B419E66" w14:textId="77777777" w:rsidR="00E613C8" w:rsidRPr="003D65BF" w:rsidRDefault="00E613C8" w:rsidP="0024269C"/>
    <w:p w14:paraId="004D47AA" w14:textId="29C72C6F" w:rsidR="002477B6" w:rsidRPr="00A313E3" w:rsidRDefault="00280AD5" w:rsidP="00A313E3">
      <w:pPr>
        <w:pStyle w:val="mpcbullets1"/>
      </w:pPr>
      <w:r w:rsidRPr="00A313E3">
        <w:t>s</w:t>
      </w:r>
      <w:r w:rsidR="002477B6" w:rsidRPr="00A313E3">
        <w:t xml:space="preserve">ome </w:t>
      </w:r>
      <w:r w:rsidR="001E13BA" w:rsidRPr="00A313E3">
        <w:t xml:space="preserve">areas </w:t>
      </w:r>
      <w:r w:rsidRPr="00A313E3">
        <w:t xml:space="preserve">where </w:t>
      </w:r>
      <w:r w:rsidR="001E13BA" w:rsidRPr="00A313E3">
        <w:t xml:space="preserve">the </w:t>
      </w:r>
      <w:r w:rsidRPr="00A313E3">
        <w:t xml:space="preserve">Dietary Guidelines do not </w:t>
      </w:r>
      <w:r w:rsidR="00956601" w:rsidRPr="00A313E3">
        <w:t>necessarily align</w:t>
      </w:r>
      <w:r w:rsidRPr="00A313E3">
        <w:t xml:space="preserve"> with consumer expectations</w:t>
      </w:r>
      <w:r w:rsidR="00956601" w:rsidRPr="00A313E3">
        <w:t>. For example</w:t>
      </w:r>
      <w:r w:rsidR="00861CC1" w:rsidRPr="00A313E3">
        <w:t>,</w:t>
      </w:r>
      <w:r w:rsidR="00956601" w:rsidRPr="00A313E3">
        <w:t xml:space="preserve"> where foods are classified as FFG but are </w:t>
      </w:r>
      <w:r w:rsidR="00ED087A" w:rsidRPr="00A313E3">
        <w:t xml:space="preserve">relatively </w:t>
      </w:r>
      <w:r w:rsidR="00956601" w:rsidRPr="00A313E3">
        <w:t xml:space="preserve">high in total sugars </w:t>
      </w:r>
      <w:r w:rsidR="00143271" w:rsidRPr="00A313E3">
        <w:t xml:space="preserve">such as </w:t>
      </w:r>
      <w:r w:rsidR="00ED087A" w:rsidRPr="00A313E3">
        <w:t xml:space="preserve">certain </w:t>
      </w:r>
      <w:r w:rsidR="00143271" w:rsidRPr="00A313E3">
        <w:t xml:space="preserve">breakfast cereals, </w:t>
      </w:r>
      <w:r w:rsidR="00956601" w:rsidRPr="00A313E3">
        <w:t>flavoured milks and yog</w:t>
      </w:r>
      <w:r w:rsidR="00655BEA" w:rsidRPr="00A313E3">
        <w:t>h</w:t>
      </w:r>
      <w:r w:rsidR="00956601" w:rsidRPr="00A313E3">
        <w:t>urts</w:t>
      </w:r>
    </w:p>
    <w:p w14:paraId="37C5B1FE" w14:textId="77777777" w:rsidR="008C0784" w:rsidRPr="00A313E3" w:rsidRDefault="008C0784" w:rsidP="00A313E3">
      <w:pPr>
        <w:pStyle w:val="mpcbullets1"/>
        <w:numPr>
          <w:ilvl w:val="0"/>
          <w:numId w:val="0"/>
        </w:numPr>
        <w:ind w:left="360"/>
      </w:pPr>
    </w:p>
    <w:p w14:paraId="68EADFD5" w14:textId="7CCD7CF4" w:rsidR="005D638C" w:rsidRPr="00A313E3" w:rsidRDefault="005D638C" w:rsidP="00A313E3">
      <w:pPr>
        <w:pStyle w:val="mpcbullets1"/>
      </w:pPr>
      <w:r w:rsidRPr="00A313E3">
        <w:t>s</w:t>
      </w:r>
      <w:r w:rsidR="00E613C8" w:rsidRPr="00A313E3">
        <w:t xml:space="preserve">ome </w:t>
      </w:r>
      <w:r w:rsidR="00ED087A" w:rsidRPr="00A313E3">
        <w:t xml:space="preserve">products </w:t>
      </w:r>
      <w:r w:rsidRPr="00A313E3">
        <w:t xml:space="preserve">of high consumer interest </w:t>
      </w:r>
      <w:r w:rsidR="00ED087A" w:rsidRPr="00A313E3">
        <w:t>where</w:t>
      </w:r>
      <w:r w:rsidR="00143271" w:rsidRPr="00A313E3">
        <w:t xml:space="preserve"> alignment with Dietary Guidelines could be improved</w:t>
      </w:r>
      <w:r w:rsidR="00495473" w:rsidRPr="00A313E3">
        <w:t>,</w:t>
      </w:r>
      <w:r w:rsidR="00143271" w:rsidRPr="00A313E3">
        <w:t xml:space="preserve"> s</w:t>
      </w:r>
      <w:r w:rsidRPr="00A313E3">
        <w:t>uch</w:t>
      </w:r>
      <w:r w:rsidR="00E613C8" w:rsidRPr="00A313E3">
        <w:t xml:space="preserve"> as </w:t>
      </w:r>
      <w:r w:rsidRPr="00A313E3">
        <w:t>mu</w:t>
      </w:r>
      <w:r w:rsidR="003C06E5" w:rsidRPr="00A313E3">
        <w:t>esli</w:t>
      </w:r>
      <w:r w:rsidR="00DC28B4" w:rsidRPr="00A313E3">
        <w:t xml:space="preserve"> </w:t>
      </w:r>
      <w:r w:rsidR="002477B6" w:rsidRPr="00A313E3">
        <w:t xml:space="preserve">or cereal style </w:t>
      </w:r>
      <w:r w:rsidR="00DC28B4" w:rsidRPr="00A313E3">
        <w:t>bars, salty snacks</w:t>
      </w:r>
      <w:r w:rsidR="00521BB9" w:rsidRPr="00A313E3">
        <w:t xml:space="preserve">, </w:t>
      </w:r>
      <w:r w:rsidRPr="00A313E3">
        <w:t>sugar</w:t>
      </w:r>
      <w:r w:rsidRPr="00A313E3">
        <w:noBreakHyphen/>
        <w:t xml:space="preserve">based desserts (jelly and </w:t>
      </w:r>
      <w:r w:rsidR="00DC28B4" w:rsidRPr="00A313E3">
        <w:t>ice confection</w:t>
      </w:r>
      <w:r w:rsidRPr="00A313E3">
        <w:t>)</w:t>
      </w:r>
      <w:r w:rsidR="00521BB9" w:rsidRPr="00A313E3">
        <w:t xml:space="preserve"> and </w:t>
      </w:r>
      <w:r w:rsidR="002477B6" w:rsidRPr="00A313E3">
        <w:t>oils and oil</w:t>
      </w:r>
      <w:r w:rsidR="002477B6" w:rsidRPr="00A313E3">
        <w:noBreakHyphen/>
        <w:t>based spreads</w:t>
      </w:r>
    </w:p>
    <w:p w14:paraId="598B9486" w14:textId="77777777" w:rsidR="005D638C" w:rsidRPr="00A313E3" w:rsidRDefault="005D638C" w:rsidP="00A313E3">
      <w:pPr>
        <w:pStyle w:val="mpcbullets1"/>
        <w:numPr>
          <w:ilvl w:val="0"/>
          <w:numId w:val="0"/>
        </w:numPr>
        <w:ind w:left="360"/>
      </w:pPr>
    </w:p>
    <w:p w14:paraId="029286A9" w14:textId="13F28C5C" w:rsidR="000B1D6D" w:rsidRPr="00A313E3" w:rsidRDefault="005D638C" w:rsidP="00A313E3">
      <w:pPr>
        <w:pStyle w:val="mpcbullets1"/>
      </w:pPr>
      <w:r w:rsidRPr="00A313E3">
        <w:t>other areas where alignment could be improved</w:t>
      </w:r>
      <w:r w:rsidR="00143271" w:rsidRPr="00A313E3">
        <w:t xml:space="preserve">, but there is less </w:t>
      </w:r>
      <w:r w:rsidRPr="00A313E3">
        <w:t>co</w:t>
      </w:r>
      <w:r w:rsidR="00A6187A" w:rsidRPr="00A313E3">
        <w:t xml:space="preserve">nsumer </w:t>
      </w:r>
      <w:r w:rsidRPr="00A313E3">
        <w:t>inter</w:t>
      </w:r>
      <w:r w:rsidR="00A6187A" w:rsidRPr="00A313E3">
        <w:t>e</w:t>
      </w:r>
      <w:r w:rsidR="00495473" w:rsidRPr="00A313E3">
        <w:t xml:space="preserve">st </w:t>
      </w:r>
      <w:r w:rsidRPr="00A313E3">
        <w:t>or</w:t>
      </w:r>
      <w:r w:rsidR="00495473" w:rsidRPr="00A313E3">
        <w:t xml:space="preserve"> the </w:t>
      </w:r>
      <w:r w:rsidRPr="00A313E3">
        <w:t xml:space="preserve">foods </w:t>
      </w:r>
      <w:r w:rsidR="00495473" w:rsidRPr="00A313E3">
        <w:t xml:space="preserve">do not </w:t>
      </w:r>
      <w:r w:rsidRPr="00A313E3">
        <w:t>ma</w:t>
      </w:r>
      <w:r w:rsidR="00A6187A" w:rsidRPr="00A313E3">
        <w:t>k</w:t>
      </w:r>
      <w:r w:rsidRPr="00A313E3">
        <w:t>e a significant contribution to the diet such as</w:t>
      </w:r>
      <w:r w:rsidR="00ED087A" w:rsidRPr="00A313E3">
        <w:t xml:space="preserve"> recipe</w:t>
      </w:r>
      <w:r w:rsidR="00A6187A" w:rsidRPr="00A313E3">
        <w:t xml:space="preserve"> mixes</w:t>
      </w:r>
      <w:r w:rsidR="00E613C8" w:rsidRPr="00A313E3">
        <w:t>,</w:t>
      </w:r>
      <w:r w:rsidR="00280AD5" w:rsidRPr="00A313E3">
        <w:t xml:space="preserve"> savoury sauces and spreads,</w:t>
      </w:r>
      <w:r w:rsidR="00E613C8" w:rsidRPr="00A313E3">
        <w:t xml:space="preserve"> </w:t>
      </w:r>
      <w:r w:rsidR="00280AD5" w:rsidRPr="00A313E3">
        <w:t xml:space="preserve">stocks and </w:t>
      </w:r>
      <w:r w:rsidR="00E613C8" w:rsidRPr="00A313E3">
        <w:t>dry gravy mixes, coffee-based beverages</w:t>
      </w:r>
      <w:r w:rsidR="00280AD5" w:rsidRPr="00A313E3">
        <w:t xml:space="preserve"> and</w:t>
      </w:r>
      <w:r w:rsidR="00BE335C" w:rsidRPr="00A313E3">
        <w:t xml:space="preserve"> flavoured teas</w:t>
      </w:r>
      <w:r w:rsidR="00292132" w:rsidRPr="00A313E3">
        <w:t>.</w:t>
      </w:r>
    </w:p>
    <w:p w14:paraId="67BE4895" w14:textId="09F3767E" w:rsidR="00A52702" w:rsidRPr="003D65BF" w:rsidRDefault="00A52702" w:rsidP="0024269C">
      <w:r w:rsidRPr="003D65BF">
        <w:br w:type="page"/>
      </w:r>
    </w:p>
    <w:p w14:paraId="415CCF39" w14:textId="77777777" w:rsidR="004B3AF9" w:rsidRPr="00AB3873" w:rsidRDefault="004B3AF9" w:rsidP="0024269C"/>
    <w:p w14:paraId="19405206" w14:textId="77777777" w:rsidR="00372F3A" w:rsidRPr="00AB3873" w:rsidRDefault="00372F3A" w:rsidP="00372F3A">
      <w:pPr>
        <w:pStyle w:val="mpcheading2"/>
        <w:rPr>
          <w:rFonts w:cstheme="minorHAnsi"/>
        </w:rPr>
      </w:pPr>
      <w:bookmarkStart w:id="25" w:name="Principles"/>
      <w:bookmarkStart w:id="26" w:name="_Toc527112892"/>
      <w:bookmarkEnd w:id="25"/>
      <w:r>
        <w:rPr>
          <w:rFonts w:cstheme="minorHAnsi"/>
        </w:rPr>
        <w:t>Principles for approaching the issues</w:t>
      </w:r>
      <w:bookmarkEnd w:id="26"/>
    </w:p>
    <w:p w14:paraId="53977736" w14:textId="77777777" w:rsidR="00372F3A" w:rsidRPr="003D65BF" w:rsidRDefault="00372F3A" w:rsidP="0024269C">
      <w:pPr>
        <w:rPr>
          <w:rFonts w:eastAsiaTheme="minorHAnsi"/>
        </w:rPr>
      </w:pPr>
    </w:p>
    <w:p w14:paraId="74C533F2" w14:textId="77777777" w:rsidR="00372F3A" w:rsidRPr="003D65BF" w:rsidRDefault="00372F3A" w:rsidP="0024269C">
      <w:r w:rsidRPr="003D65BF">
        <w:t xml:space="preserve">In </w:t>
      </w:r>
      <w:r>
        <w:t>exploring these issues</w:t>
      </w:r>
      <w:r w:rsidRPr="003D65BF">
        <w:t xml:space="preserve"> </w:t>
      </w:r>
      <w:r>
        <w:t xml:space="preserve">and developing options </w:t>
      </w:r>
      <w:r w:rsidRPr="003D65BF">
        <w:t>we have sought to</w:t>
      </w:r>
      <w:r>
        <w:t xml:space="preserve"> apply the following principles</w:t>
      </w:r>
      <w:r w:rsidRPr="003D65BF">
        <w:t>:</w:t>
      </w:r>
    </w:p>
    <w:p w14:paraId="4C66C93E" w14:textId="77777777" w:rsidR="00372F3A" w:rsidRPr="003D65BF" w:rsidRDefault="00372F3A" w:rsidP="0024269C"/>
    <w:p w14:paraId="1E4332F5" w14:textId="77777777" w:rsidR="00372F3A" w:rsidRDefault="00372F3A" w:rsidP="00B91EBF">
      <w:pPr>
        <w:pStyle w:val="mpcbullets1"/>
        <w:numPr>
          <w:ilvl w:val="0"/>
          <w:numId w:val="27"/>
        </w:numPr>
        <w:spacing w:after="240"/>
        <w:contextualSpacing/>
        <w:rPr>
          <w:rFonts w:cstheme="minorHAnsi"/>
          <w:b/>
        </w:rPr>
      </w:pPr>
      <w:r>
        <w:rPr>
          <w:rFonts w:cstheme="minorHAnsi"/>
          <w:b/>
        </w:rPr>
        <w:t>Clearly articulate the problem to be addressed and target solutions to the problem</w:t>
      </w:r>
    </w:p>
    <w:p w14:paraId="130695E8" w14:textId="77777777" w:rsidR="00372F3A" w:rsidRDefault="00372F3A" w:rsidP="00B91EBF">
      <w:pPr>
        <w:pStyle w:val="mpcbullets1"/>
        <w:numPr>
          <w:ilvl w:val="0"/>
          <w:numId w:val="22"/>
        </w:numPr>
        <w:contextualSpacing/>
        <w:rPr>
          <w:rFonts w:cstheme="minorHAnsi"/>
        </w:rPr>
      </w:pPr>
      <w:r w:rsidRPr="003E4897">
        <w:rPr>
          <w:rFonts w:cstheme="minorHAnsi"/>
        </w:rPr>
        <w:t xml:space="preserve">Where problems have been broadly expressed, we </w:t>
      </w:r>
      <w:r>
        <w:rPr>
          <w:rFonts w:cstheme="minorHAnsi"/>
        </w:rPr>
        <w:t xml:space="preserve">have sought </w:t>
      </w:r>
      <w:r w:rsidRPr="003E4897">
        <w:rPr>
          <w:rFonts w:cstheme="minorHAnsi"/>
        </w:rPr>
        <w:t>to understand the underlying c</w:t>
      </w:r>
      <w:r>
        <w:rPr>
          <w:rFonts w:cstheme="minorHAnsi"/>
        </w:rPr>
        <w:t xml:space="preserve">oncern </w:t>
      </w:r>
      <w:r w:rsidRPr="003E4897">
        <w:rPr>
          <w:rFonts w:cstheme="minorHAnsi"/>
        </w:rPr>
        <w:t>and why the problem (if any)</w:t>
      </w:r>
      <w:r>
        <w:rPr>
          <w:rFonts w:cstheme="minorHAnsi"/>
        </w:rPr>
        <w:t xml:space="preserve"> manifests in the HSR S</w:t>
      </w:r>
      <w:r w:rsidRPr="003E4897">
        <w:rPr>
          <w:rFonts w:cstheme="minorHAnsi"/>
        </w:rPr>
        <w:t>ystem.</w:t>
      </w:r>
      <w:r>
        <w:rPr>
          <w:rFonts w:cstheme="minorHAnsi"/>
        </w:rPr>
        <w:t xml:space="preserve"> </w:t>
      </w:r>
    </w:p>
    <w:p w14:paraId="7EB1A1E5" w14:textId="77777777" w:rsidR="00372F3A" w:rsidRPr="00BF038F" w:rsidRDefault="00372F3A" w:rsidP="00B91EBF">
      <w:pPr>
        <w:pStyle w:val="mpcbullets1"/>
        <w:numPr>
          <w:ilvl w:val="0"/>
          <w:numId w:val="22"/>
        </w:numPr>
        <w:contextualSpacing/>
        <w:rPr>
          <w:rFonts w:cstheme="minorHAnsi"/>
        </w:rPr>
      </w:pPr>
      <w:r>
        <w:rPr>
          <w:rFonts w:cstheme="minorHAnsi"/>
        </w:rPr>
        <w:t xml:space="preserve">We have sought to recommend </w:t>
      </w:r>
      <w:r w:rsidRPr="003D65BF">
        <w:rPr>
          <w:rFonts w:cstheme="minorHAnsi"/>
        </w:rPr>
        <w:t xml:space="preserve">a solution that targets the specific concern without </w:t>
      </w:r>
      <w:r>
        <w:rPr>
          <w:rFonts w:cstheme="minorHAnsi"/>
        </w:rPr>
        <w:t xml:space="preserve">unnecessarily </w:t>
      </w:r>
      <w:r w:rsidRPr="003D65BF">
        <w:rPr>
          <w:rFonts w:cstheme="minorHAnsi"/>
        </w:rPr>
        <w:t>impacting the System more broadly.</w:t>
      </w:r>
    </w:p>
    <w:p w14:paraId="7F9CCC5E" w14:textId="77777777" w:rsidR="00372F3A" w:rsidRDefault="00372F3A" w:rsidP="00372F3A">
      <w:pPr>
        <w:pStyle w:val="mpcbullets1"/>
        <w:numPr>
          <w:ilvl w:val="0"/>
          <w:numId w:val="0"/>
        </w:numPr>
        <w:spacing w:after="240"/>
        <w:ind w:left="360"/>
        <w:contextualSpacing/>
        <w:rPr>
          <w:rFonts w:cstheme="minorHAnsi"/>
          <w:b/>
        </w:rPr>
      </w:pPr>
    </w:p>
    <w:p w14:paraId="3D592DDB" w14:textId="77777777" w:rsidR="00372F3A" w:rsidRPr="00DC6DAF" w:rsidRDefault="00372F3A" w:rsidP="00B91EBF">
      <w:pPr>
        <w:pStyle w:val="mpcbullets1"/>
        <w:numPr>
          <w:ilvl w:val="0"/>
          <w:numId w:val="27"/>
        </w:numPr>
        <w:spacing w:after="240"/>
        <w:contextualSpacing/>
        <w:rPr>
          <w:rFonts w:cstheme="minorHAnsi"/>
          <w:b/>
        </w:rPr>
      </w:pPr>
      <w:r>
        <w:rPr>
          <w:rFonts w:cstheme="minorHAnsi"/>
          <w:b/>
        </w:rPr>
        <w:t>R</w:t>
      </w:r>
      <w:r w:rsidRPr="003D65BF">
        <w:rPr>
          <w:rFonts w:cstheme="minorHAnsi"/>
          <w:b/>
        </w:rPr>
        <w:t>etain the integrity of the HSR System</w:t>
      </w:r>
      <w:r w:rsidRPr="00DC6DAF">
        <w:rPr>
          <w:rFonts w:cstheme="minorHAnsi"/>
          <w:b/>
        </w:rPr>
        <w:t xml:space="preserve"> </w:t>
      </w:r>
      <w:r>
        <w:rPr>
          <w:rFonts w:cstheme="minorHAnsi"/>
          <w:b/>
        </w:rPr>
        <w:t xml:space="preserve">and maintain alignment with other regulation (including </w:t>
      </w:r>
      <w:r w:rsidRPr="003D65BF">
        <w:rPr>
          <w:rFonts w:cstheme="minorHAnsi"/>
          <w:b/>
        </w:rPr>
        <w:t>the Nutrient Pro</w:t>
      </w:r>
      <w:r>
        <w:rPr>
          <w:rFonts w:cstheme="minorHAnsi"/>
          <w:b/>
        </w:rPr>
        <w:t xml:space="preserve">filing Scoring Criterion (NPSC)) where possible </w:t>
      </w:r>
    </w:p>
    <w:p w14:paraId="21410034" w14:textId="77777777" w:rsidR="00372F3A" w:rsidRPr="00013CC0" w:rsidRDefault="00372F3A" w:rsidP="00B91EBF">
      <w:pPr>
        <w:pStyle w:val="mpcbullets1"/>
        <w:numPr>
          <w:ilvl w:val="0"/>
          <w:numId w:val="22"/>
        </w:numPr>
        <w:contextualSpacing/>
        <w:rPr>
          <w:rFonts w:cstheme="minorHAnsi"/>
        </w:rPr>
      </w:pPr>
      <w:r>
        <w:rPr>
          <w:rFonts w:cstheme="minorHAnsi"/>
        </w:rPr>
        <w:t>T</w:t>
      </w:r>
      <w:r w:rsidRPr="003D65BF">
        <w:rPr>
          <w:rFonts w:cstheme="minorHAnsi"/>
        </w:rPr>
        <w:t>he HSR System is generally performing well</w:t>
      </w:r>
      <w:r>
        <w:rPr>
          <w:rFonts w:cstheme="minorHAnsi"/>
        </w:rPr>
        <w:t xml:space="preserve"> such that broad or large</w:t>
      </w:r>
      <w:r>
        <w:rPr>
          <w:rFonts w:cstheme="minorHAnsi"/>
        </w:rPr>
        <w:noBreakHyphen/>
      </w:r>
      <w:r w:rsidRPr="003D65BF">
        <w:rPr>
          <w:rFonts w:cstheme="minorHAnsi"/>
        </w:rPr>
        <w:t xml:space="preserve">scale changes (that would fundamentally disrupt or replace the existing System) are not </w:t>
      </w:r>
      <w:r>
        <w:rPr>
          <w:rFonts w:cstheme="minorHAnsi"/>
        </w:rPr>
        <w:t>proposed</w:t>
      </w:r>
      <w:r w:rsidRPr="003D65BF">
        <w:rPr>
          <w:rFonts w:cstheme="minorHAnsi"/>
        </w:rPr>
        <w:t>.</w:t>
      </w:r>
      <w:r>
        <w:rPr>
          <w:rFonts w:cstheme="minorHAnsi"/>
        </w:rPr>
        <w:t xml:space="preserve"> The HSR System should continue to </w:t>
      </w:r>
      <w:r w:rsidRPr="00013CC0">
        <w:rPr>
          <w:rFonts w:cstheme="minorHAnsi"/>
        </w:rPr>
        <w:t>provide an overall view of a product based on a combination of components</w:t>
      </w:r>
      <w:r>
        <w:rPr>
          <w:rFonts w:cstheme="minorHAnsi"/>
        </w:rPr>
        <w:t>.</w:t>
      </w:r>
    </w:p>
    <w:p w14:paraId="55B195F8" w14:textId="77777777" w:rsidR="00372F3A" w:rsidRPr="00DC6DAF" w:rsidRDefault="00372F3A" w:rsidP="00B91EBF">
      <w:pPr>
        <w:pStyle w:val="mpcbullets1"/>
        <w:numPr>
          <w:ilvl w:val="0"/>
          <w:numId w:val="22"/>
        </w:numPr>
        <w:contextualSpacing/>
        <w:rPr>
          <w:rFonts w:cstheme="minorHAnsi"/>
        </w:rPr>
      </w:pPr>
      <w:r w:rsidRPr="003D65BF">
        <w:rPr>
          <w:rFonts w:cstheme="minorHAnsi"/>
        </w:rPr>
        <w:t>The HSR System is based on the NPSC</w:t>
      </w:r>
      <w:r>
        <w:rPr>
          <w:rFonts w:cstheme="minorHAnsi"/>
        </w:rPr>
        <w:t xml:space="preserve">, </w:t>
      </w:r>
      <w:r w:rsidRPr="00DC6DAF">
        <w:rPr>
          <w:rFonts w:cstheme="minorHAnsi"/>
        </w:rPr>
        <w:t>using the same relevant definitions</w:t>
      </w:r>
      <w:r>
        <w:rPr>
          <w:rFonts w:cstheme="minorHAnsi"/>
        </w:rPr>
        <w:t>, with some key differences and extrapolations</w:t>
      </w:r>
      <w:r w:rsidRPr="00DC6DAF">
        <w:rPr>
          <w:rFonts w:cstheme="minorHAnsi"/>
        </w:rPr>
        <w:t>.</w:t>
      </w:r>
      <w:r>
        <w:rPr>
          <w:rFonts w:cstheme="minorHAnsi"/>
        </w:rPr>
        <w:t xml:space="preserve"> Where possible we will continue to seek alignment with the NPSC but will </w:t>
      </w:r>
      <w:r w:rsidRPr="00AF0107">
        <w:rPr>
          <w:rFonts w:cstheme="minorHAnsi"/>
        </w:rPr>
        <w:t>explore, in particular, the effectiveness of any areas where the HSR System diverges from the NPSC</w:t>
      </w:r>
      <w:r w:rsidRPr="0093610C">
        <w:rPr>
          <w:rFonts w:cstheme="minorHAnsi"/>
        </w:rPr>
        <w:t>.</w:t>
      </w:r>
    </w:p>
    <w:p w14:paraId="18D32516" w14:textId="77777777" w:rsidR="00372F3A" w:rsidRPr="003D65BF" w:rsidRDefault="00372F3A" w:rsidP="00372F3A">
      <w:pPr>
        <w:pStyle w:val="mpcbullets1"/>
        <w:numPr>
          <w:ilvl w:val="0"/>
          <w:numId w:val="0"/>
        </w:numPr>
        <w:contextualSpacing/>
        <w:rPr>
          <w:rFonts w:cstheme="minorHAnsi"/>
        </w:rPr>
      </w:pPr>
    </w:p>
    <w:p w14:paraId="7742763C" w14:textId="77777777" w:rsidR="00372F3A" w:rsidRPr="00AE0FB5" w:rsidRDefault="00372F3A" w:rsidP="00B91EBF">
      <w:pPr>
        <w:pStyle w:val="mpcbullets1"/>
        <w:numPr>
          <w:ilvl w:val="0"/>
          <w:numId w:val="27"/>
        </w:numPr>
        <w:spacing w:after="240"/>
        <w:contextualSpacing/>
        <w:rPr>
          <w:rFonts w:cstheme="minorHAnsi"/>
        </w:rPr>
      </w:pPr>
      <w:r>
        <w:rPr>
          <w:rFonts w:cstheme="minorHAnsi"/>
          <w:b/>
        </w:rPr>
        <w:t>Be evidence based</w:t>
      </w:r>
    </w:p>
    <w:p w14:paraId="4BBED34F" w14:textId="77777777" w:rsidR="00372F3A" w:rsidRDefault="00372F3A" w:rsidP="00B91EBF">
      <w:pPr>
        <w:pStyle w:val="mpcbullets1"/>
        <w:numPr>
          <w:ilvl w:val="0"/>
          <w:numId w:val="22"/>
        </w:numPr>
        <w:contextualSpacing/>
        <w:rPr>
          <w:rFonts w:cstheme="minorHAnsi"/>
        </w:rPr>
      </w:pPr>
      <w:r>
        <w:rPr>
          <w:rFonts w:cstheme="minorHAnsi"/>
        </w:rPr>
        <w:t xml:space="preserve">We have drawn on the best available evidence but acknowledge that much of the evidence is disputed. On some issues there is either limited evidence or stakeholders have vastly different interpretations of the evidence. </w:t>
      </w:r>
    </w:p>
    <w:p w14:paraId="72BD4CBF" w14:textId="77777777" w:rsidR="00372F3A" w:rsidRDefault="00372F3A" w:rsidP="00372F3A">
      <w:pPr>
        <w:pStyle w:val="mpcbullets1"/>
        <w:numPr>
          <w:ilvl w:val="0"/>
          <w:numId w:val="0"/>
        </w:numPr>
        <w:spacing w:after="240"/>
        <w:contextualSpacing/>
        <w:rPr>
          <w:rFonts w:cstheme="minorHAnsi"/>
        </w:rPr>
      </w:pPr>
    </w:p>
    <w:p w14:paraId="63362D6D" w14:textId="77777777" w:rsidR="00372F3A" w:rsidRPr="003D65BF" w:rsidRDefault="00372F3A" w:rsidP="00B91EBF">
      <w:pPr>
        <w:pStyle w:val="mpcbullets1"/>
        <w:numPr>
          <w:ilvl w:val="0"/>
          <w:numId w:val="27"/>
        </w:numPr>
        <w:spacing w:after="240"/>
        <w:contextualSpacing/>
        <w:rPr>
          <w:rFonts w:cstheme="minorHAnsi"/>
        </w:rPr>
      </w:pPr>
      <w:r>
        <w:rPr>
          <w:rFonts w:cstheme="minorHAnsi"/>
          <w:b/>
        </w:rPr>
        <w:t>R</w:t>
      </w:r>
      <w:r w:rsidRPr="003D65BF">
        <w:rPr>
          <w:rFonts w:cstheme="minorHAnsi"/>
          <w:b/>
        </w:rPr>
        <w:t>emain as simple as possible</w:t>
      </w:r>
      <w:r>
        <w:rPr>
          <w:rFonts w:cstheme="minorHAnsi"/>
          <w:b/>
        </w:rPr>
        <w:t xml:space="preserve"> </w:t>
      </w:r>
    </w:p>
    <w:p w14:paraId="30799A1F"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It is important that any changes do not overly complicate the </w:t>
      </w:r>
      <w:r>
        <w:rPr>
          <w:rFonts w:cstheme="minorHAnsi"/>
        </w:rPr>
        <w:t>HSR System</w:t>
      </w:r>
      <w:r w:rsidRPr="003D65BF">
        <w:rPr>
          <w:rFonts w:cstheme="minorHAnsi"/>
        </w:rPr>
        <w:t xml:space="preserve"> </w:t>
      </w:r>
      <w:r>
        <w:rPr>
          <w:rFonts w:cstheme="minorHAnsi"/>
        </w:rPr>
        <w:t>to</w:t>
      </w:r>
      <w:r w:rsidRPr="003D65BF">
        <w:rPr>
          <w:rFonts w:cstheme="minorHAnsi"/>
        </w:rPr>
        <w:t xml:space="preserve"> ensure that industry </w:t>
      </w:r>
      <w:r>
        <w:rPr>
          <w:rFonts w:cstheme="minorHAnsi"/>
        </w:rPr>
        <w:t xml:space="preserve">and consumers can easily use </w:t>
      </w:r>
      <w:r w:rsidRPr="003D65BF">
        <w:rPr>
          <w:rFonts w:cstheme="minorHAnsi"/>
        </w:rPr>
        <w:t xml:space="preserve">it. </w:t>
      </w:r>
    </w:p>
    <w:p w14:paraId="441A63D7" w14:textId="77777777" w:rsidR="00372F3A" w:rsidRPr="003D65BF" w:rsidRDefault="00372F3A" w:rsidP="00B91EBF">
      <w:pPr>
        <w:pStyle w:val="mpcbullets1"/>
        <w:numPr>
          <w:ilvl w:val="0"/>
          <w:numId w:val="22"/>
        </w:numPr>
        <w:contextualSpacing/>
        <w:rPr>
          <w:rFonts w:cstheme="minorHAnsi"/>
        </w:rPr>
      </w:pPr>
      <w:r>
        <w:rPr>
          <w:rFonts w:cstheme="minorHAnsi"/>
        </w:rPr>
        <w:t>T</w:t>
      </w:r>
      <w:r w:rsidRPr="003D65BF">
        <w:rPr>
          <w:rFonts w:cstheme="minorHAnsi"/>
        </w:rPr>
        <w:t xml:space="preserve">he HSR System should avoid creating special rules and exceptions for certain products or </w:t>
      </w:r>
      <w:r>
        <w:rPr>
          <w:rFonts w:cstheme="minorHAnsi"/>
        </w:rPr>
        <w:t>HSR C</w:t>
      </w:r>
      <w:r w:rsidRPr="003D65BF">
        <w:rPr>
          <w:rFonts w:cstheme="minorHAnsi"/>
        </w:rPr>
        <w:t>ategories wherever possible.</w:t>
      </w:r>
    </w:p>
    <w:p w14:paraId="4374FB02" w14:textId="77777777" w:rsidR="00372F3A" w:rsidRPr="003D65BF" w:rsidRDefault="00372F3A" w:rsidP="00372F3A">
      <w:pPr>
        <w:pStyle w:val="mpcbullets1"/>
        <w:numPr>
          <w:ilvl w:val="0"/>
          <w:numId w:val="0"/>
        </w:numPr>
        <w:ind w:left="720"/>
        <w:contextualSpacing/>
        <w:rPr>
          <w:rFonts w:cstheme="minorHAnsi"/>
        </w:rPr>
      </w:pPr>
    </w:p>
    <w:p w14:paraId="79CE55A3" w14:textId="77777777" w:rsidR="00372F3A" w:rsidRPr="003D65BF" w:rsidRDefault="00372F3A" w:rsidP="00B91EBF">
      <w:pPr>
        <w:pStyle w:val="mpcbullets1"/>
        <w:numPr>
          <w:ilvl w:val="0"/>
          <w:numId w:val="27"/>
        </w:numPr>
        <w:spacing w:after="240"/>
        <w:contextualSpacing/>
        <w:rPr>
          <w:rFonts w:cstheme="minorHAnsi"/>
          <w:b/>
        </w:rPr>
      </w:pPr>
      <w:r>
        <w:rPr>
          <w:rFonts w:cstheme="minorHAnsi"/>
          <w:b/>
        </w:rPr>
        <w:t>A</w:t>
      </w:r>
      <w:r w:rsidRPr="003D65BF">
        <w:rPr>
          <w:rFonts w:cstheme="minorHAnsi"/>
          <w:b/>
        </w:rPr>
        <w:t>lign, as far as possible, with Dietary Guidelines</w:t>
      </w:r>
    </w:p>
    <w:p w14:paraId="7BB84D37"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While the purpose of the Dietary Guidelines differs to that of the HSR System, the HSR System should be used as a tool to complement the Dietary Guidelines. </w:t>
      </w:r>
    </w:p>
    <w:p w14:paraId="687732AF" w14:textId="10B30600" w:rsidR="00372F3A" w:rsidRPr="00521BB9" w:rsidRDefault="00372F3A" w:rsidP="00B91EBF">
      <w:pPr>
        <w:pStyle w:val="mpcbullets1"/>
        <w:numPr>
          <w:ilvl w:val="0"/>
          <w:numId w:val="22"/>
        </w:numPr>
        <w:contextualSpacing/>
        <w:rPr>
          <w:rFonts w:cstheme="minorHAnsi"/>
        </w:rPr>
      </w:pPr>
      <w:r w:rsidRPr="003D65BF">
        <w:rPr>
          <w:rFonts w:cstheme="minorHAnsi"/>
        </w:rPr>
        <w:t xml:space="preserve">One way of examining alignment is to consider how well the HSR System differentiates </w:t>
      </w:r>
      <w:r>
        <w:rPr>
          <w:rFonts w:cstheme="minorHAnsi"/>
        </w:rPr>
        <w:t>FFG</w:t>
      </w:r>
      <w:r w:rsidRPr="003D65BF">
        <w:rPr>
          <w:rFonts w:cstheme="minorHAnsi"/>
        </w:rPr>
        <w:t xml:space="preserve"> and discretionary foods. </w:t>
      </w:r>
      <w:r w:rsidRPr="00521BB9">
        <w:rPr>
          <w:rFonts w:cstheme="minorHAnsi"/>
        </w:rPr>
        <w:t xml:space="preserve">However, as noted above, there are challenges with applying this at the individual product level. </w:t>
      </w:r>
      <w:r>
        <w:rPr>
          <w:rFonts w:cstheme="minorHAnsi"/>
        </w:rPr>
        <w:t>As well as inconsistencies between the ADG and the NZEAG, t</w:t>
      </w:r>
      <w:r w:rsidRPr="00521BB9">
        <w:rPr>
          <w:rFonts w:cstheme="minorHAnsi"/>
        </w:rPr>
        <w:t xml:space="preserve">he AHS Discretionary Foods List seeks to dichotomise foods as </w:t>
      </w:r>
      <w:r>
        <w:rPr>
          <w:rFonts w:cstheme="minorHAnsi"/>
        </w:rPr>
        <w:t>FFG</w:t>
      </w:r>
      <w:r w:rsidRPr="00521BB9">
        <w:rPr>
          <w:rFonts w:cstheme="minorHAnsi"/>
        </w:rPr>
        <w:t xml:space="preserve"> or discretionary, whereas the HSR System provides an empirical scale</w:t>
      </w:r>
      <w:r>
        <w:rPr>
          <w:rFonts w:cstheme="minorHAnsi"/>
        </w:rPr>
        <w:t xml:space="preserve"> based on the balance of risk-associated nutrients and positive nutrients</w:t>
      </w:r>
      <w:r w:rsidRPr="00521BB9">
        <w:rPr>
          <w:rFonts w:cstheme="minorHAnsi"/>
        </w:rPr>
        <w:t xml:space="preserve">. </w:t>
      </w:r>
    </w:p>
    <w:p w14:paraId="3FE05F95" w14:textId="77777777" w:rsidR="00372F3A" w:rsidRPr="003D65BF" w:rsidRDefault="00372F3A" w:rsidP="00372F3A">
      <w:pPr>
        <w:pStyle w:val="mpcbullets1"/>
        <w:numPr>
          <w:ilvl w:val="0"/>
          <w:numId w:val="0"/>
        </w:numPr>
        <w:ind w:left="720"/>
        <w:contextualSpacing/>
        <w:rPr>
          <w:rFonts w:cstheme="minorHAnsi"/>
        </w:rPr>
      </w:pPr>
    </w:p>
    <w:p w14:paraId="1DBFA236" w14:textId="37762AAC" w:rsidR="00372F3A" w:rsidRPr="00FA6801" w:rsidRDefault="00372F3A" w:rsidP="00B91EBF">
      <w:pPr>
        <w:pStyle w:val="mpcbullets1"/>
        <w:numPr>
          <w:ilvl w:val="0"/>
          <w:numId w:val="27"/>
        </w:numPr>
        <w:spacing w:after="240"/>
        <w:contextualSpacing/>
        <w:rPr>
          <w:rFonts w:cstheme="minorHAnsi"/>
        </w:rPr>
      </w:pPr>
      <w:r>
        <w:rPr>
          <w:rFonts w:cstheme="minorHAnsi"/>
          <w:b/>
        </w:rPr>
        <w:t>Enable maximum discernment between like foods</w:t>
      </w:r>
      <w:r w:rsidR="00091DA8">
        <w:rPr>
          <w:rFonts w:cstheme="minorHAnsi"/>
          <w:b/>
        </w:rPr>
        <w:t xml:space="preserve"> with different nutritional profiles</w:t>
      </w:r>
    </w:p>
    <w:p w14:paraId="5BBEA53E" w14:textId="14F543DB" w:rsidR="00372F3A" w:rsidRDefault="00372F3A" w:rsidP="00B91EBF">
      <w:pPr>
        <w:pStyle w:val="mpcbullets1"/>
        <w:numPr>
          <w:ilvl w:val="0"/>
          <w:numId w:val="22"/>
        </w:numPr>
        <w:contextualSpacing/>
        <w:rPr>
          <w:rFonts w:cstheme="minorHAnsi"/>
        </w:rPr>
      </w:pPr>
      <w:r>
        <w:rPr>
          <w:rFonts w:cstheme="minorHAnsi"/>
        </w:rPr>
        <w:t>The HSR System is intended to support consumers to choose between like products. While the System needs to be broadly credible across the food supply, direct comparisons across HSR categories should be discouraged (e.g. comparing a dairy beverage to a biscuit).</w:t>
      </w:r>
    </w:p>
    <w:p w14:paraId="3BD61B22" w14:textId="4D144B08" w:rsidR="00372F3A" w:rsidRPr="00FA6801" w:rsidRDefault="00372F3A" w:rsidP="00B91EBF">
      <w:pPr>
        <w:pStyle w:val="mpcbullets1"/>
        <w:numPr>
          <w:ilvl w:val="0"/>
          <w:numId w:val="22"/>
        </w:numPr>
        <w:contextualSpacing/>
        <w:rPr>
          <w:rFonts w:cstheme="minorHAnsi"/>
        </w:rPr>
      </w:pPr>
      <w:r>
        <w:rPr>
          <w:rFonts w:cstheme="minorHAnsi"/>
        </w:rPr>
        <w:t>However, t</w:t>
      </w:r>
      <w:r w:rsidRPr="00FA6801">
        <w:rPr>
          <w:rFonts w:cstheme="minorHAnsi"/>
        </w:rPr>
        <w:t xml:space="preserve">here are some foods that could be argued to fall in one or another category </w:t>
      </w:r>
      <w:r>
        <w:rPr>
          <w:rFonts w:cstheme="minorHAnsi"/>
        </w:rPr>
        <w:t>where</w:t>
      </w:r>
      <w:r w:rsidRPr="00FA6801">
        <w:rPr>
          <w:rFonts w:cstheme="minorHAnsi"/>
        </w:rPr>
        <w:t xml:space="preserve"> this categorisation may affect the HSR. In considering how products are categorised, we have considered how consumers are likely to compare products when they shop. </w:t>
      </w:r>
    </w:p>
    <w:p w14:paraId="1FDBB880" w14:textId="77777777" w:rsidR="00372F3A" w:rsidRPr="00FA6801" w:rsidRDefault="00372F3A" w:rsidP="00372F3A">
      <w:pPr>
        <w:pStyle w:val="mpcbullets1"/>
        <w:numPr>
          <w:ilvl w:val="0"/>
          <w:numId w:val="0"/>
        </w:numPr>
        <w:spacing w:after="240"/>
        <w:ind w:left="360"/>
        <w:contextualSpacing/>
        <w:rPr>
          <w:rFonts w:cstheme="minorHAnsi"/>
        </w:rPr>
      </w:pPr>
    </w:p>
    <w:p w14:paraId="4B41D579" w14:textId="77777777" w:rsidR="00372F3A" w:rsidRPr="00BF038F" w:rsidRDefault="00372F3A" w:rsidP="00B91EBF">
      <w:pPr>
        <w:pStyle w:val="mpcbullets1"/>
        <w:keepNext/>
        <w:numPr>
          <w:ilvl w:val="0"/>
          <w:numId w:val="27"/>
        </w:numPr>
        <w:spacing w:after="240"/>
        <w:ind w:hanging="357"/>
        <w:contextualSpacing/>
        <w:rPr>
          <w:rFonts w:cstheme="minorHAnsi"/>
        </w:rPr>
      </w:pPr>
      <w:r>
        <w:rPr>
          <w:rFonts w:cstheme="minorHAnsi"/>
          <w:b/>
        </w:rPr>
        <w:lastRenderedPageBreak/>
        <w:t>Recognise the scope of the HSR System and a</w:t>
      </w:r>
      <w:r w:rsidRPr="003D65BF">
        <w:rPr>
          <w:rFonts w:cstheme="minorHAnsi"/>
          <w:b/>
        </w:rPr>
        <w:t xml:space="preserve">void </w:t>
      </w:r>
      <w:r>
        <w:rPr>
          <w:rFonts w:cstheme="minorHAnsi"/>
          <w:b/>
        </w:rPr>
        <w:t>using</w:t>
      </w:r>
      <w:r w:rsidRPr="003D65BF">
        <w:rPr>
          <w:rFonts w:cstheme="minorHAnsi"/>
          <w:b/>
        </w:rPr>
        <w:t xml:space="preserve"> the HSR System to address problem</w:t>
      </w:r>
      <w:r>
        <w:rPr>
          <w:rFonts w:cstheme="minorHAnsi"/>
          <w:b/>
        </w:rPr>
        <w:t>s beyond its</w:t>
      </w:r>
      <w:r w:rsidRPr="003D65BF">
        <w:rPr>
          <w:rFonts w:cstheme="minorHAnsi"/>
          <w:b/>
        </w:rPr>
        <w:t xml:space="preserve"> scope</w:t>
      </w:r>
      <w:r>
        <w:rPr>
          <w:rFonts w:cstheme="minorHAnsi"/>
          <w:b/>
        </w:rPr>
        <w:t xml:space="preserve"> </w:t>
      </w:r>
    </w:p>
    <w:p w14:paraId="37A76E08" w14:textId="77777777" w:rsidR="00372F3A" w:rsidRPr="00BF038F" w:rsidRDefault="00372F3A" w:rsidP="00B91EBF">
      <w:pPr>
        <w:pStyle w:val="mpcbullets1"/>
        <w:keepNext/>
        <w:numPr>
          <w:ilvl w:val="0"/>
          <w:numId w:val="22"/>
        </w:numPr>
        <w:ind w:hanging="357"/>
        <w:contextualSpacing/>
        <w:rPr>
          <w:rFonts w:cstheme="minorHAnsi"/>
        </w:rPr>
      </w:pPr>
      <w:r w:rsidRPr="00BF038F">
        <w:rPr>
          <w:rFonts w:cstheme="minorHAnsi"/>
        </w:rPr>
        <w:t xml:space="preserve">The HSR System is not intended as a complete source of dietary advice. </w:t>
      </w:r>
    </w:p>
    <w:p w14:paraId="2D34F20A"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The System is intended to complement other guidelines, tools and campaigns that support consumers to make healthier dietary choices. Other levers </w:t>
      </w:r>
      <w:r>
        <w:rPr>
          <w:rFonts w:cstheme="minorHAnsi"/>
        </w:rPr>
        <w:t xml:space="preserve">(such as portion sizes) </w:t>
      </w:r>
      <w:r w:rsidRPr="003D65BF">
        <w:rPr>
          <w:rFonts w:cstheme="minorHAnsi"/>
        </w:rPr>
        <w:t>may be more appropriate to address some of the concerns highlighted by stakeholders.</w:t>
      </w:r>
    </w:p>
    <w:p w14:paraId="633627E5" w14:textId="77777777" w:rsidR="00372F3A" w:rsidRPr="003D65BF" w:rsidRDefault="00372F3A" w:rsidP="00372F3A">
      <w:pPr>
        <w:pStyle w:val="mpcbullets1"/>
        <w:numPr>
          <w:ilvl w:val="0"/>
          <w:numId w:val="0"/>
        </w:numPr>
        <w:contextualSpacing/>
        <w:rPr>
          <w:rFonts w:cstheme="minorHAnsi"/>
        </w:rPr>
      </w:pPr>
    </w:p>
    <w:p w14:paraId="2FA57A39" w14:textId="77777777" w:rsidR="00372F3A" w:rsidRPr="003D65BF" w:rsidRDefault="00372F3A" w:rsidP="00B91EBF">
      <w:pPr>
        <w:pStyle w:val="mpcbullets1"/>
        <w:numPr>
          <w:ilvl w:val="0"/>
          <w:numId w:val="27"/>
        </w:numPr>
        <w:spacing w:after="240"/>
        <w:contextualSpacing/>
        <w:rPr>
          <w:rFonts w:cstheme="minorHAnsi"/>
          <w:b/>
        </w:rPr>
      </w:pPr>
      <w:r>
        <w:rPr>
          <w:rFonts w:cstheme="minorHAnsi"/>
          <w:b/>
        </w:rPr>
        <w:t>Continue to incentivise</w:t>
      </w:r>
      <w:r w:rsidRPr="003D65BF">
        <w:rPr>
          <w:rFonts w:cstheme="minorHAnsi"/>
          <w:b/>
        </w:rPr>
        <w:t xml:space="preserve"> </w:t>
      </w:r>
      <w:r>
        <w:rPr>
          <w:rFonts w:cstheme="minorHAnsi"/>
          <w:b/>
        </w:rPr>
        <w:t>food manufacturers to decrease risk-associated nutrients</w:t>
      </w:r>
    </w:p>
    <w:p w14:paraId="7A4EA41C" w14:textId="77777777" w:rsidR="00372F3A" w:rsidRPr="003D65BF" w:rsidRDefault="00372F3A" w:rsidP="00B91EBF">
      <w:pPr>
        <w:pStyle w:val="mpcbullets1"/>
        <w:numPr>
          <w:ilvl w:val="0"/>
          <w:numId w:val="22"/>
        </w:numPr>
        <w:contextualSpacing/>
        <w:rPr>
          <w:rFonts w:cstheme="minorHAnsi"/>
        </w:rPr>
      </w:pPr>
      <w:r w:rsidRPr="003D65BF">
        <w:rPr>
          <w:rFonts w:cstheme="minorHAnsi"/>
        </w:rPr>
        <w:t>Changes should aim to drive achievable</w:t>
      </w:r>
      <w:r>
        <w:rPr>
          <w:rFonts w:cstheme="minorHAnsi"/>
        </w:rPr>
        <w:t xml:space="preserve"> positive reformulation, particularly to reduce risk nutrients.</w:t>
      </w:r>
    </w:p>
    <w:p w14:paraId="1FF20145" w14:textId="1C6D8D39" w:rsidR="005C188A" w:rsidRDefault="005C188A" w:rsidP="0024269C"/>
    <w:p w14:paraId="03A85A60" w14:textId="77777777" w:rsidR="001B5089" w:rsidRPr="00AB3873" w:rsidRDefault="001B5089" w:rsidP="00A313E3">
      <w:pPr>
        <w:pStyle w:val="mpcheading2"/>
      </w:pPr>
      <w:bookmarkStart w:id="27" w:name="Keyissuesforexamination"/>
      <w:bookmarkStart w:id="28" w:name="_Toc527112893"/>
      <w:bookmarkEnd w:id="27"/>
      <w:r>
        <w:t xml:space="preserve">Key </w:t>
      </w:r>
      <w:r w:rsidRPr="00A313E3">
        <w:t>issues</w:t>
      </w:r>
      <w:r>
        <w:t xml:space="preserve"> for examination</w:t>
      </w:r>
      <w:bookmarkEnd w:id="28"/>
      <w:r>
        <w:t xml:space="preserve"> </w:t>
      </w:r>
    </w:p>
    <w:p w14:paraId="6C9FD1CA" w14:textId="77777777" w:rsidR="001B5089" w:rsidRPr="00AB3873" w:rsidRDefault="001B5089" w:rsidP="0024269C"/>
    <w:tbl>
      <w:tblPr>
        <w:tblStyle w:val="GridTable4Accent1"/>
        <w:tblW w:w="10065" w:type="dxa"/>
        <w:tblInd w:w="-147" w:type="dxa"/>
        <w:tblLook w:val="04A0" w:firstRow="1" w:lastRow="0" w:firstColumn="1" w:lastColumn="0" w:noHBand="0" w:noVBand="1"/>
        <w:tblCaption w:val="Key issues for examination"/>
        <w:tblDescription w:val="This table outlines each of the key issues for examination in the Consultation Paper, including examples."/>
      </w:tblPr>
      <w:tblGrid>
        <w:gridCol w:w="1054"/>
        <w:gridCol w:w="1253"/>
        <w:gridCol w:w="4135"/>
        <w:gridCol w:w="3623"/>
      </w:tblGrid>
      <w:tr w:rsidR="001B5089" w:rsidRPr="006D413D" w14:paraId="6DEB7689" w14:textId="77777777" w:rsidTr="003763CA">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992" w:type="dxa"/>
            <w:shd w:val="clear" w:color="auto" w:fill="44546A"/>
          </w:tcPr>
          <w:p w14:paraId="4A402612" w14:textId="77777777" w:rsidR="001B5089" w:rsidRPr="006D413D" w:rsidRDefault="001B5089" w:rsidP="0024269C">
            <w:pPr>
              <w:rPr>
                <w:szCs w:val="22"/>
              </w:rPr>
            </w:pPr>
            <w:r w:rsidRPr="006D413D">
              <w:rPr>
                <w:szCs w:val="22"/>
              </w:rPr>
              <w:t>I</w:t>
            </w:r>
            <w:bookmarkStart w:id="29" w:name="ColumnTitle2"/>
            <w:bookmarkEnd w:id="29"/>
            <w:r w:rsidRPr="006D413D">
              <w:rPr>
                <w:szCs w:val="22"/>
              </w:rPr>
              <w:t>ssu</w:t>
            </w:r>
            <w:bookmarkStart w:id="30" w:name="Table_2_Key_issues_for_examination"/>
            <w:bookmarkEnd w:id="30"/>
            <w:r w:rsidRPr="006D413D">
              <w:rPr>
                <w:szCs w:val="22"/>
              </w:rPr>
              <w:t>e</w:t>
            </w:r>
          </w:p>
        </w:tc>
        <w:tc>
          <w:tcPr>
            <w:tcW w:w="1176" w:type="dxa"/>
            <w:shd w:val="clear" w:color="auto" w:fill="44546A" w:themeFill="text2"/>
          </w:tcPr>
          <w:p w14:paraId="1A016BC4"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 xml:space="preserve">Topic </w:t>
            </w:r>
          </w:p>
        </w:tc>
        <w:tc>
          <w:tcPr>
            <w:tcW w:w="4211" w:type="dxa"/>
            <w:shd w:val="clear" w:color="auto" w:fill="44546A" w:themeFill="text2"/>
          </w:tcPr>
          <w:p w14:paraId="438FEEE8"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Specific issue</w:t>
            </w:r>
          </w:p>
        </w:tc>
        <w:tc>
          <w:tcPr>
            <w:tcW w:w="3686" w:type="dxa"/>
            <w:shd w:val="clear" w:color="auto" w:fill="44546A" w:themeFill="text2"/>
          </w:tcPr>
          <w:p w14:paraId="03CD16AC"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Examples</w:t>
            </w:r>
          </w:p>
        </w:tc>
      </w:tr>
      <w:tr w:rsidR="001B5089" w:rsidRPr="006D413D" w14:paraId="1DA26E9F"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7D2F4C7E" w14:textId="77777777" w:rsidR="001B5089" w:rsidRPr="006D413D" w:rsidRDefault="001B5089" w:rsidP="0024269C">
            <w:pPr>
              <w:rPr>
                <w:szCs w:val="22"/>
              </w:rPr>
            </w:pPr>
            <w:r w:rsidRPr="006D413D">
              <w:rPr>
                <w:szCs w:val="22"/>
              </w:rPr>
              <w:t>Scope of the HSR System</w:t>
            </w:r>
          </w:p>
        </w:tc>
        <w:tc>
          <w:tcPr>
            <w:tcW w:w="1176" w:type="dxa"/>
          </w:tcPr>
          <w:p w14:paraId="1A967F2D"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 xml:space="preserve">Fruits and vegetables </w:t>
            </w:r>
          </w:p>
        </w:tc>
        <w:tc>
          <w:tcPr>
            <w:tcW w:w="4211" w:type="dxa"/>
          </w:tcPr>
          <w:p w14:paraId="1A99AF80"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the HSR System should apply to packaged fresh or minimally processed fruits and vegetables and if so, whether all fresh and minimally processed fruits and vegetables should automatically receive an HSR of 5 given the important role they play in the diet.</w:t>
            </w:r>
          </w:p>
        </w:tc>
        <w:tc>
          <w:tcPr>
            <w:tcW w:w="3686" w:type="dxa"/>
          </w:tcPr>
          <w:p w14:paraId="14EE864A"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A number of fruits and vegetables currently receive HSRs of 4 or 4.5.</w:t>
            </w:r>
          </w:p>
        </w:tc>
      </w:tr>
      <w:tr w:rsidR="001B5089" w:rsidRPr="006D413D" w14:paraId="6D0A455A"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7B7A83E7" w14:textId="77777777" w:rsidR="001B5089" w:rsidRPr="006D413D" w:rsidRDefault="001B5089" w:rsidP="0024269C">
            <w:pPr>
              <w:rPr>
                <w:szCs w:val="22"/>
              </w:rPr>
            </w:pPr>
          </w:p>
        </w:tc>
        <w:tc>
          <w:tcPr>
            <w:tcW w:w="1176" w:type="dxa"/>
          </w:tcPr>
          <w:p w14:paraId="26233353"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Non-dairy beverages</w:t>
            </w:r>
          </w:p>
        </w:tc>
        <w:tc>
          <w:tcPr>
            <w:tcW w:w="4211" w:type="dxa"/>
          </w:tcPr>
          <w:p w14:paraId="2F74BB1D"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can better encourage consumption of non-dairy beverages closest in nutritional profile to water and better support consumers to compare non-dairy beverages.</w:t>
            </w:r>
          </w:p>
        </w:tc>
        <w:tc>
          <w:tcPr>
            <w:tcW w:w="3686" w:type="dxa"/>
          </w:tcPr>
          <w:p w14:paraId="2C3B17B6"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Most non-dairy beverages display the energy icon, while many 100% fruit and vegetable juices display the stars.</w:t>
            </w:r>
          </w:p>
          <w:p w14:paraId="7209623A"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Naturally-flavoured waters generally receive low HSRs of 2 – 2.5, despite a similar nutrient profile to plain water (which receives an automatic HSR of 5 as the result of a policy decision).</w:t>
            </w:r>
          </w:p>
        </w:tc>
      </w:tr>
      <w:tr w:rsidR="001B5089" w:rsidRPr="006D413D" w14:paraId="7A7CB766"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3E137852" w14:textId="77777777" w:rsidR="001B5089" w:rsidRPr="006D413D" w:rsidRDefault="001B5089" w:rsidP="0024269C">
            <w:pPr>
              <w:rPr>
                <w:szCs w:val="22"/>
              </w:rPr>
            </w:pPr>
            <w:r w:rsidRPr="006D413D">
              <w:rPr>
                <w:szCs w:val="22"/>
              </w:rPr>
              <w:t>Risk nutrients</w:t>
            </w:r>
          </w:p>
        </w:tc>
        <w:tc>
          <w:tcPr>
            <w:tcW w:w="1176" w:type="dxa"/>
          </w:tcPr>
          <w:p w14:paraId="0BFBA78D"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 xml:space="preserve">Sugar </w:t>
            </w:r>
          </w:p>
        </w:tc>
        <w:tc>
          <w:tcPr>
            <w:tcW w:w="4211" w:type="dxa"/>
          </w:tcPr>
          <w:p w14:paraId="505783D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b/>
                <w:i/>
                <w:szCs w:val="22"/>
              </w:rPr>
            </w:pPr>
            <w:r w:rsidRPr="006D413D">
              <w:rPr>
                <w:szCs w:val="22"/>
              </w:rPr>
              <w:t>Whether the HSR System appropriately deals with sugars, specifically added sugars, particularly in areas of high consumer interest such as breakfast cereals, muesli bars and yoghurts.</w:t>
            </w:r>
            <w:r w:rsidRPr="006D413D">
              <w:rPr>
                <w:b/>
                <w:i/>
                <w:szCs w:val="22"/>
              </w:rPr>
              <w:t xml:space="preserve"> </w:t>
            </w:r>
          </w:p>
        </w:tc>
        <w:tc>
          <w:tcPr>
            <w:tcW w:w="3686" w:type="dxa"/>
          </w:tcPr>
          <w:p w14:paraId="4868E096"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 xml:space="preserve">Some breakfast cereals with &gt; 25g/100g of total sugars, muesli bars with total sugars &gt; 10g/100g and yoghurts with &gt; 10g/100g receive HSRs </w:t>
            </w:r>
            <w:r w:rsidRPr="006D413D">
              <w:rPr>
                <w:i/>
                <w:szCs w:val="22"/>
              </w:rPr>
              <w:sym w:font="Symbol" w:char="F0B3"/>
            </w:r>
            <w:r w:rsidRPr="006D413D">
              <w:rPr>
                <w:i/>
                <w:szCs w:val="22"/>
              </w:rPr>
              <w:t xml:space="preserve"> 3.5, attracting criticism from some stakeholders.</w:t>
            </w:r>
          </w:p>
        </w:tc>
      </w:tr>
      <w:tr w:rsidR="001B5089" w:rsidRPr="006D413D" w14:paraId="19B61ACF"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1D94CD40" w14:textId="77777777" w:rsidR="001B5089" w:rsidRPr="006D413D" w:rsidRDefault="001B5089" w:rsidP="0024269C">
            <w:pPr>
              <w:rPr>
                <w:szCs w:val="22"/>
              </w:rPr>
            </w:pPr>
          </w:p>
        </w:tc>
        <w:tc>
          <w:tcPr>
            <w:tcW w:w="1176" w:type="dxa"/>
          </w:tcPr>
          <w:p w14:paraId="7092DA34"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 xml:space="preserve">Sodium </w:t>
            </w:r>
          </w:p>
        </w:tc>
        <w:tc>
          <w:tcPr>
            <w:tcW w:w="4211" w:type="dxa"/>
          </w:tcPr>
          <w:p w14:paraId="4CC9E17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could more effectively discriminate between products that have significantly different sodium levels.</w:t>
            </w:r>
          </w:p>
        </w:tc>
        <w:tc>
          <w:tcPr>
            <w:tcW w:w="3686" w:type="dxa"/>
          </w:tcPr>
          <w:p w14:paraId="77DAA34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The HSR does not differentiate well between products with high and significantly different levels of sodium. For example, some processed meats, salty snacks, savoury sauces and seasonings</w:t>
            </w:r>
          </w:p>
        </w:tc>
      </w:tr>
      <w:tr w:rsidR="001B5089" w:rsidRPr="006D413D" w14:paraId="0DFEFA87"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7A2F262D" w14:textId="77777777" w:rsidR="001B5089" w:rsidRPr="006D413D" w:rsidRDefault="001B5089" w:rsidP="0024269C">
            <w:pPr>
              <w:rPr>
                <w:szCs w:val="22"/>
              </w:rPr>
            </w:pPr>
            <w:r w:rsidRPr="006D413D">
              <w:rPr>
                <w:szCs w:val="22"/>
              </w:rPr>
              <w:t>Positive nutrients</w:t>
            </w:r>
          </w:p>
        </w:tc>
        <w:tc>
          <w:tcPr>
            <w:tcW w:w="1176" w:type="dxa"/>
          </w:tcPr>
          <w:p w14:paraId="7DD88847"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Protein</w:t>
            </w:r>
          </w:p>
        </w:tc>
        <w:tc>
          <w:tcPr>
            <w:tcW w:w="4211" w:type="dxa"/>
          </w:tcPr>
          <w:p w14:paraId="76F0F66A"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protein should be included in the HSR Calculator given the majority of Australians and New Zealanders meet or exceed recommended intakes for protein. If so, whether less healthy products should be able to benefit from the presence of protein.</w:t>
            </w:r>
          </w:p>
        </w:tc>
        <w:tc>
          <w:tcPr>
            <w:tcW w:w="3686" w:type="dxa"/>
          </w:tcPr>
          <w:p w14:paraId="152A2CA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Concerns have been raised that some discretionary products with high energy, total sugars, saturated fat and/or sodium content may receive higher than expected HSRs due to the presence of protein.</w:t>
            </w:r>
          </w:p>
        </w:tc>
      </w:tr>
      <w:tr w:rsidR="001B5089" w:rsidRPr="006D413D" w14:paraId="26C2539C"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09DDBEF3" w14:textId="77777777" w:rsidR="001B5089" w:rsidRPr="006D413D" w:rsidRDefault="001B5089" w:rsidP="0024269C">
            <w:pPr>
              <w:rPr>
                <w:szCs w:val="22"/>
              </w:rPr>
            </w:pPr>
          </w:p>
        </w:tc>
        <w:tc>
          <w:tcPr>
            <w:tcW w:w="1176" w:type="dxa"/>
          </w:tcPr>
          <w:p w14:paraId="1AF322B5"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Fibre and wholegrain</w:t>
            </w:r>
          </w:p>
        </w:tc>
        <w:tc>
          <w:tcPr>
            <w:tcW w:w="4211" w:type="dxa"/>
          </w:tcPr>
          <w:p w14:paraId="7C873698"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should better enable consideration of the wholegrain content of products.</w:t>
            </w:r>
          </w:p>
        </w:tc>
        <w:tc>
          <w:tcPr>
            <w:tcW w:w="3686" w:type="dxa"/>
          </w:tcPr>
          <w:p w14:paraId="6A4651F0"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White and brown rices receive similar HSRs (basmati, jasmine and brown rice all receive an HSR of 4).</w:t>
            </w:r>
          </w:p>
        </w:tc>
      </w:tr>
      <w:tr w:rsidR="001B5089" w:rsidRPr="006D413D" w14:paraId="4789CA8B"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080E3EF9" w14:textId="77777777" w:rsidR="001B5089" w:rsidRPr="006D413D" w:rsidRDefault="001B5089" w:rsidP="0024269C">
            <w:pPr>
              <w:rPr>
                <w:szCs w:val="22"/>
              </w:rPr>
            </w:pPr>
            <w:r w:rsidRPr="006D413D">
              <w:rPr>
                <w:szCs w:val="22"/>
              </w:rPr>
              <w:lastRenderedPageBreak/>
              <w:t>Product specific issues</w:t>
            </w:r>
          </w:p>
        </w:tc>
        <w:tc>
          <w:tcPr>
            <w:tcW w:w="1176" w:type="dxa"/>
          </w:tcPr>
          <w:p w14:paraId="25928BE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Oils and spreads</w:t>
            </w:r>
          </w:p>
        </w:tc>
        <w:tc>
          <w:tcPr>
            <w:tcW w:w="4211" w:type="dxa"/>
          </w:tcPr>
          <w:p w14:paraId="020D2423"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healthy oils and spreads should receive similar, higher HSRs.</w:t>
            </w:r>
          </w:p>
        </w:tc>
        <w:tc>
          <w:tcPr>
            <w:tcW w:w="3686" w:type="dxa"/>
          </w:tcPr>
          <w:p w14:paraId="4D300DAF"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Peanut oil scores an HSR of 2.5, sunflower oil scores an HSR of 3, olive oil scores an HSR of 3-3.5, canola oil scores an HSR of 4, yet these products are not differentiated by Dietary Guidelines.</w:t>
            </w:r>
          </w:p>
        </w:tc>
      </w:tr>
      <w:tr w:rsidR="001B5089" w:rsidRPr="006D413D" w14:paraId="04FDC8C3"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0C2C0A6B" w14:textId="77777777" w:rsidR="001B5089" w:rsidRPr="006D413D" w:rsidRDefault="001B5089" w:rsidP="0024269C">
            <w:pPr>
              <w:rPr>
                <w:szCs w:val="22"/>
              </w:rPr>
            </w:pPr>
          </w:p>
        </w:tc>
        <w:tc>
          <w:tcPr>
            <w:tcW w:w="1176" w:type="dxa"/>
          </w:tcPr>
          <w:p w14:paraId="10986F2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Salty snacks</w:t>
            </w:r>
          </w:p>
        </w:tc>
        <w:tc>
          <w:tcPr>
            <w:tcW w:w="4211" w:type="dxa"/>
          </w:tcPr>
          <w:p w14:paraId="42EC3109"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discretionary salty snacks should receive lower HSRs to better align with their status as discretionary foods.</w:t>
            </w:r>
          </w:p>
        </w:tc>
        <w:tc>
          <w:tcPr>
            <w:tcW w:w="3686" w:type="dxa"/>
          </w:tcPr>
          <w:p w14:paraId="7A21FD4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Some extruded snacks, vegetable crisps and popcorns receive an HSR of between 3.5 and 5.</w:t>
            </w:r>
          </w:p>
        </w:tc>
      </w:tr>
      <w:tr w:rsidR="001B5089" w:rsidRPr="006D413D" w14:paraId="52B3451C"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170B9704" w14:textId="77777777" w:rsidR="001B5089" w:rsidRPr="006D413D" w:rsidRDefault="001B5089" w:rsidP="0024269C">
            <w:pPr>
              <w:rPr>
                <w:szCs w:val="22"/>
              </w:rPr>
            </w:pPr>
          </w:p>
        </w:tc>
        <w:tc>
          <w:tcPr>
            <w:tcW w:w="1176" w:type="dxa"/>
          </w:tcPr>
          <w:p w14:paraId="32AD3471"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Dairy desserts</w:t>
            </w:r>
          </w:p>
        </w:tc>
        <w:tc>
          <w:tcPr>
            <w:tcW w:w="4211" w:type="dxa"/>
          </w:tcPr>
          <w:p w14:paraId="39C1B189"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the HSR System appropriately rates products like yoghurts against dairy dessert products, when they are presented similarly to consumers.</w:t>
            </w:r>
          </w:p>
        </w:tc>
        <w:tc>
          <w:tcPr>
            <w:tcW w:w="3686" w:type="dxa"/>
          </w:tcPr>
          <w:p w14:paraId="56C4B07B"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Some dairy dessert products in Category 2 (such as some custards) receive a higher HSR than some FFG dairy products in Category 2D (such as yoghurts).</w:t>
            </w:r>
          </w:p>
        </w:tc>
      </w:tr>
      <w:tr w:rsidR="001B5089" w:rsidRPr="006D413D" w14:paraId="7EF99957"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426F28A0" w14:textId="77777777" w:rsidR="001B5089" w:rsidRPr="006D413D" w:rsidRDefault="001B5089" w:rsidP="0024269C">
            <w:pPr>
              <w:rPr>
                <w:szCs w:val="22"/>
              </w:rPr>
            </w:pPr>
          </w:p>
        </w:tc>
        <w:tc>
          <w:tcPr>
            <w:tcW w:w="1176" w:type="dxa"/>
          </w:tcPr>
          <w:p w14:paraId="3D7659B7"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Jellies and ice confections</w:t>
            </w:r>
          </w:p>
        </w:tc>
        <w:tc>
          <w:tcPr>
            <w:tcW w:w="4211" w:type="dxa"/>
          </w:tcPr>
          <w:p w14:paraId="005CA849"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jellies and ice confections should receive lower HSRs in line with non-dairy beverages, given their similar ingredient and nutritional profile and high total sugars content.</w:t>
            </w:r>
          </w:p>
        </w:tc>
        <w:tc>
          <w:tcPr>
            <w:tcW w:w="3686" w:type="dxa"/>
          </w:tcPr>
          <w:p w14:paraId="7DB0B416"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Jellies and sorbets generally receive HSRs of 3-3.5 despite their high total sugars and similar nutritional profile to non-dairy beverages.</w:t>
            </w:r>
          </w:p>
        </w:tc>
      </w:tr>
    </w:tbl>
    <w:p w14:paraId="01DD28A9" w14:textId="77777777" w:rsidR="001B5089" w:rsidRPr="003D65BF" w:rsidRDefault="001B5089" w:rsidP="0024269C"/>
    <w:p w14:paraId="64DEB8D7" w14:textId="54007AB8" w:rsidR="008C6580" w:rsidRPr="00521BB9" w:rsidRDefault="00360AEF" w:rsidP="006462DF">
      <w:pPr>
        <w:pStyle w:val="mpcheading2"/>
        <w:keepNext/>
        <w:rPr>
          <w:rFonts w:cstheme="minorHAnsi"/>
        </w:rPr>
      </w:pPr>
      <w:bookmarkStart w:id="31" w:name="Issuesnotexplored"/>
      <w:bookmarkStart w:id="32" w:name="_Toc527112894"/>
      <w:bookmarkEnd w:id="31"/>
      <w:r w:rsidRPr="00992B01">
        <w:rPr>
          <w:rFonts w:cstheme="minorHAnsi"/>
        </w:rPr>
        <w:t xml:space="preserve">Issues not explored </w:t>
      </w:r>
      <w:bookmarkEnd w:id="32"/>
    </w:p>
    <w:p w14:paraId="600E62BE" w14:textId="01793426" w:rsidR="00521BB9" w:rsidRDefault="00521BB9" w:rsidP="0024269C"/>
    <w:p w14:paraId="117CEFE4" w14:textId="77777777" w:rsidR="005E5177" w:rsidRDefault="00360AEF" w:rsidP="0024269C">
      <w:pPr>
        <w:pStyle w:val="mpcNormal"/>
      </w:pPr>
      <w:r w:rsidRPr="00360AEF">
        <w:t>A number of issues have been examined by the TAG that are not explored in this Consultation Paper</w:t>
      </w:r>
      <w:r>
        <w:t xml:space="preserve">. </w:t>
      </w:r>
      <w:r w:rsidR="005E5177">
        <w:t>Our reasons for this are outlined below.</w:t>
      </w:r>
    </w:p>
    <w:p w14:paraId="399DA380" w14:textId="268A5E78" w:rsidR="005E5177" w:rsidRDefault="005E5177" w:rsidP="0024269C">
      <w:pPr>
        <w:pStyle w:val="mpcNormal"/>
      </w:pPr>
    </w:p>
    <w:p w14:paraId="2556EF85" w14:textId="56BF0697" w:rsidR="005E5177" w:rsidRDefault="00330CE4" w:rsidP="00A313E3">
      <w:pPr>
        <w:pStyle w:val="mpcbullets1"/>
      </w:pPr>
      <w:r>
        <w:t>Saturated fat</w:t>
      </w:r>
    </w:p>
    <w:p w14:paraId="58B5E4A7" w14:textId="3E9171F9" w:rsidR="00330CE4" w:rsidRPr="00330CE4" w:rsidRDefault="00330CE4" w:rsidP="00A313E3">
      <w:pPr>
        <w:pStyle w:val="mpcbullets2"/>
      </w:pPr>
      <w:r w:rsidRPr="00330CE4">
        <w:t xml:space="preserve">The TAG paper tested if there were any issues </w:t>
      </w:r>
      <w:r w:rsidRPr="00A445C9">
        <w:t>with</w:t>
      </w:r>
      <w:r w:rsidRPr="004A331D">
        <w:t xml:space="preserve"> respect to the treatment of saturated fat in the HSR Calculator. Analysis of the data in the TAG database shows that the vast majority of foods have a saturated fat conten</w:t>
      </w:r>
      <w:r w:rsidRPr="000F5DD3">
        <w:t>t of 10% or less. If the HSR Calculator was</w:t>
      </w:r>
      <w:r w:rsidRPr="00B979DC">
        <w:t xml:space="preserve"> adjusted to more strongly penalise foods with a saturated fat content greater than this, it would have minimal impact because the foods that have such saturated fat levels (creams, ice creams and high fat cheeses) already obtain low HSR</w:t>
      </w:r>
      <w:r w:rsidRPr="00C3393C">
        <w:t xml:space="preserve">s. If the HSR Calculator was adjusted to increase sensitivity to the saturated fat content of </w:t>
      </w:r>
      <w:r w:rsidRPr="006E0849">
        <w:t>foods containing 10% saturated fat or less, this would remove alignment with the NPSC that underpins the HSR Calculator. Noting the desirability of maintaining alignment with the NPSC, and the absence of identified problems with respect to the treatment of saturated fat, we propose maintain</w:t>
      </w:r>
      <w:r w:rsidRPr="00B97E4C">
        <w:t>ing the status quo in relation to saturated fat, and have not proposed alternative options</w:t>
      </w:r>
      <w:r w:rsidRPr="005C7F71">
        <w:t xml:space="preserve"> in this Consultation Paper. We have, however, examined product-specific issues relating </w:t>
      </w:r>
      <w:r w:rsidRPr="008558A2">
        <w:t xml:space="preserve">to dairy </w:t>
      </w:r>
      <w:r w:rsidRPr="009E2890">
        <w:t>desserts and oils and spreads in Chapter 6.</w:t>
      </w:r>
    </w:p>
    <w:p w14:paraId="796CA9AA" w14:textId="248801FE" w:rsidR="00330CE4" w:rsidRDefault="004A331D" w:rsidP="00A313E3">
      <w:pPr>
        <w:pStyle w:val="mpcbullets1"/>
      </w:pPr>
      <w:r>
        <w:t>FVNL</w:t>
      </w:r>
    </w:p>
    <w:p w14:paraId="10C13AE7" w14:textId="6FB06C96" w:rsidR="004A331D" w:rsidRDefault="004A331D" w:rsidP="00A313E3">
      <w:pPr>
        <w:pStyle w:val="mpcbullets2"/>
      </w:pPr>
      <w:r>
        <w:t xml:space="preserve">The TAG paper explored whether FVNL is treated appropriately by the HSR Calculator and stakeholder concerns regarding the available guidance </w:t>
      </w:r>
      <w:r w:rsidR="00192DC0">
        <w:t>on FVNL eligibility. It was concluded that</w:t>
      </w:r>
      <w:r w:rsidR="007747D2">
        <w:t xml:space="preserve"> FVNL is broadly treated appropriately by the HSR Calculator and that product specific issues pertaining to FVNL</w:t>
      </w:r>
      <w:r w:rsidR="000F5DD3">
        <w:t xml:space="preserve"> are best dealt with individually</w:t>
      </w:r>
      <w:r w:rsidR="007E194B">
        <w:t xml:space="preserve"> (e.g. salty snacks)</w:t>
      </w:r>
      <w:r w:rsidR="000F5DD3">
        <w:t>. As such, we have not explored any changes to the treatment of FVNL, however note that additional guidance in calculating FVNL (such as a summary of ingredients that do and do not count towards V points) may be of value.</w:t>
      </w:r>
    </w:p>
    <w:p w14:paraId="48F6EDD1" w14:textId="62DF0F4F" w:rsidR="000F5DD3" w:rsidRDefault="00B979DC" w:rsidP="00A313E3">
      <w:pPr>
        <w:pStyle w:val="mpcbullets1"/>
      </w:pPr>
      <w:r>
        <w:t>Snack bars</w:t>
      </w:r>
    </w:p>
    <w:p w14:paraId="4959AB4D" w14:textId="73DAC4CD" w:rsidR="00C3393C" w:rsidRPr="00E658C9" w:rsidRDefault="00B979DC" w:rsidP="00A313E3">
      <w:pPr>
        <w:pStyle w:val="mpcbullets2"/>
      </w:pPr>
      <w:r>
        <w:t xml:space="preserve">The TAG paper tested stakeholder concerns regarding discretionary muesli bar products receiving </w:t>
      </w:r>
      <w:r w:rsidR="007E194B">
        <w:t xml:space="preserve">relatively </w:t>
      </w:r>
      <w:r w:rsidRPr="00A313E3">
        <w:t>high</w:t>
      </w:r>
      <w:r>
        <w:t xml:space="preserve"> HSRs and explored five options (including the status quo) to address this. Options included increase the impact of total sugars in the HSR Calculator (discussed in Chapter 4)</w:t>
      </w:r>
      <w:r w:rsidR="00C3393C">
        <w:t xml:space="preserve"> and </w:t>
      </w:r>
      <w:r w:rsidR="00C3393C">
        <w:lastRenderedPageBreak/>
        <w:t xml:space="preserve">adding wholegrain to the HSR Calculator (discussed in Chapter 5). The TAG paper also explored two options that involve removing snack bars into a separate Category. </w:t>
      </w:r>
      <w:r w:rsidR="00C3393C" w:rsidRPr="007A722C">
        <w:t>Th</w:t>
      </w:r>
      <w:r w:rsidR="00C3393C">
        <w:t>ese were</w:t>
      </w:r>
      <w:r w:rsidR="00C3393C" w:rsidRPr="007A722C">
        <w:t xml:space="preserve"> not explored </w:t>
      </w:r>
      <w:r w:rsidR="00C3393C">
        <w:t>in this Consultation Paper</w:t>
      </w:r>
      <w:r w:rsidR="00C3393C" w:rsidRPr="007A722C">
        <w:t xml:space="preserve"> as </w:t>
      </w:r>
      <w:r w:rsidR="00C3393C">
        <w:t>they</w:t>
      </w:r>
      <w:r w:rsidR="00C3393C" w:rsidRPr="007A722C">
        <w:t xml:space="preserve"> </w:t>
      </w:r>
      <w:r w:rsidR="00C3393C">
        <w:t xml:space="preserve">would </w:t>
      </w:r>
      <w:r w:rsidR="00C3393C" w:rsidRPr="007A722C">
        <w:t>require significant changes to the HSR Calculator</w:t>
      </w:r>
      <w:r w:rsidR="00C3393C">
        <w:t xml:space="preserve"> and</w:t>
      </w:r>
      <w:r w:rsidR="00C3393C" w:rsidRPr="00C3393C">
        <w:t xml:space="preserve"> adversely impact the logic of the HSR System</w:t>
      </w:r>
      <w:r w:rsidR="00C3393C" w:rsidRPr="007A722C">
        <w:t>.</w:t>
      </w:r>
      <w:r w:rsidR="00C3393C">
        <w:t xml:space="preserve"> It is suggested that concerns regarding the </w:t>
      </w:r>
      <w:r w:rsidR="007E194B">
        <w:t xml:space="preserve">relatively </w:t>
      </w:r>
      <w:r w:rsidR="00C3393C">
        <w:t>high HSRs of snack bars may be addressed through changes to the treatment of total sugars and protein in the HSR Calculator.</w:t>
      </w:r>
    </w:p>
    <w:p w14:paraId="225B2D0E" w14:textId="6369A21F" w:rsidR="00B979DC" w:rsidRDefault="006E0849" w:rsidP="00A313E3">
      <w:pPr>
        <w:pStyle w:val="mpcbullets1"/>
      </w:pPr>
      <w:r>
        <w:t>Confectionery</w:t>
      </w:r>
    </w:p>
    <w:p w14:paraId="667D7845" w14:textId="2ABCE3D6" w:rsidR="006E0849" w:rsidRPr="00B97E4C" w:rsidRDefault="006E0849" w:rsidP="00A313E3">
      <w:pPr>
        <w:pStyle w:val="mpcbullets2"/>
      </w:pPr>
      <w:r>
        <w:t xml:space="preserve">The TAG paper </w:t>
      </w:r>
      <w:r w:rsidR="00B97E4C">
        <w:t xml:space="preserve">considered a range of options regarding stakeholder concerns that </w:t>
      </w:r>
      <w:r w:rsidR="00B97E4C" w:rsidRPr="00AB3873">
        <w:t>confectionery products display stars, which some consumer</w:t>
      </w:r>
      <w:r w:rsidR="00B97E4C">
        <w:t xml:space="preserve">s may misconstrue as a sign of </w:t>
      </w:r>
      <w:r w:rsidR="00B97E4C" w:rsidRPr="00AB3873">
        <w:t xml:space="preserve">health. TAG analysis indicates that the majority of confectionery products receive appropriately low HSRs of less than 3.5 (with most receiving HSRs between 0.5 and 1.5). </w:t>
      </w:r>
    </w:p>
    <w:p w14:paraId="165C2FA0" w14:textId="09AC7750" w:rsidR="00B97E4C" w:rsidRDefault="00B97E4C" w:rsidP="00A313E3">
      <w:pPr>
        <w:pStyle w:val="mpcbullets1"/>
        <w:keepNext/>
        <w:ind w:hanging="357"/>
      </w:pPr>
      <w:r w:rsidRPr="005C7F71">
        <w:t>Frozen milk products</w:t>
      </w:r>
    </w:p>
    <w:p w14:paraId="3869FE1F" w14:textId="6758CDFD" w:rsidR="00B97E4C" w:rsidRDefault="00B97E4C" w:rsidP="00A313E3">
      <w:pPr>
        <w:pStyle w:val="mpcbullets2"/>
        <w:keepNext/>
        <w:ind w:hanging="357"/>
      </w:pPr>
      <w:r>
        <w:t xml:space="preserve">While ice confection and jelly are discussed under product specific issues, frozen milk products are not explored in this Consultation Paper. </w:t>
      </w:r>
      <w:r w:rsidR="005C7F71">
        <w:t>Some stakeholders have noted there is a lack of differentiation between frozen milk products. However, TAG analysis indicates these products are appropriately distributed based on saturated fat, total sugars and energy content. As such, this issue is not explored in this Consultation Paper, although it is expected that any changes to the treatment of sugars may impact on the HSRs of frozen milk products.</w:t>
      </w:r>
    </w:p>
    <w:p w14:paraId="54E363DC" w14:textId="18656B84" w:rsidR="005C7F71" w:rsidRDefault="005C7F71" w:rsidP="00A313E3">
      <w:pPr>
        <w:pStyle w:val="mpcbullets1"/>
      </w:pPr>
      <w:r w:rsidRPr="005C7F71">
        <w:t>Calcium</w:t>
      </w:r>
    </w:p>
    <w:p w14:paraId="05DA587C" w14:textId="40AC54FC" w:rsidR="005C7F71" w:rsidRDefault="00313572" w:rsidP="00A313E3">
      <w:pPr>
        <w:pStyle w:val="mpcbullets2"/>
      </w:pPr>
      <w:r>
        <w:t>The TAG paper explored the potential to include calcium as an explicit component of the HSR Calculator, however concluded that this would be redundant. Calcium is largely, though indirectly, accounted for by the inclusion of protein in the HSR Calculator and the separate dairy categories. As such, this issue is not explored in th</w:t>
      </w:r>
      <w:r w:rsidR="007E194B">
        <w:t>is</w:t>
      </w:r>
      <w:r>
        <w:t xml:space="preserve"> </w:t>
      </w:r>
      <w:r w:rsidR="007E194B">
        <w:t>Consultation Paper</w:t>
      </w:r>
      <w:r>
        <w:t>.</w:t>
      </w:r>
    </w:p>
    <w:p w14:paraId="23D6256A" w14:textId="77777777" w:rsidR="005E5177" w:rsidRDefault="005E5177" w:rsidP="0024269C">
      <w:pPr>
        <w:pStyle w:val="mpcNormal"/>
      </w:pPr>
    </w:p>
    <w:p w14:paraId="21D25951" w14:textId="1EB22519" w:rsidR="00360AEF" w:rsidRPr="00360AEF" w:rsidRDefault="00360AEF" w:rsidP="0024269C">
      <w:pPr>
        <w:pStyle w:val="mpcNormal"/>
      </w:pPr>
      <w:r>
        <w:t>The TAG has developed technical papers for each of these issues</w:t>
      </w:r>
      <w:r w:rsidR="005E5177">
        <w:t>, to which we direct stakeholders seeking further information.</w:t>
      </w:r>
    </w:p>
    <w:p w14:paraId="679ECE82" w14:textId="77777777" w:rsidR="00360AEF" w:rsidRDefault="00360AEF" w:rsidP="0024269C"/>
    <w:p w14:paraId="216720E4" w14:textId="72F6CF3C" w:rsidR="00360AEF" w:rsidRDefault="00360AEF" w:rsidP="00A313E3">
      <w:pPr>
        <w:pStyle w:val="mpcheading3"/>
      </w:pPr>
      <w:r>
        <w:t xml:space="preserve">‘As </w:t>
      </w:r>
      <w:r w:rsidRPr="00A313E3">
        <w:t>prepared’</w:t>
      </w:r>
    </w:p>
    <w:p w14:paraId="3147EADF" w14:textId="129AC9E4" w:rsidR="00D04CC9" w:rsidRDefault="00D04CC9" w:rsidP="0024269C">
      <w:pPr>
        <w:pStyle w:val="mpcNormal"/>
      </w:pPr>
      <w:r w:rsidRPr="00521BB9">
        <w:t xml:space="preserve">In parallel to the </w:t>
      </w:r>
      <w:r>
        <w:t>R</w:t>
      </w:r>
      <w:r w:rsidRPr="00521BB9">
        <w:t>eview, the HSRAC has reapprais</w:t>
      </w:r>
      <w:r w:rsidR="00411F53">
        <w:t>ed</w:t>
      </w:r>
      <w:r w:rsidRPr="00521BB9">
        <w:t xml:space="preserve"> the </w:t>
      </w:r>
      <w:r w:rsidR="00013AD4">
        <w:t>‘</w:t>
      </w:r>
      <w:r w:rsidRPr="00521BB9">
        <w:t>as prepared</w:t>
      </w:r>
      <w:r w:rsidR="00013AD4">
        <w:t>’</w:t>
      </w:r>
      <w:r w:rsidRPr="00521BB9">
        <w:t xml:space="preserve"> rules. This issue </w:t>
      </w:r>
      <w:r w:rsidR="009F3D25">
        <w:t>was</w:t>
      </w:r>
      <w:r w:rsidRPr="00521BB9">
        <w:t xml:space="preserve"> progressed in advance of the Review due to significant stakeholder interest.</w:t>
      </w:r>
      <w:r>
        <w:t xml:space="preserve"> As such, options to address the ‘as prepared’ issue have not been explored in this Consultation Paper</w:t>
      </w:r>
      <w:r w:rsidR="00013AD4">
        <w:t>,</w:t>
      </w:r>
      <w:r>
        <w:t xml:space="preserve"> but outcomes are outlined below.</w:t>
      </w:r>
    </w:p>
    <w:p w14:paraId="3932E086" w14:textId="77777777" w:rsidR="00D04CC9" w:rsidRDefault="00D04CC9" w:rsidP="0024269C">
      <w:pPr>
        <w:pStyle w:val="mpcNormal"/>
      </w:pPr>
    </w:p>
    <w:p w14:paraId="45455774" w14:textId="2F0A4CD9" w:rsidR="00521BB9" w:rsidRDefault="00521BB9" w:rsidP="0024269C">
      <w:pPr>
        <w:pStyle w:val="mpcNormal"/>
      </w:pPr>
      <w:r w:rsidRPr="00521BB9">
        <w:t xml:space="preserve">The </w:t>
      </w:r>
      <w:r>
        <w:t xml:space="preserve">Industry </w:t>
      </w:r>
      <w:r w:rsidRPr="00521BB9">
        <w:t>Guide includes provisions for products that must be prepared prior to consumption, known as the form of the food (or ‘as prepared’) rules. These rules only apply if the food is intended to be prepared according to instructions for use prior to consumption.</w:t>
      </w:r>
    </w:p>
    <w:p w14:paraId="203FF581" w14:textId="77777777" w:rsidR="00521BB9" w:rsidRPr="00521BB9" w:rsidRDefault="00521BB9" w:rsidP="0024269C">
      <w:pPr>
        <w:pStyle w:val="mpcNormal"/>
      </w:pPr>
    </w:p>
    <w:p w14:paraId="3242D1F8" w14:textId="4D219E6E" w:rsidR="00521BB9" w:rsidRDefault="00521BB9" w:rsidP="0024269C">
      <w:pPr>
        <w:pStyle w:val="mpcNormal"/>
      </w:pPr>
      <w:r w:rsidRPr="00521BB9">
        <w:t>In September-October 2017, the HSRAC consulted with stakeholders (through a public submission process and workshops) to discuss potential options and to seek feedback on the appropriateness of various solutions proposed. Four options were proposed to address the issue</w:t>
      </w:r>
      <w:r w:rsidR="00013AD4">
        <w:t xml:space="preserve">. These </w:t>
      </w:r>
      <w:r w:rsidR="00977310">
        <w:t xml:space="preserve">were </w:t>
      </w:r>
      <w:r w:rsidRPr="00521BB9">
        <w:t>explored and potential impacts were modelled by the TAG</w:t>
      </w:r>
      <w:r w:rsidR="00A17A95">
        <w:t xml:space="preserve"> (available at the </w:t>
      </w:r>
      <w:hyperlink r:id="rId27" w:history="1">
        <w:r w:rsidR="00A17A95" w:rsidRPr="00A17A95">
          <w:rPr>
            <w:rStyle w:val="Hyperlink"/>
            <w:szCs w:val="22"/>
          </w:rPr>
          <w:t>HSR website</w:t>
        </w:r>
      </w:hyperlink>
      <w:r w:rsidR="00A17A95">
        <w:t>)</w:t>
      </w:r>
      <w:r w:rsidRPr="00521BB9">
        <w:t xml:space="preserve">. </w:t>
      </w:r>
      <w:r w:rsidR="006618CE">
        <w:t>The HSRAC sought additional stakeholder feedback on these options before agreeing on a preferred option for recommendation to the Australia and New Zealand Ministerial Forum on Food Regulation (the Forum) for implementation.</w:t>
      </w:r>
    </w:p>
    <w:p w14:paraId="44E9E5CE" w14:textId="77777777" w:rsidR="00A17A95" w:rsidRPr="00521BB9" w:rsidRDefault="00A17A95" w:rsidP="0024269C">
      <w:pPr>
        <w:pStyle w:val="mpcNormal"/>
      </w:pPr>
    </w:p>
    <w:p w14:paraId="5A3BFFB7" w14:textId="4A19AC55" w:rsidR="00521BB9" w:rsidRPr="00521BB9" w:rsidRDefault="007913ED" w:rsidP="0024269C">
      <w:pPr>
        <w:pStyle w:val="mpcNormal"/>
      </w:pPr>
      <w:r>
        <w:t>The</w:t>
      </w:r>
      <w:r w:rsidR="00982251">
        <w:t xml:space="preserve"> </w:t>
      </w:r>
      <w:r w:rsidR="00521BB9" w:rsidRPr="00521BB9">
        <w:t xml:space="preserve">Forum agreed in June 2018 to limit the application of the HSR </w:t>
      </w:r>
      <w:r w:rsidR="00A17A95">
        <w:t>S</w:t>
      </w:r>
      <w:r w:rsidR="00521BB9" w:rsidRPr="00521BB9">
        <w:t xml:space="preserve">ystem to the product ‘as sold.’ That is, the HSR should be calculated and displayed on the basis of the product as it appears on the shelf. Specific exemptions will apply for products </w:t>
      </w:r>
      <w:r w:rsidR="008A2A19">
        <w:t>that</w:t>
      </w:r>
      <w:r w:rsidR="008A2A19" w:rsidRPr="00521BB9">
        <w:t xml:space="preserve"> </w:t>
      </w:r>
      <w:r w:rsidR="00521BB9" w:rsidRPr="00521BB9">
        <w:t xml:space="preserve">must be rehydrated with water, diluted with water, drained of water or drained of brine. </w:t>
      </w:r>
      <w:r w:rsidR="00982251">
        <w:t>It is proposed that this</w:t>
      </w:r>
      <w:r w:rsidR="00521BB9" w:rsidRPr="00521BB9">
        <w:t xml:space="preserve"> decision </w:t>
      </w:r>
      <w:r w:rsidR="00982251">
        <w:t>is</w:t>
      </w:r>
      <w:r w:rsidR="00521BB9" w:rsidRPr="00521BB9">
        <w:t xml:space="preserve"> implemented alongside and in the context of the </w:t>
      </w:r>
      <w:r w:rsidR="00A17A95">
        <w:t>R</w:t>
      </w:r>
      <w:r w:rsidR="00521BB9" w:rsidRPr="00521BB9">
        <w:t>eview.</w:t>
      </w:r>
      <w:r w:rsidR="00521BB9" w:rsidRPr="00521BB9">
        <w:rPr>
          <w:rStyle w:val="FootnoteReference"/>
          <w:sz w:val="22"/>
          <w:szCs w:val="22"/>
        </w:rPr>
        <w:footnoteReference w:id="22"/>
      </w:r>
    </w:p>
    <w:p w14:paraId="252820DE" w14:textId="5C2CB331" w:rsidR="008C6580" w:rsidRPr="00AB3873" w:rsidRDefault="003D65BF" w:rsidP="00A313E3">
      <w:pPr>
        <w:pStyle w:val="mpcheading1"/>
      </w:pPr>
      <w:r>
        <w:br w:type="column"/>
      </w:r>
      <w:bookmarkStart w:id="33" w:name="Chapter3"/>
      <w:bookmarkStart w:id="34" w:name="_Toc527112895"/>
      <w:bookmarkEnd w:id="33"/>
      <w:r w:rsidR="00561741">
        <w:lastRenderedPageBreak/>
        <w:t>Chapter 3</w:t>
      </w:r>
      <w:r w:rsidR="00B96F22" w:rsidRPr="00AB3873">
        <w:t xml:space="preserve"> –</w:t>
      </w:r>
      <w:r w:rsidR="00EF0618">
        <w:t xml:space="preserve"> </w:t>
      </w:r>
      <w:r w:rsidR="0090240E" w:rsidRPr="00AB3873">
        <w:t xml:space="preserve">Scope of the HSR </w:t>
      </w:r>
      <w:r w:rsidR="006000E2">
        <w:t>System</w:t>
      </w:r>
      <w:bookmarkEnd w:id="34"/>
    </w:p>
    <w:p w14:paraId="41A20BFC" w14:textId="2A989BF6" w:rsidR="0090240E" w:rsidRPr="00A313E3" w:rsidRDefault="0090240E" w:rsidP="00A313E3">
      <w:pPr>
        <w:pStyle w:val="mpcheading2"/>
      </w:pPr>
      <w:bookmarkStart w:id="35" w:name="Ch3Overview"/>
      <w:bookmarkStart w:id="36" w:name="_Toc527112896"/>
      <w:bookmarkEnd w:id="35"/>
      <w:r w:rsidRPr="00AB3873">
        <w:t>Overview</w:t>
      </w:r>
      <w:bookmarkEnd w:id="36"/>
    </w:p>
    <w:p w14:paraId="5CADF016" w14:textId="411368A4" w:rsidR="0090240E" w:rsidRPr="00AB3873" w:rsidRDefault="0090240E" w:rsidP="0024269C"/>
    <w:p w14:paraId="386BED7A" w14:textId="3CDD2BBA" w:rsidR="003D420E" w:rsidRPr="00AB3873" w:rsidRDefault="003D420E" w:rsidP="0024269C">
      <w:r w:rsidRPr="00AB3873">
        <w:t xml:space="preserve">This Chapter relates to </w:t>
      </w:r>
      <w:r>
        <w:t xml:space="preserve">the </w:t>
      </w:r>
      <w:r w:rsidRPr="00AB3873">
        <w:t xml:space="preserve">scope of the HSR </w:t>
      </w:r>
      <w:r w:rsidR="006000E2">
        <w:t>System</w:t>
      </w:r>
      <w:r w:rsidR="00013AD4">
        <w:t>,</w:t>
      </w:r>
      <w:r w:rsidRPr="00AB3873">
        <w:t xml:space="preserve"> and whether the HSR </w:t>
      </w:r>
      <w:r w:rsidR="006000E2">
        <w:t>System</w:t>
      </w:r>
      <w:r w:rsidRPr="00AB3873">
        <w:t xml:space="preserve"> should </w:t>
      </w:r>
      <w:r>
        <w:t>apply to certain product types.</w:t>
      </w:r>
    </w:p>
    <w:p w14:paraId="1F82438E" w14:textId="77777777" w:rsidR="003D420E" w:rsidRPr="00AB3873" w:rsidRDefault="003D420E" w:rsidP="0024269C"/>
    <w:p w14:paraId="63665714" w14:textId="57734C3E" w:rsidR="003D420E" w:rsidRDefault="00D95ACB" w:rsidP="0024269C">
      <w:r w:rsidRPr="00D95ACB">
        <w:t xml:space="preserve">The HSR </w:t>
      </w:r>
      <w:r w:rsidR="006000E2">
        <w:t>System</w:t>
      </w:r>
      <w:r w:rsidRPr="00D95ACB">
        <w:t xml:space="preserve"> has been optimised for application to packaged food products presented for retail sale through supermarkets and similar retail outlets. </w:t>
      </w:r>
      <w:r w:rsidR="005D4A07">
        <w:t>All</w:t>
      </w:r>
      <w:r w:rsidR="00337118">
        <w:t xml:space="preserve"> p</w:t>
      </w:r>
      <w:r w:rsidR="003D420E">
        <w:t xml:space="preserve">roducts that </w:t>
      </w:r>
      <w:r w:rsidR="00337118">
        <w:t xml:space="preserve">carry a Nutrition Information Panel (NIP) are expected to display the HSR. </w:t>
      </w:r>
      <w:r w:rsidR="003D420E">
        <w:t>Products exempt from NIP labelling include:</w:t>
      </w:r>
    </w:p>
    <w:p w14:paraId="682798D1" w14:textId="77777777" w:rsidR="003D420E" w:rsidRDefault="003D420E" w:rsidP="0024269C"/>
    <w:p w14:paraId="521E821C" w14:textId="41514FFF" w:rsidR="003D420E" w:rsidRPr="00E57A03" w:rsidRDefault="00337118" w:rsidP="00A313E3">
      <w:pPr>
        <w:pStyle w:val="mpcbullets1"/>
      </w:pPr>
      <w:r>
        <w:t>products</w:t>
      </w:r>
      <w:r w:rsidR="003D420E" w:rsidRPr="00E57A03">
        <w:t xml:space="preserve"> with inherently low nutritional contribution suc</w:t>
      </w:r>
      <w:r w:rsidR="00013AD4">
        <w:t>h as herbs, sp</w:t>
      </w:r>
      <w:r w:rsidR="003D420E" w:rsidRPr="00E57A03">
        <w:t>i</w:t>
      </w:r>
      <w:r w:rsidR="00013AD4">
        <w:t>c</w:t>
      </w:r>
      <w:r w:rsidR="003D420E" w:rsidRPr="00E57A03">
        <w:t>es</w:t>
      </w:r>
      <w:r w:rsidR="00013AD4">
        <w:t>,</w:t>
      </w:r>
      <w:r w:rsidR="003D420E" w:rsidRPr="00E57A03">
        <w:t xml:space="preserve"> vinegar, salt, pepper, tea, coffee, herbal infusions, gelatine and setting compounds</w:t>
      </w:r>
    </w:p>
    <w:p w14:paraId="7772537F" w14:textId="387E666C" w:rsidR="003D420E" w:rsidRPr="00E57A03" w:rsidRDefault="003D420E" w:rsidP="00A313E3">
      <w:pPr>
        <w:pStyle w:val="mpcbullets1"/>
      </w:pPr>
      <w:r>
        <w:t>s</w:t>
      </w:r>
      <w:r w:rsidRPr="00E57A03">
        <w:t>mall packages less than 100mm</w:t>
      </w:r>
      <w:r w:rsidRPr="00E57A03">
        <w:rPr>
          <w:rFonts w:cs="Calibri (Body)"/>
          <w:vertAlign w:val="superscript"/>
        </w:rPr>
        <w:t>2</w:t>
      </w:r>
    </w:p>
    <w:p w14:paraId="77FA1B7B" w14:textId="642C0BE8" w:rsidR="003D420E" w:rsidRPr="00E57A03" w:rsidRDefault="003D420E" w:rsidP="00A313E3">
      <w:pPr>
        <w:pStyle w:val="mpcbullets1"/>
      </w:pPr>
      <w:r>
        <w:t>c</w:t>
      </w:r>
      <w:r w:rsidRPr="00E57A03">
        <w:t xml:space="preserve">ertain </w:t>
      </w:r>
      <w:r w:rsidR="00337118">
        <w:t>‘</w:t>
      </w:r>
      <w:r w:rsidRPr="00E57A03">
        <w:t>fresh value-added products</w:t>
      </w:r>
      <w:r w:rsidR="00337118">
        <w:t>’,</w:t>
      </w:r>
      <w:r w:rsidRPr="00E57A03">
        <w:t xml:space="preserve"> such as packaged fruit, vegetables, mea</w:t>
      </w:r>
      <w:r>
        <w:t>t, poultry, fish</w:t>
      </w:r>
      <w:r w:rsidR="00013AD4">
        <w:t>,</w:t>
      </w:r>
      <w:r w:rsidR="00D95ACB">
        <w:t xml:space="preserve"> pre</w:t>
      </w:r>
      <w:r w:rsidR="00D95ACB">
        <w:noBreakHyphen/>
        <w:t>packaged rolls and sandwiches</w:t>
      </w:r>
      <w:r>
        <w:t xml:space="preserve"> </w:t>
      </w:r>
      <w:r w:rsidRPr="00D62B0A">
        <w:t>(</w:t>
      </w:r>
      <w:r w:rsidR="00D95ACB">
        <w:t>i.e.</w:t>
      </w:r>
      <w:r w:rsidRPr="00D62B0A">
        <w:t xml:space="preserve"> short shelf-life products intended to be consumed shortly after purchas</w:t>
      </w:r>
      <w:r>
        <w:t>e</w:t>
      </w:r>
      <w:r w:rsidR="00337118">
        <w:t>)</w:t>
      </w:r>
      <w:r w:rsidR="00D95ACB">
        <w:t>.</w:t>
      </w:r>
    </w:p>
    <w:p w14:paraId="50FD30B3" w14:textId="77777777" w:rsidR="003D420E" w:rsidRDefault="003D420E" w:rsidP="0024269C"/>
    <w:p w14:paraId="1C4215FA" w14:textId="77777777" w:rsidR="003D420E" w:rsidRDefault="003D420E" w:rsidP="0024269C">
      <w:r>
        <w:t>Products that should not display the HSR include:</w:t>
      </w:r>
    </w:p>
    <w:p w14:paraId="2E51CE38" w14:textId="77777777" w:rsidR="003D420E" w:rsidRDefault="003D420E" w:rsidP="0024269C"/>
    <w:p w14:paraId="13610F3E" w14:textId="32F24C21" w:rsidR="003D420E" w:rsidRPr="00A313E3" w:rsidRDefault="00D95ACB" w:rsidP="00A313E3">
      <w:pPr>
        <w:pStyle w:val="mpcbullets1"/>
      </w:pPr>
      <w:r w:rsidRPr="00A313E3">
        <w:t>certain special p</w:t>
      </w:r>
      <w:r w:rsidR="003D420E" w:rsidRPr="00A313E3">
        <w:t xml:space="preserve">urpose </w:t>
      </w:r>
      <w:r w:rsidRPr="00A313E3">
        <w:t>f</w:t>
      </w:r>
      <w:r w:rsidR="003D420E" w:rsidRPr="00A313E3">
        <w:t xml:space="preserve">oods in Part 2.9 of the </w:t>
      </w:r>
      <w:r w:rsidRPr="00A313E3">
        <w:t>Code</w:t>
      </w:r>
      <w:r w:rsidR="003D420E" w:rsidRPr="00A313E3">
        <w:t xml:space="preserve"> (such as infant form</w:t>
      </w:r>
      <w:r w:rsidRPr="00A313E3">
        <w:t>ula products, foods for infants</w:t>
      </w:r>
      <w:r w:rsidR="00013AD4" w:rsidRPr="00A313E3">
        <w:t>,</w:t>
      </w:r>
      <w:r w:rsidRPr="00A313E3">
        <w:t xml:space="preserve"> and some formulated supplementary foods</w:t>
      </w:r>
      <w:r w:rsidR="00013AD4" w:rsidRPr="00A313E3">
        <w:t>,</w:t>
      </w:r>
      <w:r w:rsidRPr="00A313E3">
        <w:t xml:space="preserve"> or </w:t>
      </w:r>
      <w:r w:rsidR="00221D5A" w:rsidRPr="00A313E3">
        <w:t>foods for special medical purposes</w:t>
      </w:r>
      <w:r w:rsidRPr="00A313E3">
        <w:t>)</w:t>
      </w:r>
    </w:p>
    <w:p w14:paraId="62FA741F" w14:textId="145F595E" w:rsidR="00221D5A" w:rsidRPr="00A313E3" w:rsidRDefault="003D420E" w:rsidP="00A313E3">
      <w:pPr>
        <w:pStyle w:val="mpcbullets1"/>
      </w:pPr>
      <w:r w:rsidRPr="00A313E3">
        <w:t>alcoholic beverages, alcohol kits and kava</w:t>
      </w:r>
    </w:p>
    <w:p w14:paraId="44DDCBFE" w14:textId="3893215E" w:rsidR="003D420E" w:rsidRDefault="00221D5A" w:rsidP="00A313E3">
      <w:pPr>
        <w:pStyle w:val="mpcbullets1"/>
      </w:pPr>
      <w:r w:rsidRPr="00A313E3">
        <w:t>products listed in 1.2.7-5, Standard 1.2.7 of the Code, which include products intended for further processing</w:t>
      </w:r>
      <w:r>
        <w:t>.</w:t>
      </w:r>
    </w:p>
    <w:p w14:paraId="0BE7AB24" w14:textId="77777777" w:rsidR="003D420E" w:rsidRDefault="003D420E" w:rsidP="0024269C">
      <w:pPr>
        <w:pStyle w:val="ListParagraph"/>
      </w:pPr>
    </w:p>
    <w:p w14:paraId="61D2C7C0" w14:textId="4C5B6B9B" w:rsidR="003D420E" w:rsidRDefault="000F567A" w:rsidP="0024269C">
      <w:r>
        <w:t xml:space="preserve">Monitoring indicates that the scope of the HSR </w:t>
      </w:r>
      <w:r w:rsidR="006000E2">
        <w:t>System</w:t>
      </w:r>
      <w:r>
        <w:t xml:space="preserve"> </w:t>
      </w:r>
      <w:r w:rsidR="00013AD4">
        <w:t xml:space="preserve">broadly </w:t>
      </w:r>
      <w:r>
        <w:t>aligns with consumer expectations</w:t>
      </w:r>
      <w:r w:rsidR="00535BF1">
        <w:t xml:space="preserve">. </w:t>
      </w:r>
      <w:r w:rsidR="00BF7023">
        <w:t xml:space="preserve">Products displaying the HSR broadly reflect those where consumers consider it important </w:t>
      </w:r>
      <w:r w:rsidR="005045F7">
        <w:t>they</w:t>
      </w:r>
      <w:r w:rsidR="00BF7023">
        <w:t xml:space="preserve"> display the HSR</w:t>
      </w:r>
      <w:r>
        <w:t>,</w:t>
      </w:r>
      <w:r w:rsidR="00BF7023">
        <w:t xml:space="preserve"> </w:t>
      </w:r>
      <w:r w:rsidR="00A4098B">
        <w:t>(</w:t>
      </w:r>
      <w:r w:rsidR="00AD5DAD">
        <w:t xml:space="preserve">including </w:t>
      </w:r>
      <w:r w:rsidR="00A4098B">
        <w:t>breakfast cereals, ready</w:t>
      </w:r>
      <w:r w:rsidR="00013AD4">
        <w:t>-to-eat</w:t>
      </w:r>
      <w:r w:rsidR="00A4098B">
        <w:t xml:space="preserve"> meals, snack bars, yog</w:t>
      </w:r>
      <w:r w:rsidR="00655BEA">
        <w:t>h</w:t>
      </w:r>
      <w:r w:rsidR="00A4098B">
        <w:t>urts, biscuits and cakes</w:t>
      </w:r>
      <w:r w:rsidR="008A6B08">
        <w:t>).</w:t>
      </w:r>
      <w:r w:rsidR="00A4098B">
        <w:rPr>
          <w:rStyle w:val="FootnoteReference"/>
          <w:sz w:val="22"/>
          <w:szCs w:val="22"/>
        </w:rPr>
        <w:footnoteReference w:id="23"/>
      </w:r>
      <w:r w:rsidR="00A4098B">
        <w:t xml:space="preserve"> </w:t>
      </w:r>
      <w:r w:rsidR="008A6B08">
        <w:t xml:space="preserve">In relation to </w:t>
      </w:r>
      <w:r w:rsidR="003D420E">
        <w:t>the scope of the HSR</w:t>
      </w:r>
      <w:r w:rsidR="00B7346B">
        <w:t xml:space="preserve"> </w:t>
      </w:r>
      <w:r w:rsidR="006000E2">
        <w:t>System</w:t>
      </w:r>
      <w:r w:rsidR="003D420E">
        <w:t xml:space="preserve"> and the products t</w:t>
      </w:r>
      <w:r w:rsidR="008A6B08">
        <w:t>o which it is expected to apply, t</w:t>
      </w:r>
      <w:r w:rsidR="00D21F55">
        <w:t>wo</w:t>
      </w:r>
      <w:r w:rsidR="003D420E">
        <w:t xml:space="preserve"> key issues </w:t>
      </w:r>
      <w:r w:rsidR="00AD5DAD">
        <w:t xml:space="preserve">have been </w:t>
      </w:r>
      <w:r w:rsidR="003D420E">
        <w:t>identified:</w:t>
      </w:r>
    </w:p>
    <w:p w14:paraId="5B7115DB" w14:textId="77777777" w:rsidR="00B7346B" w:rsidRDefault="00B7346B" w:rsidP="0024269C"/>
    <w:p w14:paraId="6E45EA10" w14:textId="6A3C008F" w:rsidR="003D420E" w:rsidRPr="000F28DF" w:rsidRDefault="003D420E" w:rsidP="000F28DF">
      <w:pPr>
        <w:pStyle w:val="mpcbullets1"/>
      </w:pPr>
      <w:r w:rsidRPr="00E658C9">
        <w:t xml:space="preserve">whether the HSR </w:t>
      </w:r>
      <w:r w:rsidR="008A6B08">
        <w:t xml:space="preserve">System </w:t>
      </w:r>
      <w:r w:rsidRPr="00E658C9">
        <w:t xml:space="preserve">should apply to </w:t>
      </w:r>
      <w:r>
        <w:t xml:space="preserve">packaged fresh (or minimally processed) </w:t>
      </w:r>
      <w:r w:rsidRPr="00E658C9">
        <w:t>fruit and vegetables</w:t>
      </w:r>
      <w:r>
        <w:t xml:space="preserve">, and </w:t>
      </w:r>
      <w:r w:rsidRPr="000F28DF">
        <w:t xml:space="preserve">if </w:t>
      </w:r>
      <w:r w:rsidR="00AD5DAD" w:rsidRPr="000F28DF">
        <w:t>so</w:t>
      </w:r>
      <w:r w:rsidR="008A6B08" w:rsidRPr="000F28DF">
        <w:t xml:space="preserve"> </w:t>
      </w:r>
      <w:r w:rsidR="00AD5DAD" w:rsidRPr="000F28DF">
        <w:t>whether such foods</w:t>
      </w:r>
      <w:r w:rsidR="00560E60" w:rsidRPr="000F28DF">
        <w:t xml:space="preserve"> should </w:t>
      </w:r>
      <w:r w:rsidR="00AD5DAD" w:rsidRPr="000F28DF">
        <w:t xml:space="preserve">all </w:t>
      </w:r>
      <w:r w:rsidR="00560E60" w:rsidRPr="000F28DF">
        <w:t>display a</w:t>
      </w:r>
      <w:r w:rsidR="00AD5DAD" w:rsidRPr="000F28DF">
        <w:t>n</w:t>
      </w:r>
      <w:r w:rsidR="00560E60" w:rsidRPr="000F28DF">
        <w:t xml:space="preserve"> HSR of 5, noting the role </w:t>
      </w:r>
      <w:r w:rsidR="00013AD4" w:rsidRPr="000F28DF">
        <w:t xml:space="preserve">that </w:t>
      </w:r>
      <w:r w:rsidRPr="000F28DF">
        <w:t>fruit</w:t>
      </w:r>
      <w:r w:rsidR="00634306" w:rsidRPr="000F28DF">
        <w:t>s</w:t>
      </w:r>
      <w:r w:rsidRPr="000F28DF">
        <w:t xml:space="preserve"> and vegetables play in the diet</w:t>
      </w:r>
    </w:p>
    <w:p w14:paraId="1206A8C3" w14:textId="1AEE5354" w:rsidR="00E135D0" w:rsidRDefault="00D21F55" w:rsidP="000F28DF">
      <w:pPr>
        <w:pStyle w:val="mpcbullets1"/>
      </w:pPr>
      <w:r w:rsidRPr="000F28DF">
        <w:t>how the</w:t>
      </w:r>
      <w:r>
        <w:t xml:space="preserve"> HSR should apply to </w:t>
      </w:r>
      <w:r w:rsidR="00E135D0">
        <w:t>non-d</w:t>
      </w:r>
      <w:r>
        <w:t>airy beverages</w:t>
      </w:r>
      <w:r w:rsidR="00E135D0">
        <w:t xml:space="preserve"> </w:t>
      </w:r>
      <w:r>
        <w:t xml:space="preserve">to best support consumers to </w:t>
      </w:r>
      <w:r w:rsidR="00E135D0">
        <w:t>compare products across the category</w:t>
      </w:r>
      <w:r>
        <w:t>, and select the healthiest options.</w:t>
      </w:r>
    </w:p>
    <w:p w14:paraId="005DD3B3" w14:textId="77777777" w:rsidR="00D21F55" w:rsidRPr="00D21F55" w:rsidRDefault="00D21F55" w:rsidP="0024269C">
      <w:pPr>
        <w:pStyle w:val="ListParagraph"/>
      </w:pPr>
    </w:p>
    <w:p w14:paraId="7953EAEE" w14:textId="77777777" w:rsidR="003D420E" w:rsidRDefault="003D420E" w:rsidP="0024269C">
      <w:r>
        <w:t>This Chapter examines each of these issues.</w:t>
      </w:r>
    </w:p>
    <w:p w14:paraId="027A28B2" w14:textId="2377EDD6" w:rsidR="00D25A4F" w:rsidRDefault="00D25A4F" w:rsidP="0024269C"/>
    <w:p w14:paraId="38A72C03" w14:textId="77777777" w:rsidR="00D25A4F" w:rsidRPr="00AB3873" w:rsidRDefault="00D25A4F" w:rsidP="00A313E3">
      <w:pPr>
        <w:pStyle w:val="mpcheading2"/>
      </w:pPr>
      <w:bookmarkStart w:id="37" w:name="Fruitandvegetables"/>
      <w:bookmarkStart w:id="38" w:name="_Toc523922852"/>
      <w:bookmarkStart w:id="39" w:name="_Toc527112897"/>
      <w:bookmarkEnd w:id="37"/>
      <w:r>
        <w:t xml:space="preserve">Fresh or </w:t>
      </w:r>
      <w:r w:rsidRPr="00A313E3">
        <w:t>minimally</w:t>
      </w:r>
      <w:r>
        <w:t xml:space="preserve"> processed f</w:t>
      </w:r>
      <w:r w:rsidRPr="00AB3873">
        <w:t>ruits and vegetables</w:t>
      </w:r>
      <w:bookmarkEnd w:id="38"/>
      <w:bookmarkEnd w:id="39"/>
    </w:p>
    <w:p w14:paraId="00503C92" w14:textId="77777777" w:rsidR="00D25A4F" w:rsidRPr="00AB3873" w:rsidRDefault="00D25A4F" w:rsidP="0024269C"/>
    <w:p w14:paraId="21305979" w14:textId="77777777" w:rsidR="00D25A4F" w:rsidRPr="00A313E3" w:rsidRDefault="00D25A4F" w:rsidP="00A313E3">
      <w:pPr>
        <w:pStyle w:val="mpcheading3"/>
      </w:pPr>
      <w:bookmarkStart w:id="40" w:name="_Toc523922853"/>
      <w:bookmarkStart w:id="41" w:name="_Toc524530329"/>
      <w:r w:rsidRPr="00AB3873">
        <w:t>Issue</w:t>
      </w:r>
      <w:bookmarkEnd w:id="40"/>
      <w:bookmarkEnd w:id="41"/>
    </w:p>
    <w:p w14:paraId="34B2F52E" w14:textId="35D9C2C2" w:rsidR="00D25A4F" w:rsidRDefault="00D25A4F" w:rsidP="000F28DF">
      <w:pPr>
        <w:pStyle w:val="mpcNormal"/>
      </w:pPr>
      <w:r>
        <w:t>T</w:t>
      </w:r>
      <w:r w:rsidRPr="00E658C9">
        <w:t xml:space="preserve">he HSR </w:t>
      </w:r>
      <w:r w:rsidR="006000E2">
        <w:t>System</w:t>
      </w:r>
      <w:r w:rsidRPr="00E658C9">
        <w:t xml:space="preserve"> </w:t>
      </w:r>
      <w:r w:rsidR="00195DC3">
        <w:t>wa</w:t>
      </w:r>
      <w:r w:rsidR="00D21F55">
        <w:t>s not</w:t>
      </w:r>
      <w:r w:rsidR="00195DC3">
        <w:t xml:space="preserve"> </w:t>
      </w:r>
      <w:r>
        <w:t>intended to apply to</w:t>
      </w:r>
      <w:r w:rsidR="00D21F55">
        <w:t xml:space="preserve"> fresh</w:t>
      </w:r>
      <w:r>
        <w:t xml:space="preserve"> </w:t>
      </w:r>
      <w:r w:rsidRPr="00E658C9">
        <w:t>fruit</w:t>
      </w:r>
      <w:r w:rsidR="00615AAF">
        <w:t>s</w:t>
      </w:r>
      <w:r w:rsidRPr="00E658C9">
        <w:t xml:space="preserve"> and vegetables</w:t>
      </w:r>
      <w:r w:rsidR="00DA4DCF">
        <w:t>,</w:t>
      </w:r>
      <w:r w:rsidR="00195DC3">
        <w:t xml:space="preserve"> being aimed primarily at ‘processed, packaged foods’</w:t>
      </w:r>
      <w:r>
        <w:t xml:space="preserve">. </w:t>
      </w:r>
      <w:r w:rsidRPr="00E658C9">
        <w:t>However, since the HSR was implemented, fresh fruit</w:t>
      </w:r>
      <w:r w:rsidR="00615AAF">
        <w:t>s</w:t>
      </w:r>
      <w:r w:rsidRPr="00E658C9">
        <w:t xml:space="preserve"> and vegetables are increasingly being packaged and </w:t>
      </w:r>
      <w:r w:rsidR="00411F53">
        <w:t>displaying</w:t>
      </w:r>
      <w:r w:rsidRPr="00E658C9">
        <w:t xml:space="preserve"> the HSR.</w:t>
      </w:r>
      <w:r w:rsidR="0090031A">
        <w:t xml:space="preserve"> </w:t>
      </w:r>
      <w:r w:rsidRPr="00E658C9">
        <w:t>There are two issues for consideration:</w:t>
      </w:r>
    </w:p>
    <w:p w14:paraId="42A4FCE3" w14:textId="77777777" w:rsidR="009072F5" w:rsidRPr="00E658C9" w:rsidRDefault="009072F5" w:rsidP="0024269C"/>
    <w:p w14:paraId="5074B249" w14:textId="7E116D35" w:rsidR="00D25A4F" w:rsidRPr="000F28DF" w:rsidRDefault="00D25A4F" w:rsidP="000F28DF">
      <w:pPr>
        <w:pStyle w:val="mpcbullets1"/>
      </w:pPr>
      <w:r w:rsidRPr="000F28DF">
        <w:t xml:space="preserve">whether the HSR </w:t>
      </w:r>
      <w:r w:rsidR="006000E2" w:rsidRPr="000F28DF">
        <w:t>System</w:t>
      </w:r>
      <w:r w:rsidR="00BB437B" w:rsidRPr="000F28DF">
        <w:t xml:space="preserve"> </w:t>
      </w:r>
      <w:r w:rsidRPr="000F28DF">
        <w:t>should apply to packaged fresh or minimally processed fruit</w:t>
      </w:r>
      <w:r w:rsidR="00615AAF" w:rsidRPr="000F28DF">
        <w:t>s</w:t>
      </w:r>
      <w:r w:rsidRPr="000F28DF">
        <w:t xml:space="preserve"> and vegetables</w:t>
      </w:r>
    </w:p>
    <w:p w14:paraId="27E88CC9" w14:textId="12ED7487" w:rsidR="00D25A4F" w:rsidRDefault="00D25A4F" w:rsidP="000F28DF">
      <w:pPr>
        <w:pStyle w:val="mpcbullets1"/>
      </w:pPr>
      <w:r w:rsidRPr="000F28DF">
        <w:t>if the</w:t>
      </w:r>
      <w:r w:rsidRPr="00A313E3">
        <w:t xml:space="preserve"> HSR</w:t>
      </w:r>
      <w:r w:rsidR="00BB437B" w:rsidRPr="00A313E3">
        <w:t xml:space="preserve"> </w:t>
      </w:r>
      <w:r w:rsidR="006000E2" w:rsidRPr="00A313E3">
        <w:t>S</w:t>
      </w:r>
      <w:r w:rsidR="006000E2">
        <w:t>ystem</w:t>
      </w:r>
      <w:r w:rsidRPr="00E658C9">
        <w:t xml:space="preserve"> applies</w:t>
      </w:r>
      <w:r>
        <w:t xml:space="preserve"> to</w:t>
      </w:r>
      <w:r w:rsidRPr="00D368A3">
        <w:t xml:space="preserve"> </w:t>
      </w:r>
      <w:r>
        <w:t>packaged fresh or minimally processed fruit</w:t>
      </w:r>
      <w:r w:rsidR="00615AAF">
        <w:t>s</w:t>
      </w:r>
      <w:r>
        <w:t xml:space="preserve"> and vegetables whether:</w:t>
      </w:r>
    </w:p>
    <w:p w14:paraId="1F6DD4F0" w14:textId="7D977732" w:rsidR="00D25A4F" w:rsidRPr="000F28DF" w:rsidRDefault="00D25A4F" w:rsidP="000F28DF">
      <w:pPr>
        <w:pStyle w:val="mpcbullets2"/>
      </w:pPr>
      <w:r w:rsidRPr="00D368A3">
        <w:t xml:space="preserve">the </w:t>
      </w:r>
      <w:r w:rsidRPr="000F28DF">
        <w:t>HSR for fresh fruit and vegetables should align with that of minimally processed fruits and vegetables such as frozen or canned vegetables with no additions other than water</w:t>
      </w:r>
    </w:p>
    <w:p w14:paraId="538EAD77" w14:textId="36C4BD90" w:rsidR="00D25A4F" w:rsidRPr="00D368A3" w:rsidRDefault="00D25A4F" w:rsidP="000F28DF">
      <w:pPr>
        <w:pStyle w:val="mpcbullets2"/>
      </w:pPr>
      <w:r w:rsidRPr="000F28DF">
        <w:t>it is appropriate for different fruits and vegetables to receive different HSR</w:t>
      </w:r>
      <w:r w:rsidR="00B17128" w:rsidRPr="000F28DF">
        <w:t>s</w:t>
      </w:r>
      <w:r w:rsidRPr="000F28DF">
        <w:t xml:space="preserve"> (predominantly based on fibre and</w:t>
      </w:r>
      <w:r w:rsidRPr="00A313E3">
        <w:t xml:space="preserve"> sugar content</w:t>
      </w:r>
      <w:r w:rsidRPr="00D368A3">
        <w:t>) or whether</w:t>
      </w:r>
      <w:r w:rsidR="00B17128">
        <w:t>,</w:t>
      </w:r>
      <w:r w:rsidRPr="00D368A3">
        <w:t xml:space="preserve"> because of the important role that fruit</w:t>
      </w:r>
      <w:r w:rsidR="00F65F2F">
        <w:t>s</w:t>
      </w:r>
      <w:r w:rsidRPr="00D368A3">
        <w:t xml:space="preserve"> and vegetables play in the diet, they should all receive </w:t>
      </w:r>
      <w:r w:rsidR="00B17128">
        <w:t>a</w:t>
      </w:r>
      <w:r w:rsidR="00B221D5">
        <w:t>n</w:t>
      </w:r>
      <w:r w:rsidR="00B17128">
        <w:t xml:space="preserve"> HSR of 5</w:t>
      </w:r>
      <w:r w:rsidRPr="00D368A3">
        <w:t>.</w:t>
      </w:r>
    </w:p>
    <w:p w14:paraId="23A18380" w14:textId="77777777" w:rsidR="00D25A4F" w:rsidRPr="00E658C9" w:rsidRDefault="00D25A4F" w:rsidP="0024269C"/>
    <w:p w14:paraId="063E941B" w14:textId="34A915A7" w:rsidR="00D25A4F" w:rsidRDefault="00B17128" w:rsidP="0024269C">
      <w:r>
        <w:t>D</w:t>
      </w:r>
      <w:r w:rsidR="00D25A4F" w:rsidRPr="00E658C9">
        <w:t>ecisions in relation to fresh (or minimally processed) fruit</w:t>
      </w:r>
      <w:r w:rsidR="00615AAF">
        <w:t>s</w:t>
      </w:r>
      <w:r w:rsidR="00D25A4F" w:rsidRPr="00E658C9">
        <w:t xml:space="preserve"> and vegetables also ha</w:t>
      </w:r>
      <w:r w:rsidR="00615AAF">
        <w:t>ve</w:t>
      </w:r>
      <w:r w:rsidR="00D25A4F" w:rsidRPr="00E658C9">
        <w:t xml:space="preserve"> implications for the treatment of fruit juices. For example, some stakeholders have expressed concern that fruit juices can obtain HSRs higher than their parent frui</w:t>
      </w:r>
      <w:r w:rsidR="00D25A4F">
        <w:t>t</w:t>
      </w:r>
      <w:r w:rsidR="00615AAF">
        <w:t>s</w:t>
      </w:r>
      <w:r w:rsidR="00D25A4F">
        <w:t xml:space="preserve"> </w:t>
      </w:r>
      <w:r w:rsidR="00D25A4F" w:rsidRPr="00E658C9">
        <w:t xml:space="preserve">because of the different way that HSRs are </w:t>
      </w:r>
      <w:r w:rsidR="00E662A1">
        <w:t>assigned</w:t>
      </w:r>
      <w:r w:rsidR="00E662A1" w:rsidRPr="00E658C9">
        <w:t xml:space="preserve"> </w:t>
      </w:r>
      <w:r w:rsidR="00D25A4F">
        <w:t xml:space="preserve">for </w:t>
      </w:r>
      <w:r w:rsidR="00E662A1">
        <w:t xml:space="preserve">non-dairy </w:t>
      </w:r>
      <w:r w:rsidR="00D25A4F">
        <w:t xml:space="preserve">beverages compared to </w:t>
      </w:r>
      <w:r w:rsidR="00E662A1">
        <w:t xml:space="preserve">general </w:t>
      </w:r>
      <w:r w:rsidR="00D25A4F">
        <w:t>foods</w:t>
      </w:r>
      <w:r w:rsidR="00E662A1">
        <w:t xml:space="preserve"> (see </w:t>
      </w:r>
      <w:r w:rsidR="00E662A1" w:rsidRPr="00A313E3">
        <w:rPr>
          <w:u w:val="single"/>
        </w:rPr>
        <w:t>Appendix 1</w:t>
      </w:r>
      <w:r w:rsidR="00E662A1">
        <w:t>)</w:t>
      </w:r>
      <w:r w:rsidR="00D25A4F" w:rsidRPr="00E658C9">
        <w:t>.</w:t>
      </w:r>
      <w:r w:rsidR="00D25A4F">
        <w:t xml:space="preserve"> This is discussed in more detail </w:t>
      </w:r>
      <w:r w:rsidR="00753F7F">
        <w:t>later in this C</w:t>
      </w:r>
      <w:r w:rsidR="00615AAF">
        <w:t>hapte</w:t>
      </w:r>
      <w:r w:rsidR="00615AAF" w:rsidRPr="00615AAF">
        <w:t>r</w:t>
      </w:r>
      <w:r w:rsidR="00D25A4F" w:rsidRPr="00615AAF">
        <w:t>.</w:t>
      </w:r>
    </w:p>
    <w:p w14:paraId="7890E936" w14:textId="6A4FAB6F" w:rsidR="005E5177" w:rsidRDefault="005E5177" w:rsidP="0024269C"/>
    <w:p w14:paraId="7BD397D9" w14:textId="6EFCF07D" w:rsidR="005E5177" w:rsidRPr="00E658C9" w:rsidRDefault="005E5177" w:rsidP="000F28DF">
      <w:pPr>
        <w:pStyle w:val="mpcNormal"/>
      </w:pPr>
      <w:r w:rsidRPr="007A722C">
        <w:t xml:space="preserve">The TAG modelled three options to address this issue, two of which are explored below. TAG option 2 </w:t>
      </w:r>
      <w:r w:rsidR="007A722C" w:rsidRPr="007A722C">
        <w:t xml:space="preserve">considered removing fruits from Category 2 into a separate category. This option </w:t>
      </w:r>
      <w:r w:rsidRPr="007A722C">
        <w:t xml:space="preserve">was not </w:t>
      </w:r>
      <w:r w:rsidR="007A722C" w:rsidRPr="007A722C">
        <w:t xml:space="preserve">explored </w:t>
      </w:r>
      <w:r w:rsidR="007A722C">
        <w:t>in this Consultation Paper</w:t>
      </w:r>
      <w:r w:rsidR="007A722C" w:rsidRPr="007A722C">
        <w:t xml:space="preserve"> as it </w:t>
      </w:r>
      <w:r w:rsidR="007A722C">
        <w:t xml:space="preserve">would </w:t>
      </w:r>
      <w:r w:rsidR="007A722C" w:rsidRPr="007A722C">
        <w:t>require significant changes and to the HSR Calculator</w:t>
      </w:r>
      <w:r w:rsidR="007A722C">
        <w:t xml:space="preserve"> and</w:t>
      </w:r>
      <w:r w:rsidR="007A722C" w:rsidRPr="007A722C">
        <w:t xml:space="preserve"> adversely impacts the logic of the HSR System by removing one component from the HSR Calculator for one specific product category.</w:t>
      </w:r>
    </w:p>
    <w:p w14:paraId="29C471AE" w14:textId="77777777" w:rsidR="00D25A4F" w:rsidRPr="00AB3873" w:rsidRDefault="00D25A4F" w:rsidP="0024269C"/>
    <w:p w14:paraId="7049D795" w14:textId="77777777" w:rsidR="00D25A4F" w:rsidRPr="00AB3873" w:rsidRDefault="00D25A4F" w:rsidP="00A313E3">
      <w:pPr>
        <w:pStyle w:val="mpcheading3"/>
      </w:pPr>
      <w:bookmarkStart w:id="42" w:name="_Toc523922854"/>
      <w:bookmarkStart w:id="43" w:name="_Toc524530330"/>
      <w:r w:rsidRPr="00A313E3">
        <w:t>Considerations</w:t>
      </w:r>
      <w:bookmarkEnd w:id="42"/>
      <w:bookmarkEnd w:id="43"/>
    </w:p>
    <w:tbl>
      <w:tblPr>
        <w:tblStyle w:val="TableGrid"/>
        <w:tblW w:w="0" w:type="auto"/>
        <w:tblLook w:val="04A0" w:firstRow="1" w:lastRow="0" w:firstColumn="1" w:lastColumn="0" w:noHBand="0" w:noVBand="1"/>
        <w:tblCaption w:val="Considerations - unprocessed fruits and vegetables"/>
        <w:tblDescription w:val="This table outlines the relevant information to be considered in determining options to address this issue."/>
      </w:tblPr>
      <w:tblGrid>
        <w:gridCol w:w="1328"/>
        <w:gridCol w:w="8408"/>
      </w:tblGrid>
      <w:tr w:rsidR="00D25A4F" w:rsidRPr="00AB3873" w14:paraId="304D80A9" w14:textId="77777777" w:rsidTr="00D37907">
        <w:trPr>
          <w:tblHeader/>
        </w:trPr>
        <w:tc>
          <w:tcPr>
            <w:tcW w:w="1328" w:type="dxa"/>
            <w:shd w:val="clear" w:color="auto" w:fill="DEEAF6" w:themeFill="accent5" w:themeFillTint="33"/>
          </w:tcPr>
          <w:p w14:paraId="5BE051E2" w14:textId="1E1266B1" w:rsidR="00D25A4F" w:rsidRPr="00AB3873" w:rsidRDefault="00D25A4F" w:rsidP="0024269C">
            <w:bookmarkStart w:id="44" w:name="RowTitle1"/>
            <w:bookmarkEnd w:id="44"/>
            <w:r w:rsidRPr="00AB3873">
              <w:t>Current trea</w:t>
            </w:r>
            <w:bookmarkStart w:id="45" w:name="Table_3_FandV"/>
            <w:bookmarkEnd w:id="45"/>
            <w:r w:rsidRPr="00AB3873">
              <w:t xml:space="preserve">tment in the HSR </w:t>
            </w:r>
            <w:r w:rsidR="006000E2">
              <w:t>System</w:t>
            </w:r>
          </w:p>
        </w:tc>
        <w:tc>
          <w:tcPr>
            <w:tcW w:w="8408" w:type="dxa"/>
          </w:tcPr>
          <w:p w14:paraId="47B23487" w14:textId="77777777" w:rsidR="00D25A4F" w:rsidRPr="00AB3873" w:rsidRDefault="00D25A4F" w:rsidP="001206CC">
            <w:pPr>
              <w:pStyle w:val="mpcbullets1"/>
              <w:spacing w:before="120" w:after="120"/>
              <w:contextualSpacing/>
              <w:rPr>
                <w:rFonts w:cstheme="minorHAnsi"/>
                <w:szCs w:val="22"/>
              </w:rPr>
            </w:pPr>
            <w:r w:rsidRPr="00AB3873">
              <w:rPr>
                <w:rFonts w:cstheme="minorHAnsi"/>
                <w:szCs w:val="22"/>
              </w:rPr>
              <w:t>Fruits and vegetables a</w:t>
            </w:r>
            <w:r>
              <w:rPr>
                <w:rFonts w:cstheme="minorHAnsi"/>
                <w:szCs w:val="22"/>
              </w:rPr>
              <w:t>re currently within Category 2.</w:t>
            </w:r>
          </w:p>
          <w:p w14:paraId="300DA064" w14:textId="514CE50E" w:rsidR="00B17128" w:rsidRPr="007D2CBD" w:rsidRDefault="00D25A4F" w:rsidP="001206CC">
            <w:pPr>
              <w:pStyle w:val="mpcbullets1"/>
              <w:widowControl w:val="0"/>
              <w:spacing w:before="120" w:after="120"/>
              <w:ind w:left="357" w:hanging="357"/>
              <w:contextualSpacing/>
              <w:rPr>
                <w:rFonts w:cstheme="minorHAnsi"/>
                <w:szCs w:val="22"/>
              </w:rPr>
            </w:pPr>
            <w:r w:rsidRPr="007D2CBD">
              <w:rPr>
                <w:rFonts w:cstheme="minorHAnsi"/>
                <w:szCs w:val="22"/>
              </w:rPr>
              <w:t xml:space="preserve">The Style Guide notes that the Food Standards Code exempts certain products such as packaged fruit and vegetables from NIP labelling. </w:t>
            </w:r>
            <w:r w:rsidR="00B17128" w:rsidRPr="007D2CBD">
              <w:rPr>
                <w:rFonts w:cstheme="minorHAnsi"/>
                <w:szCs w:val="22"/>
              </w:rPr>
              <w:t xml:space="preserve">While the HSR may be used in relation to such foods, there is no expectation that such packages would carry HSR labelling unless the products are of standardised composition and label space permits. </w:t>
            </w:r>
          </w:p>
          <w:p w14:paraId="03FE845C" w14:textId="16BA4DCE" w:rsidR="00D25A4F" w:rsidRPr="007D2CBD" w:rsidRDefault="007D2CBD" w:rsidP="001206CC">
            <w:pPr>
              <w:pStyle w:val="mpcbullets1"/>
              <w:widowControl w:val="0"/>
              <w:spacing w:before="120" w:after="120"/>
              <w:ind w:left="357" w:hanging="357"/>
              <w:contextualSpacing/>
              <w:rPr>
                <w:rFonts w:cstheme="minorHAnsi"/>
                <w:szCs w:val="22"/>
              </w:rPr>
            </w:pPr>
            <w:r>
              <w:rPr>
                <w:rFonts w:cstheme="minorHAnsi"/>
                <w:szCs w:val="22"/>
              </w:rPr>
              <w:t>HSRAC have noted that</w:t>
            </w:r>
            <w:r w:rsidR="00D25A4F" w:rsidRPr="007D2CBD">
              <w:rPr>
                <w:rFonts w:cstheme="minorHAnsi"/>
                <w:szCs w:val="22"/>
              </w:rPr>
              <w:t xml:space="preserve"> ‘A</w:t>
            </w:r>
            <w:r w:rsidR="00D25A4F" w:rsidRPr="007D2CBD">
              <w:rPr>
                <w:color w:val="000000"/>
                <w:szCs w:val="22"/>
              </w:rPr>
              <w:t xml:space="preserve">lthough it may be applied, the </w:t>
            </w:r>
            <w:r w:rsidR="006000E2">
              <w:rPr>
                <w:color w:val="000000"/>
                <w:szCs w:val="22"/>
              </w:rPr>
              <w:t>System</w:t>
            </w:r>
            <w:r w:rsidR="00D25A4F" w:rsidRPr="007D2CBD">
              <w:rPr>
                <w:color w:val="000000"/>
                <w:szCs w:val="22"/>
              </w:rPr>
              <w:t xml:space="preserve"> is not intended for unprocessed or minimally processed fruits and vegetables’</w:t>
            </w:r>
            <w:r>
              <w:rPr>
                <w:rStyle w:val="FootnoteReference"/>
                <w:color w:val="000000"/>
                <w:szCs w:val="22"/>
              </w:rPr>
              <w:footnoteReference w:id="24"/>
            </w:r>
            <w:r w:rsidR="00D25A4F" w:rsidRPr="007D2CBD">
              <w:rPr>
                <w:color w:val="000000"/>
                <w:szCs w:val="22"/>
              </w:rPr>
              <w:t>.</w:t>
            </w:r>
          </w:p>
          <w:p w14:paraId="66F06B33" w14:textId="55B0876D" w:rsidR="00523F66" w:rsidRPr="001206CC" w:rsidRDefault="00BB06AD" w:rsidP="001206CC">
            <w:pPr>
              <w:pStyle w:val="mpcbullets1"/>
              <w:spacing w:before="120" w:after="120"/>
              <w:contextualSpacing/>
              <w:rPr>
                <w:rFonts w:cstheme="minorHAnsi"/>
                <w:szCs w:val="22"/>
              </w:rPr>
            </w:pPr>
            <w:r>
              <w:rPr>
                <w:rFonts w:cstheme="minorHAnsi"/>
                <w:szCs w:val="22"/>
              </w:rPr>
              <w:t>Fruit, vegetable, nut and legume (</w:t>
            </w:r>
            <w:r w:rsidR="00D25A4F" w:rsidRPr="00AB3873">
              <w:rPr>
                <w:rFonts w:cstheme="minorHAnsi"/>
                <w:szCs w:val="22"/>
              </w:rPr>
              <w:t>FVNL</w:t>
            </w:r>
            <w:r>
              <w:rPr>
                <w:rFonts w:cstheme="minorHAnsi"/>
                <w:szCs w:val="22"/>
              </w:rPr>
              <w:t>)</w:t>
            </w:r>
            <w:r w:rsidR="00D25A4F" w:rsidRPr="00AB3873">
              <w:rPr>
                <w:rFonts w:cstheme="minorHAnsi"/>
                <w:szCs w:val="22"/>
              </w:rPr>
              <w:t xml:space="preserve">, fibre and total sugars are the operative </w:t>
            </w:r>
            <w:r>
              <w:rPr>
                <w:rFonts w:cstheme="minorHAnsi"/>
                <w:szCs w:val="22"/>
              </w:rPr>
              <w:t>components</w:t>
            </w:r>
            <w:r w:rsidRPr="00AB3873">
              <w:rPr>
                <w:rFonts w:cstheme="minorHAnsi"/>
                <w:szCs w:val="22"/>
              </w:rPr>
              <w:t xml:space="preserve"> </w:t>
            </w:r>
            <w:r w:rsidR="00D25A4F" w:rsidRPr="00AB3873">
              <w:rPr>
                <w:rFonts w:cstheme="minorHAnsi"/>
                <w:szCs w:val="22"/>
              </w:rPr>
              <w:t>for fruits and vegetables</w:t>
            </w:r>
            <w:r w:rsidR="00A44946">
              <w:rPr>
                <w:rFonts w:cstheme="minorHAnsi"/>
                <w:szCs w:val="22"/>
              </w:rPr>
              <w:t xml:space="preserve"> (i.e. most strongly influence the HSR)</w:t>
            </w:r>
            <w:r w:rsidR="00D25A4F" w:rsidRPr="00AB3873">
              <w:rPr>
                <w:rFonts w:cstheme="minorHAnsi"/>
                <w:szCs w:val="22"/>
              </w:rPr>
              <w:t>.</w:t>
            </w:r>
          </w:p>
        </w:tc>
      </w:tr>
      <w:tr w:rsidR="00D25A4F" w:rsidRPr="00AB3873" w14:paraId="310A2108" w14:textId="77777777" w:rsidTr="00003AFD">
        <w:tc>
          <w:tcPr>
            <w:tcW w:w="1328" w:type="dxa"/>
            <w:shd w:val="clear" w:color="auto" w:fill="DEEAF6" w:themeFill="accent5" w:themeFillTint="33"/>
          </w:tcPr>
          <w:p w14:paraId="284D93E9" w14:textId="77777777" w:rsidR="00D25A4F" w:rsidRPr="00AB3873" w:rsidRDefault="00D25A4F" w:rsidP="0024269C">
            <w:r w:rsidRPr="00AB3873">
              <w:t>Dietary Guidelines</w:t>
            </w:r>
          </w:p>
        </w:tc>
        <w:tc>
          <w:tcPr>
            <w:tcW w:w="8408" w:type="dxa"/>
          </w:tcPr>
          <w:p w14:paraId="4330142E" w14:textId="1AE24C59" w:rsidR="00D25A4F" w:rsidRPr="00D52534" w:rsidRDefault="00D25A4F" w:rsidP="001206CC">
            <w:pPr>
              <w:pStyle w:val="mpcbullets1"/>
              <w:spacing w:before="120" w:after="120"/>
              <w:contextualSpacing/>
              <w:rPr>
                <w:rFonts w:cstheme="minorHAnsi"/>
                <w:szCs w:val="22"/>
              </w:rPr>
            </w:pPr>
            <w:r w:rsidRPr="00D52534">
              <w:rPr>
                <w:rFonts w:cstheme="minorHAnsi"/>
                <w:szCs w:val="22"/>
              </w:rPr>
              <w:t xml:space="preserve">Dietary Guidelines recommend the regular (every day) consumption of plenty of fruits and vegetables. </w:t>
            </w:r>
            <w:r w:rsidR="00BB437B">
              <w:rPr>
                <w:rFonts w:cstheme="minorHAnsi"/>
                <w:szCs w:val="22"/>
              </w:rPr>
              <w:t>This can include fruits and vegetables with minimal processing.</w:t>
            </w:r>
          </w:p>
          <w:p w14:paraId="26830DF1" w14:textId="2D4A5D59" w:rsidR="00D25A4F" w:rsidRPr="00D52534" w:rsidRDefault="007D2CBD" w:rsidP="001206CC">
            <w:pPr>
              <w:pStyle w:val="mpcbullets1"/>
              <w:spacing w:before="120" w:after="120"/>
              <w:contextualSpacing/>
              <w:rPr>
                <w:rFonts w:cstheme="minorHAnsi"/>
                <w:szCs w:val="22"/>
              </w:rPr>
            </w:pPr>
            <w:r>
              <w:rPr>
                <w:rFonts w:cstheme="minorHAnsi"/>
                <w:szCs w:val="22"/>
              </w:rPr>
              <w:t>F</w:t>
            </w:r>
            <w:r w:rsidR="00D25A4F" w:rsidRPr="00D52534">
              <w:rPr>
                <w:rFonts w:cstheme="minorHAnsi"/>
                <w:szCs w:val="22"/>
              </w:rPr>
              <w:t xml:space="preserve">ruits </w:t>
            </w:r>
            <w:r>
              <w:rPr>
                <w:rFonts w:cstheme="minorHAnsi"/>
                <w:szCs w:val="22"/>
              </w:rPr>
              <w:t>and vegetables</w:t>
            </w:r>
            <w:r w:rsidR="00BB437B">
              <w:rPr>
                <w:rFonts w:cstheme="minorHAnsi"/>
                <w:szCs w:val="22"/>
              </w:rPr>
              <w:t xml:space="preserve"> </w:t>
            </w:r>
            <w:r w:rsidR="00D25A4F" w:rsidRPr="00D52534">
              <w:rPr>
                <w:rFonts w:cstheme="minorHAnsi"/>
                <w:szCs w:val="22"/>
              </w:rPr>
              <w:t xml:space="preserve">provide many beneficial nutrients such as vitamins, minerals, antioxidants and dietary fibre. They protect against conditions like heart disease, stroke and some cancers. </w:t>
            </w:r>
          </w:p>
          <w:p w14:paraId="0CBA993E" w14:textId="77E13918" w:rsidR="00D25A4F" w:rsidRPr="00D52534" w:rsidRDefault="00EF0618" w:rsidP="001206CC">
            <w:pPr>
              <w:pStyle w:val="mpcbullets1"/>
              <w:spacing w:before="120" w:after="120"/>
              <w:contextualSpacing/>
              <w:rPr>
                <w:rFonts w:cstheme="minorHAnsi"/>
                <w:szCs w:val="22"/>
              </w:rPr>
            </w:pPr>
            <w:r>
              <w:rPr>
                <w:rFonts w:cstheme="minorHAnsi"/>
                <w:szCs w:val="22"/>
              </w:rPr>
              <w:t>The ADG</w:t>
            </w:r>
            <w:r w:rsidR="00D25A4F" w:rsidRPr="00D52534">
              <w:rPr>
                <w:rFonts w:cstheme="minorHAnsi"/>
                <w:szCs w:val="22"/>
              </w:rPr>
              <w:t xml:space="preserve"> recommend:</w:t>
            </w:r>
          </w:p>
          <w:p w14:paraId="6D9585F6"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‘plenty of vegetables of different types and colours’</w:t>
            </w:r>
          </w:p>
          <w:p w14:paraId="1C410F2D" w14:textId="70483FAE"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a minimum of five servings of vegetables and two servings of fruit per day</w:t>
            </w:r>
          </w:p>
          <w:p w14:paraId="06EFFEE7" w14:textId="7697ADBF" w:rsidR="00D25A4F" w:rsidRPr="00D52534" w:rsidRDefault="00D25A4F"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that </w:t>
            </w:r>
            <w:r w:rsidRPr="00D52534">
              <w:rPr>
                <w:rFonts w:cstheme="minorHAnsi"/>
                <w:szCs w:val="22"/>
              </w:rPr>
              <w:t>different vegetables can help protect the body in different ways, so it’s important to choose a variety of colours and types</w:t>
            </w:r>
            <w:r w:rsidR="00BB437B">
              <w:rPr>
                <w:rFonts w:cstheme="minorHAnsi"/>
                <w:szCs w:val="22"/>
              </w:rPr>
              <w:t>.</w:t>
            </w:r>
          </w:p>
          <w:p w14:paraId="40129752" w14:textId="16583C3E" w:rsidR="00D25A4F" w:rsidRPr="00D52534" w:rsidRDefault="00D25A4F" w:rsidP="001206CC">
            <w:pPr>
              <w:pStyle w:val="mpcbullets1"/>
              <w:spacing w:before="120" w:after="120"/>
              <w:contextualSpacing/>
              <w:rPr>
                <w:rFonts w:cstheme="minorHAnsi"/>
                <w:szCs w:val="22"/>
              </w:rPr>
            </w:pPr>
            <w:r w:rsidRPr="00D52534">
              <w:rPr>
                <w:rFonts w:cstheme="minorHAnsi"/>
                <w:szCs w:val="22"/>
              </w:rPr>
              <w:t>The NZEAG recommend:</w:t>
            </w:r>
          </w:p>
          <w:p w14:paraId="2443EF7F"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‘plenty of vegetables and fruit’</w:t>
            </w:r>
          </w:p>
          <w:p w14:paraId="5D479248"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a minimum of three servings of vegetables and two servings of fruit per day</w:t>
            </w:r>
          </w:p>
          <w:p w14:paraId="1DC3C85F" w14:textId="1EBFE34F"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‘seasonal fresh vegetables and fruit are great choices, but frozen and low-salt or low-sugar canned options are also good’</w:t>
            </w:r>
          </w:p>
          <w:p w14:paraId="1900069B" w14:textId="435B8116" w:rsidR="00BD1C42" w:rsidRPr="001206CC"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 xml:space="preserve">‘include vegetables and/or fruit at each meal time and as </w:t>
            </w:r>
            <w:r w:rsidR="00154E20" w:rsidRPr="00D52534">
              <w:rPr>
                <w:rFonts w:cstheme="minorHAnsi"/>
                <w:szCs w:val="22"/>
              </w:rPr>
              <w:t>snacks</w:t>
            </w:r>
            <w:r w:rsidR="00154E20">
              <w:rPr>
                <w:rFonts w:cstheme="minorHAnsi"/>
                <w:szCs w:val="22"/>
              </w:rPr>
              <w:t>’</w:t>
            </w:r>
            <w:r w:rsidR="00BB437B">
              <w:rPr>
                <w:rFonts w:cstheme="minorHAnsi"/>
                <w:szCs w:val="22"/>
              </w:rPr>
              <w:t>.</w:t>
            </w:r>
          </w:p>
        </w:tc>
      </w:tr>
      <w:tr w:rsidR="00D25A4F" w:rsidRPr="009C669C" w14:paraId="20C19BE2" w14:textId="77777777" w:rsidTr="00003AFD">
        <w:tc>
          <w:tcPr>
            <w:tcW w:w="1328" w:type="dxa"/>
            <w:shd w:val="clear" w:color="auto" w:fill="DEEAF6" w:themeFill="accent5" w:themeFillTint="33"/>
          </w:tcPr>
          <w:p w14:paraId="6CA1F6A3" w14:textId="77777777" w:rsidR="00D25A4F" w:rsidRPr="00AB3873" w:rsidRDefault="00D25A4F" w:rsidP="0024269C">
            <w:r w:rsidRPr="00AB3873">
              <w:t>Intake</w:t>
            </w:r>
          </w:p>
        </w:tc>
        <w:tc>
          <w:tcPr>
            <w:tcW w:w="8408" w:type="dxa"/>
          </w:tcPr>
          <w:p w14:paraId="1C7FB70A" w14:textId="77777777" w:rsidR="00D25A4F" w:rsidRPr="009C669C" w:rsidRDefault="00D25A4F" w:rsidP="001206CC">
            <w:pPr>
              <w:pStyle w:val="mpcbullets1"/>
              <w:spacing w:before="120" w:after="120"/>
              <w:contextualSpacing/>
              <w:rPr>
                <w:rFonts w:cstheme="minorHAnsi"/>
                <w:szCs w:val="22"/>
              </w:rPr>
            </w:pPr>
            <w:r w:rsidRPr="009C669C">
              <w:rPr>
                <w:rFonts w:cstheme="minorHAnsi"/>
                <w:szCs w:val="22"/>
              </w:rPr>
              <w:t xml:space="preserve">Research highlights that Australians and New Zealanders are not meeting their </w:t>
            </w:r>
            <w:r w:rsidRPr="009C669C">
              <w:rPr>
                <w:rFonts w:cstheme="minorHAnsi"/>
                <w:szCs w:val="22"/>
              </w:rPr>
              <w:lastRenderedPageBreak/>
              <w:t>recommended fruit and vegetable intake.</w:t>
            </w:r>
          </w:p>
          <w:p w14:paraId="6A9DBCCB" w14:textId="4157D021" w:rsidR="00D25A4F" w:rsidRPr="009C669C" w:rsidRDefault="00D25A4F" w:rsidP="00B91EBF">
            <w:pPr>
              <w:pStyle w:val="mpcbullets1"/>
              <w:numPr>
                <w:ilvl w:val="2"/>
                <w:numId w:val="5"/>
              </w:numPr>
              <w:spacing w:before="120" w:after="120"/>
              <w:ind w:left="597" w:hanging="283"/>
              <w:contextualSpacing/>
              <w:rPr>
                <w:rFonts w:cstheme="minorHAnsi"/>
                <w:szCs w:val="22"/>
              </w:rPr>
            </w:pPr>
            <w:r w:rsidRPr="009C669C">
              <w:rPr>
                <w:rFonts w:cstheme="minorHAnsi"/>
                <w:szCs w:val="22"/>
              </w:rPr>
              <w:t>In 2014-15, 49.8% of Australian adults met the recommended daily serves of fruit, 7% met recommendations for vegetables and only 5.1%</w:t>
            </w:r>
            <w:r w:rsidR="00700759">
              <w:rPr>
                <w:rFonts w:cstheme="minorHAnsi"/>
                <w:szCs w:val="22"/>
              </w:rPr>
              <w:t xml:space="preserve"> </w:t>
            </w:r>
            <w:r w:rsidR="00BB437B" w:rsidRPr="009C669C">
              <w:rPr>
                <w:rFonts w:cstheme="minorHAnsi"/>
                <w:szCs w:val="22"/>
              </w:rPr>
              <w:t>met both recommendations</w:t>
            </w:r>
            <w:r w:rsidRPr="009C669C">
              <w:rPr>
                <w:rFonts w:cstheme="minorHAnsi"/>
                <w:szCs w:val="22"/>
              </w:rPr>
              <w:t>.</w:t>
            </w:r>
            <w:r w:rsidR="00BB437B" w:rsidRPr="009C669C">
              <w:rPr>
                <w:rStyle w:val="FootnoteReference"/>
                <w:rFonts w:cstheme="minorHAnsi"/>
                <w:szCs w:val="22"/>
              </w:rPr>
              <w:footnoteReference w:id="25"/>
            </w:r>
            <w:r w:rsidRPr="009C669C">
              <w:rPr>
                <w:rFonts w:cstheme="minorHAnsi"/>
                <w:szCs w:val="22"/>
              </w:rPr>
              <w:t> </w:t>
            </w:r>
          </w:p>
          <w:p w14:paraId="4060A07F" w14:textId="0D8E6318" w:rsidR="00D25A4F" w:rsidRPr="009C669C" w:rsidRDefault="00D25A4F" w:rsidP="00B91EBF">
            <w:pPr>
              <w:pStyle w:val="mpcbullets1"/>
              <w:numPr>
                <w:ilvl w:val="2"/>
                <w:numId w:val="5"/>
              </w:numPr>
              <w:spacing w:before="120" w:after="120"/>
              <w:ind w:left="597" w:hanging="283"/>
              <w:contextualSpacing/>
              <w:rPr>
                <w:rFonts w:cstheme="minorHAnsi"/>
                <w:szCs w:val="22"/>
              </w:rPr>
            </w:pPr>
            <w:r w:rsidRPr="009C669C">
              <w:rPr>
                <w:rFonts w:cstheme="minorHAnsi"/>
                <w:szCs w:val="22"/>
              </w:rPr>
              <w:t xml:space="preserve">In 2011-12, 48.3% of Australian adults met the recommended daily serves of fruit, 8.3% met recommendations for vegetables and only </w:t>
            </w:r>
            <w:r w:rsidR="00700759">
              <w:rPr>
                <w:rFonts w:cstheme="minorHAnsi"/>
                <w:szCs w:val="22"/>
              </w:rPr>
              <w:t>5.6%</w:t>
            </w:r>
            <w:r w:rsidRPr="009C669C">
              <w:rPr>
                <w:rFonts w:cstheme="minorHAnsi"/>
                <w:szCs w:val="22"/>
              </w:rPr>
              <w:t xml:space="preserve"> met both recommendations. </w:t>
            </w:r>
          </w:p>
          <w:p w14:paraId="72C8E9E3" w14:textId="751E38A4" w:rsidR="00BD1C42" w:rsidRPr="001206CC" w:rsidRDefault="00F267D7" w:rsidP="00B91EBF">
            <w:pPr>
              <w:pStyle w:val="mpcbullets1"/>
              <w:numPr>
                <w:ilvl w:val="2"/>
                <w:numId w:val="5"/>
              </w:numPr>
              <w:spacing w:before="120" w:after="120"/>
              <w:ind w:left="597" w:hanging="283"/>
              <w:contextualSpacing/>
              <w:rPr>
                <w:rFonts w:cstheme="minorHAnsi"/>
                <w:szCs w:val="22"/>
              </w:rPr>
            </w:pPr>
            <w:r>
              <w:rPr>
                <w:rFonts w:cstheme="minorHAnsi"/>
                <w:szCs w:val="22"/>
              </w:rPr>
              <w:t>In 2008-09, 66</w:t>
            </w:r>
            <w:r w:rsidR="00D25A4F" w:rsidRPr="009C669C">
              <w:rPr>
                <w:rFonts w:cstheme="minorHAnsi"/>
                <w:szCs w:val="22"/>
              </w:rPr>
              <w:t>% of the New Zealand population over the age of 15 met the recommended daily serves of fruit and 60.4% met recommendations for vegetables.</w:t>
            </w:r>
          </w:p>
        </w:tc>
      </w:tr>
      <w:tr w:rsidR="00D25A4F" w:rsidRPr="00AB3873" w14:paraId="1969835E" w14:textId="77777777" w:rsidTr="00003AFD">
        <w:tc>
          <w:tcPr>
            <w:tcW w:w="1328" w:type="dxa"/>
            <w:shd w:val="clear" w:color="auto" w:fill="DEEAF6" w:themeFill="accent5" w:themeFillTint="33"/>
          </w:tcPr>
          <w:p w14:paraId="3E85EEAA" w14:textId="77777777" w:rsidR="00D25A4F" w:rsidRPr="00AB3873" w:rsidRDefault="00D25A4F" w:rsidP="0024269C">
            <w:r w:rsidRPr="00AB3873">
              <w:lastRenderedPageBreak/>
              <w:t>HSR statistics</w:t>
            </w:r>
          </w:p>
        </w:tc>
        <w:tc>
          <w:tcPr>
            <w:tcW w:w="8408" w:type="dxa"/>
          </w:tcPr>
          <w:p w14:paraId="3321C720" w14:textId="5E97412B" w:rsidR="00D25A4F" w:rsidRPr="00D52534" w:rsidRDefault="00D25A4F" w:rsidP="001206CC">
            <w:pPr>
              <w:pStyle w:val="mpcbullets1"/>
              <w:spacing w:before="120" w:after="120"/>
              <w:contextualSpacing/>
              <w:rPr>
                <w:rFonts w:cstheme="minorHAnsi"/>
                <w:szCs w:val="22"/>
              </w:rPr>
            </w:pPr>
            <w:r w:rsidRPr="00D52534">
              <w:rPr>
                <w:rFonts w:cstheme="minorHAnsi"/>
                <w:szCs w:val="22"/>
              </w:rPr>
              <w:t xml:space="preserve">Most </w:t>
            </w:r>
            <w:r w:rsidR="00634306">
              <w:rPr>
                <w:rFonts w:cstheme="minorHAnsi"/>
                <w:szCs w:val="22"/>
              </w:rPr>
              <w:t xml:space="preserve">fresh </w:t>
            </w:r>
            <w:r w:rsidRPr="00D52534">
              <w:rPr>
                <w:rFonts w:cstheme="minorHAnsi"/>
                <w:szCs w:val="22"/>
              </w:rPr>
              <w:t>fruits receive an average HSR of 4.5, with some receiving a</w:t>
            </w:r>
            <w:r w:rsidR="00700759">
              <w:rPr>
                <w:rFonts w:cstheme="minorHAnsi"/>
                <w:szCs w:val="22"/>
              </w:rPr>
              <w:t>n</w:t>
            </w:r>
            <w:r w:rsidRPr="00D52534">
              <w:rPr>
                <w:rFonts w:cstheme="minorHAnsi"/>
                <w:szCs w:val="22"/>
              </w:rPr>
              <w:t xml:space="preserve"> HSR of 4 or 5 and vegetables receive an average HSR of 5.</w:t>
            </w:r>
          </w:p>
          <w:p w14:paraId="31E0E886" w14:textId="77777777" w:rsidR="00D25A4F" w:rsidRPr="00D52534" w:rsidRDefault="00D25A4F" w:rsidP="001206CC">
            <w:pPr>
              <w:pStyle w:val="mpcbullets1"/>
              <w:spacing w:before="120" w:after="120"/>
              <w:contextualSpacing/>
            </w:pPr>
            <w:r w:rsidRPr="00D52534">
              <w:rPr>
                <w:rFonts w:cstheme="minorHAnsi"/>
                <w:szCs w:val="22"/>
              </w:rPr>
              <w:t>For example:</w:t>
            </w:r>
          </w:p>
          <w:p w14:paraId="1C45249D" w14:textId="7A9DF8AE"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Pineapple, lychees and avocados receive a</w:t>
            </w:r>
            <w:r w:rsidR="00700759">
              <w:rPr>
                <w:rFonts w:cstheme="minorHAnsi"/>
                <w:szCs w:val="22"/>
              </w:rPr>
              <w:t>n</w:t>
            </w:r>
            <w:r w:rsidRPr="00D52534">
              <w:rPr>
                <w:rFonts w:cstheme="minorHAnsi"/>
                <w:szCs w:val="22"/>
              </w:rPr>
              <w:t xml:space="preserve"> HSR of 4.</w:t>
            </w:r>
          </w:p>
          <w:p w14:paraId="239A5CE6" w14:textId="42801328"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Rockmelon, apples, blueberries, bananas, lemons, oranges, strawberries, grapes, mango</w:t>
            </w:r>
            <w:r w:rsidR="005A7778">
              <w:rPr>
                <w:rFonts w:cstheme="minorHAnsi"/>
                <w:szCs w:val="22"/>
              </w:rPr>
              <w:t xml:space="preserve"> and</w:t>
            </w:r>
            <w:r w:rsidRPr="00D52534">
              <w:rPr>
                <w:rFonts w:cstheme="minorHAnsi"/>
                <w:szCs w:val="22"/>
              </w:rPr>
              <w:t xml:space="preserve"> kiwifruit receive a</w:t>
            </w:r>
            <w:r w:rsidR="00700759">
              <w:rPr>
                <w:rFonts w:cstheme="minorHAnsi"/>
                <w:szCs w:val="22"/>
              </w:rPr>
              <w:t>n</w:t>
            </w:r>
            <w:r w:rsidRPr="00D52534">
              <w:rPr>
                <w:rFonts w:cstheme="minorHAnsi"/>
                <w:szCs w:val="22"/>
              </w:rPr>
              <w:t xml:space="preserve"> HSR of 4.5.</w:t>
            </w:r>
          </w:p>
          <w:p w14:paraId="73EAB06E" w14:textId="322C5FAC"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Lettuce, carrot, cucumber, eggplant, potato, pumpkin, corn, tomatoes, zucchini and capsicum receive a</w:t>
            </w:r>
            <w:r w:rsidR="00700759">
              <w:rPr>
                <w:rFonts w:cstheme="minorHAnsi"/>
                <w:szCs w:val="22"/>
              </w:rPr>
              <w:t>n</w:t>
            </w:r>
            <w:r w:rsidRPr="00D52534">
              <w:rPr>
                <w:rFonts w:cstheme="minorHAnsi"/>
                <w:szCs w:val="22"/>
              </w:rPr>
              <w:t xml:space="preserve"> HSR of 4.5.</w:t>
            </w:r>
          </w:p>
          <w:p w14:paraId="68BC432A" w14:textId="071CDAB7" w:rsidR="00BD1C42" w:rsidRPr="001206CC" w:rsidRDefault="00AD7D69" w:rsidP="00B91EBF">
            <w:pPr>
              <w:pStyle w:val="mpcbullets1"/>
              <w:numPr>
                <w:ilvl w:val="2"/>
                <w:numId w:val="5"/>
              </w:numPr>
              <w:spacing w:before="120" w:after="120"/>
              <w:ind w:left="597" w:hanging="283"/>
              <w:contextualSpacing/>
              <w:rPr>
                <w:rFonts w:cstheme="minorHAnsi"/>
                <w:szCs w:val="22"/>
              </w:rPr>
            </w:pPr>
            <w:r>
              <w:rPr>
                <w:rFonts w:cstheme="minorHAnsi"/>
                <w:szCs w:val="22"/>
              </w:rPr>
              <w:t>Some</w:t>
            </w:r>
            <w:r w:rsidR="00D25A4F" w:rsidRPr="00D52534">
              <w:rPr>
                <w:rFonts w:cstheme="minorHAnsi"/>
                <w:szCs w:val="22"/>
              </w:rPr>
              <w:t xml:space="preserve"> fruits and </w:t>
            </w:r>
            <w:r w:rsidR="00BE61A6">
              <w:rPr>
                <w:rFonts w:cstheme="minorHAnsi"/>
                <w:szCs w:val="22"/>
              </w:rPr>
              <w:t xml:space="preserve">most other </w:t>
            </w:r>
            <w:r w:rsidR="00D25A4F" w:rsidRPr="00D52534">
              <w:rPr>
                <w:rFonts w:cstheme="minorHAnsi"/>
                <w:szCs w:val="22"/>
              </w:rPr>
              <w:t>vegetables receive an HSR of 5</w:t>
            </w:r>
            <w:r w:rsidR="00BD1C42">
              <w:rPr>
                <w:rFonts w:cstheme="minorHAnsi"/>
                <w:szCs w:val="22"/>
              </w:rPr>
              <w:t>.</w:t>
            </w:r>
          </w:p>
        </w:tc>
      </w:tr>
      <w:tr w:rsidR="00D25A4F" w:rsidRPr="00AB3873" w14:paraId="72B593E7" w14:textId="77777777" w:rsidTr="00003AFD">
        <w:tc>
          <w:tcPr>
            <w:tcW w:w="1328" w:type="dxa"/>
            <w:shd w:val="clear" w:color="auto" w:fill="DEEAF6" w:themeFill="accent5" w:themeFillTint="33"/>
          </w:tcPr>
          <w:p w14:paraId="7FE17035" w14:textId="78FF46A4" w:rsidR="00D25A4F" w:rsidRPr="00AB3873" w:rsidRDefault="00D66661" w:rsidP="0024269C">
            <w:r>
              <w:t>Relevant</w:t>
            </w:r>
            <w:r w:rsidR="00D25A4F" w:rsidRPr="00AB3873">
              <w:t xml:space="preserve"> TAG papers</w:t>
            </w:r>
          </w:p>
        </w:tc>
        <w:tc>
          <w:tcPr>
            <w:tcW w:w="8408" w:type="dxa"/>
          </w:tcPr>
          <w:p w14:paraId="069A90E7" w14:textId="12F8CDC8" w:rsidR="00D25A4F" w:rsidRPr="00AB3873" w:rsidRDefault="00D25A4F" w:rsidP="001206CC">
            <w:pPr>
              <w:pStyle w:val="mpcbullets1"/>
              <w:spacing w:before="120" w:after="120"/>
              <w:contextualSpacing/>
              <w:rPr>
                <w:rFonts w:cstheme="minorHAnsi"/>
                <w:szCs w:val="22"/>
              </w:rPr>
            </w:pPr>
            <w:r w:rsidRPr="00AB3873">
              <w:rPr>
                <w:rFonts w:cstheme="minorHAnsi"/>
                <w:szCs w:val="22"/>
              </w:rPr>
              <w:t>Unprocessed fruits and unprocessed vegetables</w:t>
            </w:r>
            <w:r w:rsidR="00BD1C42">
              <w:rPr>
                <w:rFonts w:cstheme="minorHAnsi"/>
                <w:szCs w:val="22"/>
              </w:rPr>
              <w:t>.</w:t>
            </w:r>
          </w:p>
        </w:tc>
      </w:tr>
    </w:tbl>
    <w:p w14:paraId="3AF808A4" w14:textId="77777777" w:rsidR="00D25A4F" w:rsidRPr="00AB3873" w:rsidRDefault="00D25A4F" w:rsidP="0024269C"/>
    <w:p w14:paraId="5BDF9CB3" w14:textId="77777777" w:rsidR="000C5DBF" w:rsidRPr="00AB3873" w:rsidRDefault="000C5DBF" w:rsidP="000F28DF">
      <w:pPr>
        <w:pStyle w:val="mpcheading3"/>
      </w:pPr>
      <w:bookmarkStart w:id="46" w:name="_Toc523922856"/>
      <w:bookmarkStart w:id="47" w:name="_Toc524530332"/>
      <w:r w:rsidRPr="00AB3873">
        <w:t xml:space="preserve">Options </w:t>
      </w:r>
      <w:r>
        <w:t xml:space="preserve">to address </w:t>
      </w:r>
      <w:r w:rsidRPr="000F28DF">
        <w:t>issue</w:t>
      </w:r>
    </w:p>
    <w:p w14:paraId="6A6CA5D0" w14:textId="77777777" w:rsidR="00D25A4F" w:rsidRPr="00AB3873" w:rsidRDefault="00D25A4F" w:rsidP="00B91EBF">
      <w:pPr>
        <w:pStyle w:val="mpcheading4"/>
        <w:numPr>
          <w:ilvl w:val="0"/>
          <w:numId w:val="7"/>
        </w:numPr>
      </w:pPr>
      <w:r w:rsidRPr="00AB3873">
        <w:t>Status quo for fruits and vegetables</w:t>
      </w:r>
      <w:bookmarkEnd w:id="46"/>
      <w:bookmarkEnd w:id="47"/>
    </w:p>
    <w:p w14:paraId="65221A84" w14:textId="7445E933" w:rsidR="00D25A4F" w:rsidRPr="007B35D8" w:rsidRDefault="00D25A4F" w:rsidP="0024269C">
      <w:pPr>
        <w:rPr>
          <w:color w:val="000000"/>
        </w:rPr>
      </w:pPr>
      <w:r>
        <w:t xml:space="preserve">Under this option, the </w:t>
      </w:r>
      <w:r w:rsidR="0075789D">
        <w:t xml:space="preserve">policy position </w:t>
      </w:r>
      <w:r w:rsidR="00BE5104">
        <w:t>would contin</w:t>
      </w:r>
      <w:r w:rsidR="0075789D">
        <w:t>ue to be that, a</w:t>
      </w:r>
      <w:r w:rsidR="0075789D" w:rsidRPr="007D2CBD">
        <w:rPr>
          <w:color w:val="000000"/>
        </w:rPr>
        <w:t xml:space="preserve">lthough </w:t>
      </w:r>
      <w:r w:rsidR="0075789D">
        <w:rPr>
          <w:color w:val="000000"/>
        </w:rPr>
        <w:t xml:space="preserve">the HSR </w:t>
      </w:r>
      <w:r w:rsidR="0075789D" w:rsidRPr="007D2CBD">
        <w:rPr>
          <w:color w:val="000000"/>
        </w:rPr>
        <w:t xml:space="preserve">may be applied, the </w:t>
      </w:r>
      <w:r w:rsidR="0075789D">
        <w:rPr>
          <w:color w:val="000000"/>
        </w:rPr>
        <w:t>HSR System</w:t>
      </w:r>
      <w:r w:rsidR="0075789D" w:rsidRPr="007D2CBD">
        <w:rPr>
          <w:color w:val="000000"/>
        </w:rPr>
        <w:t xml:space="preserve"> is not intended for unprocessed or minimally processed fruits and vegetables</w:t>
      </w:r>
      <w:r w:rsidR="0075789D">
        <w:rPr>
          <w:color w:val="000000"/>
        </w:rPr>
        <w:t>.</w:t>
      </w:r>
      <w:r>
        <w:t xml:space="preserve"> Where such fruits and vegetables are packaged and the manufacturer </w:t>
      </w:r>
      <w:r w:rsidR="009C669C">
        <w:t xml:space="preserve">chooses to </w:t>
      </w:r>
      <w:r>
        <w:t xml:space="preserve">display the HSR, </w:t>
      </w:r>
      <w:r w:rsidR="00841DC2">
        <w:t>they would use the HSR Calculator to determine the HSR</w:t>
      </w:r>
      <w:r w:rsidR="0075789D">
        <w:t xml:space="preserve"> </w:t>
      </w:r>
      <w:r>
        <w:t>such that</w:t>
      </w:r>
      <w:r w:rsidR="00841DC2">
        <w:t>,</w:t>
      </w:r>
      <w:r>
        <w:t xml:space="preserve"> depending on the fruit or vegetable</w:t>
      </w:r>
      <w:r w:rsidR="00841DC2">
        <w:t>,</w:t>
      </w:r>
      <w:r w:rsidR="008A6B08">
        <w:t xml:space="preserve"> the HSR may range from 4</w:t>
      </w:r>
      <w:r w:rsidR="001C1912">
        <w:t> </w:t>
      </w:r>
      <w:r w:rsidR="008A6B08">
        <w:t>to </w:t>
      </w:r>
      <w:r>
        <w:t>5.</w:t>
      </w:r>
    </w:p>
    <w:p w14:paraId="686020C1" w14:textId="77777777" w:rsidR="00D25A4F" w:rsidRDefault="00D25A4F" w:rsidP="00D25A4F">
      <w:pPr>
        <w:pStyle w:val="mpcbullets1"/>
        <w:numPr>
          <w:ilvl w:val="0"/>
          <w:numId w:val="0"/>
        </w:numPr>
        <w:rPr>
          <w:rFonts w:cstheme="minorHAnsi"/>
          <w:szCs w:val="22"/>
        </w:rPr>
      </w:pPr>
    </w:p>
    <w:p w14:paraId="4AD56E0B" w14:textId="27F7A66D" w:rsidR="00D25A4F" w:rsidRDefault="00D25A4F" w:rsidP="00D25A4F">
      <w:pPr>
        <w:pStyle w:val="mpcbullets1"/>
        <w:numPr>
          <w:ilvl w:val="0"/>
          <w:numId w:val="0"/>
        </w:numPr>
        <w:rPr>
          <w:rFonts w:cstheme="minorHAnsi"/>
          <w:szCs w:val="22"/>
        </w:rPr>
      </w:pPr>
      <w:r>
        <w:rPr>
          <w:rFonts w:cstheme="minorHAnsi"/>
          <w:szCs w:val="22"/>
        </w:rPr>
        <w:t>The advantages of this include:</w:t>
      </w:r>
    </w:p>
    <w:p w14:paraId="62B87B30" w14:textId="77777777" w:rsidR="00841DC2" w:rsidRDefault="00841DC2" w:rsidP="00D25A4F">
      <w:pPr>
        <w:pStyle w:val="mpcbullets1"/>
        <w:numPr>
          <w:ilvl w:val="0"/>
          <w:numId w:val="0"/>
        </w:numPr>
        <w:rPr>
          <w:rFonts w:cstheme="minorHAnsi"/>
          <w:szCs w:val="22"/>
        </w:rPr>
      </w:pPr>
    </w:p>
    <w:p w14:paraId="0C7D43A6" w14:textId="01A23A97" w:rsidR="00841DC2" w:rsidRDefault="00841DC2" w:rsidP="000F28DF">
      <w:pPr>
        <w:pStyle w:val="mpcbullets1"/>
      </w:pPr>
      <w:r w:rsidRPr="00185048">
        <w:t xml:space="preserve">the </w:t>
      </w:r>
      <w:r w:rsidR="00DA4DCF">
        <w:t xml:space="preserve">HSR </w:t>
      </w:r>
      <w:r w:rsidR="006000E2">
        <w:t>System</w:t>
      </w:r>
      <w:r w:rsidRPr="00185048">
        <w:t xml:space="preserve"> would </w:t>
      </w:r>
      <w:r>
        <w:t>continue to attribute high HSRs to fruits and vegetables</w:t>
      </w:r>
    </w:p>
    <w:p w14:paraId="17436F6B" w14:textId="391051D3" w:rsidR="00841DC2" w:rsidRDefault="00D25A4F" w:rsidP="000F28DF">
      <w:pPr>
        <w:pStyle w:val="mpcbullets1"/>
      </w:pPr>
      <w:r w:rsidRPr="00185048">
        <w:t xml:space="preserve">the </w:t>
      </w:r>
      <w:r w:rsidR="006000E2">
        <w:t>System</w:t>
      </w:r>
      <w:r w:rsidRPr="00185048">
        <w:t xml:space="preserve"> would continue </w:t>
      </w:r>
      <w:r w:rsidR="008A6B08">
        <w:t xml:space="preserve">to </w:t>
      </w:r>
      <w:r w:rsidR="00841DC2">
        <w:t xml:space="preserve">treat fruits and vegetables consistently with other foods within </w:t>
      </w:r>
      <w:r w:rsidR="008A6B08">
        <w:t xml:space="preserve">the </w:t>
      </w:r>
      <w:r w:rsidR="00841DC2">
        <w:t xml:space="preserve">scope of the </w:t>
      </w:r>
      <w:r w:rsidR="006000E2">
        <w:t>System</w:t>
      </w:r>
    </w:p>
    <w:p w14:paraId="78EB8558" w14:textId="53FC8DFF" w:rsidR="00D25A4F" w:rsidRPr="00185048" w:rsidRDefault="00D25A4F" w:rsidP="000F28DF">
      <w:pPr>
        <w:pStyle w:val="mpcbullets1"/>
      </w:pPr>
      <w:r w:rsidRPr="00185048">
        <w:t xml:space="preserve">the HSR </w:t>
      </w:r>
      <w:r w:rsidR="00841DC2">
        <w:t>would be</w:t>
      </w:r>
      <w:r w:rsidRPr="00185048">
        <w:t xml:space="preserve"> based on the nutritional profile of the particular </w:t>
      </w:r>
      <w:r>
        <w:t>fruit or vegetable</w:t>
      </w:r>
      <w:r w:rsidRPr="00185048">
        <w:t xml:space="preserve">, </w:t>
      </w:r>
      <w:r w:rsidR="00841DC2">
        <w:t>allowing for some differentiation between fruits and vegetables. This broadly aligns</w:t>
      </w:r>
      <w:r w:rsidR="00841DC2" w:rsidRPr="00185048">
        <w:t xml:space="preserve"> with Dietary Guideline recommendations t</w:t>
      </w:r>
      <w:r w:rsidR="00841DC2">
        <w:t>o eat more vegetables than fruit.</w:t>
      </w:r>
    </w:p>
    <w:p w14:paraId="604CAF56" w14:textId="77777777" w:rsidR="00D25A4F" w:rsidRDefault="00D25A4F" w:rsidP="00D25A4F">
      <w:pPr>
        <w:pStyle w:val="mpcbullets1"/>
        <w:numPr>
          <w:ilvl w:val="0"/>
          <w:numId w:val="0"/>
        </w:numPr>
        <w:rPr>
          <w:rFonts w:cstheme="minorHAnsi"/>
          <w:szCs w:val="22"/>
        </w:rPr>
      </w:pPr>
    </w:p>
    <w:p w14:paraId="78EF72B2" w14:textId="594A0BC2" w:rsidR="00D25A4F" w:rsidRDefault="00D25A4F" w:rsidP="00700759">
      <w:pPr>
        <w:pStyle w:val="mpcbullets1"/>
        <w:keepNext/>
        <w:numPr>
          <w:ilvl w:val="0"/>
          <w:numId w:val="0"/>
        </w:numPr>
        <w:rPr>
          <w:rFonts w:cstheme="minorHAnsi"/>
          <w:szCs w:val="22"/>
        </w:rPr>
      </w:pPr>
      <w:r>
        <w:rPr>
          <w:rFonts w:cstheme="minorHAnsi"/>
          <w:szCs w:val="22"/>
        </w:rPr>
        <w:t>The disadvantages of this include:</w:t>
      </w:r>
    </w:p>
    <w:p w14:paraId="4660CE3A" w14:textId="77777777" w:rsidR="00841DC2" w:rsidRDefault="00841DC2" w:rsidP="00700759">
      <w:pPr>
        <w:pStyle w:val="mpcbullets1"/>
        <w:keepNext/>
        <w:numPr>
          <w:ilvl w:val="0"/>
          <w:numId w:val="0"/>
        </w:numPr>
        <w:rPr>
          <w:rFonts w:cstheme="minorHAnsi"/>
          <w:szCs w:val="22"/>
        </w:rPr>
      </w:pPr>
    </w:p>
    <w:p w14:paraId="15100B8E" w14:textId="1E04E6D2" w:rsidR="00D25A4F" w:rsidRPr="002B0987" w:rsidRDefault="00D25A4F" w:rsidP="000F28DF">
      <w:pPr>
        <w:pStyle w:val="mpcbullets1"/>
      </w:pPr>
      <w:r w:rsidRPr="002B0987">
        <w:t>broader healthy eating messages encourag</w:t>
      </w:r>
      <w:r w:rsidR="0050424A">
        <w:t>e</w:t>
      </w:r>
      <w:r w:rsidRPr="002B0987">
        <w:t xml:space="preserve"> people to consume </w:t>
      </w:r>
      <w:r w:rsidR="001F5734">
        <w:t>plenty of</w:t>
      </w:r>
      <w:r w:rsidRPr="002B0987">
        <w:t xml:space="preserve"> fruits and vegetables, without distinguishing between </w:t>
      </w:r>
      <w:r w:rsidR="001F5734">
        <w:t xml:space="preserve">the </w:t>
      </w:r>
      <w:r w:rsidRPr="002B0987">
        <w:t xml:space="preserve">different </w:t>
      </w:r>
      <w:r>
        <w:t>types</w:t>
      </w:r>
    </w:p>
    <w:p w14:paraId="239807DA" w14:textId="421FCEB7" w:rsidR="00D25A4F" w:rsidRDefault="00D25A4F" w:rsidP="000F28DF">
      <w:pPr>
        <w:pStyle w:val="mpcbullets1"/>
      </w:pPr>
      <w:r w:rsidRPr="002B0987">
        <w:t>some fruit and vegetable juices currently score higher than their whole equivalent, which is inconsistent with Dietary Guidelines</w:t>
      </w:r>
    </w:p>
    <w:p w14:paraId="1A71F1B1" w14:textId="08B2040C" w:rsidR="00D25A4F" w:rsidRPr="00264D0B" w:rsidRDefault="00D25A4F" w:rsidP="000F28DF">
      <w:pPr>
        <w:pStyle w:val="mpcbullets1"/>
      </w:pPr>
      <w:r w:rsidRPr="002B0987">
        <w:t xml:space="preserve">there is a lack of clarity regarding </w:t>
      </w:r>
      <w:r w:rsidR="001F5734">
        <w:t>which</w:t>
      </w:r>
      <w:r>
        <w:t xml:space="preserve"> packaged </w:t>
      </w:r>
      <w:r w:rsidRPr="002B0987">
        <w:t xml:space="preserve">fruits and vegetables </w:t>
      </w:r>
      <w:r w:rsidR="001F5734">
        <w:t xml:space="preserve">are </w:t>
      </w:r>
      <w:r w:rsidR="000B2044">
        <w:t>eligible</w:t>
      </w:r>
      <w:r w:rsidR="000B2044" w:rsidRPr="002B0987">
        <w:t xml:space="preserve"> </w:t>
      </w:r>
      <w:r w:rsidRPr="002B0987">
        <w:t>to carry the</w:t>
      </w:r>
      <w:r>
        <w:t xml:space="preserve"> HSR</w:t>
      </w:r>
      <w:r w:rsidRPr="002B0987">
        <w:t>. While the</w:t>
      </w:r>
      <w:r>
        <w:t xml:space="preserve"> Style Guide notes that the HSR is not expected on products that do not carry the NIP (and </w:t>
      </w:r>
      <w:r w:rsidR="0050424A">
        <w:t xml:space="preserve">the </w:t>
      </w:r>
      <w:r w:rsidRPr="002B0987">
        <w:t>HSRAC</w:t>
      </w:r>
      <w:r w:rsidRPr="002B0987">
        <w:rPr>
          <w:color w:val="000000"/>
        </w:rPr>
        <w:t xml:space="preserve"> </w:t>
      </w:r>
      <w:r>
        <w:rPr>
          <w:color w:val="000000"/>
        </w:rPr>
        <w:t xml:space="preserve">has since advised that ‘the </w:t>
      </w:r>
      <w:r w:rsidR="006000E2">
        <w:rPr>
          <w:color w:val="000000"/>
        </w:rPr>
        <w:t>System</w:t>
      </w:r>
      <w:r w:rsidRPr="002B0987">
        <w:rPr>
          <w:color w:val="000000"/>
        </w:rPr>
        <w:t xml:space="preserve"> is not intended for unprocessed or minimally processed fruits and vegetables</w:t>
      </w:r>
      <w:r>
        <w:rPr>
          <w:color w:val="000000"/>
        </w:rPr>
        <w:t>’)</w:t>
      </w:r>
      <w:r w:rsidR="002512A4">
        <w:rPr>
          <w:color w:val="000000"/>
        </w:rPr>
        <w:t>,</w:t>
      </w:r>
      <w:r>
        <w:rPr>
          <w:color w:val="000000"/>
        </w:rPr>
        <w:t xml:space="preserve"> the appearance of HSR on some packaged products (such as frozen vegetables) but not on their packaged, fresh counterpart</w:t>
      </w:r>
      <w:r w:rsidR="002512A4">
        <w:rPr>
          <w:color w:val="000000"/>
        </w:rPr>
        <w:t>s</w:t>
      </w:r>
      <w:r>
        <w:rPr>
          <w:color w:val="000000"/>
        </w:rPr>
        <w:t xml:space="preserve"> may </w:t>
      </w:r>
      <w:r w:rsidR="008A6B08">
        <w:rPr>
          <w:color w:val="000000"/>
        </w:rPr>
        <w:t>appear</w:t>
      </w:r>
      <w:r w:rsidR="0050424A">
        <w:rPr>
          <w:color w:val="000000"/>
        </w:rPr>
        <w:t xml:space="preserve"> inconsistent</w:t>
      </w:r>
      <w:r>
        <w:rPr>
          <w:color w:val="000000"/>
        </w:rPr>
        <w:t xml:space="preserve"> for consumers.</w:t>
      </w:r>
    </w:p>
    <w:p w14:paraId="2051CF52" w14:textId="77777777" w:rsidR="00D25A4F" w:rsidRPr="00AB3873" w:rsidRDefault="00D25A4F" w:rsidP="0024269C"/>
    <w:p w14:paraId="7D8B4338" w14:textId="10FFA27E" w:rsidR="00D25A4F" w:rsidRPr="00AB3873" w:rsidRDefault="00D25A4F" w:rsidP="00B91EBF">
      <w:pPr>
        <w:pStyle w:val="mpcheading4"/>
        <w:numPr>
          <w:ilvl w:val="0"/>
          <w:numId w:val="7"/>
        </w:numPr>
      </w:pPr>
      <w:bookmarkStart w:id="48" w:name="_Toc523922857"/>
      <w:bookmarkStart w:id="49" w:name="_Toc524530333"/>
      <w:r w:rsidRPr="00AB3873">
        <w:t xml:space="preserve">All </w:t>
      </w:r>
      <w:r>
        <w:t xml:space="preserve">fresh and minimally </w:t>
      </w:r>
      <w:r w:rsidRPr="00AB3873">
        <w:t>processed fruits and vegetables automatically receive a</w:t>
      </w:r>
      <w:r w:rsidR="00700759">
        <w:t>n</w:t>
      </w:r>
      <w:r w:rsidRPr="00AB3873">
        <w:t xml:space="preserve"> HSR of 5</w:t>
      </w:r>
      <w:bookmarkEnd w:id="48"/>
      <w:bookmarkEnd w:id="49"/>
      <w:r w:rsidR="006878C4">
        <w:t xml:space="preserve"> </w:t>
      </w:r>
    </w:p>
    <w:p w14:paraId="11F63F50" w14:textId="3051E96C" w:rsidR="00DB719C" w:rsidRDefault="00D25A4F" w:rsidP="005F42E2">
      <w:pPr>
        <w:pStyle w:val="mpcbullets1"/>
        <w:numPr>
          <w:ilvl w:val="0"/>
          <w:numId w:val="0"/>
        </w:numPr>
        <w:rPr>
          <w:rFonts w:cstheme="minorHAnsi"/>
          <w:szCs w:val="22"/>
        </w:rPr>
      </w:pPr>
      <w:r>
        <w:rPr>
          <w:rFonts w:cstheme="minorHAnsi"/>
          <w:szCs w:val="22"/>
        </w:rPr>
        <w:t>Under this option, packaged fruit</w:t>
      </w:r>
      <w:r w:rsidR="00673188">
        <w:rPr>
          <w:rFonts w:cstheme="minorHAnsi"/>
          <w:szCs w:val="22"/>
        </w:rPr>
        <w:t>s</w:t>
      </w:r>
      <w:r>
        <w:rPr>
          <w:rFonts w:cstheme="minorHAnsi"/>
          <w:szCs w:val="22"/>
        </w:rPr>
        <w:t xml:space="preserve"> and vegetables carrying a NIP would be </w:t>
      </w:r>
      <w:r w:rsidR="001E6BBF">
        <w:rPr>
          <w:rFonts w:cstheme="minorHAnsi"/>
          <w:szCs w:val="22"/>
        </w:rPr>
        <w:t xml:space="preserve">eligible </w:t>
      </w:r>
      <w:r>
        <w:rPr>
          <w:rFonts w:cstheme="minorHAnsi"/>
          <w:szCs w:val="22"/>
        </w:rPr>
        <w:t>to display the HSR, regardless of whether the product is fresh, frozen or canned.</w:t>
      </w:r>
      <w:r w:rsidR="00615069">
        <w:rPr>
          <w:rFonts w:cstheme="minorHAnsi"/>
          <w:szCs w:val="22"/>
        </w:rPr>
        <w:t xml:space="preserve"> All</w:t>
      </w:r>
      <w:r>
        <w:rPr>
          <w:rFonts w:cstheme="minorHAnsi"/>
          <w:szCs w:val="22"/>
        </w:rPr>
        <w:t xml:space="preserve"> packaged </w:t>
      </w:r>
      <w:r w:rsidR="00615069">
        <w:rPr>
          <w:rFonts w:cstheme="minorHAnsi"/>
          <w:szCs w:val="22"/>
        </w:rPr>
        <w:t xml:space="preserve">fresh or minimally processed </w:t>
      </w:r>
      <w:r>
        <w:rPr>
          <w:rFonts w:cstheme="minorHAnsi"/>
          <w:szCs w:val="22"/>
        </w:rPr>
        <w:t>fruit</w:t>
      </w:r>
      <w:r w:rsidR="00615069">
        <w:rPr>
          <w:rFonts w:cstheme="minorHAnsi"/>
          <w:szCs w:val="22"/>
        </w:rPr>
        <w:t>s</w:t>
      </w:r>
      <w:r>
        <w:rPr>
          <w:rFonts w:cstheme="minorHAnsi"/>
          <w:szCs w:val="22"/>
        </w:rPr>
        <w:t xml:space="preserve"> </w:t>
      </w:r>
      <w:r w:rsidR="00615069">
        <w:rPr>
          <w:rFonts w:cstheme="minorHAnsi"/>
          <w:szCs w:val="22"/>
        </w:rPr>
        <w:t>and</w:t>
      </w:r>
      <w:r>
        <w:rPr>
          <w:rFonts w:cstheme="minorHAnsi"/>
          <w:szCs w:val="22"/>
        </w:rPr>
        <w:t xml:space="preserve"> vegetable</w:t>
      </w:r>
      <w:r w:rsidR="00615069">
        <w:rPr>
          <w:rFonts w:cstheme="minorHAnsi"/>
          <w:szCs w:val="22"/>
        </w:rPr>
        <w:t xml:space="preserve">s </w:t>
      </w:r>
      <w:r>
        <w:rPr>
          <w:rFonts w:cstheme="minorHAnsi"/>
          <w:szCs w:val="22"/>
        </w:rPr>
        <w:t xml:space="preserve">would </w:t>
      </w:r>
      <w:r w:rsidRPr="00AB3873">
        <w:rPr>
          <w:rFonts w:cstheme="minorHAnsi"/>
          <w:szCs w:val="22"/>
        </w:rPr>
        <w:t>automatically receive a</w:t>
      </w:r>
      <w:r>
        <w:rPr>
          <w:rFonts w:cstheme="minorHAnsi"/>
          <w:szCs w:val="22"/>
        </w:rPr>
        <w:t>n</w:t>
      </w:r>
      <w:r w:rsidRPr="00AB3873">
        <w:rPr>
          <w:rFonts w:cstheme="minorHAnsi"/>
          <w:szCs w:val="22"/>
        </w:rPr>
        <w:t xml:space="preserve"> HSR of 5. </w:t>
      </w:r>
    </w:p>
    <w:p w14:paraId="03D4D52A" w14:textId="402F4718" w:rsidR="00DB719C" w:rsidRDefault="00DB719C" w:rsidP="005F42E2">
      <w:pPr>
        <w:pStyle w:val="mpcbullets1"/>
        <w:numPr>
          <w:ilvl w:val="0"/>
          <w:numId w:val="0"/>
        </w:numPr>
        <w:rPr>
          <w:rFonts w:cstheme="minorHAnsi"/>
          <w:szCs w:val="22"/>
        </w:rPr>
      </w:pPr>
    </w:p>
    <w:p w14:paraId="32BC84CC" w14:textId="51749C64" w:rsidR="00A43BFD" w:rsidRPr="00A43BFD" w:rsidRDefault="00E323BD" w:rsidP="00A43BFD">
      <w:pPr>
        <w:pStyle w:val="mpcbullets1"/>
        <w:numPr>
          <w:ilvl w:val="0"/>
          <w:numId w:val="0"/>
        </w:numPr>
        <w:rPr>
          <w:rFonts w:cstheme="minorHAnsi"/>
          <w:szCs w:val="22"/>
        </w:rPr>
      </w:pPr>
      <w:r>
        <w:rPr>
          <w:rFonts w:cstheme="minorHAnsi"/>
          <w:szCs w:val="22"/>
        </w:rPr>
        <w:t xml:space="preserve">Noting there is currently no definition of ‘minimally processed’ in the Dietary Guidelines, this is proposed to include </w:t>
      </w:r>
      <w:r w:rsidRPr="00A43BFD">
        <w:rPr>
          <w:rFonts w:cstheme="minorHAnsi"/>
          <w:szCs w:val="22"/>
        </w:rPr>
        <w:t>all packaged fruit</w:t>
      </w:r>
      <w:r w:rsidR="00A43BFD" w:rsidRPr="00A43BFD">
        <w:rPr>
          <w:rFonts w:cstheme="minorHAnsi"/>
          <w:szCs w:val="22"/>
        </w:rPr>
        <w:t xml:space="preserve"> and vegetable products that have been frozen, cut, washed, </w:t>
      </w:r>
      <w:r w:rsidR="00411F53">
        <w:rPr>
          <w:rFonts w:cstheme="minorHAnsi"/>
          <w:szCs w:val="22"/>
        </w:rPr>
        <w:t>canned</w:t>
      </w:r>
      <w:r w:rsidR="00A43BFD" w:rsidRPr="00A43BFD">
        <w:rPr>
          <w:rFonts w:cstheme="minorHAnsi"/>
          <w:szCs w:val="22"/>
        </w:rPr>
        <w:t xml:space="preserve">, peeled and/or blanched to increase their functionality without significantly altering their nutrient content or other properties </w:t>
      </w:r>
      <w:r w:rsidR="00A43BFD">
        <w:rPr>
          <w:rFonts w:cstheme="minorHAnsi"/>
          <w:szCs w:val="22"/>
        </w:rPr>
        <w:t>(</w:t>
      </w:r>
      <w:r w:rsidR="00A43BFD" w:rsidRPr="00A43BFD">
        <w:rPr>
          <w:rFonts w:cstheme="minorHAnsi"/>
          <w:szCs w:val="22"/>
        </w:rPr>
        <w:t>through for example juicing, dehydration, addition of other ingredients</w:t>
      </w:r>
      <w:r w:rsidR="00A43BFD">
        <w:rPr>
          <w:rFonts w:cstheme="minorHAnsi"/>
          <w:szCs w:val="22"/>
        </w:rPr>
        <w:t>)</w:t>
      </w:r>
      <w:r w:rsidR="00A43BFD" w:rsidRPr="00A43BFD">
        <w:rPr>
          <w:rFonts w:cstheme="minorHAnsi"/>
          <w:szCs w:val="22"/>
        </w:rPr>
        <w:t xml:space="preserve"> and/or preparations and interventions</w:t>
      </w:r>
      <w:r w:rsidR="00A43BFD">
        <w:rPr>
          <w:rFonts w:cstheme="minorHAnsi"/>
          <w:szCs w:val="22"/>
        </w:rPr>
        <w:t xml:space="preserve">. </w:t>
      </w:r>
      <w:r w:rsidR="00791CEE">
        <w:rPr>
          <w:szCs w:val="22"/>
        </w:rPr>
        <w:t>This definition may also allow for the a</w:t>
      </w:r>
      <w:r w:rsidR="00791CEE" w:rsidRPr="00673188">
        <w:rPr>
          <w:rFonts w:cs="Times New Roman"/>
          <w:szCs w:val="22"/>
        </w:rPr>
        <w:t>ddition of additives that do not influence the nutritional profile of the fruit or vegetable.</w:t>
      </w:r>
    </w:p>
    <w:p w14:paraId="70C7457F" w14:textId="1ACE4967" w:rsidR="00BC639D" w:rsidRDefault="00BC639D" w:rsidP="005F42E2">
      <w:pPr>
        <w:pStyle w:val="mpcbullets1"/>
        <w:numPr>
          <w:ilvl w:val="0"/>
          <w:numId w:val="0"/>
        </w:numPr>
        <w:rPr>
          <w:rFonts w:cstheme="minorHAnsi"/>
          <w:szCs w:val="22"/>
        </w:rPr>
      </w:pPr>
    </w:p>
    <w:p w14:paraId="4404F6C9" w14:textId="30501B20" w:rsidR="00D25A4F" w:rsidRPr="00673188" w:rsidRDefault="00791CEE" w:rsidP="00791CEE">
      <w:pPr>
        <w:pStyle w:val="mpcbullets1"/>
        <w:numPr>
          <w:ilvl w:val="0"/>
          <w:numId w:val="0"/>
        </w:numPr>
        <w:rPr>
          <w:szCs w:val="22"/>
        </w:rPr>
      </w:pPr>
      <w:r>
        <w:rPr>
          <w:rFonts w:cstheme="minorHAnsi"/>
          <w:szCs w:val="22"/>
        </w:rPr>
        <w:t xml:space="preserve">Products receiving an automatic HSR of 5 </w:t>
      </w:r>
      <w:r w:rsidR="001F4551">
        <w:rPr>
          <w:rFonts w:cstheme="minorHAnsi"/>
          <w:szCs w:val="22"/>
        </w:rPr>
        <w:t>may</w:t>
      </w:r>
      <w:r>
        <w:rPr>
          <w:rFonts w:cstheme="minorHAnsi"/>
          <w:szCs w:val="22"/>
        </w:rPr>
        <w:t xml:space="preserve"> include</w:t>
      </w:r>
      <w:r w:rsidR="002512A4">
        <w:rPr>
          <w:rFonts w:cstheme="minorHAnsi"/>
          <w:szCs w:val="22"/>
        </w:rPr>
        <w:t>:</w:t>
      </w:r>
      <w:r>
        <w:rPr>
          <w:rFonts w:cstheme="minorHAnsi"/>
          <w:szCs w:val="22"/>
        </w:rPr>
        <w:t xml:space="preserve"> </w:t>
      </w:r>
      <w:r>
        <w:rPr>
          <w:szCs w:val="22"/>
        </w:rPr>
        <w:t>salad mixes with no added</w:t>
      </w:r>
      <w:r w:rsidRPr="00673188">
        <w:rPr>
          <w:rFonts w:cs="Times New Roman"/>
          <w:szCs w:val="22"/>
        </w:rPr>
        <w:t xml:space="preserve"> </w:t>
      </w:r>
      <w:r>
        <w:rPr>
          <w:szCs w:val="22"/>
        </w:rPr>
        <w:t>dressing, croutons</w:t>
      </w:r>
      <w:r w:rsidRPr="00433CD2">
        <w:rPr>
          <w:szCs w:val="22"/>
        </w:rPr>
        <w:t xml:space="preserve"> or other food</w:t>
      </w:r>
      <w:r w:rsidR="002512A4">
        <w:rPr>
          <w:szCs w:val="22"/>
        </w:rPr>
        <w:t>s;</w:t>
      </w:r>
      <w:r>
        <w:rPr>
          <w:szCs w:val="22"/>
        </w:rPr>
        <w:t xml:space="preserve"> </w:t>
      </w:r>
      <w:r w:rsidR="002512A4">
        <w:rPr>
          <w:szCs w:val="22"/>
        </w:rPr>
        <w:t>frozen peas and berries;</w:t>
      </w:r>
      <w:r>
        <w:rPr>
          <w:szCs w:val="22"/>
        </w:rPr>
        <w:t xml:space="preserve"> </w:t>
      </w:r>
      <w:r w:rsidR="00D25A4F" w:rsidRPr="00673188">
        <w:rPr>
          <w:szCs w:val="22"/>
        </w:rPr>
        <w:t>apples covered in a glazing agent such a</w:t>
      </w:r>
      <w:r w:rsidR="002512A4">
        <w:rPr>
          <w:szCs w:val="22"/>
        </w:rPr>
        <w:t xml:space="preserve">s beeswax to improve appearance; </w:t>
      </w:r>
      <w:r>
        <w:rPr>
          <w:szCs w:val="22"/>
        </w:rPr>
        <w:t xml:space="preserve">and </w:t>
      </w:r>
      <w:r w:rsidR="00D25A4F" w:rsidRPr="00673188">
        <w:rPr>
          <w:szCs w:val="22"/>
        </w:rPr>
        <w:t xml:space="preserve">canned water chestnuts with water and acidity regulator </w:t>
      </w:r>
      <w:r w:rsidR="00F210F8" w:rsidRPr="00673188">
        <w:rPr>
          <w:szCs w:val="22"/>
        </w:rPr>
        <w:t xml:space="preserve">to improve shelf-life stability </w:t>
      </w:r>
      <w:r w:rsidR="00D25A4F" w:rsidRPr="00673188">
        <w:rPr>
          <w:szCs w:val="22"/>
        </w:rPr>
        <w:t>(citric acid).</w:t>
      </w:r>
    </w:p>
    <w:p w14:paraId="56BA216B" w14:textId="77777777" w:rsidR="00D25A4F" w:rsidRPr="00AB3873" w:rsidRDefault="00D25A4F" w:rsidP="0024269C"/>
    <w:p w14:paraId="3DA0EEFF" w14:textId="4C60B345" w:rsidR="00D25A4F" w:rsidRDefault="00D25A4F" w:rsidP="0024269C">
      <w:r>
        <w:t xml:space="preserve">The advantages of this </w:t>
      </w:r>
      <w:r w:rsidR="00673188">
        <w:t xml:space="preserve">option </w:t>
      </w:r>
      <w:r>
        <w:t>include:</w:t>
      </w:r>
    </w:p>
    <w:p w14:paraId="0BD57E7D" w14:textId="77777777" w:rsidR="00673188" w:rsidRDefault="00673188" w:rsidP="0024269C"/>
    <w:p w14:paraId="61FD8068" w14:textId="35F972DD" w:rsidR="00D25A4F" w:rsidRPr="00790927" w:rsidRDefault="00D25A4F" w:rsidP="000F28DF">
      <w:pPr>
        <w:pStyle w:val="mpcbullets1"/>
      </w:pPr>
      <w:r w:rsidRPr="00790927">
        <w:t>improved consistency with Dietary Guidelines in promoting the consumption of a variety of fruits and vegetables</w:t>
      </w:r>
    </w:p>
    <w:p w14:paraId="5533F277" w14:textId="01A07F19" w:rsidR="00D25A4F" w:rsidRPr="00790927" w:rsidRDefault="00D25A4F" w:rsidP="000F28DF">
      <w:pPr>
        <w:pStyle w:val="mpcbullets1"/>
      </w:pPr>
      <w:r w:rsidRPr="00790927">
        <w:t xml:space="preserve">clarity regarding those fruits and vegetables </w:t>
      </w:r>
      <w:r w:rsidR="001E6BBF">
        <w:t>eligible</w:t>
      </w:r>
      <w:r w:rsidR="001E6BBF" w:rsidRPr="00790927">
        <w:t xml:space="preserve"> </w:t>
      </w:r>
      <w:r>
        <w:t>to carry the HSR (</w:t>
      </w:r>
      <w:r w:rsidRPr="00790927">
        <w:t xml:space="preserve">fruits and vegetables in standardised packaging carrying the NIP) </w:t>
      </w:r>
    </w:p>
    <w:p w14:paraId="5498CB8F" w14:textId="1CA8A11A" w:rsidR="00D25A4F" w:rsidRPr="00790927" w:rsidRDefault="00E302C7" w:rsidP="000F28DF">
      <w:pPr>
        <w:pStyle w:val="mpcbullets1"/>
      </w:pPr>
      <w:r>
        <w:t xml:space="preserve">that </w:t>
      </w:r>
      <w:r w:rsidR="00D25A4F" w:rsidRPr="00790927">
        <w:t xml:space="preserve">fruit </w:t>
      </w:r>
      <w:r w:rsidR="00DB719C" w:rsidRPr="00DB719C">
        <w:t xml:space="preserve">and vegetable </w:t>
      </w:r>
      <w:r w:rsidR="00D25A4F" w:rsidRPr="00DB719C">
        <w:t>juice</w:t>
      </w:r>
      <w:r w:rsidR="00DB719C" w:rsidRPr="00DB719C">
        <w:t>s w</w:t>
      </w:r>
      <w:r w:rsidR="00D25A4F" w:rsidRPr="00DB719C">
        <w:t xml:space="preserve">ould not score higher than </w:t>
      </w:r>
      <w:r w:rsidR="00DB719C" w:rsidRPr="00DB719C">
        <w:t>their whole equivalent</w:t>
      </w:r>
      <w:r w:rsidR="00791CEE">
        <w:t>s</w:t>
      </w:r>
      <w:r w:rsidR="00DB719C" w:rsidRPr="00DB719C">
        <w:t xml:space="preserve"> </w:t>
      </w:r>
      <w:r w:rsidR="00D25A4F" w:rsidRPr="00DB719C">
        <w:t xml:space="preserve">(this is discussed </w:t>
      </w:r>
      <w:r w:rsidR="00DB719C" w:rsidRPr="00DB719C">
        <w:t>in more detail under non-dairy beverages</w:t>
      </w:r>
      <w:r w:rsidR="001B5089">
        <w:t>)</w:t>
      </w:r>
    </w:p>
    <w:p w14:paraId="640E0DCE" w14:textId="7017F0FE" w:rsidR="001B5089" w:rsidRDefault="001B5089" w:rsidP="000F28DF">
      <w:pPr>
        <w:pStyle w:val="mpcbullets1"/>
      </w:pPr>
      <w:r w:rsidRPr="00AF72C8">
        <w:t>Australians and New Zealanders are not meeting the rec</w:t>
      </w:r>
      <w:r>
        <w:t>ommended intake of fruit or vegetable</w:t>
      </w:r>
      <w:r w:rsidRPr="00AF72C8">
        <w:t>s</w:t>
      </w:r>
      <w:r>
        <w:t>, so encouraging their consumption is important.</w:t>
      </w:r>
    </w:p>
    <w:p w14:paraId="04C6096A" w14:textId="77777777" w:rsidR="00D25A4F" w:rsidRDefault="00D25A4F" w:rsidP="0024269C"/>
    <w:p w14:paraId="3C63E087" w14:textId="5AA4BDDA" w:rsidR="00D25A4F" w:rsidRDefault="00DB719C" w:rsidP="0024269C">
      <w:r>
        <w:t>The key disadvantage</w:t>
      </w:r>
      <w:r w:rsidR="00D25A4F">
        <w:t xml:space="preserve"> of this option</w:t>
      </w:r>
      <w:r>
        <w:t xml:space="preserve"> </w:t>
      </w:r>
      <w:r w:rsidR="00D25A4F" w:rsidRPr="00DB719C">
        <w:t xml:space="preserve">is that it </w:t>
      </w:r>
      <w:r w:rsidR="00DB62A1">
        <w:t>lessens</w:t>
      </w:r>
      <w:r w:rsidR="00D66661">
        <w:t xml:space="preserve"> consumers’ ability </w:t>
      </w:r>
      <w:r w:rsidR="00D25A4F" w:rsidRPr="00DB719C">
        <w:t>to differentiate between fruits and vegetables based on small nutritional differences. This impact is not</w:t>
      </w:r>
      <w:r>
        <w:t>,</w:t>
      </w:r>
      <w:r w:rsidR="00D25A4F" w:rsidRPr="00DB719C">
        <w:t xml:space="preserve"> however</w:t>
      </w:r>
      <w:r w:rsidR="002512A4">
        <w:t>,</w:t>
      </w:r>
      <w:r w:rsidR="00D25A4F" w:rsidRPr="00DB719C">
        <w:t xml:space="preserve"> expected to be great as:</w:t>
      </w:r>
    </w:p>
    <w:p w14:paraId="50F2BC31" w14:textId="77777777" w:rsidR="00DB719C" w:rsidRPr="00DB719C" w:rsidRDefault="00DB719C" w:rsidP="0024269C"/>
    <w:p w14:paraId="5EA97DA6" w14:textId="7E752BA2" w:rsidR="00D25A4F" w:rsidRPr="00AF72C8" w:rsidRDefault="001B5089" w:rsidP="000F28DF">
      <w:pPr>
        <w:pStyle w:val="mpcbullets1"/>
      </w:pPr>
      <w:r>
        <w:t xml:space="preserve">relatively </w:t>
      </w:r>
      <w:r w:rsidR="00D25A4F" w:rsidRPr="00AF72C8">
        <w:t xml:space="preserve">few fruits and vegetables receive </w:t>
      </w:r>
      <w:r w:rsidR="00DB719C">
        <w:t>a</w:t>
      </w:r>
      <w:r w:rsidR="002512A4">
        <w:t>n</w:t>
      </w:r>
      <w:r w:rsidR="00DB719C">
        <w:t xml:space="preserve"> HSR below 5</w:t>
      </w:r>
    </w:p>
    <w:p w14:paraId="274624A5" w14:textId="4152B1B8" w:rsidR="00D25A4F" w:rsidRPr="00AF72C8" w:rsidRDefault="00D25A4F" w:rsidP="000F28DF">
      <w:pPr>
        <w:pStyle w:val="mpcbullets1"/>
      </w:pPr>
      <w:r w:rsidRPr="00AF72C8">
        <w:t xml:space="preserve">most consumers do not differentiate between the </w:t>
      </w:r>
      <w:r w:rsidR="00054740">
        <w:t xml:space="preserve">relative </w:t>
      </w:r>
      <w:r w:rsidR="00082D81">
        <w:t>nutritional value</w:t>
      </w:r>
      <w:r w:rsidRPr="00AF72C8">
        <w:t xml:space="preserve"> of</w:t>
      </w:r>
      <w:r w:rsidR="00054740">
        <w:t xml:space="preserve"> fruits</w:t>
      </w:r>
      <w:r w:rsidRPr="00AF72C8">
        <w:t xml:space="preserve"> </w:t>
      </w:r>
      <w:r w:rsidR="00054740">
        <w:t>(</w:t>
      </w:r>
      <w:r w:rsidRPr="00AF72C8">
        <w:t xml:space="preserve">for example, </w:t>
      </w:r>
      <w:r w:rsidR="00054740">
        <w:t xml:space="preserve">comparing a </w:t>
      </w:r>
      <w:r w:rsidRPr="00AF72C8">
        <w:t xml:space="preserve">pineapple to </w:t>
      </w:r>
      <w:r w:rsidR="00054740">
        <w:t xml:space="preserve">a </w:t>
      </w:r>
      <w:r w:rsidRPr="00AF72C8">
        <w:t>rockmelon</w:t>
      </w:r>
      <w:r w:rsidR="00054740">
        <w:t>)</w:t>
      </w:r>
    </w:p>
    <w:p w14:paraId="48F89187" w14:textId="7FFC31CA" w:rsidR="00D25A4F" w:rsidRDefault="00D25A4F" w:rsidP="000F28DF">
      <w:pPr>
        <w:pStyle w:val="mpcbullets1"/>
      </w:pPr>
      <w:r w:rsidRPr="00AF72C8">
        <w:t xml:space="preserve">the Dietary Guidelines do </w:t>
      </w:r>
      <w:r>
        <w:t xml:space="preserve">not distinguish </w:t>
      </w:r>
      <w:r w:rsidRPr="00AF72C8">
        <w:t>between dif</w:t>
      </w:r>
      <w:r>
        <w:t>f</w:t>
      </w:r>
      <w:r w:rsidRPr="00AF72C8">
        <w:t>er</w:t>
      </w:r>
      <w:r>
        <w:t>ent ty</w:t>
      </w:r>
      <w:r w:rsidRPr="00AF72C8">
        <w:t xml:space="preserve">pes </w:t>
      </w:r>
      <w:r w:rsidR="00054740">
        <w:t xml:space="preserve">of fruits and vegetables, </w:t>
      </w:r>
      <w:r w:rsidRPr="00AF72C8">
        <w:t>instea</w:t>
      </w:r>
      <w:r>
        <w:t>d</w:t>
      </w:r>
      <w:r w:rsidRPr="00AF72C8">
        <w:t xml:space="preserve"> </w:t>
      </w:r>
      <w:r>
        <w:t xml:space="preserve">encouraging </w:t>
      </w:r>
      <w:r w:rsidRPr="00AF72C8">
        <w:t>consum</w:t>
      </w:r>
      <w:r>
        <w:t xml:space="preserve">ption </w:t>
      </w:r>
      <w:r w:rsidRPr="00AF72C8">
        <w:t xml:space="preserve">of a </w:t>
      </w:r>
      <w:r w:rsidR="00054740">
        <w:t xml:space="preserve">wide </w:t>
      </w:r>
      <w:r w:rsidRPr="00AF72C8">
        <w:t>range</w:t>
      </w:r>
      <w:r w:rsidR="00E302C7">
        <w:t xml:space="preserve"> of these foods</w:t>
      </w:r>
      <w:r w:rsidRPr="00AF72C8">
        <w:t>.</w:t>
      </w:r>
    </w:p>
    <w:p w14:paraId="5D85023E" w14:textId="6CF7BD2E" w:rsidR="00D25A4F" w:rsidRDefault="00D25A4F" w:rsidP="0024269C"/>
    <w:p w14:paraId="52B3F956" w14:textId="796CBEC6" w:rsidR="00D25A4F" w:rsidRPr="002123F0" w:rsidRDefault="00455168" w:rsidP="000F28DF">
      <w:pPr>
        <w:pStyle w:val="mpcheading3"/>
      </w:pPr>
      <w:bookmarkStart w:id="50" w:name="_Toc523922858"/>
      <w:bookmarkStart w:id="51" w:name="_Toc524530334"/>
      <w:r>
        <w:t xml:space="preserve">Summary and </w:t>
      </w:r>
      <w:r w:rsidRPr="000F28DF">
        <w:t>c</w:t>
      </w:r>
      <w:r w:rsidR="00D25A4F" w:rsidRPr="000F28DF">
        <w:t>onsultation</w:t>
      </w:r>
      <w:r w:rsidR="00D25A4F">
        <w:t xml:space="preserve"> </w:t>
      </w:r>
      <w:bookmarkEnd w:id="50"/>
      <w:bookmarkEnd w:id="51"/>
    </w:p>
    <w:p w14:paraId="5D7138E6" w14:textId="1EE8A786" w:rsidR="00D25A4F" w:rsidRDefault="00D25A4F" w:rsidP="0024269C">
      <w:pPr>
        <w:rPr>
          <w:b/>
        </w:rPr>
      </w:pPr>
      <w:r w:rsidRPr="001A60E2">
        <w:lastRenderedPageBreak/>
        <w:t xml:space="preserve">On the basis of our </w:t>
      </w:r>
      <w:r>
        <w:t>examination</w:t>
      </w:r>
      <w:r w:rsidRPr="001A60E2">
        <w:t xml:space="preserve"> of the issues to date</w:t>
      </w:r>
      <w:r w:rsidR="00405B6B">
        <w:t>, the</w:t>
      </w:r>
      <w:r w:rsidRPr="001A60E2">
        <w:t xml:space="preserve"> preferred option is currently </w:t>
      </w:r>
      <w:r>
        <w:t>Option</w:t>
      </w:r>
      <w:r w:rsidRPr="001A60E2">
        <w:t xml:space="preserve"> </w:t>
      </w:r>
      <w:r w:rsidR="001F4551">
        <w:t>B</w:t>
      </w:r>
      <w:r w:rsidRPr="001A60E2">
        <w:t xml:space="preserve">. </w:t>
      </w:r>
      <w:r w:rsidR="005650BD">
        <w:t xml:space="preserve">Given the significant proportion of Australians and New Zealanders not meeting the recommended intake of fruits and vegetables, </w:t>
      </w:r>
      <w:r w:rsidR="001B5089">
        <w:t>this change would</w:t>
      </w:r>
      <w:r w:rsidR="005650BD">
        <w:t xml:space="preserve"> encourage their consumption</w:t>
      </w:r>
      <w:r w:rsidR="001B5089">
        <w:t xml:space="preserve"> and ensure that no other food or beverage (e.g. fruit juices) score higher than fruits and vegetables</w:t>
      </w:r>
      <w:r w:rsidR="005650BD">
        <w:t xml:space="preserve">. </w:t>
      </w:r>
      <w:r w:rsidRPr="001A60E2">
        <w:t xml:space="preserve">We note that further work </w:t>
      </w:r>
      <w:r w:rsidR="00405B6B">
        <w:t>would be</w:t>
      </w:r>
      <w:r>
        <w:t xml:space="preserve"> required </w:t>
      </w:r>
      <w:r w:rsidR="00405B6B">
        <w:t>to define</w:t>
      </w:r>
      <w:r w:rsidRPr="001A60E2">
        <w:t xml:space="preserve"> </w:t>
      </w:r>
      <w:r w:rsidR="00405B6B">
        <w:t xml:space="preserve">‘minimally processed’ in relation to </w:t>
      </w:r>
      <w:r w:rsidRPr="001A60E2">
        <w:t>fr</w:t>
      </w:r>
      <w:r>
        <w:t>u</w:t>
      </w:r>
      <w:r w:rsidRPr="001A60E2">
        <w:t xml:space="preserve">its and </w:t>
      </w:r>
      <w:r>
        <w:t>vegetables</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Pr>
          <w:b/>
        </w:rPr>
        <w:t>.</w:t>
      </w:r>
    </w:p>
    <w:p w14:paraId="7748285F" w14:textId="77777777" w:rsidR="004A2B3A" w:rsidRDefault="004A2B3A" w:rsidP="0024269C"/>
    <w:p w14:paraId="2641B2BC" w14:textId="77777777" w:rsidR="004A2B3A" w:rsidRPr="00AB3873" w:rsidRDefault="004A2B3A" w:rsidP="000F28DF">
      <w:pPr>
        <w:pStyle w:val="mpcheading2"/>
      </w:pPr>
      <w:bookmarkStart w:id="52" w:name="Nondairybevs"/>
      <w:bookmarkStart w:id="53" w:name="_Toc523922859"/>
      <w:bookmarkStart w:id="54" w:name="_Toc527112898"/>
      <w:bookmarkEnd w:id="52"/>
      <w:r w:rsidRPr="00AB3873">
        <w:t xml:space="preserve">Non-dairy </w:t>
      </w:r>
      <w:r w:rsidRPr="000F28DF">
        <w:t>beverages</w:t>
      </w:r>
      <w:bookmarkEnd w:id="53"/>
      <w:bookmarkEnd w:id="54"/>
    </w:p>
    <w:p w14:paraId="41729144" w14:textId="77777777" w:rsidR="004A2B3A" w:rsidRPr="00AB3873" w:rsidRDefault="004A2B3A" w:rsidP="0024269C"/>
    <w:p w14:paraId="633BB5AB" w14:textId="77777777" w:rsidR="004A2B3A" w:rsidRPr="000F28DF" w:rsidRDefault="004A2B3A" w:rsidP="000F28DF">
      <w:pPr>
        <w:pStyle w:val="mpcheading3"/>
      </w:pPr>
      <w:bookmarkStart w:id="55" w:name="_Toc523922860"/>
      <w:bookmarkStart w:id="56" w:name="_Toc524530336"/>
      <w:r w:rsidRPr="00AB3873">
        <w:t>Issues</w:t>
      </w:r>
      <w:bookmarkEnd w:id="55"/>
      <w:bookmarkEnd w:id="56"/>
    </w:p>
    <w:p w14:paraId="076295CF" w14:textId="0C25F830" w:rsidR="0057645F" w:rsidRDefault="0057645F" w:rsidP="0024269C">
      <w:r>
        <w:t xml:space="preserve">For all of the products within the scope of the HSR </w:t>
      </w:r>
      <w:r w:rsidR="006000E2">
        <w:t>System</w:t>
      </w:r>
      <w:r>
        <w:t xml:space="preserve">, the Style Guide describes a hierarchy of options for the elements to be displayed in the HSR </w:t>
      </w:r>
      <w:r w:rsidR="006000E2">
        <w:t>System</w:t>
      </w:r>
      <w:r>
        <w:t xml:space="preserve"> graphic:</w:t>
      </w:r>
    </w:p>
    <w:p w14:paraId="6C19D0D5" w14:textId="77777777" w:rsidR="0057645F" w:rsidRDefault="0057645F" w:rsidP="0024269C"/>
    <w:p w14:paraId="356D62C8" w14:textId="77777777" w:rsidR="0057645F" w:rsidRPr="00510B16" w:rsidRDefault="0057645F" w:rsidP="00B91EBF">
      <w:pPr>
        <w:pStyle w:val="ListParagraph"/>
        <w:numPr>
          <w:ilvl w:val="0"/>
          <w:numId w:val="17"/>
        </w:numPr>
      </w:pPr>
      <w:r w:rsidRPr="00510B16">
        <w:t>Health Star Rating + energy icon + 3 prescribed nutrient icons + 1 optional nutrient icon.</w:t>
      </w:r>
    </w:p>
    <w:p w14:paraId="40735F9C" w14:textId="77777777" w:rsidR="0057645F" w:rsidRPr="00510B16" w:rsidRDefault="0057645F" w:rsidP="00B91EBF">
      <w:pPr>
        <w:pStyle w:val="ListParagraph"/>
        <w:numPr>
          <w:ilvl w:val="0"/>
          <w:numId w:val="17"/>
        </w:numPr>
      </w:pPr>
      <w:r w:rsidRPr="00510B16">
        <w:t>Health Star Rating + energy icon + 3 prescribed nutrient icons.</w:t>
      </w:r>
    </w:p>
    <w:p w14:paraId="2527AC0E" w14:textId="77777777" w:rsidR="0057645F" w:rsidRPr="00510B16" w:rsidRDefault="0057645F" w:rsidP="00B91EBF">
      <w:pPr>
        <w:pStyle w:val="ListParagraph"/>
        <w:numPr>
          <w:ilvl w:val="0"/>
          <w:numId w:val="17"/>
        </w:numPr>
      </w:pPr>
      <w:r w:rsidRPr="00510B16">
        <w:t>Health Star Rating + energy icon.</w:t>
      </w:r>
    </w:p>
    <w:p w14:paraId="7E005A64" w14:textId="77777777" w:rsidR="0057645F" w:rsidRPr="00510B16" w:rsidRDefault="0057645F" w:rsidP="00B91EBF">
      <w:pPr>
        <w:pStyle w:val="ListParagraph"/>
        <w:numPr>
          <w:ilvl w:val="0"/>
          <w:numId w:val="17"/>
        </w:numPr>
      </w:pPr>
      <w:r w:rsidRPr="00510B16">
        <w:t>Health Star Rating (e.g. when pack size does not accommodate more complete versions).</w:t>
      </w:r>
    </w:p>
    <w:p w14:paraId="6E98AF34" w14:textId="77777777" w:rsidR="0057645F" w:rsidRPr="00510B16" w:rsidRDefault="0057645F" w:rsidP="00B91EBF">
      <w:pPr>
        <w:pStyle w:val="ListParagraph"/>
        <w:numPr>
          <w:ilvl w:val="0"/>
          <w:numId w:val="17"/>
        </w:numPr>
      </w:pPr>
      <w:r w:rsidRPr="00510B16">
        <w:t>Energy icon (e.g. for small pack sizes and some confectionery and beverage products).</w:t>
      </w:r>
    </w:p>
    <w:p w14:paraId="5B2A808C" w14:textId="002C7E5D" w:rsidR="00273920" w:rsidRDefault="00273920" w:rsidP="0024269C"/>
    <w:p w14:paraId="43DA12C6" w14:textId="006E4012" w:rsidR="00E135D0" w:rsidRDefault="00E135D0" w:rsidP="0024269C">
      <w:r w:rsidRPr="001A0307">
        <w:t xml:space="preserve">While </w:t>
      </w:r>
      <w:r>
        <w:t xml:space="preserve">the Style Guide encourages </w:t>
      </w:r>
      <w:r w:rsidRPr="001A0307">
        <w:t xml:space="preserve">use </w:t>
      </w:r>
      <w:r>
        <w:t xml:space="preserve">of </w:t>
      </w:r>
      <w:r w:rsidRPr="001A0307">
        <w:t xml:space="preserve">as many elements of the HSR </w:t>
      </w:r>
      <w:r w:rsidR="006000E2">
        <w:t>System</w:t>
      </w:r>
      <w:r w:rsidRPr="001A0307">
        <w:t xml:space="preserve"> graphic as possible</w:t>
      </w:r>
      <w:r>
        <w:t xml:space="preserve">, </w:t>
      </w:r>
      <w:r w:rsidRPr="001A0307">
        <w:t xml:space="preserve">any of the options </w:t>
      </w:r>
      <w:r>
        <w:t xml:space="preserve">may be </w:t>
      </w:r>
      <w:r w:rsidRPr="001A0307">
        <w:t xml:space="preserve">used on any </w:t>
      </w:r>
      <w:r>
        <w:t xml:space="preserve">product. The Style Guide </w:t>
      </w:r>
      <w:r w:rsidRPr="001A0307">
        <w:t>describes small pack sizes, confectionery and b</w:t>
      </w:r>
      <w:r>
        <w:t>everage products as examples where the energy icon may be used.</w:t>
      </w:r>
    </w:p>
    <w:p w14:paraId="45F86105" w14:textId="2148FFCB" w:rsidR="00E135D0" w:rsidRDefault="00E135D0" w:rsidP="0024269C"/>
    <w:p w14:paraId="1F69B06B" w14:textId="5E6F7F38" w:rsidR="00D0257F" w:rsidRDefault="00D0257F" w:rsidP="0024269C">
      <w:r w:rsidRPr="00D0257F">
        <w:t xml:space="preserve">As the result of a policy decision, packaged </w:t>
      </w:r>
      <w:r w:rsidR="005A6F0A" w:rsidRPr="00D0257F">
        <w:t xml:space="preserve">plain </w:t>
      </w:r>
      <w:r w:rsidRPr="00D0257F">
        <w:t>water automatically receives a</w:t>
      </w:r>
      <w:r w:rsidR="00FF2659">
        <w:t>n</w:t>
      </w:r>
      <w:r w:rsidRPr="00D0257F">
        <w:t xml:space="preserve"> HSR of 5. </w:t>
      </w:r>
      <w:r w:rsidR="00FF2659">
        <w:t>F</w:t>
      </w:r>
      <w:r>
        <w:t>or all other non</w:t>
      </w:r>
      <w:r>
        <w:noBreakHyphen/>
      </w:r>
      <w:r w:rsidRPr="00D0257F">
        <w:t>dairy beverages, the HSR is awarded bas</w:t>
      </w:r>
      <w:r>
        <w:t xml:space="preserve">ed on </w:t>
      </w:r>
      <w:r w:rsidR="00FF2659">
        <w:t xml:space="preserve">the </w:t>
      </w:r>
      <w:r>
        <w:t>combination of nutrients.</w:t>
      </w:r>
    </w:p>
    <w:p w14:paraId="09F23D30" w14:textId="77777777" w:rsidR="00D0257F" w:rsidRPr="00D0257F" w:rsidRDefault="00D0257F" w:rsidP="0024269C"/>
    <w:p w14:paraId="34A1C500" w14:textId="76706261" w:rsidR="00D0257F" w:rsidRPr="00D0257F" w:rsidRDefault="00D0257F" w:rsidP="000F28DF">
      <w:pPr>
        <w:pStyle w:val="mpcbullets1"/>
      </w:pPr>
      <w:r>
        <w:t>F</w:t>
      </w:r>
      <w:r w:rsidRPr="00D0257F">
        <w:t xml:space="preserve">or non-dairy beverages with FVNL content </w:t>
      </w:r>
      <w:r w:rsidR="00E662A1">
        <w:t>&gt;</w:t>
      </w:r>
      <w:r w:rsidRPr="00D0257F">
        <w:t xml:space="preserve"> 40%, this is the operative component of the HSR</w:t>
      </w:r>
      <w:r>
        <w:t xml:space="preserve"> Calculator</w:t>
      </w:r>
      <w:r w:rsidR="001C1912">
        <w:t xml:space="preserve"> </w:t>
      </w:r>
      <w:r w:rsidR="001C1912" w:rsidRPr="001B5089">
        <w:t>(i.e. most strongly influences the HSR)</w:t>
      </w:r>
      <w:r w:rsidRPr="00BD6DF1">
        <w:t>,</w:t>
      </w:r>
      <w:r w:rsidRPr="00D0257F">
        <w:t xml:space="preserve"> which is why they generally receive a</w:t>
      </w:r>
      <w:r w:rsidR="00FF2659">
        <w:t>n</w:t>
      </w:r>
      <w:r w:rsidRPr="00D0257F">
        <w:t xml:space="preserve"> HSR of 4-5.</w:t>
      </w:r>
    </w:p>
    <w:p w14:paraId="3D0F5975" w14:textId="3DEF74A2" w:rsidR="00D0257F" w:rsidRPr="00D0257F" w:rsidRDefault="00D0257F" w:rsidP="000F28DF">
      <w:pPr>
        <w:pStyle w:val="mpcbullets1"/>
      </w:pPr>
      <w:r w:rsidRPr="00D0257F">
        <w:t xml:space="preserve">For other non-dairy beverages with FVNL content </w:t>
      </w:r>
      <w:r w:rsidRPr="00D0257F">
        <w:sym w:font="Symbol" w:char="F0A3"/>
      </w:r>
      <w:r w:rsidRPr="00D0257F">
        <w:t xml:space="preserve"> 40%, the operative components of the HSR </w:t>
      </w:r>
      <w:r>
        <w:t xml:space="preserve">Calculator </w:t>
      </w:r>
      <w:r w:rsidRPr="00D0257F">
        <w:t>are energy and total sugars, which is why they generally receive low HSRs (for example, unsweetened flavoured water receives a</w:t>
      </w:r>
      <w:r w:rsidR="00FF2659">
        <w:t>n</w:t>
      </w:r>
      <w:r w:rsidRPr="00D0257F">
        <w:t xml:space="preserve"> HSR of 2).</w:t>
      </w:r>
    </w:p>
    <w:p w14:paraId="4A72C748" w14:textId="77777777" w:rsidR="00D0257F" w:rsidRDefault="00D0257F" w:rsidP="00A03348">
      <w:pPr>
        <w:pStyle w:val="mpcbullets1"/>
        <w:numPr>
          <w:ilvl w:val="0"/>
          <w:numId w:val="0"/>
        </w:numPr>
        <w:rPr>
          <w:rFonts w:cstheme="minorHAnsi"/>
          <w:szCs w:val="22"/>
        </w:rPr>
      </w:pPr>
    </w:p>
    <w:p w14:paraId="1F44A214" w14:textId="53047708" w:rsidR="00A03348" w:rsidRDefault="00A03348" w:rsidP="00A03348">
      <w:pPr>
        <w:pStyle w:val="mpcbullets1"/>
        <w:numPr>
          <w:ilvl w:val="0"/>
          <w:numId w:val="0"/>
        </w:numPr>
        <w:rPr>
          <w:rFonts w:cstheme="minorHAnsi"/>
          <w:szCs w:val="22"/>
        </w:rPr>
      </w:pPr>
      <w:r>
        <w:rPr>
          <w:rFonts w:cstheme="minorHAnsi"/>
          <w:szCs w:val="22"/>
        </w:rPr>
        <w:t>W</w:t>
      </w:r>
      <w:r w:rsidRPr="00511B97">
        <w:rPr>
          <w:rFonts w:cstheme="minorHAnsi"/>
          <w:szCs w:val="22"/>
        </w:rPr>
        <w:t xml:space="preserve">ithin the </w:t>
      </w:r>
      <w:r>
        <w:rPr>
          <w:rFonts w:cstheme="minorHAnsi"/>
          <w:szCs w:val="22"/>
        </w:rPr>
        <w:t>non-dairy beverage category</w:t>
      </w:r>
      <w:r w:rsidRPr="00511B97">
        <w:rPr>
          <w:rFonts w:cstheme="minorHAnsi"/>
          <w:szCs w:val="22"/>
        </w:rPr>
        <w:t xml:space="preserve">, both the energy icon and stars are used (with the energy icon </w:t>
      </w:r>
      <w:r w:rsidR="00FF2659">
        <w:rPr>
          <w:rFonts w:cstheme="minorHAnsi"/>
          <w:szCs w:val="22"/>
        </w:rPr>
        <w:t xml:space="preserve">generally </w:t>
      </w:r>
      <w:r w:rsidRPr="00511B97">
        <w:rPr>
          <w:rFonts w:cstheme="minorHAnsi"/>
          <w:szCs w:val="22"/>
        </w:rPr>
        <w:t xml:space="preserve">used for low scoring products and the stars used for high scoring products). This makes it difficult for consumers to compare a 100% juice with an unsweetened flavoured water (a lower energy option). </w:t>
      </w:r>
    </w:p>
    <w:p w14:paraId="7051636B" w14:textId="7D5FEAA4" w:rsidR="00993E10" w:rsidRDefault="00993E10" w:rsidP="00A03348">
      <w:pPr>
        <w:pStyle w:val="mpcbullets1"/>
        <w:numPr>
          <w:ilvl w:val="0"/>
          <w:numId w:val="0"/>
        </w:numPr>
        <w:rPr>
          <w:rFonts w:cstheme="minorHAnsi"/>
          <w:szCs w:val="22"/>
        </w:rPr>
      </w:pPr>
    </w:p>
    <w:p w14:paraId="63B98FA2" w14:textId="21BFF9A7" w:rsidR="00993E10" w:rsidRDefault="00993E10" w:rsidP="00A03348">
      <w:pPr>
        <w:pStyle w:val="mpcbullets1"/>
        <w:numPr>
          <w:ilvl w:val="0"/>
          <w:numId w:val="0"/>
        </w:numPr>
        <w:rPr>
          <w:rFonts w:cstheme="minorHAnsi"/>
          <w:szCs w:val="22"/>
        </w:rPr>
      </w:pPr>
      <w:r>
        <w:rPr>
          <w:rFonts w:cstheme="minorHAnsi"/>
          <w:szCs w:val="22"/>
        </w:rPr>
        <w:t xml:space="preserve">A study published in </w:t>
      </w:r>
      <w:r w:rsidR="00F1009B">
        <w:rPr>
          <w:rFonts w:cstheme="minorHAnsi"/>
          <w:szCs w:val="22"/>
        </w:rPr>
        <w:t>August</w:t>
      </w:r>
      <w:r>
        <w:rPr>
          <w:rFonts w:cstheme="minorHAnsi"/>
          <w:szCs w:val="22"/>
        </w:rPr>
        <w:t xml:space="preserve"> 2018 found that of the 762 non-da</w:t>
      </w:r>
      <w:r w:rsidR="00FF2659">
        <w:rPr>
          <w:rFonts w:cstheme="minorHAnsi"/>
          <w:szCs w:val="22"/>
        </w:rPr>
        <w:t>iry beverages sampled,</w:t>
      </w:r>
      <w:r>
        <w:rPr>
          <w:rFonts w:cstheme="minorHAnsi"/>
          <w:szCs w:val="22"/>
        </w:rPr>
        <w:t xml:space="preserve"> 6.8% displayed the stars while 28.5% displayed the energy icon. </w:t>
      </w:r>
      <w:r w:rsidR="00E302C7">
        <w:rPr>
          <w:rFonts w:cstheme="minorHAnsi"/>
          <w:szCs w:val="22"/>
        </w:rPr>
        <w:t xml:space="preserve">For beverages displaying the stars, 94.2% </w:t>
      </w:r>
      <w:r>
        <w:rPr>
          <w:rFonts w:cstheme="minorHAnsi"/>
          <w:szCs w:val="22"/>
        </w:rPr>
        <w:t>displayed a</w:t>
      </w:r>
      <w:r w:rsidR="00FF2659">
        <w:rPr>
          <w:rFonts w:cstheme="minorHAnsi"/>
          <w:szCs w:val="22"/>
        </w:rPr>
        <w:t>n</w:t>
      </w:r>
      <w:r>
        <w:rPr>
          <w:rFonts w:cstheme="minorHAnsi"/>
          <w:szCs w:val="22"/>
        </w:rPr>
        <w:t xml:space="preserve"> HSR of 5 and</w:t>
      </w:r>
      <w:r w:rsidR="00DB62A1">
        <w:rPr>
          <w:rFonts w:cstheme="minorHAnsi"/>
          <w:szCs w:val="22"/>
        </w:rPr>
        <w:t>,</w:t>
      </w:r>
      <w:r>
        <w:rPr>
          <w:rFonts w:cstheme="minorHAnsi"/>
          <w:szCs w:val="22"/>
        </w:rPr>
        <w:t xml:space="preserve"> </w:t>
      </w:r>
      <w:r w:rsidR="00DB62A1">
        <w:rPr>
          <w:rFonts w:cstheme="minorHAnsi"/>
          <w:szCs w:val="22"/>
        </w:rPr>
        <w:t xml:space="preserve">of these, </w:t>
      </w:r>
      <w:r w:rsidR="00E302C7">
        <w:rPr>
          <w:rFonts w:cstheme="minorHAnsi"/>
          <w:szCs w:val="22"/>
        </w:rPr>
        <w:t>85.7%</w:t>
      </w:r>
      <w:r w:rsidR="000C410C">
        <w:rPr>
          <w:rFonts w:cstheme="minorHAnsi"/>
          <w:szCs w:val="22"/>
        </w:rPr>
        <w:t xml:space="preserve"> </w:t>
      </w:r>
      <w:r>
        <w:rPr>
          <w:rFonts w:cstheme="minorHAnsi"/>
          <w:szCs w:val="22"/>
        </w:rPr>
        <w:t xml:space="preserve">were 100% </w:t>
      </w:r>
      <w:r w:rsidR="000C410C">
        <w:rPr>
          <w:rFonts w:cstheme="minorHAnsi"/>
          <w:szCs w:val="22"/>
        </w:rPr>
        <w:t xml:space="preserve">fruit and vegetable </w:t>
      </w:r>
      <w:r>
        <w:rPr>
          <w:rFonts w:cstheme="minorHAnsi"/>
          <w:szCs w:val="22"/>
        </w:rPr>
        <w:t>juices.</w:t>
      </w:r>
      <w:r>
        <w:rPr>
          <w:rStyle w:val="FootnoteReference"/>
          <w:rFonts w:cstheme="minorHAnsi"/>
          <w:szCs w:val="22"/>
        </w:rPr>
        <w:footnoteReference w:id="26"/>
      </w:r>
    </w:p>
    <w:p w14:paraId="2B8D4470" w14:textId="65874FEE" w:rsidR="002E6531" w:rsidRDefault="002E6531" w:rsidP="00A03348">
      <w:pPr>
        <w:pStyle w:val="mpcbullets1"/>
        <w:numPr>
          <w:ilvl w:val="0"/>
          <w:numId w:val="0"/>
        </w:numPr>
        <w:rPr>
          <w:rFonts w:cstheme="minorHAnsi"/>
          <w:szCs w:val="22"/>
        </w:rPr>
      </w:pPr>
    </w:p>
    <w:p w14:paraId="40AA8F04" w14:textId="021C664A" w:rsidR="00A03348" w:rsidRDefault="002E6531" w:rsidP="00A03348">
      <w:pPr>
        <w:pStyle w:val="mpcbullets1"/>
        <w:numPr>
          <w:ilvl w:val="0"/>
          <w:numId w:val="0"/>
        </w:numPr>
        <w:rPr>
          <w:rFonts w:cstheme="minorHAnsi"/>
          <w:szCs w:val="22"/>
        </w:rPr>
      </w:pPr>
      <w:r>
        <w:rPr>
          <w:rFonts w:cstheme="minorHAnsi"/>
          <w:szCs w:val="22"/>
        </w:rPr>
        <w:t>Given the significant contribution of non-dairy beverages to total sugars in Australian and New Zealander d</w:t>
      </w:r>
      <w:r w:rsidR="00FF2659">
        <w:rPr>
          <w:rFonts w:cstheme="minorHAnsi"/>
          <w:szCs w:val="22"/>
        </w:rPr>
        <w:t xml:space="preserve">iets, it is important that the HSR </w:t>
      </w:r>
      <w:r w:rsidR="000C410C">
        <w:rPr>
          <w:rFonts w:cstheme="minorHAnsi"/>
          <w:szCs w:val="22"/>
        </w:rPr>
        <w:t xml:space="preserve">promotes </w:t>
      </w:r>
      <w:r>
        <w:rPr>
          <w:rFonts w:cstheme="minorHAnsi"/>
          <w:szCs w:val="22"/>
        </w:rPr>
        <w:t>healthier products</w:t>
      </w:r>
      <w:r w:rsidR="00F2656A">
        <w:rPr>
          <w:rFonts w:cstheme="minorHAnsi"/>
          <w:szCs w:val="22"/>
        </w:rPr>
        <w:t xml:space="preserve"> that are</w:t>
      </w:r>
      <w:r>
        <w:rPr>
          <w:rFonts w:cstheme="minorHAnsi"/>
          <w:szCs w:val="22"/>
        </w:rPr>
        <w:t xml:space="preserve"> lower in total sugars. However, </w:t>
      </w:r>
      <w:r w:rsidR="00411F53">
        <w:rPr>
          <w:rFonts w:cstheme="minorHAnsi"/>
          <w:szCs w:val="22"/>
        </w:rPr>
        <w:t xml:space="preserve">in Australia </w:t>
      </w:r>
      <w:r>
        <w:rPr>
          <w:rFonts w:cstheme="minorHAnsi"/>
          <w:szCs w:val="22"/>
        </w:rPr>
        <w:t>t</w:t>
      </w:r>
      <w:r w:rsidR="00A03348" w:rsidRPr="008B066F">
        <w:rPr>
          <w:rFonts w:cstheme="minorHAnsi"/>
          <w:szCs w:val="22"/>
        </w:rPr>
        <w:t>he energy icon is n</w:t>
      </w:r>
      <w:r w:rsidR="00A03348">
        <w:rPr>
          <w:rFonts w:cstheme="minorHAnsi"/>
          <w:szCs w:val="22"/>
        </w:rPr>
        <w:t xml:space="preserve">ot well understood by consumers, with monitoring data indicating </w:t>
      </w:r>
      <w:r w:rsidR="00A03348" w:rsidRPr="007178C4">
        <w:rPr>
          <w:rFonts w:cstheme="minorHAnsi"/>
          <w:szCs w:val="22"/>
        </w:rPr>
        <w:t>the energy icon is the least preferred HSR logo (with 1% of respondents preferring it)</w:t>
      </w:r>
      <w:r w:rsidR="00A03348">
        <w:rPr>
          <w:rFonts w:cstheme="minorHAnsi"/>
          <w:szCs w:val="22"/>
        </w:rPr>
        <w:t>.</w:t>
      </w:r>
      <w:r w:rsidR="00A03348" w:rsidRPr="007178C4">
        <w:rPr>
          <w:rFonts w:cstheme="minorHAnsi"/>
          <w:szCs w:val="22"/>
        </w:rPr>
        <w:t xml:space="preserve"> </w:t>
      </w:r>
      <w:r w:rsidR="00FF2659">
        <w:rPr>
          <w:rFonts w:cstheme="minorHAnsi"/>
          <w:szCs w:val="22"/>
        </w:rPr>
        <w:t xml:space="preserve">Only </w:t>
      </w:r>
      <w:r w:rsidR="00A03348" w:rsidRPr="007178C4">
        <w:rPr>
          <w:rFonts w:cstheme="minorHAnsi"/>
          <w:szCs w:val="22"/>
        </w:rPr>
        <w:t xml:space="preserve">2% find it the easiest </w:t>
      </w:r>
      <w:r w:rsidR="00A03348">
        <w:rPr>
          <w:rFonts w:cstheme="minorHAnsi"/>
          <w:szCs w:val="22"/>
        </w:rPr>
        <w:t>graphic</w:t>
      </w:r>
      <w:r w:rsidR="00A03348" w:rsidRPr="007178C4">
        <w:rPr>
          <w:rFonts w:cstheme="minorHAnsi"/>
          <w:szCs w:val="22"/>
        </w:rPr>
        <w:t xml:space="preserve"> to understand, 4% find it the easiest </w:t>
      </w:r>
      <w:r w:rsidR="00A03348">
        <w:rPr>
          <w:rFonts w:cstheme="minorHAnsi"/>
          <w:szCs w:val="22"/>
        </w:rPr>
        <w:t>graphic</w:t>
      </w:r>
      <w:r w:rsidR="00A03348" w:rsidRPr="007178C4">
        <w:rPr>
          <w:rFonts w:cstheme="minorHAnsi"/>
          <w:szCs w:val="22"/>
        </w:rPr>
        <w:t xml:space="preserve"> to recognise and 4% find it provides sufficient information</w:t>
      </w:r>
      <w:r w:rsidR="007E194B">
        <w:rPr>
          <w:rFonts w:cstheme="minorHAnsi"/>
          <w:szCs w:val="22"/>
        </w:rPr>
        <w:t>.</w:t>
      </w:r>
      <w:r w:rsidR="00A03348">
        <w:rPr>
          <w:rStyle w:val="FootnoteReference"/>
          <w:rFonts w:cstheme="minorHAnsi"/>
          <w:szCs w:val="22"/>
        </w:rPr>
        <w:footnoteReference w:id="27"/>
      </w:r>
    </w:p>
    <w:p w14:paraId="2E9F139C" w14:textId="77777777" w:rsidR="00A03348" w:rsidRDefault="00A03348" w:rsidP="00A03348">
      <w:pPr>
        <w:pStyle w:val="mpcbullets1"/>
        <w:numPr>
          <w:ilvl w:val="0"/>
          <w:numId w:val="0"/>
        </w:numPr>
        <w:rPr>
          <w:rFonts w:cstheme="minorHAnsi"/>
          <w:szCs w:val="22"/>
        </w:rPr>
      </w:pPr>
    </w:p>
    <w:p w14:paraId="27C00590" w14:textId="0213EB01" w:rsidR="00A03348" w:rsidRDefault="00A03348" w:rsidP="00A03348">
      <w:pPr>
        <w:pStyle w:val="mpcbullets1"/>
        <w:numPr>
          <w:ilvl w:val="0"/>
          <w:numId w:val="0"/>
        </w:numPr>
        <w:rPr>
          <w:rFonts w:cstheme="minorHAnsi"/>
          <w:szCs w:val="22"/>
        </w:rPr>
      </w:pPr>
      <w:r>
        <w:rPr>
          <w:rFonts w:cstheme="minorHAnsi"/>
          <w:szCs w:val="22"/>
        </w:rPr>
        <w:lastRenderedPageBreak/>
        <w:t xml:space="preserve">A further concern of stakeholders </w:t>
      </w:r>
      <w:r w:rsidR="00CE68A9">
        <w:rPr>
          <w:rFonts w:cstheme="minorHAnsi"/>
          <w:szCs w:val="22"/>
        </w:rPr>
        <w:t>is</w:t>
      </w:r>
      <w:r>
        <w:rPr>
          <w:rFonts w:cstheme="minorHAnsi"/>
          <w:szCs w:val="22"/>
        </w:rPr>
        <w:t xml:space="preserve"> that some 100% </w:t>
      </w:r>
      <w:r w:rsidR="00CE68A9">
        <w:rPr>
          <w:rFonts w:cstheme="minorHAnsi"/>
          <w:szCs w:val="22"/>
        </w:rPr>
        <w:t xml:space="preserve">fruit and vegetable </w:t>
      </w:r>
      <w:r>
        <w:rPr>
          <w:rFonts w:cstheme="minorHAnsi"/>
          <w:szCs w:val="22"/>
        </w:rPr>
        <w:t xml:space="preserve">juices receive HSRs that exceed their whole fruit equivalent (due to the scaling and weighting of components within different HSR categories). </w:t>
      </w:r>
      <w:r w:rsidR="00CE68A9">
        <w:rPr>
          <w:rFonts w:cstheme="minorHAnsi"/>
          <w:szCs w:val="22"/>
        </w:rPr>
        <w:t>We note that if</w:t>
      </w:r>
      <w:r>
        <w:rPr>
          <w:rFonts w:cstheme="minorHAnsi"/>
          <w:szCs w:val="22"/>
        </w:rPr>
        <w:t xml:space="preserve"> a policy decision is made</w:t>
      </w:r>
      <w:r w:rsidRPr="00AB3873">
        <w:rPr>
          <w:rFonts w:cstheme="minorHAnsi"/>
          <w:szCs w:val="22"/>
        </w:rPr>
        <w:t xml:space="preserve"> that </w:t>
      </w:r>
      <w:r>
        <w:rPr>
          <w:rFonts w:cstheme="minorHAnsi"/>
          <w:szCs w:val="22"/>
        </w:rPr>
        <w:t xml:space="preserve">fresh and minimally processed </w:t>
      </w:r>
      <w:r w:rsidRPr="00AB3873">
        <w:rPr>
          <w:rFonts w:cstheme="minorHAnsi"/>
          <w:szCs w:val="22"/>
        </w:rPr>
        <w:t>fruits and vegetables automatically receive</w:t>
      </w:r>
      <w:r w:rsidR="00CE68A9">
        <w:rPr>
          <w:rFonts w:cstheme="minorHAnsi"/>
          <w:szCs w:val="22"/>
        </w:rPr>
        <w:t xml:space="preserve"> a</w:t>
      </w:r>
      <w:r w:rsidR="007E6515">
        <w:rPr>
          <w:rFonts w:cstheme="minorHAnsi"/>
          <w:szCs w:val="22"/>
        </w:rPr>
        <w:t>n</w:t>
      </w:r>
      <w:r w:rsidR="00CE68A9">
        <w:rPr>
          <w:rFonts w:cstheme="minorHAnsi"/>
          <w:szCs w:val="22"/>
        </w:rPr>
        <w:t xml:space="preserve"> HSR of</w:t>
      </w:r>
      <w:r w:rsidRPr="00AB3873">
        <w:rPr>
          <w:rFonts w:cstheme="minorHAnsi"/>
          <w:szCs w:val="22"/>
        </w:rPr>
        <w:t xml:space="preserve"> 5 </w:t>
      </w:r>
      <w:r>
        <w:rPr>
          <w:rFonts w:cstheme="minorHAnsi"/>
          <w:szCs w:val="22"/>
        </w:rPr>
        <w:t>(as discussed above)</w:t>
      </w:r>
      <w:r w:rsidRPr="00AB3873">
        <w:rPr>
          <w:rFonts w:cstheme="minorHAnsi"/>
          <w:szCs w:val="22"/>
        </w:rPr>
        <w:t xml:space="preserve">, </w:t>
      </w:r>
      <w:r w:rsidR="00561EC9">
        <w:rPr>
          <w:rFonts w:cstheme="minorHAnsi"/>
          <w:szCs w:val="22"/>
        </w:rPr>
        <w:t xml:space="preserve">then </w:t>
      </w:r>
      <w:r w:rsidRPr="00AB3873">
        <w:rPr>
          <w:rFonts w:cstheme="minorHAnsi"/>
          <w:szCs w:val="22"/>
        </w:rPr>
        <w:t xml:space="preserve">no </w:t>
      </w:r>
      <w:r w:rsidR="00CE68A9">
        <w:rPr>
          <w:rFonts w:cstheme="minorHAnsi"/>
          <w:szCs w:val="22"/>
        </w:rPr>
        <w:t>100%</w:t>
      </w:r>
      <w:r w:rsidRPr="00AB3873">
        <w:rPr>
          <w:rFonts w:cstheme="minorHAnsi"/>
          <w:szCs w:val="22"/>
        </w:rPr>
        <w:t xml:space="preserve"> juices will score more than their whole equivalent</w:t>
      </w:r>
      <w:r>
        <w:rPr>
          <w:rFonts w:cstheme="minorHAnsi"/>
          <w:szCs w:val="22"/>
        </w:rPr>
        <w:t>, which may address this concern.</w:t>
      </w:r>
    </w:p>
    <w:p w14:paraId="51329B8F" w14:textId="77777777" w:rsidR="002E6531" w:rsidRDefault="002E6531" w:rsidP="002E6531">
      <w:pPr>
        <w:pStyle w:val="mpcbullets1"/>
        <w:numPr>
          <w:ilvl w:val="0"/>
          <w:numId w:val="0"/>
        </w:numPr>
        <w:ind w:left="360" w:hanging="360"/>
        <w:rPr>
          <w:rFonts w:cstheme="minorHAnsi"/>
          <w:szCs w:val="22"/>
        </w:rPr>
      </w:pPr>
    </w:p>
    <w:p w14:paraId="1D869465" w14:textId="5257E5C0" w:rsidR="002E6531" w:rsidRDefault="00D0257F" w:rsidP="002E6531">
      <w:pPr>
        <w:pStyle w:val="mpcbullets1"/>
        <w:numPr>
          <w:ilvl w:val="0"/>
          <w:numId w:val="0"/>
        </w:numPr>
        <w:rPr>
          <w:rFonts w:cstheme="minorHAnsi"/>
          <w:szCs w:val="22"/>
        </w:rPr>
      </w:pPr>
      <w:r>
        <w:rPr>
          <w:rFonts w:cstheme="minorHAnsi"/>
          <w:szCs w:val="22"/>
        </w:rPr>
        <w:t>N</w:t>
      </w:r>
      <w:r w:rsidR="002E6531" w:rsidRPr="00AB3873">
        <w:rPr>
          <w:rFonts w:cstheme="minorHAnsi"/>
          <w:szCs w:val="22"/>
        </w:rPr>
        <w:t>on-dairy beverages are intrinsically difficult to profile nutritionally</w:t>
      </w:r>
      <w:r>
        <w:rPr>
          <w:rFonts w:cstheme="minorHAnsi"/>
          <w:szCs w:val="22"/>
        </w:rPr>
        <w:t>, as</w:t>
      </w:r>
      <w:r w:rsidR="002E6531">
        <w:rPr>
          <w:rFonts w:cstheme="minorHAnsi"/>
          <w:szCs w:val="22"/>
        </w:rPr>
        <w:t xml:space="preserve"> </w:t>
      </w:r>
      <w:r w:rsidR="007E194B">
        <w:rPr>
          <w:rFonts w:cstheme="minorHAnsi"/>
          <w:szCs w:val="22"/>
        </w:rPr>
        <w:t>many</w:t>
      </w:r>
      <w:r w:rsidR="002E6531" w:rsidRPr="00AB3873">
        <w:rPr>
          <w:rFonts w:cstheme="minorHAnsi"/>
          <w:szCs w:val="22"/>
        </w:rPr>
        <w:t xml:space="preserve"> </w:t>
      </w:r>
      <w:r w:rsidR="002E6531">
        <w:rPr>
          <w:rFonts w:cstheme="minorHAnsi"/>
          <w:szCs w:val="22"/>
        </w:rPr>
        <w:t xml:space="preserve">have minimal </w:t>
      </w:r>
      <w:r>
        <w:rPr>
          <w:rFonts w:cstheme="minorHAnsi"/>
          <w:szCs w:val="22"/>
        </w:rPr>
        <w:t>nutritional value</w:t>
      </w:r>
      <w:r w:rsidR="002E6531">
        <w:rPr>
          <w:rFonts w:cstheme="minorHAnsi"/>
          <w:szCs w:val="22"/>
        </w:rPr>
        <w:t xml:space="preserve"> and the HSR Calculator </w:t>
      </w:r>
      <w:r w:rsidR="002E6531" w:rsidRPr="00AB3873">
        <w:rPr>
          <w:rFonts w:cstheme="minorHAnsi"/>
          <w:szCs w:val="22"/>
        </w:rPr>
        <w:t xml:space="preserve">depends on a balance of </w:t>
      </w:r>
      <w:r>
        <w:rPr>
          <w:rFonts w:cstheme="minorHAnsi"/>
          <w:szCs w:val="22"/>
        </w:rPr>
        <w:t>positive and negative components</w:t>
      </w:r>
      <w:r w:rsidR="002E6531">
        <w:rPr>
          <w:rFonts w:cstheme="minorHAnsi"/>
          <w:szCs w:val="22"/>
        </w:rPr>
        <w:t xml:space="preserve"> in order to score a </w:t>
      </w:r>
      <w:r>
        <w:rPr>
          <w:rFonts w:cstheme="minorHAnsi"/>
          <w:szCs w:val="22"/>
        </w:rPr>
        <w:t>product</w:t>
      </w:r>
      <w:r w:rsidR="002E6531" w:rsidRPr="00AB3873">
        <w:rPr>
          <w:rFonts w:cstheme="minorHAnsi"/>
          <w:szCs w:val="22"/>
        </w:rPr>
        <w:t>. Internationa</w:t>
      </w:r>
      <w:r w:rsidR="002E6531">
        <w:rPr>
          <w:rFonts w:cstheme="minorHAnsi"/>
          <w:szCs w:val="22"/>
        </w:rPr>
        <w:t xml:space="preserve">l FoPL </w:t>
      </w:r>
      <w:r w:rsidR="002E6531" w:rsidRPr="00E61F18">
        <w:rPr>
          <w:rFonts w:cstheme="minorHAnsi"/>
          <w:szCs w:val="22"/>
        </w:rPr>
        <w:t>systems (such as the French Nutri-Score) have</w:t>
      </w:r>
      <w:r w:rsidR="002E6531">
        <w:rPr>
          <w:rFonts w:cstheme="minorHAnsi"/>
          <w:szCs w:val="22"/>
        </w:rPr>
        <w:t xml:space="preserve"> also encountered challenges determining appropriate labelling for non-dairy beverages</w:t>
      </w:r>
      <w:r w:rsidR="00225354">
        <w:rPr>
          <w:rFonts w:cstheme="minorHAnsi"/>
          <w:szCs w:val="22"/>
        </w:rPr>
        <w:t>,</w:t>
      </w:r>
      <w:r w:rsidR="002E6531">
        <w:rPr>
          <w:rFonts w:cstheme="minorHAnsi"/>
          <w:szCs w:val="22"/>
        </w:rPr>
        <w:t xml:space="preserve"> including </w:t>
      </w:r>
      <w:r w:rsidR="00F2656A">
        <w:rPr>
          <w:rFonts w:cstheme="minorHAnsi"/>
          <w:szCs w:val="22"/>
        </w:rPr>
        <w:t xml:space="preserve">how </w:t>
      </w:r>
      <w:r w:rsidR="002E6531">
        <w:rPr>
          <w:rFonts w:cstheme="minorHAnsi"/>
          <w:szCs w:val="22"/>
        </w:rPr>
        <w:t>to reflect the relative nutritional value</w:t>
      </w:r>
      <w:r w:rsidR="000C410C">
        <w:rPr>
          <w:rFonts w:cstheme="minorHAnsi"/>
          <w:szCs w:val="22"/>
        </w:rPr>
        <w:t>s</w:t>
      </w:r>
      <w:r w:rsidR="002E6531">
        <w:rPr>
          <w:rFonts w:cstheme="minorHAnsi"/>
          <w:szCs w:val="22"/>
        </w:rPr>
        <w:t xml:space="preserve"> of </w:t>
      </w:r>
      <w:r w:rsidR="000C410C">
        <w:rPr>
          <w:rFonts w:cstheme="minorHAnsi"/>
          <w:szCs w:val="22"/>
        </w:rPr>
        <w:t xml:space="preserve">non-dairy </w:t>
      </w:r>
      <w:r w:rsidR="002E6531">
        <w:rPr>
          <w:rFonts w:cstheme="minorHAnsi"/>
          <w:szCs w:val="22"/>
        </w:rPr>
        <w:t xml:space="preserve">beverage </w:t>
      </w:r>
      <w:r w:rsidR="000C410C">
        <w:rPr>
          <w:rFonts w:cstheme="minorHAnsi"/>
          <w:szCs w:val="22"/>
        </w:rPr>
        <w:t>products</w:t>
      </w:r>
      <w:r w:rsidR="002E6531">
        <w:rPr>
          <w:rFonts w:cstheme="minorHAnsi"/>
          <w:szCs w:val="22"/>
        </w:rPr>
        <w:t>.</w:t>
      </w:r>
    </w:p>
    <w:p w14:paraId="4EF79931" w14:textId="77777777" w:rsidR="002E6531" w:rsidRDefault="002E6531" w:rsidP="002E6531">
      <w:pPr>
        <w:pStyle w:val="mpcbullets1"/>
        <w:numPr>
          <w:ilvl w:val="0"/>
          <w:numId w:val="0"/>
        </w:numPr>
        <w:rPr>
          <w:rFonts w:cstheme="minorHAnsi"/>
          <w:szCs w:val="22"/>
        </w:rPr>
      </w:pPr>
    </w:p>
    <w:p w14:paraId="44358902" w14:textId="0DD8D80E" w:rsidR="002E6531" w:rsidRDefault="002E6531" w:rsidP="00E520D6">
      <w:pPr>
        <w:pStyle w:val="mpcbullets1"/>
        <w:numPr>
          <w:ilvl w:val="0"/>
          <w:numId w:val="0"/>
        </w:numPr>
        <w:rPr>
          <w:rFonts w:cstheme="minorHAnsi"/>
          <w:szCs w:val="22"/>
        </w:rPr>
      </w:pPr>
      <w:r>
        <w:rPr>
          <w:rFonts w:cstheme="minorHAnsi"/>
          <w:szCs w:val="22"/>
        </w:rPr>
        <w:t>From a policy per</w:t>
      </w:r>
      <w:r w:rsidR="00E520D6">
        <w:rPr>
          <w:rFonts w:cstheme="minorHAnsi"/>
          <w:szCs w:val="22"/>
        </w:rPr>
        <w:t xml:space="preserve">spective, the HSR System should </w:t>
      </w:r>
      <w:r>
        <w:rPr>
          <w:rFonts w:cstheme="minorHAnsi"/>
          <w:szCs w:val="22"/>
        </w:rPr>
        <w:t>encourage consumers to drink water</w:t>
      </w:r>
      <w:r w:rsidR="00E520D6">
        <w:rPr>
          <w:rFonts w:cstheme="minorHAnsi"/>
          <w:szCs w:val="22"/>
        </w:rPr>
        <w:t xml:space="preserve">. If </w:t>
      </w:r>
      <w:r>
        <w:rPr>
          <w:rFonts w:cstheme="minorHAnsi"/>
          <w:szCs w:val="22"/>
        </w:rPr>
        <w:t>consumers are selecting drink</w:t>
      </w:r>
      <w:r w:rsidR="000C410C">
        <w:rPr>
          <w:rFonts w:cstheme="minorHAnsi"/>
          <w:szCs w:val="22"/>
        </w:rPr>
        <w:t>s</w:t>
      </w:r>
      <w:r>
        <w:rPr>
          <w:rFonts w:cstheme="minorHAnsi"/>
          <w:szCs w:val="22"/>
        </w:rPr>
        <w:t xml:space="preserve"> other than water, </w:t>
      </w:r>
      <w:r w:rsidR="00E520D6">
        <w:rPr>
          <w:rFonts w:cstheme="minorHAnsi"/>
          <w:szCs w:val="22"/>
        </w:rPr>
        <w:t xml:space="preserve">the System should </w:t>
      </w:r>
      <w:r>
        <w:rPr>
          <w:rFonts w:cstheme="minorHAnsi"/>
          <w:szCs w:val="22"/>
        </w:rPr>
        <w:t>encourage selection of those closest in nutritional profile to water, with the same hydra</w:t>
      </w:r>
      <w:r w:rsidR="00225354">
        <w:rPr>
          <w:rFonts w:cstheme="minorHAnsi"/>
          <w:szCs w:val="22"/>
        </w:rPr>
        <w:t xml:space="preserve">ting qualities and no or low </w:t>
      </w:r>
      <w:r>
        <w:rPr>
          <w:rFonts w:cstheme="minorHAnsi"/>
          <w:szCs w:val="22"/>
        </w:rPr>
        <w:t xml:space="preserve">calories (e.g. </w:t>
      </w:r>
      <w:r w:rsidR="00E520D6">
        <w:rPr>
          <w:rFonts w:cstheme="minorHAnsi"/>
          <w:szCs w:val="22"/>
        </w:rPr>
        <w:t xml:space="preserve">unsweetened </w:t>
      </w:r>
      <w:r>
        <w:rPr>
          <w:rFonts w:cstheme="minorHAnsi"/>
          <w:szCs w:val="22"/>
        </w:rPr>
        <w:t>flavoured waters).</w:t>
      </w:r>
      <w:r w:rsidR="001553AF">
        <w:rPr>
          <w:rFonts w:cstheme="minorHAnsi"/>
          <w:szCs w:val="22"/>
        </w:rPr>
        <w:t xml:space="preserve"> More contentious is the extent to which the HSR should direct people to 100% juices, with different recommendations in the Australian and New Zealand Dietary Guidelines.</w:t>
      </w:r>
    </w:p>
    <w:p w14:paraId="4E378FC1" w14:textId="77777777" w:rsidR="00D0257F" w:rsidRDefault="00D0257F" w:rsidP="00D0257F">
      <w:pPr>
        <w:pStyle w:val="mpcbullets1"/>
        <w:numPr>
          <w:ilvl w:val="0"/>
          <w:numId w:val="0"/>
        </w:numPr>
        <w:rPr>
          <w:rFonts w:cstheme="minorHAnsi"/>
          <w:szCs w:val="22"/>
        </w:rPr>
      </w:pPr>
    </w:p>
    <w:p w14:paraId="5A41C4E9" w14:textId="719DCFBE" w:rsidR="00D0257F" w:rsidRDefault="00D0257F" w:rsidP="00D0257F">
      <w:pPr>
        <w:pStyle w:val="mpcbullets1"/>
        <w:numPr>
          <w:ilvl w:val="0"/>
          <w:numId w:val="0"/>
        </w:numPr>
        <w:rPr>
          <w:rFonts w:cstheme="minorHAnsi"/>
          <w:szCs w:val="22"/>
        </w:rPr>
      </w:pPr>
      <w:r>
        <w:rPr>
          <w:rFonts w:cstheme="minorHAnsi"/>
          <w:szCs w:val="22"/>
        </w:rPr>
        <w:t>Noting the above, the key issues for the Review are:</w:t>
      </w:r>
    </w:p>
    <w:p w14:paraId="282BFA22" w14:textId="77777777" w:rsidR="00D0257F" w:rsidRDefault="00D0257F" w:rsidP="00D0257F">
      <w:pPr>
        <w:pStyle w:val="mpcbullets1"/>
        <w:numPr>
          <w:ilvl w:val="0"/>
          <w:numId w:val="0"/>
        </w:numPr>
        <w:rPr>
          <w:rFonts w:cstheme="minorHAnsi"/>
          <w:szCs w:val="22"/>
        </w:rPr>
      </w:pPr>
    </w:p>
    <w:p w14:paraId="3A27BBE0" w14:textId="52E54F93" w:rsidR="00D0257F" w:rsidRDefault="00D0257F" w:rsidP="000F28DF">
      <w:pPr>
        <w:pStyle w:val="mpcbullets1"/>
      </w:pPr>
      <w:r>
        <w:t>whether all non-dairy beverages should display the energy icon, whether they should display the stars (to better enable consumers to compare products across the category), or whether there should continue to be flexibility to apply either the energy icon or the stars</w:t>
      </w:r>
    </w:p>
    <w:p w14:paraId="215F4BD4" w14:textId="187CF480" w:rsidR="00D0257F" w:rsidRPr="00CE68A9" w:rsidRDefault="00D0257F" w:rsidP="000F28DF">
      <w:pPr>
        <w:pStyle w:val="mpcbullets1"/>
      </w:pPr>
      <w:r w:rsidRPr="00CE68A9">
        <w:t>the appropriateness of relative HSRs of non-dairy beverages when compared across the category, noting that unsweetened flavoured waters:</w:t>
      </w:r>
    </w:p>
    <w:p w14:paraId="5FECDA7B" w14:textId="422AA6F9" w:rsidR="00D0257F" w:rsidRDefault="00D0257F" w:rsidP="000F28DF">
      <w:pPr>
        <w:pStyle w:val="mpcbullets2"/>
      </w:pPr>
      <w:r>
        <w:t>score lower than 100% fruit juices</w:t>
      </w:r>
      <w:r w:rsidR="001E18D8">
        <w:t>, despite juices being</w:t>
      </w:r>
      <w:r w:rsidR="00225354">
        <w:t xml:space="preserve"> </w:t>
      </w:r>
      <w:r>
        <w:t xml:space="preserve">higher </w:t>
      </w:r>
      <w:r w:rsidR="00225354">
        <w:t xml:space="preserve">in </w:t>
      </w:r>
      <w:r>
        <w:t>energy</w:t>
      </w:r>
    </w:p>
    <w:p w14:paraId="3ACDC3DB" w14:textId="4BB20905" w:rsidR="002E6531" w:rsidRPr="00E520D6" w:rsidRDefault="00D0257F" w:rsidP="000F28DF">
      <w:pPr>
        <w:pStyle w:val="mpcbullets2"/>
      </w:pPr>
      <w:r>
        <w:t>score the same as diet drinks despite generally being perceived as a healthier alternative (despite the total sugar and energy being similar).</w:t>
      </w:r>
    </w:p>
    <w:p w14:paraId="2322A57A" w14:textId="77777777" w:rsidR="0057645F" w:rsidRPr="00211B9F" w:rsidRDefault="0057645F" w:rsidP="0024269C"/>
    <w:p w14:paraId="7BF920F4" w14:textId="77777777" w:rsidR="004A2B3A" w:rsidRPr="00AB3873" w:rsidRDefault="004A2B3A" w:rsidP="000F28DF">
      <w:pPr>
        <w:pStyle w:val="mpcheading3"/>
      </w:pPr>
      <w:bookmarkStart w:id="57" w:name="_Toc523922861"/>
      <w:bookmarkStart w:id="58" w:name="_Toc524530337"/>
      <w:r w:rsidRPr="000F28DF">
        <w:t>Considerations</w:t>
      </w:r>
      <w:bookmarkEnd w:id="57"/>
      <w:bookmarkEnd w:id="58"/>
    </w:p>
    <w:tbl>
      <w:tblPr>
        <w:tblStyle w:val="TableGrid"/>
        <w:tblW w:w="9781" w:type="dxa"/>
        <w:tblInd w:w="-5" w:type="dxa"/>
        <w:tblLook w:val="04A0" w:firstRow="1" w:lastRow="0" w:firstColumn="1" w:lastColumn="0" w:noHBand="0" w:noVBand="1"/>
        <w:tblCaption w:val="Considerations - non-dairy beverages"/>
        <w:tblDescription w:val="This table outlines the relevant information to be considered in determining options to address this issue."/>
      </w:tblPr>
      <w:tblGrid>
        <w:gridCol w:w="1328"/>
        <w:gridCol w:w="8453"/>
      </w:tblGrid>
      <w:tr w:rsidR="004A2B3A" w:rsidRPr="00AB3873" w14:paraId="6D230D88" w14:textId="77777777" w:rsidTr="00D37907">
        <w:trPr>
          <w:tblHeader/>
        </w:trPr>
        <w:tc>
          <w:tcPr>
            <w:tcW w:w="1328" w:type="dxa"/>
            <w:shd w:val="clear" w:color="auto" w:fill="DEEAF6" w:themeFill="accent5" w:themeFillTint="33"/>
          </w:tcPr>
          <w:p w14:paraId="1F723DBC" w14:textId="33BC6316" w:rsidR="004A2B3A" w:rsidRPr="00AB3873" w:rsidRDefault="004A2B3A" w:rsidP="0024269C">
            <w:bookmarkStart w:id="59" w:name="RowTitle2"/>
            <w:bookmarkEnd w:id="59"/>
            <w:r w:rsidRPr="00AB3873">
              <w:t>Current tr</w:t>
            </w:r>
            <w:bookmarkStart w:id="60" w:name="Table_4_nondairy_bevs"/>
            <w:bookmarkEnd w:id="60"/>
            <w:r w:rsidRPr="00AB3873">
              <w:t xml:space="preserve">eatment in the HSR </w:t>
            </w:r>
            <w:r w:rsidR="006000E2">
              <w:t>System</w:t>
            </w:r>
          </w:p>
        </w:tc>
        <w:tc>
          <w:tcPr>
            <w:tcW w:w="8453" w:type="dxa"/>
          </w:tcPr>
          <w:p w14:paraId="7CB709F8" w14:textId="79547FDC" w:rsidR="004A2B3A" w:rsidRPr="00AB3873" w:rsidRDefault="001C1912" w:rsidP="001206CC">
            <w:pPr>
              <w:pStyle w:val="mpcbullets1"/>
              <w:spacing w:before="120" w:after="120"/>
              <w:contextualSpacing/>
              <w:rPr>
                <w:rFonts w:cstheme="minorHAnsi"/>
                <w:szCs w:val="22"/>
              </w:rPr>
            </w:pPr>
            <w:r>
              <w:rPr>
                <w:rFonts w:cstheme="minorHAnsi"/>
                <w:szCs w:val="22"/>
              </w:rPr>
              <w:t>As the result of a policy decision to encourage consumption of water, p</w:t>
            </w:r>
            <w:r w:rsidR="004A2B3A" w:rsidRPr="00AB3873">
              <w:rPr>
                <w:rFonts w:cstheme="minorHAnsi"/>
                <w:szCs w:val="22"/>
              </w:rPr>
              <w:t xml:space="preserve">ackaged </w:t>
            </w:r>
            <w:r>
              <w:rPr>
                <w:rFonts w:cstheme="minorHAnsi"/>
                <w:szCs w:val="22"/>
              </w:rPr>
              <w:t xml:space="preserve">plain </w:t>
            </w:r>
            <w:r w:rsidR="004A2B3A" w:rsidRPr="00AB3873">
              <w:rPr>
                <w:rFonts w:cstheme="minorHAnsi"/>
                <w:szCs w:val="22"/>
              </w:rPr>
              <w:t>water with no additives (as regulated in the Code Standard 2.6.2) receives an automatic HSR of 5.</w:t>
            </w:r>
          </w:p>
          <w:p w14:paraId="15066389"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Beverage categories:</w:t>
            </w:r>
          </w:p>
          <w:p w14:paraId="31253CBD" w14:textId="77777777"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Category 1 includes non-dairy beverages (e.g. flavoured waters, fruit and vegetable juices and drinks, cordials, soft drinks, energy drinks, coconut waters)</w:t>
            </w:r>
          </w:p>
          <w:p w14:paraId="7C97DA73" w14:textId="39BA2038"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Category 1D includes dairy beverages (with calcium content &gt; </w:t>
            </w:r>
            <w:r w:rsidR="00E662A1">
              <w:rPr>
                <w:rFonts w:cstheme="minorHAnsi"/>
                <w:szCs w:val="22"/>
              </w:rPr>
              <w:t>80mg/100mL</w:t>
            </w:r>
            <w:r w:rsidRPr="00AB3873">
              <w:rPr>
                <w:rFonts w:cstheme="minorHAnsi"/>
                <w:szCs w:val="22"/>
              </w:rPr>
              <w:t>)</w:t>
            </w:r>
          </w:p>
          <w:p w14:paraId="59B6BE1F"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For Category 1:</w:t>
            </w:r>
          </w:p>
          <w:p w14:paraId="52A88639" w14:textId="52283B2F"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energy and sugars are the operative nutrients</w:t>
            </w:r>
            <w:r w:rsidR="007E194B">
              <w:rPr>
                <w:rFonts w:cstheme="minorHAnsi"/>
                <w:szCs w:val="22"/>
              </w:rPr>
              <w:t xml:space="preserve"> (for non-dairy beverages other than 100% juices)</w:t>
            </w:r>
          </w:p>
          <w:p w14:paraId="395AD826" w14:textId="05EC7AE8" w:rsidR="004407B5" w:rsidRPr="001206CC"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products with FVNL content &gt; 40% </w:t>
            </w:r>
            <w:r w:rsidR="00DA04CF">
              <w:rPr>
                <w:rFonts w:cstheme="minorHAnsi"/>
                <w:szCs w:val="22"/>
              </w:rPr>
              <w:t xml:space="preserve">or concentrated fruit and vegetable content &gt; 25% </w:t>
            </w:r>
            <w:r w:rsidRPr="00AB3873">
              <w:rPr>
                <w:rFonts w:cstheme="minorHAnsi"/>
                <w:szCs w:val="22"/>
              </w:rPr>
              <w:t>can claim modifyi</w:t>
            </w:r>
            <w:r w:rsidR="00CE68A9">
              <w:rPr>
                <w:rFonts w:cstheme="minorHAnsi"/>
                <w:szCs w:val="22"/>
              </w:rPr>
              <w:t xml:space="preserve">ng </w:t>
            </w:r>
            <w:r w:rsidR="007E194B">
              <w:rPr>
                <w:rFonts w:cstheme="minorHAnsi"/>
                <w:szCs w:val="22"/>
              </w:rPr>
              <w:t xml:space="preserve">V </w:t>
            </w:r>
            <w:r w:rsidR="00CE68A9">
              <w:rPr>
                <w:rFonts w:cstheme="minorHAnsi"/>
                <w:szCs w:val="22"/>
              </w:rPr>
              <w:t>points (up to a maximum of </w:t>
            </w:r>
            <w:r w:rsidRPr="00AB3873">
              <w:rPr>
                <w:rFonts w:cstheme="minorHAnsi"/>
                <w:szCs w:val="22"/>
              </w:rPr>
              <w:t>8).</w:t>
            </w:r>
          </w:p>
        </w:tc>
      </w:tr>
      <w:tr w:rsidR="004A2B3A" w:rsidRPr="00AB3873" w14:paraId="2F2E86B0" w14:textId="77777777" w:rsidTr="004A2B3A">
        <w:tc>
          <w:tcPr>
            <w:tcW w:w="1328" w:type="dxa"/>
            <w:shd w:val="clear" w:color="auto" w:fill="DEEAF6" w:themeFill="accent5" w:themeFillTint="33"/>
          </w:tcPr>
          <w:p w14:paraId="74CB118A" w14:textId="77777777" w:rsidR="004A2B3A" w:rsidRPr="00AB3873" w:rsidRDefault="004A2B3A" w:rsidP="0024269C">
            <w:r w:rsidRPr="00AB3873">
              <w:t>Dietary Guidelines</w:t>
            </w:r>
          </w:p>
        </w:tc>
        <w:tc>
          <w:tcPr>
            <w:tcW w:w="8453" w:type="dxa"/>
          </w:tcPr>
          <w:p w14:paraId="2D6CD425" w14:textId="650AC9EC" w:rsidR="004A2B3A" w:rsidRPr="00AB3873" w:rsidRDefault="004A2B3A" w:rsidP="001206CC">
            <w:pPr>
              <w:pStyle w:val="mpcbullets1"/>
              <w:spacing w:before="120" w:after="120"/>
              <w:contextualSpacing/>
              <w:rPr>
                <w:rFonts w:cstheme="minorHAnsi"/>
                <w:szCs w:val="22"/>
              </w:rPr>
            </w:pPr>
            <w:r w:rsidRPr="00AB3873">
              <w:rPr>
                <w:rFonts w:cstheme="minorHAnsi"/>
                <w:szCs w:val="22"/>
              </w:rPr>
              <w:t xml:space="preserve">Dietary Guidelines recommend water as the </w:t>
            </w:r>
            <w:r w:rsidRPr="004407B5">
              <w:rPr>
                <w:rFonts w:cstheme="minorHAnsi"/>
                <w:szCs w:val="22"/>
              </w:rPr>
              <w:t>healthiest beverage.</w:t>
            </w:r>
            <w:r w:rsidRPr="00AB3873">
              <w:rPr>
                <w:rFonts w:cstheme="minorHAnsi"/>
                <w:szCs w:val="22"/>
              </w:rPr>
              <w:t xml:space="preserve"> </w:t>
            </w:r>
          </w:p>
          <w:p w14:paraId="1FE56C0D" w14:textId="6A54F18E" w:rsidR="005020E2" w:rsidRDefault="004A2B3A" w:rsidP="001206CC">
            <w:pPr>
              <w:pStyle w:val="mpcbullets1"/>
              <w:spacing w:before="120" w:after="120"/>
              <w:contextualSpacing/>
              <w:rPr>
                <w:rFonts w:cstheme="minorHAnsi"/>
                <w:szCs w:val="22"/>
              </w:rPr>
            </w:pPr>
            <w:r w:rsidRPr="00AB3873">
              <w:rPr>
                <w:rFonts w:cstheme="minorHAnsi"/>
                <w:szCs w:val="22"/>
              </w:rPr>
              <w:t xml:space="preserve">ADG </w:t>
            </w:r>
            <w:r w:rsidR="005020E2">
              <w:rPr>
                <w:rFonts w:cstheme="minorHAnsi"/>
                <w:szCs w:val="22"/>
              </w:rPr>
              <w:t>note that whole fruit is preferable to fruit juice, however the occasional 125mL serve of fruit juice may assist with nutrient intake when fresh, frozen or canned supply of fruit is sub-optimal. Fruit juice is energy dense and, if consumed in excess, it can displace other nutritious foods from the diet and lead to health concerns such as obesity.</w:t>
            </w:r>
          </w:p>
          <w:p w14:paraId="46330AB4" w14:textId="7E740B33" w:rsidR="004A2B3A" w:rsidRPr="001206CC" w:rsidRDefault="004A2B3A" w:rsidP="001206CC">
            <w:pPr>
              <w:pStyle w:val="mpcbullets1"/>
              <w:spacing w:before="120" w:after="120"/>
              <w:contextualSpacing/>
              <w:rPr>
                <w:rFonts w:cstheme="minorHAnsi"/>
                <w:szCs w:val="22"/>
              </w:rPr>
            </w:pPr>
            <w:r>
              <w:rPr>
                <w:rFonts w:cstheme="minorHAnsi"/>
                <w:szCs w:val="22"/>
              </w:rPr>
              <w:t>NZEAG recommend</w:t>
            </w:r>
            <w:r w:rsidRPr="00AB3873">
              <w:rPr>
                <w:rFonts w:cstheme="minorHAnsi"/>
                <w:szCs w:val="22"/>
              </w:rPr>
              <w:t xml:space="preserve"> eating fresh fruit and drinking plain water rather than drinking fruit </w:t>
            </w:r>
            <w:r w:rsidRPr="00AB3873">
              <w:rPr>
                <w:rFonts w:cstheme="minorHAnsi"/>
                <w:szCs w:val="22"/>
              </w:rPr>
              <w:lastRenderedPageBreak/>
              <w:t xml:space="preserve">juice. </w:t>
            </w:r>
          </w:p>
        </w:tc>
      </w:tr>
      <w:tr w:rsidR="004A2B3A" w:rsidRPr="00AB3873" w14:paraId="70B16353" w14:textId="77777777" w:rsidTr="004A2B3A">
        <w:tc>
          <w:tcPr>
            <w:tcW w:w="1328" w:type="dxa"/>
            <w:shd w:val="clear" w:color="auto" w:fill="DEEAF6" w:themeFill="accent5" w:themeFillTint="33"/>
          </w:tcPr>
          <w:p w14:paraId="26F1EBF9" w14:textId="77777777" w:rsidR="004A2B3A" w:rsidRPr="00AB3873" w:rsidRDefault="004A2B3A" w:rsidP="0024269C">
            <w:r w:rsidRPr="00AB3873">
              <w:lastRenderedPageBreak/>
              <w:t>Intake</w:t>
            </w:r>
          </w:p>
        </w:tc>
        <w:tc>
          <w:tcPr>
            <w:tcW w:w="8453" w:type="dxa"/>
          </w:tcPr>
          <w:p w14:paraId="29F687B9" w14:textId="1B3F8093" w:rsidR="004A2B3A" w:rsidRPr="00AB3873" w:rsidRDefault="004A2B3A" w:rsidP="001206CC">
            <w:pPr>
              <w:pStyle w:val="mpcbullets1"/>
              <w:spacing w:before="120" w:after="120"/>
              <w:contextualSpacing/>
              <w:rPr>
                <w:rFonts w:cstheme="minorHAnsi"/>
                <w:szCs w:val="22"/>
              </w:rPr>
            </w:pPr>
            <w:r w:rsidRPr="00AB3873">
              <w:rPr>
                <w:rFonts w:cstheme="minorHAnsi"/>
                <w:szCs w:val="22"/>
              </w:rPr>
              <w:t>Research highlights that </w:t>
            </w:r>
            <w:r w:rsidR="00791D73">
              <w:rPr>
                <w:rFonts w:cstheme="minorHAnsi"/>
                <w:szCs w:val="22"/>
              </w:rPr>
              <w:t xml:space="preserve">non-dairy </w:t>
            </w:r>
            <w:r w:rsidRPr="00AB3873">
              <w:rPr>
                <w:rFonts w:cstheme="minorHAnsi"/>
                <w:szCs w:val="22"/>
              </w:rPr>
              <w:t xml:space="preserve">beverages are </w:t>
            </w:r>
            <w:r w:rsidR="008577D6">
              <w:rPr>
                <w:rFonts w:cstheme="minorHAnsi"/>
                <w:szCs w:val="22"/>
              </w:rPr>
              <w:t>a</w:t>
            </w:r>
            <w:r w:rsidRPr="00AB3873">
              <w:rPr>
                <w:rFonts w:cstheme="minorHAnsi"/>
                <w:szCs w:val="22"/>
              </w:rPr>
              <w:t xml:space="preserve"> major source of</w:t>
            </w:r>
            <w:r w:rsidR="008577D6">
              <w:rPr>
                <w:rFonts w:cstheme="minorHAnsi"/>
                <w:szCs w:val="22"/>
              </w:rPr>
              <w:t xml:space="preserve"> total</w:t>
            </w:r>
            <w:r w:rsidRPr="00AB3873">
              <w:rPr>
                <w:rFonts w:cstheme="minorHAnsi"/>
                <w:szCs w:val="22"/>
              </w:rPr>
              <w:t xml:space="preserve"> sugars </w:t>
            </w:r>
            <w:r w:rsidR="008577D6">
              <w:rPr>
                <w:rFonts w:cstheme="minorHAnsi"/>
                <w:szCs w:val="22"/>
              </w:rPr>
              <w:t xml:space="preserve">and the leading source of free sugars </w:t>
            </w:r>
            <w:r w:rsidRPr="00AB3873">
              <w:rPr>
                <w:rFonts w:cstheme="minorHAnsi"/>
                <w:szCs w:val="22"/>
              </w:rPr>
              <w:t>in Au</w:t>
            </w:r>
            <w:r w:rsidR="008577D6">
              <w:rPr>
                <w:rFonts w:cstheme="minorHAnsi"/>
                <w:szCs w:val="22"/>
              </w:rPr>
              <w:t>stralian and New Zealand diets.</w:t>
            </w:r>
          </w:p>
          <w:p w14:paraId="1AD36DC3" w14:textId="77777777" w:rsidR="00AF07FE" w:rsidRDefault="00AF07FE" w:rsidP="00B91EBF">
            <w:pPr>
              <w:pStyle w:val="mpcbullets1"/>
              <w:numPr>
                <w:ilvl w:val="2"/>
                <w:numId w:val="5"/>
              </w:numPr>
              <w:spacing w:before="120" w:after="120"/>
              <w:ind w:left="597" w:hanging="283"/>
              <w:contextualSpacing/>
              <w:rPr>
                <w:rFonts w:cstheme="minorHAnsi"/>
                <w:szCs w:val="22"/>
              </w:rPr>
            </w:pPr>
            <w:r>
              <w:rPr>
                <w:rFonts w:cstheme="minorHAnsi"/>
                <w:szCs w:val="22"/>
              </w:rPr>
              <w:t>26.9% of total sugars in Australian diets comes from non-dairy beverages (AHS).</w:t>
            </w:r>
          </w:p>
          <w:p w14:paraId="3C269C65" w14:textId="77777777" w:rsidR="00AF07FE" w:rsidRPr="00030B89" w:rsidRDefault="00AF07FE"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52% of free sugars in Australian diets comes from non-dairy beverages, </w:t>
            </w:r>
            <w:r w:rsidRPr="00030B89">
              <w:rPr>
                <w:rFonts w:cstheme="minorHAnsi"/>
                <w:szCs w:val="22"/>
              </w:rPr>
              <w:t xml:space="preserve">with the leading beverages being soft drinks, electrolyte and energy drinks (19%), fruit and vegetable juices and </w:t>
            </w:r>
            <w:r>
              <w:rPr>
                <w:rFonts w:cstheme="minorHAnsi"/>
                <w:szCs w:val="22"/>
              </w:rPr>
              <w:t>drinks (13%) and cordial (4.9%)</w:t>
            </w:r>
            <w:r w:rsidRPr="00030B89">
              <w:rPr>
                <w:rFonts w:cstheme="minorHAnsi"/>
                <w:szCs w:val="22"/>
              </w:rPr>
              <w:t xml:space="preserve"> </w:t>
            </w:r>
            <w:r>
              <w:rPr>
                <w:rFonts w:cstheme="minorHAnsi"/>
                <w:szCs w:val="22"/>
              </w:rPr>
              <w:t>(AHS).</w:t>
            </w:r>
            <w:r w:rsidRPr="00030B89">
              <w:rPr>
                <w:rFonts w:cstheme="minorHAnsi"/>
                <w:szCs w:val="22"/>
              </w:rPr>
              <w:t> </w:t>
            </w:r>
          </w:p>
          <w:p w14:paraId="78264EFE" w14:textId="042ED117" w:rsidR="00525780" w:rsidRPr="001206CC" w:rsidRDefault="008577D6"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16.7% of total sugars in </w:t>
            </w:r>
            <w:r w:rsidR="00327BF5">
              <w:rPr>
                <w:rFonts w:cstheme="minorHAnsi"/>
                <w:szCs w:val="22"/>
              </w:rPr>
              <w:t>New Zealand</w:t>
            </w:r>
            <w:r w:rsidRPr="00AB3873">
              <w:rPr>
                <w:rFonts w:cstheme="minorHAnsi"/>
                <w:szCs w:val="22"/>
              </w:rPr>
              <w:t xml:space="preserve"> </w:t>
            </w:r>
            <w:r>
              <w:rPr>
                <w:rFonts w:cstheme="minorHAnsi"/>
                <w:szCs w:val="22"/>
              </w:rPr>
              <w:t>diets comes from non-dairy beverages (NZANS).</w:t>
            </w:r>
          </w:p>
        </w:tc>
      </w:tr>
      <w:tr w:rsidR="004A2B3A" w:rsidRPr="00AB3873" w14:paraId="77B0D4FF" w14:textId="77777777" w:rsidTr="004A2B3A">
        <w:tc>
          <w:tcPr>
            <w:tcW w:w="1328" w:type="dxa"/>
            <w:shd w:val="clear" w:color="auto" w:fill="DEEAF6" w:themeFill="accent5" w:themeFillTint="33"/>
          </w:tcPr>
          <w:p w14:paraId="603C6D7F" w14:textId="77777777" w:rsidR="004A2B3A" w:rsidRPr="00AB3873" w:rsidRDefault="004A2B3A" w:rsidP="0024269C">
            <w:r w:rsidRPr="00AB3873">
              <w:t>HSR statistics</w:t>
            </w:r>
          </w:p>
        </w:tc>
        <w:tc>
          <w:tcPr>
            <w:tcW w:w="8453" w:type="dxa"/>
          </w:tcPr>
          <w:p w14:paraId="09419534" w14:textId="5DC5B6E0" w:rsidR="004A2B3A" w:rsidRPr="00AB3873" w:rsidRDefault="00DA04CF" w:rsidP="001206CC">
            <w:pPr>
              <w:pStyle w:val="mpcbullets1"/>
              <w:spacing w:before="120" w:after="120"/>
              <w:contextualSpacing/>
              <w:rPr>
                <w:rFonts w:cstheme="minorHAnsi"/>
                <w:szCs w:val="22"/>
              </w:rPr>
            </w:pPr>
            <w:r>
              <w:rPr>
                <w:rFonts w:cstheme="minorHAnsi"/>
                <w:szCs w:val="22"/>
              </w:rPr>
              <w:t>Based on monitoring of the HSR System, a</w:t>
            </w:r>
            <w:r w:rsidR="0008341A">
              <w:rPr>
                <w:rFonts w:cstheme="minorHAnsi"/>
                <w:szCs w:val="22"/>
              </w:rPr>
              <w:t>s at 31</w:t>
            </w:r>
            <w:r w:rsidR="004A2B3A" w:rsidRPr="00AB3873">
              <w:rPr>
                <w:rFonts w:cstheme="minorHAnsi"/>
                <w:szCs w:val="22"/>
              </w:rPr>
              <w:t xml:space="preserve"> March 2018, 562 non-dairy b</w:t>
            </w:r>
            <w:r w:rsidR="00525780">
              <w:rPr>
                <w:rFonts w:cstheme="minorHAnsi"/>
                <w:szCs w:val="22"/>
              </w:rPr>
              <w:t xml:space="preserve">everages </w:t>
            </w:r>
            <w:r w:rsidR="005020E2">
              <w:rPr>
                <w:rFonts w:cstheme="minorHAnsi"/>
                <w:szCs w:val="22"/>
              </w:rPr>
              <w:t>were</w:t>
            </w:r>
            <w:r w:rsidR="00525780">
              <w:rPr>
                <w:rFonts w:cstheme="minorHAnsi"/>
                <w:szCs w:val="22"/>
              </w:rPr>
              <w:t xml:space="preserve"> displaying the HSR</w:t>
            </w:r>
            <w:r w:rsidR="00FB10BF">
              <w:rPr>
                <w:rStyle w:val="FootnoteReference"/>
                <w:rFonts w:cstheme="minorHAnsi"/>
                <w:szCs w:val="22"/>
              </w:rPr>
              <w:footnoteReference w:id="28"/>
            </w:r>
            <w:r w:rsidR="0008341A">
              <w:rPr>
                <w:rFonts w:cstheme="minorHAnsi"/>
                <w:szCs w:val="22"/>
              </w:rPr>
              <w:t>.</w:t>
            </w:r>
          </w:p>
          <w:p w14:paraId="3D5A893E" w14:textId="73D2A0EF" w:rsidR="00B414FA"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99% of </w:t>
            </w:r>
            <w:r w:rsidR="00DA04CF">
              <w:rPr>
                <w:rFonts w:cstheme="minorHAnsi"/>
                <w:szCs w:val="22"/>
              </w:rPr>
              <w:t>100% fruit and vegetable juices and drinks</w:t>
            </w:r>
            <w:r w:rsidRPr="00AB3873">
              <w:rPr>
                <w:rFonts w:cstheme="minorHAnsi"/>
                <w:szCs w:val="22"/>
              </w:rPr>
              <w:t xml:space="preserve"> that use the HSR display</w:t>
            </w:r>
            <w:r w:rsidR="00B414FA">
              <w:rPr>
                <w:rFonts w:cstheme="minorHAnsi"/>
                <w:szCs w:val="22"/>
              </w:rPr>
              <w:t xml:space="preserve"> the stars.</w:t>
            </w:r>
          </w:p>
          <w:p w14:paraId="3405AD3B" w14:textId="2FADE5ED"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84% of those displaying stars have a</w:t>
            </w:r>
            <w:r w:rsidR="007E6515">
              <w:rPr>
                <w:rFonts w:cstheme="minorHAnsi"/>
                <w:szCs w:val="22"/>
              </w:rPr>
              <w:t>n</w:t>
            </w:r>
            <w:r w:rsidRPr="00AB3873">
              <w:rPr>
                <w:rFonts w:cstheme="minorHAnsi"/>
                <w:szCs w:val="22"/>
              </w:rPr>
              <w:t xml:space="preserve"> HSR of 5.</w:t>
            </w:r>
          </w:p>
          <w:p w14:paraId="58D372E5" w14:textId="7274F0B9" w:rsidR="004A2B3A" w:rsidRPr="00AB3873" w:rsidRDefault="00DA04CF"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82% of soft drinks that </w:t>
            </w:r>
            <w:r w:rsidR="004A2B3A" w:rsidRPr="00AB3873">
              <w:rPr>
                <w:rFonts w:cstheme="minorHAnsi"/>
                <w:szCs w:val="22"/>
              </w:rPr>
              <w:t>use the HSR display the energy icon.</w:t>
            </w:r>
          </w:p>
          <w:p w14:paraId="0F1D4878" w14:textId="7A8B55E4" w:rsidR="00DA04CF" w:rsidRDefault="00DA04CF" w:rsidP="001206CC">
            <w:pPr>
              <w:pStyle w:val="mpcbullets1"/>
              <w:spacing w:before="120" w:after="120"/>
              <w:contextualSpacing/>
              <w:rPr>
                <w:rFonts w:cstheme="minorHAnsi"/>
                <w:szCs w:val="22"/>
              </w:rPr>
            </w:pPr>
            <w:r>
              <w:rPr>
                <w:rFonts w:cstheme="minorHAnsi"/>
                <w:szCs w:val="22"/>
              </w:rPr>
              <w:t>Based on TAG modelling:</w:t>
            </w:r>
          </w:p>
          <w:p w14:paraId="4E6B0835" w14:textId="759E879E" w:rsidR="00DA04CF" w:rsidRDefault="002E3411" w:rsidP="00B91EBF">
            <w:pPr>
              <w:pStyle w:val="mpcbullets1"/>
              <w:numPr>
                <w:ilvl w:val="2"/>
                <w:numId w:val="5"/>
              </w:numPr>
              <w:spacing w:before="120" w:after="120"/>
              <w:ind w:left="597" w:hanging="283"/>
              <w:contextualSpacing/>
              <w:rPr>
                <w:rFonts w:cstheme="minorHAnsi"/>
                <w:szCs w:val="22"/>
              </w:rPr>
            </w:pPr>
            <w:r>
              <w:rPr>
                <w:rFonts w:cstheme="minorHAnsi"/>
                <w:szCs w:val="22"/>
              </w:rPr>
              <w:t>100% fruit and vegetable juices would generally receive a</w:t>
            </w:r>
            <w:r w:rsidR="00B414FA">
              <w:rPr>
                <w:rFonts w:cstheme="minorHAnsi"/>
                <w:szCs w:val="22"/>
              </w:rPr>
              <w:t>n</w:t>
            </w:r>
            <w:r>
              <w:rPr>
                <w:rFonts w:cstheme="minorHAnsi"/>
                <w:szCs w:val="22"/>
              </w:rPr>
              <w:t xml:space="preserve"> HSR of between 4 and 5.</w:t>
            </w:r>
          </w:p>
          <w:p w14:paraId="129E5333" w14:textId="554FE8B0" w:rsidR="002E3411" w:rsidRDefault="002E3411" w:rsidP="00B91EBF">
            <w:pPr>
              <w:pStyle w:val="mpcbullets1"/>
              <w:numPr>
                <w:ilvl w:val="2"/>
                <w:numId w:val="5"/>
              </w:numPr>
              <w:spacing w:before="120" w:after="120"/>
              <w:ind w:left="597" w:hanging="283"/>
              <w:contextualSpacing/>
              <w:rPr>
                <w:rFonts w:cstheme="minorHAnsi"/>
                <w:szCs w:val="22"/>
              </w:rPr>
            </w:pPr>
            <w:r>
              <w:rPr>
                <w:rFonts w:cstheme="minorHAnsi"/>
                <w:szCs w:val="22"/>
              </w:rPr>
              <w:t>Most sugar-sweetened beverages would receive a</w:t>
            </w:r>
            <w:r w:rsidR="00B414FA">
              <w:rPr>
                <w:rFonts w:cstheme="minorHAnsi"/>
                <w:szCs w:val="22"/>
              </w:rPr>
              <w:t>n</w:t>
            </w:r>
            <w:r>
              <w:rPr>
                <w:rFonts w:cstheme="minorHAnsi"/>
                <w:szCs w:val="22"/>
              </w:rPr>
              <w:t xml:space="preserve"> HSR of between 0.5 and 1.5.</w:t>
            </w:r>
          </w:p>
          <w:p w14:paraId="42EB9974" w14:textId="6FEDC14B" w:rsidR="004A2B3A" w:rsidRDefault="0008341A" w:rsidP="001206CC">
            <w:pPr>
              <w:pStyle w:val="mpcbullets1"/>
              <w:spacing w:before="120" w:after="120"/>
              <w:contextualSpacing/>
              <w:rPr>
                <w:rFonts w:cstheme="minorHAnsi"/>
                <w:szCs w:val="22"/>
              </w:rPr>
            </w:pPr>
            <w:r w:rsidRPr="00E1217D">
              <w:rPr>
                <w:rFonts w:cstheme="minorHAnsi"/>
                <w:szCs w:val="22"/>
              </w:rPr>
              <w:t>Data from the George Institute’s FoodSwitch</w:t>
            </w:r>
            <w:r>
              <w:rPr>
                <w:rFonts w:cstheme="minorHAnsi"/>
                <w:szCs w:val="22"/>
              </w:rPr>
              <w:t xml:space="preserve"> database</w:t>
            </w:r>
            <w:r w:rsidR="0013435E">
              <w:rPr>
                <w:rStyle w:val="FootnoteReference"/>
                <w:rFonts w:cstheme="minorHAnsi"/>
                <w:szCs w:val="22"/>
              </w:rPr>
              <w:footnoteReference w:id="29"/>
            </w:r>
            <w:r>
              <w:rPr>
                <w:rFonts w:cstheme="minorHAnsi"/>
                <w:szCs w:val="22"/>
              </w:rPr>
              <w:t xml:space="preserve"> </w:t>
            </w:r>
            <w:r w:rsidR="00041542">
              <w:rPr>
                <w:rFonts w:cstheme="minorHAnsi"/>
                <w:szCs w:val="22"/>
              </w:rPr>
              <w:t>supports this:</w:t>
            </w:r>
          </w:p>
          <w:p w14:paraId="6B8C7D7F" w14:textId="29187F8F" w:rsidR="00041542" w:rsidRDefault="00041542" w:rsidP="00B91EBF">
            <w:pPr>
              <w:pStyle w:val="mpcbullets1"/>
              <w:numPr>
                <w:ilvl w:val="2"/>
                <w:numId w:val="5"/>
              </w:numPr>
              <w:spacing w:before="120" w:after="120"/>
              <w:ind w:left="597" w:hanging="283"/>
              <w:contextualSpacing/>
              <w:rPr>
                <w:rFonts w:cstheme="minorHAnsi"/>
                <w:szCs w:val="22"/>
              </w:rPr>
            </w:pPr>
            <w:r>
              <w:rPr>
                <w:rFonts w:cstheme="minorHAnsi"/>
                <w:szCs w:val="22"/>
              </w:rPr>
              <w:t>For 100% f</w:t>
            </w:r>
            <w:r w:rsidRPr="00AB3873">
              <w:rPr>
                <w:rFonts w:cstheme="minorHAnsi"/>
                <w:szCs w:val="22"/>
              </w:rPr>
              <w:t>ruit and vegetable juices</w:t>
            </w:r>
            <w:r w:rsidR="0013435E">
              <w:rPr>
                <w:rFonts w:cstheme="minorHAnsi"/>
                <w:szCs w:val="22"/>
              </w:rPr>
              <w:t>,</w:t>
            </w:r>
            <w:r w:rsidRPr="00AB3873">
              <w:rPr>
                <w:rFonts w:cstheme="minorHAnsi"/>
                <w:szCs w:val="22"/>
              </w:rPr>
              <w:t xml:space="preserve"> </w:t>
            </w:r>
            <w:r>
              <w:rPr>
                <w:rFonts w:cstheme="minorHAnsi"/>
                <w:szCs w:val="22"/>
              </w:rPr>
              <w:t>the mean HSR is 4.6</w:t>
            </w:r>
            <w:r w:rsidR="0013435E">
              <w:rPr>
                <w:rFonts w:cstheme="minorHAnsi"/>
                <w:szCs w:val="22"/>
              </w:rPr>
              <w:t>.</w:t>
            </w:r>
            <w:r>
              <w:rPr>
                <w:rFonts w:cstheme="minorHAnsi"/>
                <w:szCs w:val="22"/>
              </w:rPr>
              <w:t xml:space="preserve"> 3</w:t>
            </w:r>
            <w:r w:rsidR="0013435E">
              <w:rPr>
                <w:rFonts w:cstheme="minorHAnsi"/>
                <w:szCs w:val="22"/>
              </w:rPr>
              <w:t>0.6% of these products display</w:t>
            </w:r>
            <w:r>
              <w:rPr>
                <w:rFonts w:cstheme="minorHAnsi"/>
                <w:szCs w:val="22"/>
              </w:rPr>
              <w:t xml:space="preserve"> the </w:t>
            </w:r>
            <w:r w:rsidR="0013435E">
              <w:rPr>
                <w:rFonts w:cstheme="minorHAnsi"/>
                <w:szCs w:val="22"/>
              </w:rPr>
              <w:t>stars</w:t>
            </w:r>
            <w:r>
              <w:rPr>
                <w:rFonts w:cstheme="minorHAnsi"/>
                <w:szCs w:val="22"/>
              </w:rPr>
              <w:t xml:space="preserve"> and only 2% display the energy icon.</w:t>
            </w:r>
          </w:p>
          <w:p w14:paraId="2963E0B9" w14:textId="42364308" w:rsidR="004A2B3A" w:rsidRPr="001206CC" w:rsidRDefault="00041542" w:rsidP="00B91EBF">
            <w:pPr>
              <w:pStyle w:val="mpcbullets1"/>
              <w:numPr>
                <w:ilvl w:val="2"/>
                <w:numId w:val="5"/>
              </w:numPr>
              <w:spacing w:before="120" w:after="120"/>
              <w:ind w:left="597" w:hanging="283"/>
              <w:contextualSpacing/>
              <w:rPr>
                <w:rFonts w:cstheme="minorHAnsi"/>
                <w:szCs w:val="22"/>
              </w:rPr>
            </w:pPr>
            <w:r>
              <w:rPr>
                <w:rFonts w:cstheme="minorHAnsi"/>
                <w:szCs w:val="22"/>
              </w:rPr>
              <w:t>For sports drinks, soft drinks, diet soft drinks, fruit drinks, cordials and flavoured waters the mean HSR</w:t>
            </w:r>
            <w:r w:rsidR="0013435E">
              <w:rPr>
                <w:rFonts w:cstheme="minorHAnsi"/>
                <w:szCs w:val="22"/>
              </w:rPr>
              <w:t>s range between 1.3</w:t>
            </w:r>
            <w:r w:rsidR="000C410C">
              <w:rPr>
                <w:rFonts w:cstheme="minorHAnsi"/>
                <w:szCs w:val="22"/>
              </w:rPr>
              <w:t xml:space="preserve"> and </w:t>
            </w:r>
            <w:r w:rsidR="0013435E">
              <w:rPr>
                <w:rFonts w:cstheme="minorHAnsi"/>
                <w:szCs w:val="22"/>
              </w:rPr>
              <w:t>2</w:t>
            </w:r>
            <w:r w:rsidRPr="00AB3873">
              <w:rPr>
                <w:rFonts w:cstheme="minorHAnsi"/>
                <w:szCs w:val="22"/>
              </w:rPr>
              <w:t>.</w:t>
            </w:r>
            <w:r w:rsidR="0013435E">
              <w:rPr>
                <w:rFonts w:cstheme="minorHAnsi"/>
                <w:szCs w:val="22"/>
              </w:rPr>
              <w:t xml:space="preserve"> Only 5.5% of all these products display stars</w:t>
            </w:r>
            <w:r w:rsidR="00E0209C">
              <w:rPr>
                <w:rFonts w:cstheme="minorHAnsi"/>
                <w:szCs w:val="22"/>
              </w:rPr>
              <w:t>,</w:t>
            </w:r>
            <w:r w:rsidR="0013435E">
              <w:rPr>
                <w:rFonts w:cstheme="minorHAnsi"/>
                <w:szCs w:val="22"/>
              </w:rPr>
              <w:t xml:space="preserve"> while 27.3% display the energy icon.</w:t>
            </w:r>
          </w:p>
        </w:tc>
      </w:tr>
      <w:tr w:rsidR="004A2B3A" w:rsidRPr="00AB3873" w14:paraId="77EF49D5" w14:textId="77777777" w:rsidTr="004A2B3A">
        <w:tc>
          <w:tcPr>
            <w:tcW w:w="1328" w:type="dxa"/>
            <w:shd w:val="clear" w:color="auto" w:fill="DEEAF6" w:themeFill="accent5" w:themeFillTint="33"/>
          </w:tcPr>
          <w:p w14:paraId="55E838E4" w14:textId="77777777" w:rsidR="004A2B3A" w:rsidRPr="00AB3873" w:rsidRDefault="004A2B3A" w:rsidP="0024269C">
            <w:r>
              <w:t>Relevant</w:t>
            </w:r>
            <w:r w:rsidRPr="00AB3873">
              <w:t xml:space="preserve"> TAG papers</w:t>
            </w:r>
          </w:p>
        </w:tc>
        <w:tc>
          <w:tcPr>
            <w:tcW w:w="8453" w:type="dxa"/>
          </w:tcPr>
          <w:p w14:paraId="48DB5F37"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Non-dairy beverages</w:t>
            </w:r>
          </w:p>
          <w:p w14:paraId="22E09966" w14:textId="2A841C13" w:rsidR="004A2B3A" w:rsidRPr="00AB3873" w:rsidRDefault="004A2B3A" w:rsidP="001206CC">
            <w:pPr>
              <w:pStyle w:val="mpcbullets1"/>
              <w:spacing w:before="120" w:after="120"/>
              <w:contextualSpacing/>
              <w:rPr>
                <w:rFonts w:cstheme="minorHAnsi"/>
                <w:szCs w:val="22"/>
              </w:rPr>
            </w:pPr>
            <w:r w:rsidRPr="00AB3873">
              <w:rPr>
                <w:rFonts w:cstheme="minorHAnsi"/>
                <w:szCs w:val="22"/>
              </w:rPr>
              <w:t>Unprocessed fruits and vegetables</w:t>
            </w:r>
          </w:p>
          <w:p w14:paraId="1D699E6C" w14:textId="4FEF4DAF" w:rsidR="00BE5104" w:rsidRPr="001206CC" w:rsidRDefault="004A2B3A" w:rsidP="001206CC">
            <w:pPr>
              <w:pStyle w:val="mpcbullets1"/>
              <w:spacing w:before="120" w:after="120"/>
              <w:contextualSpacing/>
              <w:rPr>
                <w:rFonts w:cstheme="minorHAnsi"/>
                <w:szCs w:val="22"/>
              </w:rPr>
            </w:pPr>
            <w:r w:rsidRPr="00AB3873">
              <w:rPr>
                <w:rFonts w:cstheme="minorHAnsi"/>
                <w:szCs w:val="22"/>
              </w:rPr>
              <w:t xml:space="preserve">Fruit, Vegetables, Nut and Legume (FVNL) </w:t>
            </w:r>
            <w:r w:rsidR="00B414FA">
              <w:rPr>
                <w:rFonts w:cstheme="minorHAnsi"/>
                <w:szCs w:val="22"/>
              </w:rPr>
              <w:t>content</w:t>
            </w:r>
          </w:p>
        </w:tc>
      </w:tr>
    </w:tbl>
    <w:p w14:paraId="31F05DDA" w14:textId="77777777" w:rsidR="004A2B3A" w:rsidRPr="00AB3873" w:rsidRDefault="004A2B3A" w:rsidP="0024269C"/>
    <w:p w14:paraId="18ACF8E3" w14:textId="4FBC8EF4" w:rsidR="004A2B3A" w:rsidRPr="00AB3873" w:rsidRDefault="000C5DBF" w:rsidP="008A6B08">
      <w:pPr>
        <w:pStyle w:val="mpcheading3"/>
        <w:rPr>
          <w:rFonts w:cstheme="minorHAnsi"/>
        </w:rPr>
      </w:pPr>
      <w:r w:rsidRPr="00AB3873">
        <w:rPr>
          <w:rFonts w:cstheme="minorHAnsi"/>
        </w:rPr>
        <w:t xml:space="preserve">Options </w:t>
      </w:r>
      <w:r>
        <w:rPr>
          <w:rFonts w:cstheme="minorHAnsi"/>
        </w:rPr>
        <w:t>to address issue</w:t>
      </w:r>
    </w:p>
    <w:p w14:paraId="3ED4D603" w14:textId="77777777" w:rsidR="004A2B3A" w:rsidRPr="00AB3873" w:rsidRDefault="004A2B3A" w:rsidP="00B91EBF">
      <w:pPr>
        <w:pStyle w:val="mpcheading4"/>
        <w:numPr>
          <w:ilvl w:val="0"/>
          <w:numId w:val="8"/>
        </w:numPr>
      </w:pPr>
      <w:bookmarkStart w:id="61" w:name="_Toc523922863"/>
      <w:bookmarkStart w:id="62" w:name="_Toc524530339"/>
      <w:r w:rsidRPr="00AB3873">
        <w:t>Status quo for non-dairy beverages</w:t>
      </w:r>
      <w:bookmarkEnd w:id="61"/>
      <w:bookmarkEnd w:id="62"/>
    </w:p>
    <w:p w14:paraId="0D91F3BC" w14:textId="50206F40" w:rsidR="004A2B3A" w:rsidRDefault="004A2B3A" w:rsidP="004A2B3A">
      <w:pPr>
        <w:pStyle w:val="mpcbullets1"/>
        <w:numPr>
          <w:ilvl w:val="0"/>
          <w:numId w:val="0"/>
        </w:numPr>
        <w:rPr>
          <w:rFonts w:cstheme="minorHAnsi"/>
          <w:szCs w:val="22"/>
        </w:rPr>
      </w:pPr>
      <w:r w:rsidRPr="00AB3873">
        <w:rPr>
          <w:rFonts w:cstheme="minorHAnsi"/>
          <w:szCs w:val="22"/>
        </w:rPr>
        <w:t>This option would result in no change to the HSRs of non-dairy beverages</w:t>
      </w:r>
      <w:r w:rsidR="00E0209C">
        <w:rPr>
          <w:rFonts w:cstheme="minorHAnsi"/>
          <w:szCs w:val="22"/>
        </w:rPr>
        <w:t>, and allow them</w:t>
      </w:r>
      <w:r w:rsidRPr="00AB3873">
        <w:rPr>
          <w:rFonts w:cstheme="minorHAnsi"/>
          <w:szCs w:val="22"/>
        </w:rPr>
        <w:t xml:space="preserve"> to continue to display either the energy icon or the stars.</w:t>
      </w:r>
      <w:r w:rsidR="001E031F">
        <w:rPr>
          <w:rFonts w:cstheme="minorHAnsi"/>
          <w:szCs w:val="22"/>
        </w:rPr>
        <w:t xml:space="preserve"> HSRs for unsweetened flavoured waters would continue to be </w:t>
      </w:r>
      <w:r w:rsidR="001E031F">
        <w:rPr>
          <w:rFonts w:cstheme="minorHAnsi"/>
          <w:szCs w:val="22"/>
        </w:rPr>
        <w:lastRenderedPageBreak/>
        <w:t>low, despite their low total sugars and energy content.</w:t>
      </w:r>
      <w:r w:rsidR="00E42EFB">
        <w:rPr>
          <w:rFonts w:cstheme="minorHAnsi"/>
          <w:szCs w:val="22"/>
        </w:rPr>
        <w:t xml:space="preserve"> </w:t>
      </w:r>
      <w:r>
        <w:rPr>
          <w:rFonts w:cstheme="minorHAnsi"/>
          <w:szCs w:val="22"/>
        </w:rPr>
        <w:t xml:space="preserve">The </w:t>
      </w:r>
      <w:r w:rsidR="00791D73">
        <w:rPr>
          <w:rFonts w:cstheme="minorHAnsi"/>
          <w:szCs w:val="22"/>
        </w:rPr>
        <w:t xml:space="preserve">likely </w:t>
      </w:r>
      <w:r>
        <w:rPr>
          <w:rFonts w:cstheme="minorHAnsi"/>
          <w:szCs w:val="22"/>
        </w:rPr>
        <w:t xml:space="preserve">impact of this option is that </w:t>
      </w:r>
      <w:r w:rsidR="002516A0">
        <w:rPr>
          <w:rFonts w:cstheme="minorHAnsi"/>
          <w:szCs w:val="22"/>
        </w:rPr>
        <w:t xml:space="preserve">the majority </w:t>
      </w:r>
      <w:r>
        <w:rPr>
          <w:rFonts w:cstheme="minorHAnsi"/>
          <w:szCs w:val="22"/>
        </w:rPr>
        <w:t xml:space="preserve">of </w:t>
      </w:r>
      <w:r w:rsidR="00791D73">
        <w:rPr>
          <w:rFonts w:cstheme="minorHAnsi"/>
          <w:szCs w:val="22"/>
        </w:rPr>
        <w:t xml:space="preserve">100% </w:t>
      </w:r>
      <w:r w:rsidR="002516A0">
        <w:rPr>
          <w:rFonts w:cstheme="minorHAnsi"/>
          <w:szCs w:val="22"/>
        </w:rPr>
        <w:t>fruit and vegetable</w:t>
      </w:r>
      <w:r>
        <w:rPr>
          <w:rFonts w:cstheme="minorHAnsi"/>
          <w:szCs w:val="22"/>
        </w:rPr>
        <w:t xml:space="preserve"> juices will continue to display the stars</w:t>
      </w:r>
      <w:r w:rsidR="00E0209C">
        <w:rPr>
          <w:rFonts w:cstheme="minorHAnsi"/>
          <w:szCs w:val="22"/>
        </w:rPr>
        <w:t>,</w:t>
      </w:r>
      <w:r>
        <w:rPr>
          <w:rFonts w:cstheme="minorHAnsi"/>
          <w:szCs w:val="22"/>
        </w:rPr>
        <w:t xml:space="preserve"> and </w:t>
      </w:r>
      <w:r w:rsidR="002516A0">
        <w:rPr>
          <w:rFonts w:cstheme="minorHAnsi"/>
          <w:szCs w:val="22"/>
        </w:rPr>
        <w:t>the majority of other non-dairy beverages</w:t>
      </w:r>
      <w:r>
        <w:rPr>
          <w:rFonts w:cstheme="minorHAnsi"/>
          <w:szCs w:val="22"/>
        </w:rPr>
        <w:t xml:space="preserve"> will </w:t>
      </w:r>
      <w:r w:rsidR="002516A0">
        <w:rPr>
          <w:rFonts w:cstheme="minorHAnsi"/>
          <w:szCs w:val="22"/>
        </w:rPr>
        <w:t>continue to</w:t>
      </w:r>
      <w:r>
        <w:rPr>
          <w:rFonts w:cstheme="minorHAnsi"/>
          <w:szCs w:val="22"/>
        </w:rPr>
        <w:t xml:space="preserve"> display the energy icon.</w:t>
      </w:r>
    </w:p>
    <w:p w14:paraId="33402E57" w14:textId="77777777" w:rsidR="004A2B3A" w:rsidRDefault="004A2B3A" w:rsidP="004A2B3A">
      <w:pPr>
        <w:pStyle w:val="mpcbullets1"/>
        <w:numPr>
          <w:ilvl w:val="0"/>
          <w:numId w:val="0"/>
        </w:numPr>
        <w:rPr>
          <w:rFonts w:cstheme="minorHAnsi"/>
          <w:szCs w:val="22"/>
        </w:rPr>
      </w:pPr>
    </w:p>
    <w:p w14:paraId="403E9E8A" w14:textId="2841EA96" w:rsidR="004A2B3A" w:rsidRDefault="00067682" w:rsidP="004A2B3A">
      <w:pPr>
        <w:pStyle w:val="mpcbullets1"/>
        <w:numPr>
          <w:ilvl w:val="0"/>
          <w:numId w:val="0"/>
        </w:numPr>
        <w:rPr>
          <w:rFonts w:cstheme="minorHAnsi"/>
          <w:szCs w:val="22"/>
        </w:rPr>
      </w:pPr>
      <w:r>
        <w:rPr>
          <w:rFonts w:cstheme="minorHAnsi"/>
          <w:szCs w:val="22"/>
        </w:rPr>
        <w:t>The advantages of this option include</w:t>
      </w:r>
      <w:r w:rsidR="004A2B3A">
        <w:rPr>
          <w:rFonts w:cstheme="minorHAnsi"/>
          <w:szCs w:val="22"/>
        </w:rPr>
        <w:t>:</w:t>
      </w:r>
    </w:p>
    <w:p w14:paraId="34074165" w14:textId="77777777" w:rsidR="002516A0" w:rsidRDefault="002516A0" w:rsidP="004A2B3A">
      <w:pPr>
        <w:pStyle w:val="mpcbullets1"/>
        <w:numPr>
          <w:ilvl w:val="0"/>
          <w:numId w:val="0"/>
        </w:numPr>
        <w:rPr>
          <w:rFonts w:cstheme="minorHAnsi"/>
          <w:szCs w:val="22"/>
        </w:rPr>
      </w:pPr>
    </w:p>
    <w:p w14:paraId="3D54F34B" w14:textId="20419ED6" w:rsidR="004A2B3A" w:rsidRPr="000F28DF" w:rsidRDefault="00067682" w:rsidP="000F28DF">
      <w:pPr>
        <w:pStyle w:val="mpcbullets1"/>
      </w:pPr>
      <w:r w:rsidRPr="000F28DF">
        <w:t xml:space="preserve">the </w:t>
      </w:r>
      <w:r w:rsidR="004A2B3A" w:rsidRPr="000F28DF">
        <w:t xml:space="preserve">energy </w:t>
      </w:r>
      <w:r w:rsidR="00791D73" w:rsidRPr="000F28DF">
        <w:t xml:space="preserve">content </w:t>
      </w:r>
      <w:r w:rsidR="004A2B3A" w:rsidRPr="000F28DF">
        <w:t>is the main issue of relevance for consumers drinking non-dairy beverages</w:t>
      </w:r>
      <w:r w:rsidRPr="000F28DF">
        <w:t xml:space="preserve"> so widespread use of the energy icon may support consumers in decision</w:t>
      </w:r>
      <w:r w:rsidR="00B414FA" w:rsidRPr="000F28DF">
        <w:t xml:space="preserve"> </w:t>
      </w:r>
      <w:r w:rsidRPr="000F28DF">
        <w:t>making</w:t>
      </w:r>
    </w:p>
    <w:p w14:paraId="2CE7E9ED" w14:textId="58FBBC51" w:rsidR="002516A0" w:rsidRPr="000F28DF" w:rsidRDefault="002516A0" w:rsidP="000F28DF">
      <w:pPr>
        <w:pStyle w:val="mpcbullets1"/>
      </w:pPr>
      <w:r w:rsidRPr="000F28DF">
        <w:t xml:space="preserve">the ADG </w:t>
      </w:r>
      <w:r w:rsidR="00B414FA" w:rsidRPr="000F28DF">
        <w:t>note that</w:t>
      </w:r>
      <w:r w:rsidRPr="000F28DF">
        <w:t xml:space="preserve"> fruit juices can occasionally count as a serve of fruit so a high HSR </w:t>
      </w:r>
      <w:r w:rsidR="00067682" w:rsidRPr="000F28DF">
        <w:t xml:space="preserve">on 100% juices </w:t>
      </w:r>
      <w:r w:rsidRPr="000F28DF">
        <w:t>may be appropriate (although the NZEAG recommend limiting intake of fruit juices)</w:t>
      </w:r>
    </w:p>
    <w:p w14:paraId="50FEF9F6" w14:textId="4A70AA99" w:rsidR="00F21F83" w:rsidRDefault="00067682" w:rsidP="000F28DF">
      <w:pPr>
        <w:pStyle w:val="mpcbullets1"/>
      </w:pPr>
      <w:r w:rsidRPr="000F28DF">
        <w:t>it</w:t>
      </w:r>
      <w:r w:rsidR="004A2B3A" w:rsidRPr="000F28DF">
        <w:t xml:space="preserve"> provides</w:t>
      </w:r>
      <w:r w:rsidR="004A2B3A">
        <w:t xml:space="preserve"> flexibility for industry </w:t>
      </w:r>
      <w:r w:rsidR="008B066F">
        <w:t>with</w:t>
      </w:r>
      <w:r w:rsidR="004A2B3A">
        <w:t xml:space="preserve">in a </w:t>
      </w:r>
      <w:r w:rsidR="00511B97">
        <w:t>c</w:t>
      </w:r>
      <w:r w:rsidR="00F21F83">
        <w:t>ategory where:</w:t>
      </w:r>
    </w:p>
    <w:p w14:paraId="4AE0B6DC" w14:textId="2562530D" w:rsidR="00F21F83" w:rsidRDefault="004A2B3A" w:rsidP="000F28DF">
      <w:pPr>
        <w:pStyle w:val="mpcbullets2"/>
      </w:pPr>
      <w:r>
        <w:t xml:space="preserve">the HSR </w:t>
      </w:r>
      <w:r w:rsidR="006000E2">
        <w:t>System</w:t>
      </w:r>
      <w:r>
        <w:t xml:space="preserve"> is </w:t>
      </w:r>
      <w:r w:rsidR="007E500F">
        <w:t xml:space="preserve">currently </w:t>
      </w:r>
      <w:r w:rsidR="002516A0">
        <w:t>less</w:t>
      </w:r>
      <w:r w:rsidR="008B066F">
        <w:t xml:space="preserve"> effective at </w:t>
      </w:r>
      <w:r w:rsidR="002D5016">
        <w:t>rating</w:t>
      </w:r>
      <w:r w:rsidR="008B066F">
        <w:t xml:space="preserve"> products </w:t>
      </w:r>
      <w:r w:rsidR="00F21F83">
        <w:t>relative to each other</w:t>
      </w:r>
    </w:p>
    <w:p w14:paraId="3082989E" w14:textId="3B339634" w:rsidR="004A2B3A" w:rsidRDefault="004A2B3A" w:rsidP="000F28DF">
      <w:pPr>
        <w:pStyle w:val="mpcbullets2"/>
      </w:pPr>
      <w:r>
        <w:t xml:space="preserve">there is debate regarding the </w:t>
      </w:r>
      <w:r w:rsidR="002D5016">
        <w:t xml:space="preserve">dietary </w:t>
      </w:r>
      <w:r w:rsidR="00120790">
        <w:t xml:space="preserve">value of some </w:t>
      </w:r>
      <w:r>
        <w:t>beverages</w:t>
      </w:r>
      <w:r w:rsidR="009B5EF3">
        <w:t xml:space="preserve"> </w:t>
      </w:r>
      <w:r w:rsidR="00120790">
        <w:t>(e.g. juices)</w:t>
      </w:r>
    </w:p>
    <w:p w14:paraId="7FD93531" w14:textId="45161072" w:rsidR="00F21F83" w:rsidRDefault="000D1A07" w:rsidP="000F28DF">
      <w:pPr>
        <w:pStyle w:val="mpcbullets2"/>
      </w:pPr>
      <w:r>
        <w:t>package sizes vary considerably</w:t>
      </w:r>
    </w:p>
    <w:p w14:paraId="059EFB1D" w14:textId="7EE26B7A" w:rsidR="00F21F83" w:rsidRPr="00F21F83" w:rsidRDefault="00F21F83" w:rsidP="000F28DF">
      <w:pPr>
        <w:pStyle w:val="mpcbullets2"/>
      </w:pPr>
      <w:r>
        <w:t xml:space="preserve">there are a number of other initiatives in play including reformulation targets and industry-driven sugar reduction pledges </w:t>
      </w:r>
      <w:r w:rsidRPr="00F21F83">
        <w:t xml:space="preserve">to reduce sugar across </w:t>
      </w:r>
      <w:r w:rsidR="000D1A07">
        <w:t>all categories of non-alcoholic drinks</w:t>
      </w:r>
      <w:r w:rsidRPr="00F21F83">
        <w:t xml:space="preserve"> by 20 per cent by 2025</w:t>
      </w:r>
      <w:r>
        <w:t>.</w:t>
      </w:r>
    </w:p>
    <w:p w14:paraId="1D25A7DD" w14:textId="77777777" w:rsidR="004A2B3A" w:rsidRDefault="004A2B3A" w:rsidP="004A2B3A">
      <w:pPr>
        <w:pStyle w:val="mpcbullets1"/>
        <w:numPr>
          <w:ilvl w:val="0"/>
          <w:numId w:val="0"/>
        </w:numPr>
        <w:rPr>
          <w:rFonts w:cstheme="minorHAnsi"/>
          <w:szCs w:val="22"/>
        </w:rPr>
      </w:pPr>
    </w:p>
    <w:p w14:paraId="4BCA9AA4" w14:textId="4C7457E0" w:rsidR="00067682" w:rsidRDefault="00B414FA" w:rsidP="000F28DF">
      <w:pPr>
        <w:pStyle w:val="mpcbullets1"/>
        <w:keepNext/>
        <w:numPr>
          <w:ilvl w:val="0"/>
          <w:numId w:val="0"/>
        </w:numPr>
        <w:rPr>
          <w:rFonts w:cstheme="minorHAnsi"/>
          <w:szCs w:val="22"/>
        </w:rPr>
      </w:pPr>
      <w:r>
        <w:rPr>
          <w:rFonts w:cstheme="minorHAnsi"/>
          <w:szCs w:val="22"/>
        </w:rPr>
        <w:t>T</w:t>
      </w:r>
      <w:r w:rsidR="00067682">
        <w:rPr>
          <w:rFonts w:cstheme="minorHAnsi"/>
          <w:szCs w:val="22"/>
        </w:rPr>
        <w:t>he disadvantages of this option include:</w:t>
      </w:r>
    </w:p>
    <w:p w14:paraId="04D8B8D1" w14:textId="77777777" w:rsidR="00067682" w:rsidRDefault="00067682" w:rsidP="000F28DF">
      <w:pPr>
        <w:pStyle w:val="mpcbullets1"/>
        <w:keepNext/>
        <w:numPr>
          <w:ilvl w:val="0"/>
          <w:numId w:val="0"/>
        </w:numPr>
        <w:rPr>
          <w:rFonts w:cstheme="minorHAnsi"/>
          <w:szCs w:val="22"/>
        </w:rPr>
      </w:pPr>
    </w:p>
    <w:p w14:paraId="5C72187E" w14:textId="265C0E29" w:rsidR="00067682" w:rsidRPr="000F28DF" w:rsidRDefault="000D1A07" w:rsidP="000F28DF">
      <w:pPr>
        <w:pStyle w:val="mpcbullets1"/>
        <w:keepNext/>
      </w:pPr>
      <w:r>
        <w:t>the status quo</w:t>
      </w:r>
      <w:r w:rsidR="004A2B3A">
        <w:t xml:space="preserve"> does not enable consumers t</w:t>
      </w:r>
      <w:r w:rsidR="008B066F">
        <w:t>o readily compare different non</w:t>
      </w:r>
      <w:r w:rsidR="008B066F">
        <w:noBreakHyphen/>
      </w:r>
      <w:r w:rsidR="008B066F" w:rsidRPr="008B066F">
        <w:t xml:space="preserve">dairy </w:t>
      </w:r>
      <w:r w:rsidR="004A2B3A" w:rsidRPr="008B066F">
        <w:t>beverage</w:t>
      </w:r>
      <w:r w:rsidR="008B066F" w:rsidRPr="008B066F">
        <w:t>s</w:t>
      </w:r>
      <w:r w:rsidR="00120790">
        <w:t xml:space="preserve"> because</w:t>
      </w:r>
      <w:r w:rsidR="00BA0828">
        <w:t xml:space="preserve"> </w:t>
      </w:r>
      <w:r w:rsidR="00A15E92">
        <w:t xml:space="preserve">the </w:t>
      </w:r>
      <w:r w:rsidR="00A15E92" w:rsidRPr="000F28DF">
        <w:t>energy icon is</w:t>
      </w:r>
      <w:r w:rsidR="002D5016" w:rsidRPr="000F28DF">
        <w:t xml:space="preserve"> not meaningful to consumers</w:t>
      </w:r>
      <w:r w:rsidR="002D5016" w:rsidRPr="000F28DF">
        <w:rPr>
          <w:rStyle w:val="FootnoteReference"/>
          <w:sz w:val="22"/>
          <w:vertAlign w:val="baseline"/>
        </w:rPr>
        <w:footnoteReference w:id="30"/>
      </w:r>
      <w:r w:rsidR="007178C4" w:rsidRPr="000F28DF">
        <w:t>, and</w:t>
      </w:r>
      <w:r w:rsidR="00BA0828" w:rsidRPr="000F28DF">
        <w:t xml:space="preserve"> </w:t>
      </w:r>
      <w:r w:rsidR="002D5016" w:rsidRPr="000F28DF">
        <w:t>within this category, the energy icon and stars are used differentially, depending on the HSR of the product.</w:t>
      </w:r>
      <w:r w:rsidR="00BA0828" w:rsidRPr="000F28DF">
        <w:t xml:space="preserve"> </w:t>
      </w:r>
      <w:r w:rsidR="00067682" w:rsidRPr="000F28DF">
        <w:t>However, u</w:t>
      </w:r>
      <w:r w:rsidR="009B5EF3" w:rsidRPr="000F28DF">
        <w:t xml:space="preserve">nderstanding of the energy icon </w:t>
      </w:r>
      <w:r w:rsidR="00BA0828" w:rsidRPr="000F28DF">
        <w:t>could be improved with</w:t>
      </w:r>
      <w:r w:rsidR="00120790" w:rsidRPr="000F28DF">
        <w:t xml:space="preserve"> consumer awareness initiatives supported by the non-alcoholic beverages industry</w:t>
      </w:r>
    </w:p>
    <w:p w14:paraId="5D534AF0" w14:textId="17DC4138" w:rsidR="00067682" w:rsidRPr="000F28DF" w:rsidRDefault="00067682" w:rsidP="000F28DF">
      <w:pPr>
        <w:pStyle w:val="mpcbullets1"/>
      </w:pPr>
      <w:r w:rsidRPr="000F28DF">
        <w:t>it</w:t>
      </w:r>
      <w:r w:rsidR="00120790" w:rsidRPr="000F28DF">
        <w:t xml:space="preserve"> </w:t>
      </w:r>
      <w:r w:rsidR="004A2B3A" w:rsidRPr="000F28DF">
        <w:t xml:space="preserve">does not address </w:t>
      </w:r>
      <w:r w:rsidR="00561EC9" w:rsidRPr="000F28DF">
        <w:t>stakeholder concerns regarding the appropriateness of relative HSRs of non</w:t>
      </w:r>
      <w:r w:rsidR="00561EC9" w:rsidRPr="000F28DF">
        <w:noBreakHyphen/>
        <w:t xml:space="preserve">dairy beverages when compared across the category </w:t>
      </w:r>
      <w:r w:rsidR="004A2B3A" w:rsidRPr="000F28DF">
        <w:t>(particularly juices compared to unsweetened flavoured waters)</w:t>
      </w:r>
    </w:p>
    <w:p w14:paraId="254B1504" w14:textId="0919FC68" w:rsidR="004A2B3A" w:rsidRPr="00AB3873" w:rsidRDefault="00067682" w:rsidP="000F28DF">
      <w:pPr>
        <w:pStyle w:val="mpcbullets1"/>
      </w:pPr>
      <w:r w:rsidRPr="000F28DF">
        <w:t>it</w:t>
      </w:r>
      <w:r w:rsidR="007F0B5E" w:rsidRPr="000F28DF">
        <w:t xml:space="preserve"> option</w:t>
      </w:r>
      <w:r w:rsidR="007F0B5E">
        <w:t xml:space="preserve"> does not</w:t>
      </w:r>
      <w:r w:rsidR="001D2F86">
        <w:t xml:space="preserve"> promote drinks that are similar in nutritional profile to water</w:t>
      </w:r>
      <w:r w:rsidR="009B5EF3">
        <w:t xml:space="preserve"> and</w:t>
      </w:r>
      <w:r w:rsidR="001D2F86">
        <w:t xml:space="preserve"> contain no or low calories.</w:t>
      </w:r>
    </w:p>
    <w:p w14:paraId="5996B922" w14:textId="77777777" w:rsidR="004A2B3A" w:rsidRDefault="004A2B3A" w:rsidP="004A2B3A">
      <w:pPr>
        <w:pStyle w:val="mpcbullets1"/>
        <w:numPr>
          <w:ilvl w:val="0"/>
          <w:numId w:val="0"/>
        </w:numPr>
        <w:rPr>
          <w:rFonts w:cstheme="minorHAnsi"/>
          <w:szCs w:val="22"/>
        </w:rPr>
      </w:pPr>
    </w:p>
    <w:p w14:paraId="064927F2" w14:textId="7F7538D8" w:rsidR="004A2B3A" w:rsidRDefault="00092F01" w:rsidP="00B91EBF">
      <w:pPr>
        <w:pStyle w:val="mpcheading4"/>
        <w:numPr>
          <w:ilvl w:val="0"/>
          <w:numId w:val="8"/>
        </w:numPr>
      </w:pPr>
      <w:bookmarkStart w:id="63" w:name="_Toc524530340"/>
      <w:bookmarkStart w:id="64" w:name="_Toc523922864"/>
      <w:r>
        <w:t>N</w:t>
      </w:r>
      <w:r w:rsidR="004A2B3A">
        <w:t>on-dairy beverages</w:t>
      </w:r>
      <w:r w:rsidR="001E031F">
        <w:t xml:space="preserve"> (other than water)</w:t>
      </w:r>
      <w:r w:rsidR="004A2B3A">
        <w:t xml:space="preserve"> </w:t>
      </w:r>
      <w:r w:rsidR="008A51B4">
        <w:t>may only</w:t>
      </w:r>
      <w:r w:rsidR="004A2B3A">
        <w:t xml:space="preserve"> display the energy icon</w:t>
      </w:r>
      <w:bookmarkEnd w:id="63"/>
      <w:r w:rsidR="004A2B3A">
        <w:t xml:space="preserve"> </w:t>
      </w:r>
      <w:bookmarkEnd w:id="64"/>
    </w:p>
    <w:p w14:paraId="3F8E132E" w14:textId="3FCE7F3A" w:rsidR="004A2B3A" w:rsidRDefault="004A2B3A" w:rsidP="000F28DF">
      <w:pPr>
        <w:pStyle w:val="mpcbullets1"/>
        <w:numPr>
          <w:ilvl w:val="0"/>
          <w:numId w:val="0"/>
        </w:numPr>
        <w:rPr>
          <w:rFonts w:cstheme="minorHAnsi"/>
          <w:szCs w:val="22"/>
        </w:rPr>
      </w:pPr>
      <w:bookmarkStart w:id="65" w:name="_Toc523922865"/>
      <w:bookmarkStart w:id="66" w:name="_Toc524530341"/>
      <w:r w:rsidRPr="000F28DF">
        <w:rPr>
          <w:rFonts w:cstheme="minorHAnsi"/>
          <w:szCs w:val="22"/>
        </w:rPr>
        <w:t>The key advantages of this option are:</w:t>
      </w:r>
      <w:bookmarkEnd w:id="65"/>
      <w:bookmarkEnd w:id="66"/>
    </w:p>
    <w:p w14:paraId="6FF39B40" w14:textId="77777777" w:rsidR="000F28DF" w:rsidRPr="000F28DF" w:rsidRDefault="000F28DF" w:rsidP="000F28DF">
      <w:pPr>
        <w:pStyle w:val="mpcbullets1"/>
        <w:numPr>
          <w:ilvl w:val="0"/>
          <w:numId w:val="0"/>
        </w:numPr>
        <w:rPr>
          <w:rFonts w:cstheme="minorHAnsi"/>
          <w:szCs w:val="22"/>
        </w:rPr>
      </w:pPr>
    </w:p>
    <w:p w14:paraId="4882A241" w14:textId="09D30BF1" w:rsidR="004A2B3A" w:rsidRPr="000F28DF" w:rsidRDefault="004A2B3A" w:rsidP="000F28DF">
      <w:pPr>
        <w:pStyle w:val="mpcbullets1"/>
      </w:pPr>
      <w:r w:rsidRPr="000F28DF">
        <w:t>consumers could compare across the category because all non-dairy beverages would</w:t>
      </w:r>
      <w:r w:rsidR="007178C4" w:rsidRPr="000F28DF">
        <w:t xml:space="preserve"> be us</w:t>
      </w:r>
      <w:r w:rsidR="00561EC9" w:rsidRPr="000F28DF">
        <w:t xml:space="preserve">ing the same HSR </w:t>
      </w:r>
      <w:r w:rsidR="006000E2" w:rsidRPr="000F28DF">
        <w:t>System</w:t>
      </w:r>
      <w:r w:rsidR="00561EC9" w:rsidRPr="000F28DF">
        <w:t xml:space="preserve"> graphic</w:t>
      </w:r>
      <w:r w:rsidR="00783D35" w:rsidRPr="000F28DF">
        <w:t xml:space="preserve"> (the energy icon)</w:t>
      </w:r>
    </w:p>
    <w:p w14:paraId="56976995" w14:textId="25252126" w:rsidR="004A2B3A" w:rsidRPr="000F28DF" w:rsidRDefault="004A2B3A" w:rsidP="000F28DF">
      <w:pPr>
        <w:pStyle w:val="mpcbullets1"/>
      </w:pPr>
      <w:r w:rsidRPr="000F28DF">
        <w:t xml:space="preserve">energy and sugars are the operative </w:t>
      </w:r>
      <w:r w:rsidR="007178C4" w:rsidRPr="000F28DF">
        <w:t>components</w:t>
      </w:r>
      <w:r w:rsidRPr="000F28DF">
        <w:t xml:space="preserve"> for </w:t>
      </w:r>
      <w:r w:rsidR="00EA46CC" w:rsidRPr="000F28DF">
        <w:t>most non-dairy beverages (other than 100% juices)</w:t>
      </w:r>
      <w:r w:rsidRPr="000F28DF">
        <w:t>, so differentiation based on energy may support consumers to choose healthier options</w:t>
      </w:r>
    </w:p>
    <w:p w14:paraId="45F02BF5" w14:textId="4F12AF8D" w:rsidR="001E18D8" w:rsidRPr="000F28DF" w:rsidRDefault="001E18D8" w:rsidP="000F28DF">
      <w:pPr>
        <w:pStyle w:val="mpcbullets1"/>
      </w:pPr>
      <w:r w:rsidRPr="000F28DF">
        <w:t xml:space="preserve">the energy icon </w:t>
      </w:r>
      <w:r w:rsidR="00B414FA" w:rsidRPr="000F28DF">
        <w:t>is appropriate for all label sizes</w:t>
      </w:r>
    </w:p>
    <w:p w14:paraId="70142D93" w14:textId="14F2D0B2" w:rsidR="004A2B3A" w:rsidRDefault="004A2B3A" w:rsidP="000F28DF">
      <w:pPr>
        <w:pStyle w:val="mpcbullets1"/>
      </w:pPr>
      <w:r w:rsidRPr="000F28DF">
        <w:t>it clearly</w:t>
      </w:r>
      <w:r w:rsidRPr="00AB3873">
        <w:t xml:space="preserve"> positions water as the healthiest beverage option</w:t>
      </w:r>
      <w:r w:rsidR="00E0209C">
        <w:t>,</w:t>
      </w:r>
      <w:r w:rsidR="007178C4">
        <w:t xml:space="preserve"> and </w:t>
      </w:r>
      <w:r w:rsidR="001E031F">
        <w:t>enables consumers to compare other options based on their energy content.</w:t>
      </w:r>
    </w:p>
    <w:p w14:paraId="4AC5903D" w14:textId="77777777" w:rsidR="00783D35" w:rsidRPr="00783D35" w:rsidRDefault="00783D35" w:rsidP="00783D35">
      <w:pPr>
        <w:pStyle w:val="mpcbullets1"/>
        <w:numPr>
          <w:ilvl w:val="0"/>
          <w:numId w:val="0"/>
        </w:numPr>
        <w:ind w:left="360"/>
        <w:rPr>
          <w:rFonts w:cstheme="minorHAnsi"/>
          <w:szCs w:val="22"/>
        </w:rPr>
      </w:pPr>
    </w:p>
    <w:p w14:paraId="577F74B6" w14:textId="1F8E97A6" w:rsidR="00783D35" w:rsidRDefault="004A2B3A" w:rsidP="00470EAB">
      <w:pPr>
        <w:pStyle w:val="mpcbullets1"/>
        <w:numPr>
          <w:ilvl w:val="0"/>
          <w:numId w:val="0"/>
        </w:numPr>
        <w:rPr>
          <w:rFonts w:cstheme="minorHAnsi"/>
          <w:szCs w:val="22"/>
        </w:rPr>
      </w:pPr>
      <w:bookmarkStart w:id="67" w:name="_Toc523922866"/>
      <w:r w:rsidRPr="007178C4">
        <w:rPr>
          <w:rFonts w:cstheme="minorHAnsi"/>
          <w:szCs w:val="22"/>
        </w:rPr>
        <w:t>The disadvantage</w:t>
      </w:r>
      <w:r w:rsidR="00783D35">
        <w:rPr>
          <w:rFonts w:cstheme="minorHAnsi"/>
          <w:szCs w:val="22"/>
        </w:rPr>
        <w:t>s</w:t>
      </w:r>
      <w:r w:rsidRPr="007178C4">
        <w:rPr>
          <w:rFonts w:cstheme="minorHAnsi"/>
          <w:szCs w:val="22"/>
        </w:rPr>
        <w:t xml:space="preserve"> of this </w:t>
      </w:r>
      <w:r w:rsidR="00783D35">
        <w:rPr>
          <w:rFonts w:cstheme="minorHAnsi"/>
          <w:szCs w:val="22"/>
        </w:rPr>
        <w:t>option are:</w:t>
      </w:r>
    </w:p>
    <w:p w14:paraId="432A43A1" w14:textId="77777777" w:rsidR="00783D35" w:rsidRDefault="00783D35" w:rsidP="00470EAB">
      <w:pPr>
        <w:pStyle w:val="mpcbullets1"/>
        <w:numPr>
          <w:ilvl w:val="0"/>
          <w:numId w:val="0"/>
        </w:numPr>
        <w:rPr>
          <w:rFonts w:cstheme="minorHAnsi"/>
          <w:szCs w:val="22"/>
        </w:rPr>
      </w:pPr>
    </w:p>
    <w:p w14:paraId="4FAD58A3" w14:textId="458B82D2" w:rsidR="00783D35" w:rsidRPr="000F28DF" w:rsidRDefault="00783D35" w:rsidP="000F28DF">
      <w:pPr>
        <w:pStyle w:val="mpcbullets1"/>
      </w:pPr>
      <w:r w:rsidRPr="000F28DF">
        <w:t>based on energy, 100% fruit and vegetable juices would perform relatively poorly compared to some other no</w:t>
      </w:r>
      <w:r w:rsidR="001E18D8" w:rsidRPr="000F28DF">
        <w:t xml:space="preserve">n-dairy beverages. This may be </w:t>
      </w:r>
      <w:r w:rsidRPr="000F28DF">
        <w:t xml:space="preserve">undesirable, as the </w:t>
      </w:r>
      <w:r w:rsidR="00EA46CC" w:rsidRPr="000F28DF">
        <w:t>ADG</w:t>
      </w:r>
      <w:r w:rsidRPr="000F28DF">
        <w:t xml:space="preserve"> note that a serve of fruit may occasionally be supplemented with 125mL of 100% juice</w:t>
      </w:r>
    </w:p>
    <w:p w14:paraId="512544A8" w14:textId="74B8F36B" w:rsidR="004A2B3A" w:rsidRDefault="007178C4" w:rsidP="000F28DF">
      <w:pPr>
        <w:pStyle w:val="mpcbullets1"/>
      </w:pPr>
      <w:r w:rsidRPr="000F28DF">
        <w:lastRenderedPageBreak/>
        <w:t xml:space="preserve">monitoring data shows that </w:t>
      </w:r>
      <w:r w:rsidR="007E500F" w:rsidRPr="000F28DF">
        <w:t xml:space="preserve">Australian </w:t>
      </w:r>
      <w:r w:rsidRPr="000F28DF">
        <w:t xml:space="preserve">consumers do not find the energy icon easy to </w:t>
      </w:r>
      <w:r w:rsidR="00470EAB" w:rsidRPr="000F28DF">
        <w:t>understand and use.</w:t>
      </w:r>
      <w:r w:rsidR="00561EC9">
        <w:t xml:space="preserve"> </w:t>
      </w:r>
      <w:r w:rsidR="004A2B3A" w:rsidRPr="00470EAB">
        <w:t xml:space="preserve">Given the </w:t>
      </w:r>
      <w:r w:rsidR="00470EAB">
        <w:t xml:space="preserve">significant </w:t>
      </w:r>
      <w:r w:rsidR="004A2B3A" w:rsidRPr="00470EAB">
        <w:t xml:space="preserve">contribution of </w:t>
      </w:r>
      <w:r w:rsidR="00470EAB">
        <w:t xml:space="preserve">non-dairy </w:t>
      </w:r>
      <w:r w:rsidR="004A2B3A" w:rsidRPr="00470EAB">
        <w:t>beverages to Australia</w:t>
      </w:r>
      <w:r w:rsidR="00A91995">
        <w:t>n</w:t>
      </w:r>
      <w:r w:rsidR="004A2B3A" w:rsidRPr="00470EAB">
        <w:t xml:space="preserve"> and New Zealand intake of </w:t>
      </w:r>
      <w:r w:rsidR="00470EAB">
        <w:t>total</w:t>
      </w:r>
      <w:r w:rsidR="004A2B3A" w:rsidRPr="00470EAB">
        <w:t xml:space="preserve"> sugars</w:t>
      </w:r>
      <w:r w:rsidR="00470EAB">
        <w:t>,</w:t>
      </w:r>
      <w:r w:rsidR="004A2B3A" w:rsidRPr="00470EAB">
        <w:t xml:space="preserve"> </w:t>
      </w:r>
      <w:r w:rsidR="00A91995">
        <w:t xml:space="preserve">meaningful </w:t>
      </w:r>
      <w:r w:rsidR="00EA46CC">
        <w:t>labelling</w:t>
      </w:r>
      <w:r w:rsidR="00A91995">
        <w:t xml:space="preserve"> is important. </w:t>
      </w:r>
      <w:bookmarkEnd w:id="67"/>
    </w:p>
    <w:p w14:paraId="31D1C4FA" w14:textId="6921087E" w:rsidR="00470EAB" w:rsidRDefault="00470EAB" w:rsidP="00470EAB">
      <w:pPr>
        <w:pStyle w:val="mpcbullets1"/>
        <w:numPr>
          <w:ilvl w:val="0"/>
          <w:numId w:val="0"/>
        </w:numPr>
        <w:rPr>
          <w:rFonts w:cstheme="minorHAnsi"/>
          <w:b/>
          <w:szCs w:val="22"/>
        </w:rPr>
      </w:pPr>
    </w:p>
    <w:p w14:paraId="1DC7BC5F" w14:textId="1C7566EE" w:rsidR="004A2B3A" w:rsidRDefault="00092F01" w:rsidP="00B91EBF">
      <w:pPr>
        <w:pStyle w:val="mpcheading4"/>
        <w:numPr>
          <w:ilvl w:val="0"/>
          <w:numId w:val="8"/>
        </w:numPr>
      </w:pPr>
      <w:bookmarkStart w:id="68" w:name="_Toc524530342"/>
      <w:bookmarkStart w:id="69" w:name="_Toc523922867"/>
      <w:r>
        <w:t>N</w:t>
      </w:r>
      <w:r w:rsidR="00A91995">
        <w:t>on-dairy beverages may only display the stars</w:t>
      </w:r>
      <w:bookmarkEnd w:id="68"/>
      <w:r w:rsidR="00A91995">
        <w:t xml:space="preserve"> </w:t>
      </w:r>
      <w:bookmarkEnd w:id="69"/>
    </w:p>
    <w:p w14:paraId="12924C1A" w14:textId="73A1869B" w:rsidR="004A2B3A" w:rsidRDefault="004A2B3A" w:rsidP="000F28DF">
      <w:pPr>
        <w:pStyle w:val="mpcbullets1"/>
        <w:numPr>
          <w:ilvl w:val="0"/>
          <w:numId w:val="0"/>
        </w:numPr>
        <w:rPr>
          <w:rFonts w:cstheme="minorHAnsi"/>
          <w:szCs w:val="22"/>
        </w:rPr>
      </w:pPr>
      <w:bookmarkStart w:id="70" w:name="_Toc523922868"/>
      <w:bookmarkStart w:id="71" w:name="_Toc524530343"/>
      <w:r w:rsidRPr="000F28DF">
        <w:rPr>
          <w:rFonts w:cstheme="minorHAnsi"/>
          <w:szCs w:val="22"/>
        </w:rPr>
        <w:t>The main advantage of this</w:t>
      </w:r>
      <w:r w:rsidR="00470EAB" w:rsidRPr="000F28DF">
        <w:rPr>
          <w:rFonts w:cstheme="minorHAnsi"/>
          <w:szCs w:val="22"/>
        </w:rPr>
        <w:t xml:space="preserve"> option</w:t>
      </w:r>
      <w:r w:rsidRPr="000F28DF">
        <w:rPr>
          <w:rFonts w:cstheme="minorHAnsi"/>
          <w:szCs w:val="22"/>
        </w:rPr>
        <w:t xml:space="preserve"> is that consumers will more readily be able to compare beverage options.</w:t>
      </w:r>
      <w:bookmarkEnd w:id="70"/>
      <w:bookmarkEnd w:id="71"/>
    </w:p>
    <w:p w14:paraId="16B5D7CE" w14:textId="77777777" w:rsidR="000F28DF" w:rsidRPr="000F28DF" w:rsidRDefault="000F28DF" w:rsidP="000F28DF">
      <w:pPr>
        <w:pStyle w:val="mpcbullets1"/>
        <w:numPr>
          <w:ilvl w:val="0"/>
          <w:numId w:val="0"/>
        </w:numPr>
        <w:rPr>
          <w:rFonts w:cstheme="minorHAnsi"/>
          <w:szCs w:val="22"/>
        </w:rPr>
      </w:pPr>
    </w:p>
    <w:p w14:paraId="117E2EC8" w14:textId="09C66509" w:rsidR="004A2B3A" w:rsidRDefault="004A2B3A" w:rsidP="00783D35">
      <w:pPr>
        <w:pStyle w:val="mpcbullets1"/>
        <w:numPr>
          <w:ilvl w:val="0"/>
          <w:numId w:val="0"/>
        </w:numPr>
        <w:rPr>
          <w:rFonts w:cstheme="minorHAnsi"/>
          <w:szCs w:val="22"/>
        </w:rPr>
      </w:pPr>
      <w:r w:rsidRPr="00304EF6">
        <w:rPr>
          <w:rFonts w:cstheme="minorHAnsi"/>
          <w:szCs w:val="22"/>
        </w:rPr>
        <w:t>Th</w:t>
      </w:r>
      <w:r w:rsidR="00470EAB">
        <w:rPr>
          <w:rFonts w:cstheme="minorHAnsi"/>
          <w:szCs w:val="22"/>
        </w:rPr>
        <w:t>e main disadvantages of</w:t>
      </w:r>
      <w:r w:rsidRPr="00304EF6">
        <w:rPr>
          <w:rFonts w:cstheme="minorHAnsi"/>
          <w:szCs w:val="22"/>
        </w:rPr>
        <w:t xml:space="preserve"> this are</w:t>
      </w:r>
      <w:r>
        <w:rPr>
          <w:rFonts w:cstheme="minorHAnsi"/>
          <w:szCs w:val="22"/>
        </w:rPr>
        <w:t>:</w:t>
      </w:r>
    </w:p>
    <w:p w14:paraId="30D55E03" w14:textId="77777777" w:rsidR="004A2B3A" w:rsidRPr="00304EF6" w:rsidRDefault="004A2B3A" w:rsidP="004A2B3A">
      <w:pPr>
        <w:pStyle w:val="mpcbullets1"/>
        <w:numPr>
          <w:ilvl w:val="0"/>
          <w:numId w:val="0"/>
        </w:numPr>
        <w:ind w:left="360" w:hanging="360"/>
        <w:rPr>
          <w:rFonts w:cstheme="minorHAnsi"/>
          <w:szCs w:val="22"/>
        </w:rPr>
      </w:pPr>
    </w:p>
    <w:p w14:paraId="670EF395" w14:textId="3723DEBE" w:rsidR="004A2B3A" w:rsidRPr="000F28DF" w:rsidRDefault="004A2B3A" w:rsidP="000F28DF">
      <w:pPr>
        <w:pStyle w:val="mpcbullets1"/>
      </w:pPr>
      <w:r>
        <w:t>i</w:t>
      </w:r>
      <w:r w:rsidRPr="00304EF6">
        <w:t xml:space="preserve">t </w:t>
      </w:r>
      <w:r w:rsidRPr="000F28DF">
        <w:t xml:space="preserve">would reduce the HSR </w:t>
      </w:r>
      <w:r w:rsidR="006000E2" w:rsidRPr="000F28DF">
        <w:t>System</w:t>
      </w:r>
      <w:r w:rsidR="00470EAB" w:rsidRPr="000F28DF">
        <w:t xml:space="preserve"> graphic </w:t>
      </w:r>
      <w:r w:rsidRPr="000F28DF">
        <w:t>options available to</w:t>
      </w:r>
      <w:r w:rsidR="00A91995" w:rsidRPr="000F28DF">
        <w:t xml:space="preserve"> non-dairy</w:t>
      </w:r>
      <w:r w:rsidRPr="000F28DF">
        <w:t xml:space="preserve"> </w:t>
      </w:r>
      <w:r w:rsidR="00A91995" w:rsidRPr="000F28DF">
        <w:t xml:space="preserve">beverage </w:t>
      </w:r>
      <w:r w:rsidRPr="000F28DF">
        <w:t>manufacture</w:t>
      </w:r>
      <w:r w:rsidR="00C506B7" w:rsidRPr="000F28DF">
        <w:t>r</w:t>
      </w:r>
      <w:r w:rsidR="007F0B5E" w:rsidRPr="000F28DF">
        <w:t>s compar</w:t>
      </w:r>
      <w:r w:rsidR="00EF605D" w:rsidRPr="000F28DF">
        <w:t>ed to other food manufacturers</w:t>
      </w:r>
    </w:p>
    <w:p w14:paraId="762502C0" w14:textId="5EFA6DCF" w:rsidR="00EF605D" w:rsidRPr="000F28DF" w:rsidRDefault="00EF605D" w:rsidP="000F28DF">
      <w:pPr>
        <w:pStyle w:val="mpcbullets1"/>
      </w:pPr>
      <w:r w:rsidRPr="000F28DF">
        <w:t>industry may choose not to display the HSR on non-dairy beverages, particularly on those that score a low HSR and</w:t>
      </w:r>
      <w:r w:rsidR="00092F01" w:rsidRPr="000F28DF">
        <w:t>/or</w:t>
      </w:r>
      <w:r w:rsidRPr="000F28DF">
        <w:t xml:space="preserve"> have a small package size. This would reduce the FoPL information available to consumers (noting the reasonably high uptake of the energy icon on non-dairy beverages)</w:t>
      </w:r>
    </w:p>
    <w:p w14:paraId="43A37B1D" w14:textId="07E905DD" w:rsidR="004A2B3A" w:rsidRDefault="004A2B3A" w:rsidP="000F28DF">
      <w:pPr>
        <w:pStyle w:val="mpcbullets1"/>
      </w:pPr>
      <w:r w:rsidRPr="000F28DF">
        <w:t>it would highlight, to an even greater extent, some of the inherent challen</w:t>
      </w:r>
      <w:r w:rsidR="00470EAB" w:rsidRPr="000F28DF">
        <w:t>ges in attributing stars to non</w:t>
      </w:r>
      <w:r w:rsidR="00470EAB" w:rsidRPr="000F28DF">
        <w:noBreakHyphen/>
      </w:r>
      <w:r w:rsidRPr="000F28DF">
        <w:t>dairy beverages</w:t>
      </w:r>
      <w:r w:rsidR="00644A7E">
        <w:t xml:space="preserve"> (i.e. the relative positioning of non-dairy beverages does not </w:t>
      </w:r>
      <w:r w:rsidR="00F67422">
        <w:t xml:space="preserve">always </w:t>
      </w:r>
      <w:r w:rsidR="000257F6">
        <w:t xml:space="preserve">appropriately </w:t>
      </w:r>
      <w:r w:rsidR="00F67422">
        <w:t xml:space="preserve">represent their relative </w:t>
      </w:r>
      <w:r w:rsidR="00C6304C">
        <w:t>nutritional value</w:t>
      </w:r>
      <w:r w:rsidR="00F67422">
        <w:t>)</w:t>
      </w:r>
      <w:r>
        <w:t xml:space="preserve">. </w:t>
      </w:r>
    </w:p>
    <w:p w14:paraId="71B6D528" w14:textId="1B08F06E" w:rsidR="004A2B3A" w:rsidRDefault="004A2B3A" w:rsidP="004A2B3A">
      <w:pPr>
        <w:pStyle w:val="mpcbullets1"/>
        <w:numPr>
          <w:ilvl w:val="0"/>
          <w:numId w:val="0"/>
        </w:numPr>
        <w:rPr>
          <w:rFonts w:cstheme="minorHAnsi"/>
          <w:szCs w:val="22"/>
        </w:rPr>
      </w:pPr>
    </w:p>
    <w:p w14:paraId="16DCE135" w14:textId="3C5C8AE1" w:rsidR="00EA46CC" w:rsidRDefault="00EA46CC" w:rsidP="00EA46CC">
      <w:pPr>
        <w:pStyle w:val="mpcbullets1"/>
        <w:numPr>
          <w:ilvl w:val="0"/>
          <w:numId w:val="0"/>
        </w:numPr>
        <w:rPr>
          <w:rFonts w:cstheme="minorHAnsi"/>
          <w:szCs w:val="22"/>
        </w:rPr>
      </w:pPr>
      <w:r w:rsidRPr="000F28DF">
        <w:rPr>
          <w:rFonts w:cstheme="minorHAnsi"/>
          <w:szCs w:val="22"/>
        </w:rPr>
        <w:t xml:space="preserve">A variation on this option, is for Category 1 products to display the stars based solely on energy content. This would involve setting threshold ranges for each star increment (for example, that products with between 0 to 20kJ/100mL receive 4.5 stars, products with 21 to 50 kJ/100mL receive 4 stars, etc.). </w:t>
      </w:r>
    </w:p>
    <w:p w14:paraId="7D79CD92" w14:textId="77777777" w:rsidR="00EA46CC" w:rsidRPr="00304EF6" w:rsidRDefault="00EA46CC" w:rsidP="004A2B3A">
      <w:pPr>
        <w:pStyle w:val="mpcbullets1"/>
        <w:numPr>
          <w:ilvl w:val="0"/>
          <w:numId w:val="0"/>
        </w:numPr>
        <w:rPr>
          <w:rFonts w:cstheme="minorHAnsi"/>
          <w:szCs w:val="22"/>
        </w:rPr>
      </w:pPr>
    </w:p>
    <w:p w14:paraId="0E1C66A1" w14:textId="1192AADB" w:rsidR="004A2B3A" w:rsidRDefault="00092F01" w:rsidP="00B91EBF">
      <w:pPr>
        <w:pStyle w:val="mpcheading4"/>
        <w:numPr>
          <w:ilvl w:val="0"/>
          <w:numId w:val="8"/>
        </w:numPr>
      </w:pPr>
      <w:bookmarkStart w:id="72" w:name="_Toc523922869"/>
      <w:bookmarkStart w:id="73" w:name="_Toc524530344"/>
      <w:r>
        <w:t>N</w:t>
      </w:r>
      <w:r w:rsidR="004A2B3A">
        <w:t xml:space="preserve">on-dairy beverages are ineligible </w:t>
      </w:r>
      <w:r w:rsidR="00F67422">
        <w:t xml:space="preserve">to score modifying points </w:t>
      </w:r>
      <w:r w:rsidR="004A2B3A">
        <w:t>for FVNL content</w:t>
      </w:r>
      <w:bookmarkEnd w:id="72"/>
      <w:bookmarkEnd w:id="73"/>
      <w:r w:rsidR="004A2B3A">
        <w:t xml:space="preserve"> </w:t>
      </w:r>
    </w:p>
    <w:p w14:paraId="7299F525" w14:textId="42A1EF3B" w:rsidR="004A2B3A" w:rsidRDefault="004A2B3A" w:rsidP="004A2B3A">
      <w:pPr>
        <w:pStyle w:val="mpcbullets1"/>
        <w:numPr>
          <w:ilvl w:val="0"/>
          <w:numId w:val="0"/>
        </w:numPr>
        <w:rPr>
          <w:rFonts w:cstheme="minorHAnsi"/>
          <w:szCs w:val="22"/>
        </w:rPr>
      </w:pPr>
      <w:r>
        <w:rPr>
          <w:rFonts w:cstheme="minorHAnsi"/>
          <w:szCs w:val="22"/>
        </w:rPr>
        <w:t>The main advant</w:t>
      </w:r>
      <w:r w:rsidR="00566B82">
        <w:rPr>
          <w:rFonts w:cstheme="minorHAnsi"/>
          <w:szCs w:val="22"/>
        </w:rPr>
        <w:t>ages of this option are</w:t>
      </w:r>
      <w:r>
        <w:rPr>
          <w:rFonts w:cstheme="minorHAnsi"/>
          <w:szCs w:val="22"/>
        </w:rPr>
        <w:t>:</w:t>
      </w:r>
    </w:p>
    <w:p w14:paraId="175E714C" w14:textId="77777777" w:rsidR="004A2B3A" w:rsidRDefault="004A2B3A" w:rsidP="004A2B3A">
      <w:pPr>
        <w:pStyle w:val="mpcbullets1"/>
        <w:numPr>
          <w:ilvl w:val="0"/>
          <w:numId w:val="0"/>
        </w:numPr>
        <w:rPr>
          <w:rFonts w:cstheme="minorHAnsi"/>
          <w:szCs w:val="22"/>
        </w:rPr>
      </w:pPr>
    </w:p>
    <w:p w14:paraId="6AA29112" w14:textId="42B1568B" w:rsidR="004A2B3A" w:rsidRPr="000F28DF" w:rsidRDefault="004A2B3A" w:rsidP="000F28DF">
      <w:pPr>
        <w:pStyle w:val="mpcbullets1"/>
      </w:pPr>
      <w:r w:rsidRPr="000F28DF">
        <w:t>fruit and vegetable juices would score a lower HSR, differentiating them from water and other low sugar alternatives</w:t>
      </w:r>
    </w:p>
    <w:p w14:paraId="79A45C97" w14:textId="4574FE17" w:rsidR="004A2B3A" w:rsidRDefault="004A2B3A" w:rsidP="000F28DF">
      <w:pPr>
        <w:pStyle w:val="mpcbullets1"/>
      </w:pPr>
      <w:r w:rsidRPr="000F28DF">
        <w:t>fruit</w:t>
      </w:r>
      <w:r w:rsidRPr="002231AD">
        <w:t xml:space="preserve"> and vegetable juices would not score </w:t>
      </w:r>
      <w:r>
        <w:t xml:space="preserve">the same or </w:t>
      </w:r>
      <w:r w:rsidRPr="002231AD">
        <w:t xml:space="preserve">higher than their whole </w:t>
      </w:r>
      <w:r w:rsidR="00566B82">
        <w:t xml:space="preserve">fruit or vegetable </w:t>
      </w:r>
      <w:r w:rsidR="00EA46CC">
        <w:t>alternative</w:t>
      </w:r>
      <w:r w:rsidRPr="002231AD">
        <w:t>.</w:t>
      </w:r>
    </w:p>
    <w:p w14:paraId="31811321" w14:textId="77777777" w:rsidR="004A2B3A" w:rsidRDefault="004A2B3A" w:rsidP="004A2B3A">
      <w:pPr>
        <w:pStyle w:val="mpcbullets1"/>
        <w:numPr>
          <w:ilvl w:val="0"/>
          <w:numId w:val="0"/>
        </w:numPr>
        <w:rPr>
          <w:rFonts w:cstheme="minorHAnsi"/>
          <w:szCs w:val="22"/>
        </w:rPr>
      </w:pPr>
    </w:p>
    <w:p w14:paraId="3FC79FA5" w14:textId="77777777" w:rsidR="004A2B3A" w:rsidRDefault="004A2B3A" w:rsidP="004A2B3A">
      <w:pPr>
        <w:pStyle w:val="mpcbullets1"/>
        <w:numPr>
          <w:ilvl w:val="0"/>
          <w:numId w:val="0"/>
        </w:numPr>
        <w:rPr>
          <w:rFonts w:cstheme="minorHAnsi"/>
          <w:szCs w:val="22"/>
        </w:rPr>
      </w:pPr>
      <w:r>
        <w:rPr>
          <w:rFonts w:cstheme="minorHAnsi"/>
          <w:szCs w:val="22"/>
        </w:rPr>
        <w:t>The main disadvantages of this option are:</w:t>
      </w:r>
    </w:p>
    <w:p w14:paraId="684461CB" w14:textId="77777777" w:rsidR="004A2B3A" w:rsidRPr="00D40696" w:rsidRDefault="004A2B3A" w:rsidP="004A2B3A">
      <w:pPr>
        <w:pStyle w:val="mpcbullets1"/>
        <w:numPr>
          <w:ilvl w:val="0"/>
          <w:numId w:val="0"/>
        </w:numPr>
        <w:rPr>
          <w:rFonts w:cstheme="minorHAnsi"/>
          <w:szCs w:val="22"/>
        </w:rPr>
      </w:pPr>
    </w:p>
    <w:p w14:paraId="22689552" w14:textId="5832C4A4" w:rsidR="004A2B3A" w:rsidRPr="000F28DF" w:rsidRDefault="004A2B3A" w:rsidP="000F28DF">
      <w:pPr>
        <w:pStyle w:val="mpcbullets1"/>
      </w:pPr>
      <w:r w:rsidRPr="000F28DF">
        <w:t xml:space="preserve">fruit and vegetable juices may receive equal or lower scores </w:t>
      </w:r>
      <w:r w:rsidR="00F67422" w:rsidRPr="000F28DF">
        <w:t>to</w:t>
      </w:r>
      <w:r w:rsidRPr="000F28DF">
        <w:t xml:space="preserve"> some sugar sweetened beverages, despite having greater nutritional </w:t>
      </w:r>
      <w:r w:rsidR="00D91E3D" w:rsidRPr="000F28DF">
        <w:t>value</w:t>
      </w:r>
    </w:p>
    <w:p w14:paraId="213525D6" w14:textId="555C92F3" w:rsidR="004A2B3A" w:rsidRPr="000F28DF" w:rsidRDefault="004A2B3A" w:rsidP="000F28DF">
      <w:pPr>
        <w:pStyle w:val="mpcbullets1"/>
      </w:pPr>
      <w:r w:rsidRPr="000F28DF">
        <w:t xml:space="preserve">it adversely impacts the logic of the HSR </w:t>
      </w:r>
      <w:r w:rsidR="006000E2" w:rsidRPr="000F28DF">
        <w:t>System</w:t>
      </w:r>
      <w:r w:rsidRPr="000F28DF">
        <w:t xml:space="preserve"> by removing one </w:t>
      </w:r>
      <w:r w:rsidR="002E3411" w:rsidRPr="000F28DF">
        <w:t xml:space="preserve">component </w:t>
      </w:r>
      <w:r w:rsidRPr="000F28DF">
        <w:t>from the HSR Calculator for one specific product category</w:t>
      </w:r>
    </w:p>
    <w:p w14:paraId="0EF93B51" w14:textId="389EE737" w:rsidR="004A2B3A" w:rsidRDefault="004A2B3A" w:rsidP="000F28DF">
      <w:pPr>
        <w:pStyle w:val="mpcbullets1"/>
      </w:pPr>
      <w:r w:rsidRPr="000F28DF">
        <w:t>it reduces</w:t>
      </w:r>
      <w:r>
        <w:t xml:space="preserve"> consistency with the NPSC</w:t>
      </w:r>
      <w:r w:rsidR="00AE5920">
        <w:t>, which allows beverages to score modifying points for fruit and vegetable content</w:t>
      </w:r>
      <w:r>
        <w:t>.</w:t>
      </w:r>
    </w:p>
    <w:p w14:paraId="0A654B3A" w14:textId="77777777" w:rsidR="004A2B3A" w:rsidRDefault="004A2B3A" w:rsidP="004A2B3A">
      <w:pPr>
        <w:pStyle w:val="mpcbullets1"/>
        <w:numPr>
          <w:ilvl w:val="0"/>
          <w:numId w:val="0"/>
        </w:numPr>
        <w:ind w:left="360" w:hanging="360"/>
        <w:rPr>
          <w:rFonts w:cstheme="minorHAnsi"/>
          <w:szCs w:val="22"/>
        </w:rPr>
      </w:pPr>
    </w:p>
    <w:p w14:paraId="6B039768" w14:textId="5B7E5A8E" w:rsidR="004A2B3A" w:rsidRDefault="004A2B3A" w:rsidP="00AE5920">
      <w:pPr>
        <w:pStyle w:val="mpcbullets1"/>
        <w:numPr>
          <w:ilvl w:val="0"/>
          <w:numId w:val="0"/>
        </w:numPr>
        <w:rPr>
          <w:rFonts w:cstheme="minorHAnsi"/>
          <w:szCs w:val="22"/>
        </w:rPr>
      </w:pPr>
      <w:r>
        <w:rPr>
          <w:rFonts w:cstheme="minorHAnsi"/>
          <w:szCs w:val="22"/>
        </w:rPr>
        <w:t xml:space="preserve">If this option were preferred, </w:t>
      </w:r>
      <w:r w:rsidR="00C506B7">
        <w:rPr>
          <w:rFonts w:cstheme="minorHAnsi"/>
          <w:szCs w:val="22"/>
        </w:rPr>
        <w:t>it c</w:t>
      </w:r>
      <w:r w:rsidR="00AE5920">
        <w:rPr>
          <w:rFonts w:cstheme="minorHAnsi"/>
          <w:szCs w:val="22"/>
        </w:rPr>
        <w:t xml:space="preserve">ould be implemented together with </w:t>
      </w:r>
      <w:r w:rsidR="00C506B7">
        <w:rPr>
          <w:rFonts w:cstheme="minorHAnsi"/>
          <w:szCs w:val="22"/>
        </w:rPr>
        <w:t>O</w:t>
      </w:r>
      <w:r w:rsidR="00566B82">
        <w:rPr>
          <w:rFonts w:cstheme="minorHAnsi"/>
          <w:szCs w:val="22"/>
        </w:rPr>
        <w:t xml:space="preserve">ption C </w:t>
      </w:r>
      <w:r w:rsidR="002B0FA9">
        <w:rPr>
          <w:rFonts w:cstheme="minorHAnsi"/>
          <w:szCs w:val="22"/>
        </w:rPr>
        <w:t xml:space="preserve">(stars only) </w:t>
      </w:r>
      <w:r w:rsidR="00566B82">
        <w:rPr>
          <w:rFonts w:cstheme="minorHAnsi"/>
          <w:szCs w:val="22"/>
        </w:rPr>
        <w:t>above.</w:t>
      </w:r>
    </w:p>
    <w:p w14:paraId="4A05E2AC" w14:textId="5ED5B527" w:rsidR="00E16A47" w:rsidRDefault="00E16A47" w:rsidP="00AE5920">
      <w:pPr>
        <w:pStyle w:val="mpcbullets1"/>
        <w:numPr>
          <w:ilvl w:val="0"/>
          <w:numId w:val="0"/>
        </w:numPr>
        <w:rPr>
          <w:rFonts w:cstheme="minorHAnsi"/>
          <w:szCs w:val="22"/>
        </w:rPr>
      </w:pPr>
    </w:p>
    <w:p w14:paraId="47937CBF" w14:textId="4BB6B247" w:rsidR="00E16A47" w:rsidRPr="00910E24" w:rsidRDefault="00092F01" w:rsidP="00B91EBF">
      <w:pPr>
        <w:pStyle w:val="mpcheading4"/>
        <w:numPr>
          <w:ilvl w:val="0"/>
          <w:numId w:val="8"/>
        </w:numPr>
      </w:pPr>
      <w:r>
        <w:t>P</w:t>
      </w:r>
      <w:r w:rsidR="00E16A47" w:rsidRPr="00910E24">
        <w:t>lain packaged water is the only non-dairy beverage to score a</w:t>
      </w:r>
      <w:r w:rsidR="00E0209C">
        <w:t>n</w:t>
      </w:r>
      <w:r w:rsidR="00E16A47" w:rsidRPr="00910E24">
        <w:t xml:space="preserve"> HSR of 5, combinations of juice and water with no other additives </w:t>
      </w:r>
      <w:r w:rsidR="00F7343B" w:rsidRPr="00910E24">
        <w:t>score a</w:t>
      </w:r>
      <w:r w:rsidR="00E0209C">
        <w:t>n</w:t>
      </w:r>
      <w:r w:rsidR="00F7343B" w:rsidRPr="00910E24">
        <w:t xml:space="preserve"> HSR of 4.5 and all other non</w:t>
      </w:r>
      <w:r w:rsidR="00F7343B" w:rsidRPr="00910E24">
        <w:noBreakHyphen/>
        <w:t>dairy beverages calculate their HSR using the HSR Calculator</w:t>
      </w:r>
    </w:p>
    <w:p w14:paraId="03D4587C" w14:textId="3AE233D9" w:rsidR="004A2B3A" w:rsidRDefault="00566B82" w:rsidP="00566B82">
      <w:pPr>
        <w:pStyle w:val="mpcbullets1"/>
        <w:numPr>
          <w:ilvl w:val="0"/>
          <w:numId w:val="0"/>
        </w:numPr>
        <w:rPr>
          <w:rFonts w:cstheme="minorHAnsi"/>
          <w:szCs w:val="22"/>
        </w:rPr>
      </w:pPr>
      <w:r>
        <w:rPr>
          <w:rFonts w:cstheme="minorHAnsi"/>
          <w:szCs w:val="22"/>
        </w:rPr>
        <w:t xml:space="preserve">In addition to the existing policy decision (that packaged </w:t>
      </w:r>
      <w:r w:rsidR="00FC40E8">
        <w:rPr>
          <w:rFonts w:cstheme="minorHAnsi"/>
          <w:szCs w:val="22"/>
        </w:rPr>
        <w:t xml:space="preserve">plain </w:t>
      </w:r>
      <w:r>
        <w:rPr>
          <w:rFonts w:cstheme="minorHAnsi"/>
          <w:szCs w:val="22"/>
        </w:rPr>
        <w:t>water receives an automatic HSR of 5)</w:t>
      </w:r>
      <w:r w:rsidR="00EF605D">
        <w:rPr>
          <w:rFonts w:cstheme="minorHAnsi"/>
          <w:szCs w:val="22"/>
        </w:rPr>
        <w:t>, under this option</w:t>
      </w:r>
      <w:r>
        <w:rPr>
          <w:rFonts w:cstheme="minorHAnsi"/>
          <w:szCs w:val="22"/>
        </w:rPr>
        <w:t xml:space="preserve"> further policy decisions would be made such that</w:t>
      </w:r>
      <w:r w:rsidR="00E520D6">
        <w:rPr>
          <w:rFonts w:cstheme="minorHAnsi"/>
          <w:szCs w:val="22"/>
        </w:rPr>
        <w:t>:</w:t>
      </w:r>
    </w:p>
    <w:p w14:paraId="0FF8CD8E" w14:textId="56F26886" w:rsidR="00E520D6" w:rsidRDefault="00E520D6" w:rsidP="004A2B3A">
      <w:pPr>
        <w:pStyle w:val="mpcbullets1"/>
        <w:numPr>
          <w:ilvl w:val="0"/>
          <w:numId w:val="0"/>
        </w:numPr>
        <w:rPr>
          <w:rFonts w:cstheme="minorHAnsi"/>
          <w:szCs w:val="22"/>
        </w:rPr>
      </w:pPr>
    </w:p>
    <w:p w14:paraId="0A40F345" w14:textId="2CC32483" w:rsidR="008E057D" w:rsidRPr="000F28DF" w:rsidRDefault="00A534BF" w:rsidP="000F28DF">
      <w:pPr>
        <w:pStyle w:val="mpcbullets1"/>
      </w:pPr>
      <w:r w:rsidRPr="000F28DF">
        <w:t xml:space="preserve">water </w:t>
      </w:r>
      <w:r w:rsidR="00EA46CC" w:rsidRPr="000F28DF">
        <w:t>(</w:t>
      </w:r>
      <w:r w:rsidRPr="000F28DF">
        <w:t>still or carbonated</w:t>
      </w:r>
      <w:r w:rsidR="00EA46CC" w:rsidRPr="000F28DF">
        <w:t xml:space="preserve">) with no additives </w:t>
      </w:r>
      <w:r w:rsidRPr="000F28DF">
        <w:t>would automatically receive an HSR of 5</w:t>
      </w:r>
    </w:p>
    <w:p w14:paraId="220E6B31" w14:textId="5212494A" w:rsidR="009C727E" w:rsidRPr="000F28DF" w:rsidRDefault="001302F5" w:rsidP="000F28DF">
      <w:pPr>
        <w:pStyle w:val="mpcbullets1"/>
      </w:pPr>
      <w:r w:rsidRPr="000F28DF">
        <w:lastRenderedPageBreak/>
        <w:t>w</w:t>
      </w:r>
      <w:r w:rsidR="00E520D6" w:rsidRPr="000F28DF">
        <w:t xml:space="preserve">ater </w:t>
      </w:r>
      <w:r w:rsidR="00783D35" w:rsidRPr="000F28DF">
        <w:t xml:space="preserve">(still or carbonated) </w:t>
      </w:r>
      <w:r w:rsidR="00E520D6" w:rsidRPr="000F28DF">
        <w:t>in any combination with</w:t>
      </w:r>
      <w:r w:rsidR="009C727E" w:rsidRPr="000F28DF">
        <w:t xml:space="preserve"> fruit and vegetable juices (including</w:t>
      </w:r>
      <w:r w:rsidR="00E520D6" w:rsidRPr="000F28DF">
        <w:t xml:space="preserve"> </w:t>
      </w:r>
      <w:r w:rsidR="00EA46CC" w:rsidRPr="000F28DF">
        <w:t>food additives described in Schedule 14 of the Code</w:t>
      </w:r>
      <w:r w:rsidR="00E520D6" w:rsidRPr="000F28DF">
        <w:t>)</w:t>
      </w:r>
      <w:r w:rsidR="009C727E" w:rsidRPr="000F28DF">
        <w:t xml:space="preserve"> and with no added sugar or other additives </w:t>
      </w:r>
      <w:r w:rsidR="00EF605D" w:rsidRPr="000F28DF">
        <w:t>would automatically receive</w:t>
      </w:r>
      <w:r w:rsidR="009C727E" w:rsidRPr="000F28DF">
        <w:t xml:space="preserve"> an HSR of 4.5</w:t>
      </w:r>
    </w:p>
    <w:p w14:paraId="37E82CA6" w14:textId="0F8C325D" w:rsidR="00E520D6" w:rsidRPr="000F28DF" w:rsidRDefault="000E3EC1" w:rsidP="000F28DF">
      <w:pPr>
        <w:pStyle w:val="mpcbullets1"/>
      </w:pPr>
      <w:r w:rsidRPr="000F28DF">
        <w:t xml:space="preserve">all </w:t>
      </w:r>
      <w:r w:rsidR="006B6290" w:rsidRPr="000F28DF">
        <w:t>100% fruit and vegetable juice</w:t>
      </w:r>
      <w:r w:rsidRPr="000F28DF">
        <w:t xml:space="preserve">s would also </w:t>
      </w:r>
      <w:r w:rsidR="00E520D6" w:rsidRPr="000F28DF">
        <w:t xml:space="preserve">automatically receive </w:t>
      </w:r>
      <w:r w:rsidR="00E0209C" w:rsidRPr="000F28DF">
        <w:t>an HSR</w:t>
      </w:r>
      <w:r w:rsidR="00E520D6" w:rsidRPr="000F28DF">
        <w:t xml:space="preserve"> of 4.5</w:t>
      </w:r>
    </w:p>
    <w:p w14:paraId="6B534F43" w14:textId="78437D53" w:rsidR="00E520D6" w:rsidRDefault="001302F5" w:rsidP="000F28DF">
      <w:pPr>
        <w:pStyle w:val="mpcbullets1"/>
        <w:rPr>
          <w:rFonts w:cstheme="minorHAnsi"/>
          <w:szCs w:val="22"/>
        </w:rPr>
      </w:pPr>
      <w:r w:rsidRPr="000F28DF">
        <w:t>a</w:t>
      </w:r>
      <w:r w:rsidR="00E520D6" w:rsidRPr="000F28DF">
        <w:t>ll other non-dairy beverages must</w:t>
      </w:r>
      <w:r w:rsidR="00E520D6">
        <w:rPr>
          <w:rFonts w:cstheme="minorHAnsi"/>
          <w:szCs w:val="22"/>
        </w:rPr>
        <w:t xml:space="preserve"> calculate the</w:t>
      </w:r>
      <w:r w:rsidR="001909E1">
        <w:rPr>
          <w:rFonts w:cstheme="minorHAnsi"/>
          <w:szCs w:val="22"/>
        </w:rPr>
        <w:t>ir</w:t>
      </w:r>
      <w:r w:rsidR="00E520D6">
        <w:rPr>
          <w:rFonts w:cstheme="minorHAnsi"/>
          <w:szCs w:val="22"/>
        </w:rPr>
        <w:t xml:space="preserve"> HSR based on the HSR Calculator</w:t>
      </w:r>
      <w:r w:rsidR="001909E1">
        <w:rPr>
          <w:rFonts w:cstheme="minorHAnsi"/>
          <w:szCs w:val="22"/>
        </w:rPr>
        <w:t>.</w:t>
      </w:r>
    </w:p>
    <w:p w14:paraId="4AD699F8" w14:textId="25DD9D35" w:rsidR="001909E1" w:rsidRDefault="001909E1" w:rsidP="001909E1">
      <w:pPr>
        <w:pStyle w:val="mpcbullets1"/>
        <w:numPr>
          <w:ilvl w:val="0"/>
          <w:numId w:val="0"/>
        </w:numPr>
        <w:ind w:left="360" w:hanging="360"/>
        <w:rPr>
          <w:rFonts w:cstheme="minorHAnsi"/>
          <w:szCs w:val="22"/>
        </w:rPr>
      </w:pPr>
    </w:p>
    <w:p w14:paraId="0DEFFBCB" w14:textId="1AC84C4B" w:rsidR="00373B52" w:rsidRDefault="001909E1" w:rsidP="001909E1">
      <w:pPr>
        <w:pStyle w:val="mpcbullets1"/>
        <w:numPr>
          <w:ilvl w:val="0"/>
          <w:numId w:val="0"/>
        </w:numPr>
        <w:rPr>
          <w:rFonts w:cstheme="minorHAnsi"/>
          <w:szCs w:val="22"/>
        </w:rPr>
      </w:pPr>
      <w:r>
        <w:rPr>
          <w:rFonts w:cstheme="minorHAnsi"/>
          <w:szCs w:val="22"/>
        </w:rPr>
        <w:t>The main advantage</w:t>
      </w:r>
      <w:r w:rsidR="00373B52">
        <w:rPr>
          <w:rFonts w:cstheme="minorHAnsi"/>
          <w:szCs w:val="22"/>
        </w:rPr>
        <w:t>s</w:t>
      </w:r>
      <w:r>
        <w:rPr>
          <w:rFonts w:cstheme="minorHAnsi"/>
          <w:szCs w:val="22"/>
        </w:rPr>
        <w:t xml:space="preserve"> of this option</w:t>
      </w:r>
      <w:r w:rsidR="00373B52">
        <w:rPr>
          <w:rFonts w:cstheme="minorHAnsi"/>
          <w:szCs w:val="22"/>
        </w:rPr>
        <w:t xml:space="preserve"> are:</w:t>
      </w:r>
    </w:p>
    <w:p w14:paraId="1123A839" w14:textId="77777777" w:rsidR="00D45CC7" w:rsidRDefault="00D45CC7" w:rsidP="001909E1">
      <w:pPr>
        <w:pStyle w:val="mpcbullets1"/>
        <w:numPr>
          <w:ilvl w:val="0"/>
          <w:numId w:val="0"/>
        </w:numPr>
        <w:rPr>
          <w:rFonts w:cstheme="minorHAnsi"/>
          <w:szCs w:val="22"/>
        </w:rPr>
      </w:pPr>
    </w:p>
    <w:p w14:paraId="45C5D78B" w14:textId="77777777" w:rsidR="00E42EFB" w:rsidRPr="000F28DF" w:rsidRDefault="001909E1" w:rsidP="000F28DF">
      <w:pPr>
        <w:pStyle w:val="mpcbullets1"/>
      </w:pPr>
      <w:r>
        <w:t xml:space="preserve">it </w:t>
      </w:r>
      <w:r w:rsidRPr="000F28DF">
        <w:t>clearly positions water with no additio</w:t>
      </w:r>
      <w:r w:rsidR="00D45CC7" w:rsidRPr="000F28DF">
        <w:t xml:space="preserve">ns as the </w:t>
      </w:r>
      <w:r w:rsidR="0049313F" w:rsidRPr="000F28DF">
        <w:t>healthiest</w:t>
      </w:r>
      <w:r w:rsidR="00D45CC7" w:rsidRPr="000F28DF">
        <w:t xml:space="preserve"> option</w:t>
      </w:r>
    </w:p>
    <w:p w14:paraId="3A9BCC3F" w14:textId="2F2AD049" w:rsidR="00373B52" w:rsidRPr="000F28DF" w:rsidRDefault="00E42EFB" w:rsidP="000F28DF">
      <w:pPr>
        <w:pStyle w:val="mpcbullets1"/>
      </w:pPr>
      <w:r w:rsidRPr="000F28DF">
        <w:t xml:space="preserve">it </w:t>
      </w:r>
      <w:r w:rsidR="000F023D" w:rsidRPr="000F28DF">
        <w:t xml:space="preserve">promotes </w:t>
      </w:r>
      <w:r w:rsidR="000E3EC1" w:rsidRPr="000F28DF">
        <w:t xml:space="preserve">consumption of </w:t>
      </w:r>
      <w:r w:rsidR="00E4061C" w:rsidRPr="000F28DF">
        <w:t>still</w:t>
      </w:r>
      <w:r w:rsidR="004F1D35" w:rsidRPr="000F28DF">
        <w:t xml:space="preserve"> and carbonated flavoured water products (with no added sugars) that are </w:t>
      </w:r>
      <w:r w:rsidR="000E3EC1" w:rsidRPr="000F28DF">
        <w:t xml:space="preserve">close </w:t>
      </w:r>
      <w:r w:rsidR="000F023D" w:rsidRPr="000F28DF">
        <w:t>in nutritional profile to water</w:t>
      </w:r>
      <w:r w:rsidR="00EF605D" w:rsidRPr="000F28DF">
        <w:t xml:space="preserve"> (4.5 stars)</w:t>
      </w:r>
    </w:p>
    <w:p w14:paraId="41E4B320" w14:textId="1074CB77" w:rsidR="001909E1" w:rsidRPr="000F28DF" w:rsidRDefault="00373B52" w:rsidP="000F28DF">
      <w:pPr>
        <w:pStyle w:val="mpcbullets1"/>
      </w:pPr>
      <w:r w:rsidRPr="000F28DF">
        <w:t>i</w:t>
      </w:r>
      <w:r w:rsidR="001302F5" w:rsidRPr="000F28DF">
        <w:t xml:space="preserve">t </w:t>
      </w:r>
      <w:r w:rsidR="00C77DF0" w:rsidRPr="000F28DF">
        <w:t>acknowledges the nutritional value of fruit and vegetable juices, including where diluted with water so as to reduce their ene</w:t>
      </w:r>
      <w:r w:rsidR="000E3EC1" w:rsidRPr="000F28DF">
        <w:t>rgy and/or total sugars content</w:t>
      </w:r>
    </w:p>
    <w:p w14:paraId="334ECF90" w14:textId="3D9ECEFE" w:rsidR="000E3EC1" w:rsidRDefault="00C21A5A" w:rsidP="000F28DF">
      <w:pPr>
        <w:pStyle w:val="mpcbullets1"/>
      </w:pPr>
      <w:r w:rsidRPr="000F28DF">
        <w:t>discretionary beverages such as sports drinks, energy drinks, fruit drinks, sweetened carbonated soft drinks and cordials</w:t>
      </w:r>
      <w:r>
        <w:t>, and waters sweetened with sugar will necessarily score a lower HSR than the  healthier options of water, juices and combinations of water and juice (with no other additions).</w:t>
      </w:r>
    </w:p>
    <w:p w14:paraId="4E1C7F0A" w14:textId="3642817E" w:rsidR="001909E1" w:rsidRDefault="001909E1" w:rsidP="001909E1">
      <w:pPr>
        <w:pStyle w:val="mpcbullets1"/>
        <w:numPr>
          <w:ilvl w:val="0"/>
          <w:numId w:val="0"/>
        </w:numPr>
        <w:rPr>
          <w:rFonts w:cstheme="minorHAnsi"/>
          <w:szCs w:val="22"/>
        </w:rPr>
      </w:pPr>
    </w:p>
    <w:p w14:paraId="0DE75F58" w14:textId="1FF9576B" w:rsidR="00373B52" w:rsidRDefault="00373B52" w:rsidP="000F28DF">
      <w:pPr>
        <w:pStyle w:val="mpcbullets1"/>
        <w:keepNext/>
        <w:numPr>
          <w:ilvl w:val="0"/>
          <w:numId w:val="0"/>
        </w:numPr>
        <w:rPr>
          <w:rFonts w:cstheme="minorHAnsi"/>
          <w:szCs w:val="22"/>
        </w:rPr>
      </w:pPr>
      <w:r>
        <w:rPr>
          <w:rFonts w:cstheme="minorHAnsi"/>
          <w:szCs w:val="22"/>
        </w:rPr>
        <w:t>The main disadvantages of this option are:</w:t>
      </w:r>
    </w:p>
    <w:p w14:paraId="3B9B6D00" w14:textId="77777777" w:rsidR="00D45CC7" w:rsidRDefault="00D45CC7" w:rsidP="000F28DF">
      <w:pPr>
        <w:pStyle w:val="mpcbullets1"/>
        <w:keepNext/>
        <w:numPr>
          <w:ilvl w:val="0"/>
          <w:numId w:val="0"/>
        </w:numPr>
        <w:rPr>
          <w:rFonts w:cstheme="minorHAnsi"/>
          <w:szCs w:val="22"/>
        </w:rPr>
      </w:pPr>
    </w:p>
    <w:p w14:paraId="60330E0E" w14:textId="6CCF600F" w:rsidR="00373B52" w:rsidRPr="00D45CC7" w:rsidRDefault="00C77DF0" w:rsidP="000F28DF">
      <w:pPr>
        <w:pStyle w:val="mpcbullets1"/>
        <w:keepNext/>
        <w:rPr>
          <w:rFonts w:cstheme="minorHAnsi"/>
          <w:szCs w:val="22"/>
        </w:rPr>
      </w:pPr>
      <w:r>
        <w:rPr>
          <w:rFonts w:cstheme="minorHAnsi"/>
          <w:szCs w:val="22"/>
        </w:rPr>
        <w:t xml:space="preserve">it </w:t>
      </w:r>
      <w:r w:rsidR="00373B52">
        <w:rPr>
          <w:rFonts w:cstheme="minorHAnsi"/>
          <w:szCs w:val="22"/>
        </w:rPr>
        <w:t>introduces additional policy consideration</w:t>
      </w:r>
      <w:r w:rsidR="00D45CC7">
        <w:rPr>
          <w:rFonts w:cstheme="minorHAnsi"/>
          <w:szCs w:val="22"/>
        </w:rPr>
        <w:t xml:space="preserve">s and </w:t>
      </w:r>
      <w:r w:rsidR="00373B52" w:rsidRPr="00D45CC7">
        <w:rPr>
          <w:rFonts w:cstheme="minorHAnsi"/>
          <w:szCs w:val="22"/>
        </w:rPr>
        <w:t>adds complexity to the</w:t>
      </w:r>
      <w:r w:rsidR="000F023D">
        <w:rPr>
          <w:rFonts w:cstheme="minorHAnsi"/>
          <w:szCs w:val="22"/>
        </w:rPr>
        <w:t xml:space="preserve"> system</w:t>
      </w:r>
    </w:p>
    <w:p w14:paraId="7C0997C1" w14:textId="2801C540" w:rsidR="00373B52" w:rsidRDefault="00C21A5A" w:rsidP="00373B52">
      <w:pPr>
        <w:pStyle w:val="mpcbullets1"/>
        <w:rPr>
          <w:rFonts w:cstheme="minorHAnsi"/>
          <w:szCs w:val="22"/>
        </w:rPr>
      </w:pPr>
      <w:r>
        <w:rPr>
          <w:rFonts w:cstheme="minorHAnsi"/>
          <w:szCs w:val="22"/>
        </w:rPr>
        <w:t xml:space="preserve">it </w:t>
      </w:r>
      <w:r w:rsidR="00C77DF0">
        <w:rPr>
          <w:rFonts w:cstheme="minorHAnsi"/>
          <w:szCs w:val="22"/>
        </w:rPr>
        <w:t>reduces consistency with the NPSC</w:t>
      </w:r>
      <w:r w:rsidR="00E0209C">
        <w:rPr>
          <w:rFonts w:cstheme="minorHAnsi"/>
          <w:szCs w:val="22"/>
        </w:rPr>
        <w:t>,</w:t>
      </w:r>
      <w:r w:rsidR="00C77DF0">
        <w:rPr>
          <w:rFonts w:cstheme="minorHAnsi"/>
          <w:szCs w:val="22"/>
        </w:rPr>
        <w:t xml:space="preserve"> and removes the ability to differentiate between fruit and vegetable juice</w:t>
      </w:r>
      <w:r w:rsidR="00D45CC7">
        <w:rPr>
          <w:rFonts w:cstheme="minorHAnsi"/>
          <w:szCs w:val="22"/>
        </w:rPr>
        <w:t>s in</w:t>
      </w:r>
      <w:r w:rsidR="000E3EC1">
        <w:rPr>
          <w:rFonts w:cstheme="minorHAnsi"/>
          <w:szCs w:val="22"/>
        </w:rPr>
        <w:t xml:space="preserve"> any combination with water.</w:t>
      </w:r>
    </w:p>
    <w:p w14:paraId="06BFD968" w14:textId="7F069044" w:rsidR="00C21A5A" w:rsidRDefault="00C21A5A" w:rsidP="00C21A5A">
      <w:pPr>
        <w:pStyle w:val="mpcbullets1"/>
        <w:numPr>
          <w:ilvl w:val="0"/>
          <w:numId w:val="0"/>
        </w:numPr>
        <w:rPr>
          <w:rFonts w:cstheme="minorHAnsi"/>
          <w:szCs w:val="22"/>
        </w:rPr>
      </w:pPr>
    </w:p>
    <w:p w14:paraId="090424DB" w14:textId="4F655778" w:rsidR="00C21A5A" w:rsidRDefault="00C21A5A" w:rsidP="00C21A5A">
      <w:pPr>
        <w:pStyle w:val="mpcbullets1"/>
        <w:numPr>
          <w:ilvl w:val="0"/>
          <w:numId w:val="0"/>
        </w:numPr>
        <w:rPr>
          <w:rFonts w:cstheme="minorHAnsi"/>
          <w:szCs w:val="22"/>
        </w:rPr>
      </w:pPr>
      <w:r>
        <w:rPr>
          <w:rFonts w:cstheme="minorHAnsi"/>
          <w:szCs w:val="22"/>
        </w:rPr>
        <w:t xml:space="preserve">If this option were preferred, it could be implemented together with Option C </w:t>
      </w:r>
      <w:r w:rsidR="00672C77">
        <w:rPr>
          <w:rFonts w:cstheme="minorHAnsi"/>
          <w:szCs w:val="22"/>
        </w:rPr>
        <w:t xml:space="preserve">(stars only) </w:t>
      </w:r>
      <w:r>
        <w:rPr>
          <w:rFonts w:cstheme="minorHAnsi"/>
          <w:szCs w:val="22"/>
        </w:rPr>
        <w:t>above.</w:t>
      </w:r>
    </w:p>
    <w:p w14:paraId="207225AC" w14:textId="75395E49" w:rsidR="00F7343B" w:rsidRPr="00D40696" w:rsidRDefault="00F7343B" w:rsidP="004A2B3A">
      <w:pPr>
        <w:pStyle w:val="mpcbullets1"/>
        <w:numPr>
          <w:ilvl w:val="0"/>
          <w:numId w:val="0"/>
        </w:numPr>
        <w:rPr>
          <w:rFonts w:cstheme="minorHAnsi"/>
          <w:szCs w:val="22"/>
        </w:rPr>
      </w:pPr>
    </w:p>
    <w:p w14:paraId="04534F83" w14:textId="7686DB8D" w:rsidR="004A2B3A" w:rsidRPr="002123F0" w:rsidRDefault="004A2B3A" w:rsidP="000F28DF">
      <w:pPr>
        <w:pStyle w:val="mpcheading3"/>
      </w:pPr>
      <w:bookmarkStart w:id="74" w:name="_Toc523922870"/>
      <w:bookmarkStart w:id="75" w:name="_Toc524530345"/>
      <w:r>
        <w:t>Summary</w:t>
      </w:r>
      <w:bookmarkEnd w:id="74"/>
      <w:r w:rsidR="009A3F60">
        <w:t xml:space="preserve"> and </w:t>
      </w:r>
      <w:r w:rsidR="009A3F60" w:rsidRPr="000F28DF">
        <w:t>consultation</w:t>
      </w:r>
      <w:bookmarkEnd w:id="75"/>
    </w:p>
    <w:p w14:paraId="5EA35413" w14:textId="394A69CC" w:rsidR="004A2B3A" w:rsidRPr="00783D35" w:rsidRDefault="002C6D5D" w:rsidP="000F28DF">
      <w:pPr>
        <w:pStyle w:val="mpcNormal"/>
      </w:pPr>
      <w:r>
        <w:t>There are two key issues relating to beverages: how to ensure the appropriate rating of non-dairy beverages relative to each other; and how to ensure consumers are best supported to make choices through FoPL. At this time, we are not presenting a preferred option (or combination of options) noting the disadvantages of the options detailed.</w:t>
      </w:r>
      <w:r w:rsidR="00F077F7">
        <w:t xml:space="preserve"> W</w:t>
      </w:r>
      <w:r w:rsidR="00F039A5">
        <w:t>e</w:t>
      </w:r>
      <w:r w:rsidR="004A2B3A">
        <w:t xml:space="preserve"> seek stakeholder views regarding the value of</w:t>
      </w:r>
      <w:r w:rsidR="00F039A5">
        <w:t xml:space="preserve"> the</w:t>
      </w:r>
      <w:r w:rsidR="004A2B3A">
        <w:t xml:space="preserve"> HSR </w:t>
      </w:r>
      <w:r w:rsidR="006000E2">
        <w:t>System</w:t>
      </w:r>
      <w:r w:rsidR="007D1CF9">
        <w:t xml:space="preserve"> </w:t>
      </w:r>
      <w:r w:rsidR="004A2B3A">
        <w:t>in relation to non-dairy beverages, the impacts of the above options</w:t>
      </w:r>
      <w:r w:rsidR="00E0209C">
        <w:t>,</w:t>
      </w:r>
      <w:r w:rsidR="004A2B3A">
        <w:t xml:space="preserve"> and</w:t>
      </w:r>
      <w:r w:rsidR="004A2B3A" w:rsidRPr="001A60E2">
        <w:t xml:space="preserve"> </w:t>
      </w:r>
      <w:r w:rsidR="004A2B3A">
        <w:t xml:space="preserve">any other possible options for addressing </w:t>
      </w:r>
      <w:r w:rsidR="00F039A5">
        <w:t>the</w:t>
      </w:r>
      <w:r w:rsidR="004A2B3A">
        <w:t xml:space="preserve"> identified issues.</w:t>
      </w:r>
    </w:p>
    <w:p w14:paraId="47B5D5CD" w14:textId="77777777" w:rsidR="0090031A" w:rsidRDefault="0090031A" w:rsidP="0024269C">
      <w:pPr>
        <w:rPr>
          <w:rFonts w:eastAsiaTheme="minorHAnsi"/>
          <w:sz w:val="36"/>
          <w:szCs w:val="36"/>
        </w:rPr>
      </w:pPr>
      <w:bookmarkStart w:id="76" w:name="_Toc523922871"/>
      <w:r>
        <w:br w:type="page"/>
      </w:r>
    </w:p>
    <w:p w14:paraId="52ECD91D" w14:textId="449FF63A" w:rsidR="00455168" w:rsidRPr="00AB3873" w:rsidRDefault="00561741" w:rsidP="000F28DF">
      <w:pPr>
        <w:pStyle w:val="mpcheading1"/>
      </w:pPr>
      <w:bookmarkStart w:id="77" w:name="Chapter4"/>
      <w:bookmarkStart w:id="78" w:name="_Toc527112899"/>
      <w:bookmarkEnd w:id="77"/>
      <w:r>
        <w:lastRenderedPageBreak/>
        <w:t>Chapter 4</w:t>
      </w:r>
      <w:r w:rsidR="00455168" w:rsidRPr="00AB3873">
        <w:t xml:space="preserve"> –</w:t>
      </w:r>
      <w:r w:rsidR="00455168">
        <w:t xml:space="preserve"> </w:t>
      </w:r>
      <w:r w:rsidR="00455168" w:rsidRPr="00AB3873">
        <w:t>Risk nutrients</w:t>
      </w:r>
      <w:bookmarkEnd w:id="76"/>
      <w:bookmarkEnd w:id="78"/>
    </w:p>
    <w:p w14:paraId="5D05DEA4" w14:textId="77777777" w:rsidR="00455168" w:rsidRPr="000F28DF" w:rsidRDefault="00455168" w:rsidP="000F28DF">
      <w:pPr>
        <w:pStyle w:val="mpcheading2"/>
      </w:pPr>
      <w:bookmarkStart w:id="79" w:name="Ch4Overview"/>
      <w:bookmarkStart w:id="80" w:name="_Toc523922872"/>
      <w:bookmarkStart w:id="81" w:name="_Toc527112900"/>
      <w:bookmarkEnd w:id="79"/>
      <w:r w:rsidRPr="00AB3873">
        <w:t>Overview</w:t>
      </w:r>
      <w:bookmarkEnd w:id="80"/>
      <w:bookmarkEnd w:id="81"/>
    </w:p>
    <w:p w14:paraId="453B1C7C" w14:textId="77777777" w:rsidR="00455168" w:rsidRPr="00AB3873" w:rsidRDefault="00455168" w:rsidP="0024269C"/>
    <w:p w14:paraId="429F621A" w14:textId="08F36C66" w:rsidR="00506CA6" w:rsidRDefault="0025067E" w:rsidP="000F28DF">
      <w:pPr>
        <w:pStyle w:val="mpcNormal"/>
      </w:pPr>
      <w:r>
        <w:t>T</w:t>
      </w:r>
      <w:r w:rsidR="00455168">
        <w:t xml:space="preserve">he HSR </w:t>
      </w:r>
      <w:r w:rsidR="003C0A52">
        <w:t>Calculator</w:t>
      </w:r>
      <w:r w:rsidR="00455168" w:rsidRPr="001B671A">
        <w:t xml:space="preserve"> </w:t>
      </w:r>
      <w:r w:rsidR="00854982">
        <w:t xml:space="preserve">considers multiple components of a product to provide an overall rating of a product’s healthiness </w:t>
      </w:r>
      <w:r w:rsidR="004C6A39">
        <w:t xml:space="preserve">within a category </w:t>
      </w:r>
      <w:r w:rsidR="00854982">
        <w:t xml:space="preserve">based on its nutritional composition. The HSR Calculator considers </w:t>
      </w:r>
      <w:r w:rsidR="00B04723">
        <w:t>energy</w:t>
      </w:r>
      <w:r w:rsidR="009515D7">
        <w:t>,</w:t>
      </w:r>
      <w:r w:rsidR="00B04723">
        <w:t xml:space="preserve"> the negative </w:t>
      </w:r>
      <w:r w:rsidR="00F4785F">
        <w:t>components</w:t>
      </w:r>
      <w:r w:rsidR="00B04723">
        <w:t xml:space="preserve"> </w:t>
      </w:r>
      <w:r w:rsidR="00F4785F">
        <w:t xml:space="preserve">the </w:t>
      </w:r>
      <w:r w:rsidR="00B04723">
        <w:t>Dietary Guideline</w:t>
      </w:r>
      <w:r w:rsidR="00F4785F">
        <w:t>s</w:t>
      </w:r>
      <w:r w:rsidR="00B04723">
        <w:t xml:space="preserve"> recommend limiting </w:t>
      </w:r>
      <w:r w:rsidR="009515D7">
        <w:t>(</w:t>
      </w:r>
      <w:r w:rsidR="00B04723">
        <w:t xml:space="preserve">saturated fat, </w:t>
      </w:r>
      <w:r w:rsidR="00506CA6">
        <w:t xml:space="preserve">total </w:t>
      </w:r>
      <w:r w:rsidR="00B04723">
        <w:t>sugars</w:t>
      </w:r>
      <w:r w:rsidR="004C3055">
        <w:t xml:space="preserve"> and</w:t>
      </w:r>
      <w:r w:rsidR="00B04723">
        <w:t xml:space="preserve"> sodium</w:t>
      </w:r>
      <w:r w:rsidR="009515D7">
        <w:t>)</w:t>
      </w:r>
      <w:r w:rsidR="004C3055">
        <w:t xml:space="preserve"> and the foods Dietary Guidelines recommend eating more of </w:t>
      </w:r>
      <w:r w:rsidR="009515D7">
        <w:t>(</w:t>
      </w:r>
      <w:r w:rsidR="004C3055">
        <w:t>fruits, vegetables, nuts and legumes (FVNL) and in some instances, dietary fibre and protein</w:t>
      </w:r>
      <w:r w:rsidR="009515D7">
        <w:t>)</w:t>
      </w:r>
      <w:r w:rsidR="004C3055">
        <w:t>.</w:t>
      </w:r>
      <w:r w:rsidR="00506CA6">
        <w:t xml:space="preserve"> In the HSR Calculator,</w:t>
      </w:r>
      <w:r w:rsidR="00506CA6" w:rsidRPr="00506CA6">
        <w:t xml:space="preserve"> </w:t>
      </w:r>
      <w:r w:rsidR="00506CA6">
        <w:t>risk</w:t>
      </w:r>
      <w:r w:rsidR="004C6A39">
        <w:t>-associated</w:t>
      </w:r>
      <w:r w:rsidR="00506CA6">
        <w:t xml:space="preserve"> components (energy, saturated fat, total sugars and sodium) receive negative baseline points, while positive components (FVNL, dietary fibre and protein) receive positive modifying points. The final HSR presents a</w:t>
      </w:r>
      <w:r w:rsidR="004C6A39">
        <w:t xml:space="preserve"> rating of the product compared to other </w:t>
      </w:r>
      <w:r w:rsidR="00506CA6">
        <w:t xml:space="preserve">similar products based on the </w:t>
      </w:r>
      <w:r w:rsidR="004C6A39">
        <w:t xml:space="preserve">relative </w:t>
      </w:r>
      <w:r w:rsidR="00506CA6">
        <w:t>quantities of each of these components.</w:t>
      </w:r>
    </w:p>
    <w:p w14:paraId="3E67CF29" w14:textId="77777777" w:rsidR="00854982" w:rsidRDefault="00854982" w:rsidP="000F28DF">
      <w:pPr>
        <w:pStyle w:val="mpcNormal"/>
      </w:pPr>
    </w:p>
    <w:p w14:paraId="6437450B" w14:textId="251DC19F" w:rsidR="00A80CAC" w:rsidRDefault="00A80CAC" w:rsidP="000F28DF">
      <w:pPr>
        <w:pStyle w:val="mpcNormal"/>
      </w:pPr>
      <w:r>
        <w:t xml:space="preserve">The main issue raised by stakeholders in relation to the </w:t>
      </w:r>
      <w:r w:rsidR="00454708">
        <w:t>risk</w:t>
      </w:r>
      <w:r w:rsidR="004C6A39">
        <w:t>-associated</w:t>
      </w:r>
      <w:r w:rsidR="00454708">
        <w:t xml:space="preserve"> </w:t>
      </w:r>
      <w:r w:rsidR="00336212">
        <w:t>components of the HSR System</w:t>
      </w:r>
      <w:r w:rsidR="00D17418">
        <w:t xml:space="preserve"> relate</w:t>
      </w:r>
      <w:r w:rsidR="009515D7">
        <w:t>s</w:t>
      </w:r>
      <w:r w:rsidR="00D17418">
        <w:t xml:space="preserve"> to sugar</w:t>
      </w:r>
      <w:r w:rsidR="00336212">
        <w:t>s</w:t>
      </w:r>
      <w:r w:rsidR="009515D7">
        <w:t>,</w:t>
      </w:r>
      <w:r w:rsidR="00336212">
        <w:t xml:space="preserve"> </w:t>
      </w:r>
      <w:r w:rsidR="009515D7">
        <w:t>with a</w:t>
      </w:r>
      <w:r w:rsidR="00D17418">
        <w:t xml:space="preserve"> specific concern</w:t>
      </w:r>
      <w:r w:rsidR="009515D7">
        <w:t xml:space="preserve"> being</w:t>
      </w:r>
      <w:r>
        <w:t xml:space="preserve"> that </w:t>
      </w:r>
      <w:r w:rsidRPr="00C84707">
        <w:t xml:space="preserve">some products with relatively </w:t>
      </w:r>
      <w:r w:rsidRPr="00C84707">
        <w:rPr>
          <w:bCs/>
        </w:rPr>
        <w:t>high levels of added sugars</w:t>
      </w:r>
      <w:r w:rsidRPr="00C84707">
        <w:t xml:space="preserve"> receive i</w:t>
      </w:r>
      <w:r w:rsidRPr="00C84707">
        <w:rPr>
          <w:bCs/>
        </w:rPr>
        <w:t xml:space="preserve">nappropriately high </w:t>
      </w:r>
      <w:r>
        <w:rPr>
          <w:bCs/>
        </w:rPr>
        <w:t>HSRs</w:t>
      </w:r>
      <w:r w:rsidR="0064377B">
        <w:rPr>
          <w:bCs/>
        </w:rPr>
        <w:t>.</w:t>
      </w:r>
    </w:p>
    <w:p w14:paraId="0EC0D1FF" w14:textId="77777777" w:rsidR="00A80CAC" w:rsidRDefault="00A80CAC" w:rsidP="000F28DF">
      <w:pPr>
        <w:pStyle w:val="mpcNormal"/>
      </w:pPr>
    </w:p>
    <w:p w14:paraId="5440275F" w14:textId="7100EA19" w:rsidR="007841CA" w:rsidRPr="000F10DD" w:rsidRDefault="00A80CAC" w:rsidP="000F28DF">
      <w:pPr>
        <w:pStyle w:val="mpcNormal"/>
      </w:pPr>
      <w:r>
        <w:t xml:space="preserve">While not specifically raised by many stakeholders, analysis </w:t>
      </w:r>
      <w:r w:rsidR="00936BFB">
        <w:t xml:space="preserve">undertaken by the TAG and others </w:t>
      </w:r>
      <w:r>
        <w:t xml:space="preserve">of the alignment of the HSR </w:t>
      </w:r>
      <w:r w:rsidR="00336212">
        <w:t xml:space="preserve">System </w:t>
      </w:r>
      <w:r>
        <w:t xml:space="preserve">with the Dietary Guidelines also highlighted that </w:t>
      </w:r>
      <w:r w:rsidR="007841CA" w:rsidRPr="000F10DD">
        <w:t>the HSR Calculator does not</w:t>
      </w:r>
      <w:r>
        <w:t xml:space="preserve"> appear to</w:t>
      </w:r>
      <w:r w:rsidR="007841CA" w:rsidRPr="000F10DD">
        <w:t xml:space="preserve"> </w:t>
      </w:r>
      <w:r>
        <w:t>e</w:t>
      </w:r>
      <w:r w:rsidR="007841CA" w:rsidRPr="000F10DD">
        <w:t>ffectively discriminate between products that have significantly different sodium levels.</w:t>
      </w:r>
      <w:r w:rsidR="009515D7">
        <w:rPr>
          <w:rStyle w:val="FootnoteReference"/>
          <w:sz w:val="22"/>
          <w:szCs w:val="22"/>
        </w:rPr>
        <w:footnoteReference w:id="31"/>
      </w:r>
      <w:r w:rsidR="007841CA" w:rsidRPr="000F10DD">
        <w:t xml:space="preserve"> </w:t>
      </w:r>
      <w:r w:rsidR="00936BFB">
        <w:rPr>
          <w:rStyle w:val="FootnoteReference"/>
          <w:sz w:val="22"/>
          <w:szCs w:val="22"/>
        </w:rPr>
        <w:footnoteReference w:id="32"/>
      </w:r>
    </w:p>
    <w:p w14:paraId="01A9D7A9" w14:textId="245FFCA3" w:rsidR="00455168" w:rsidRDefault="00455168" w:rsidP="000F28DF">
      <w:pPr>
        <w:pStyle w:val="mpcNormal"/>
      </w:pPr>
    </w:p>
    <w:p w14:paraId="116BB0E4" w14:textId="403C9284" w:rsidR="007841CA" w:rsidRDefault="007841CA" w:rsidP="000F28DF">
      <w:pPr>
        <w:pStyle w:val="mpcNormal"/>
      </w:pPr>
      <w:r>
        <w:t xml:space="preserve">This Chapter examines these </w:t>
      </w:r>
      <w:r w:rsidR="00D17418">
        <w:t xml:space="preserve">two </w:t>
      </w:r>
      <w:r>
        <w:t>issues in detail.</w:t>
      </w:r>
    </w:p>
    <w:p w14:paraId="374501B4" w14:textId="77777777" w:rsidR="00455168" w:rsidRPr="00AB3873" w:rsidRDefault="00455168" w:rsidP="000F28DF">
      <w:pPr>
        <w:pStyle w:val="mpcNormal"/>
      </w:pPr>
    </w:p>
    <w:p w14:paraId="6D5F2E47" w14:textId="77777777" w:rsidR="00455168" w:rsidRPr="000F28DF" w:rsidRDefault="00455168" w:rsidP="000F28DF">
      <w:pPr>
        <w:pStyle w:val="mpcheading2"/>
      </w:pPr>
      <w:bookmarkStart w:id="82" w:name="Sugars"/>
      <w:bookmarkStart w:id="83" w:name="_Toc523922873"/>
      <w:bookmarkStart w:id="84" w:name="_Toc527112901"/>
      <w:bookmarkEnd w:id="82"/>
      <w:r w:rsidRPr="00AB3873">
        <w:t>Sugars</w:t>
      </w:r>
      <w:bookmarkEnd w:id="83"/>
      <w:bookmarkEnd w:id="84"/>
    </w:p>
    <w:p w14:paraId="777F5C77" w14:textId="77777777" w:rsidR="00455168" w:rsidRPr="00AB3873" w:rsidRDefault="00455168" w:rsidP="0024269C"/>
    <w:p w14:paraId="6C0B390A" w14:textId="77777777" w:rsidR="00455168" w:rsidRPr="000F28DF" w:rsidRDefault="00455168" w:rsidP="000F28DF">
      <w:pPr>
        <w:pStyle w:val="mpcheading3"/>
      </w:pPr>
      <w:bookmarkStart w:id="85" w:name="_Toc523922874"/>
      <w:bookmarkStart w:id="86" w:name="_Toc524530349"/>
      <w:r w:rsidRPr="00AB3873">
        <w:t>Issue</w:t>
      </w:r>
      <w:bookmarkEnd w:id="85"/>
      <w:bookmarkEnd w:id="86"/>
    </w:p>
    <w:p w14:paraId="7F2BCFCD" w14:textId="7CD72F9A" w:rsidR="00213E80" w:rsidRDefault="0090354B" w:rsidP="00455168">
      <w:pPr>
        <w:pStyle w:val="mpcbullets1"/>
        <w:numPr>
          <w:ilvl w:val="0"/>
          <w:numId w:val="0"/>
        </w:numPr>
        <w:rPr>
          <w:rFonts w:cstheme="minorHAnsi"/>
          <w:szCs w:val="22"/>
        </w:rPr>
      </w:pPr>
      <w:r>
        <w:rPr>
          <w:rFonts w:cstheme="minorHAnsi"/>
          <w:szCs w:val="22"/>
        </w:rPr>
        <w:t>While there is no universally agreed definition for ‘added sugars’, i</w:t>
      </w:r>
      <w:r w:rsidR="00213E80">
        <w:rPr>
          <w:rFonts w:cstheme="minorHAnsi"/>
          <w:szCs w:val="22"/>
        </w:rPr>
        <w:t xml:space="preserve">n Australia </w:t>
      </w:r>
      <w:r w:rsidR="00DD5CAB">
        <w:rPr>
          <w:rFonts w:cstheme="minorHAnsi"/>
          <w:szCs w:val="22"/>
        </w:rPr>
        <w:t xml:space="preserve">sugars are generally </w:t>
      </w:r>
      <w:r w:rsidR="000A227A">
        <w:rPr>
          <w:rFonts w:cstheme="minorHAnsi"/>
          <w:szCs w:val="22"/>
        </w:rPr>
        <w:t>understood</w:t>
      </w:r>
      <w:r w:rsidR="00ED0586">
        <w:rPr>
          <w:rFonts w:cstheme="minorHAnsi"/>
          <w:szCs w:val="22"/>
        </w:rPr>
        <w:t xml:space="preserve"> as follows:</w:t>
      </w:r>
    </w:p>
    <w:p w14:paraId="25D9754F" w14:textId="22760ED9" w:rsidR="00213E80" w:rsidRDefault="00213E80" w:rsidP="00455168">
      <w:pPr>
        <w:pStyle w:val="mpcbullets1"/>
        <w:numPr>
          <w:ilvl w:val="0"/>
          <w:numId w:val="0"/>
        </w:numPr>
        <w:rPr>
          <w:rFonts w:cstheme="minorHAnsi"/>
          <w:szCs w:val="22"/>
        </w:rPr>
      </w:pPr>
    </w:p>
    <w:p w14:paraId="5065FD7F" w14:textId="6278C637" w:rsidR="00DD5CAB" w:rsidRPr="000F28DF" w:rsidRDefault="00DD5CAB" w:rsidP="000F28DF">
      <w:pPr>
        <w:pStyle w:val="mpcbullets1"/>
      </w:pPr>
      <w:r>
        <w:t>‘</w:t>
      </w:r>
      <w:r w:rsidRPr="000F28DF">
        <w:t>Intrinsic sugars’ are those naturally present in the structure of products such as intact fruits, vegetables and milk.</w:t>
      </w:r>
    </w:p>
    <w:p w14:paraId="565EC866" w14:textId="59370128" w:rsidR="00213E80" w:rsidRPr="000F28DF" w:rsidRDefault="00DD5CAB" w:rsidP="000F28DF">
      <w:pPr>
        <w:pStyle w:val="mpcbullets1"/>
      </w:pPr>
      <w:r w:rsidRPr="000F28DF">
        <w:t>‘</w:t>
      </w:r>
      <w:r w:rsidR="00213E80" w:rsidRPr="000F28DF">
        <w:t>Added sugars</w:t>
      </w:r>
      <w:r w:rsidRPr="000F28DF">
        <w:t>’ refers to</w:t>
      </w:r>
      <w:r w:rsidR="00213E80" w:rsidRPr="000F28DF">
        <w:t xml:space="preserve"> dextrose, fructose, sucrose, lactose, sugar syrups and fruit</w:t>
      </w:r>
      <w:r w:rsidR="00F9022C" w:rsidRPr="000F28DF">
        <w:t xml:space="preserve"> </w:t>
      </w:r>
      <w:r w:rsidR="00213E80" w:rsidRPr="000F28DF">
        <w:t xml:space="preserve">juices added to </w:t>
      </w:r>
      <w:r w:rsidR="00E57696" w:rsidRPr="000F28DF">
        <w:t>products</w:t>
      </w:r>
      <w:r w:rsidRPr="000F28DF">
        <w:t xml:space="preserve">. </w:t>
      </w:r>
    </w:p>
    <w:p w14:paraId="3A07C25B" w14:textId="03D7FE49" w:rsidR="00213E80" w:rsidRPr="000F28DF" w:rsidRDefault="00DD5CAB" w:rsidP="000F28DF">
      <w:pPr>
        <w:pStyle w:val="mpcbullets1"/>
      </w:pPr>
      <w:r w:rsidRPr="000F28DF">
        <w:t>‘</w:t>
      </w:r>
      <w:r w:rsidR="00213E80" w:rsidRPr="000F28DF">
        <w:t>Free sugars</w:t>
      </w:r>
      <w:r w:rsidRPr="000F28DF">
        <w:t>’</w:t>
      </w:r>
      <w:r w:rsidR="00213E80" w:rsidRPr="000F28DF">
        <w:t xml:space="preserve"> </w:t>
      </w:r>
      <w:r w:rsidRPr="000F28DF">
        <w:t>include</w:t>
      </w:r>
      <w:r w:rsidR="00213E80" w:rsidRPr="000F28DF">
        <w:t xml:space="preserve"> all added sugars plus </w:t>
      </w:r>
      <w:r w:rsidRPr="000F28DF">
        <w:t>the sugars from honey, fruit and vegetable concentrates and juices.</w:t>
      </w:r>
    </w:p>
    <w:p w14:paraId="1342A2A0" w14:textId="7E6584C0" w:rsidR="00D921C6" w:rsidRDefault="00D921C6" w:rsidP="00455168">
      <w:pPr>
        <w:pStyle w:val="mpcbullets1"/>
        <w:numPr>
          <w:ilvl w:val="0"/>
          <w:numId w:val="0"/>
        </w:numPr>
        <w:rPr>
          <w:rFonts w:cstheme="minorHAnsi"/>
          <w:szCs w:val="22"/>
        </w:rPr>
      </w:pPr>
    </w:p>
    <w:p w14:paraId="17A2B589" w14:textId="4E41116E" w:rsidR="00D921C6" w:rsidRDefault="00BB1CD5" w:rsidP="00455168">
      <w:pPr>
        <w:pStyle w:val="mpcbullets1"/>
        <w:numPr>
          <w:ilvl w:val="0"/>
          <w:numId w:val="0"/>
        </w:numPr>
        <w:rPr>
          <w:rFonts w:cstheme="minorHAnsi"/>
          <w:szCs w:val="22"/>
        </w:rPr>
      </w:pPr>
      <w:r>
        <w:rPr>
          <w:rFonts w:cstheme="minorHAnsi"/>
          <w:szCs w:val="22"/>
        </w:rPr>
        <w:t>‘</w:t>
      </w:r>
      <w:r w:rsidR="00DD5CAB">
        <w:rPr>
          <w:rFonts w:cstheme="minorHAnsi"/>
          <w:szCs w:val="22"/>
        </w:rPr>
        <w:t>Total sugars</w:t>
      </w:r>
      <w:r>
        <w:rPr>
          <w:rFonts w:cstheme="minorHAnsi"/>
          <w:szCs w:val="22"/>
        </w:rPr>
        <w:t>’</w:t>
      </w:r>
      <w:r w:rsidR="00DD5CAB">
        <w:rPr>
          <w:rFonts w:cstheme="minorHAnsi"/>
          <w:szCs w:val="22"/>
        </w:rPr>
        <w:t xml:space="preserve"> include all of the above. </w:t>
      </w:r>
    </w:p>
    <w:p w14:paraId="5F7143CD" w14:textId="49C3A04D" w:rsidR="00DD5CAB" w:rsidRDefault="00DD5CAB" w:rsidP="00455168">
      <w:pPr>
        <w:pStyle w:val="mpcbullets1"/>
        <w:numPr>
          <w:ilvl w:val="0"/>
          <w:numId w:val="0"/>
        </w:numPr>
        <w:rPr>
          <w:rFonts w:cstheme="minorHAnsi"/>
          <w:szCs w:val="22"/>
        </w:rPr>
      </w:pPr>
    </w:p>
    <w:p w14:paraId="6559EAE9" w14:textId="1F5A9C94" w:rsidR="00FB10BF" w:rsidRDefault="00F573D8" w:rsidP="00E57696">
      <w:pPr>
        <w:pStyle w:val="mpcbullets1"/>
        <w:numPr>
          <w:ilvl w:val="0"/>
          <w:numId w:val="0"/>
        </w:numPr>
        <w:rPr>
          <w:rFonts w:cstheme="minorHAnsi"/>
          <w:szCs w:val="22"/>
        </w:rPr>
      </w:pPr>
      <w:r>
        <w:rPr>
          <w:rFonts w:cstheme="minorHAnsi"/>
          <w:szCs w:val="22"/>
        </w:rPr>
        <w:t>Foods can contain a combination of added and naturally occurring sugars however, foods high in added sugars may displace more nutritious foods in the diet. To prevent adverse health outcomes, Dietary Guidelines recommend limiting consumption of foods and beverages containing added sugars.</w:t>
      </w:r>
    </w:p>
    <w:p w14:paraId="1F734322" w14:textId="77777777" w:rsidR="00FB10BF" w:rsidRDefault="00FB10BF" w:rsidP="00E57696">
      <w:pPr>
        <w:pStyle w:val="mpcbullets1"/>
        <w:numPr>
          <w:ilvl w:val="0"/>
          <w:numId w:val="0"/>
        </w:numPr>
        <w:rPr>
          <w:rFonts w:cstheme="minorHAnsi"/>
          <w:szCs w:val="22"/>
        </w:rPr>
      </w:pPr>
    </w:p>
    <w:p w14:paraId="087822CC" w14:textId="5F2443F5" w:rsidR="00E57696" w:rsidRDefault="00E57696" w:rsidP="00E57696">
      <w:pPr>
        <w:pStyle w:val="mpcbullets1"/>
        <w:numPr>
          <w:ilvl w:val="0"/>
          <w:numId w:val="0"/>
        </w:numPr>
        <w:rPr>
          <w:rFonts w:cstheme="minorHAnsi"/>
          <w:szCs w:val="22"/>
        </w:rPr>
      </w:pPr>
      <w:r>
        <w:rPr>
          <w:rFonts w:cstheme="minorHAnsi"/>
          <w:szCs w:val="22"/>
        </w:rPr>
        <w:t>A</w:t>
      </w:r>
      <w:r w:rsidR="00DD5CAB">
        <w:rPr>
          <w:rFonts w:cstheme="minorHAnsi"/>
          <w:szCs w:val="22"/>
        </w:rPr>
        <w:t xml:space="preserve">dded sugars and free sugars are chemically </w:t>
      </w:r>
      <w:r w:rsidR="008A7C51">
        <w:rPr>
          <w:rFonts w:cstheme="minorHAnsi"/>
          <w:szCs w:val="22"/>
        </w:rPr>
        <w:t>the same as</w:t>
      </w:r>
      <w:r w:rsidR="00DD5CAB">
        <w:rPr>
          <w:rFonts w:cstheme="minorHAnsi"/>
          <w:szCs w:val="22"/>
        </w:rPr>
        <w:t xml:space="preserve"> intrinsic sugars, </w:t>
      </w:r>
      <w:r w:rsidRPr="00E57696">
        <w:rPr>
          <w:rFonts w:cstheme="minorHAnsi"/>
          <w:szCs w:val="22"/>
        </w:rPr>
        <w:t xml:space="preserve">which makes it difficult to distinguish between added and naturally occurring sugars using analytical methods. There is no standard method for analysing </w:t>
      </w:r>
      <w:r w:rsidR="00F4785F">
        <w:rPr>
          <w:rFonts w:cstheme="minorHAnsi"/>
          <w:szCs w:val="22"/>
        </w:rPr>
        <w:t xml:space="preserve">the </w:t>
      </w:r>
      <w:r w:rsidRPr="00E57696">
        <w:rPr>
          <w:rFonts w:cstheme="minorHAnsi"/>
          <w:szCs w:val="22"/>
        </w:rPr>
        <w:t>added sugar</w:t>
      </w:r>
      <w:r w:rsidR="00A77F0E">
        <w:rPr>
          <w:rFonts w:cstheme="minorHAnsi"/>
          <w:szCs w:val="22"/>
        </w:rPr>
        <w:t>s</w:t>
      </w:r>
      <w:r w:rsidRPr="00E57696">
        <w:rPr>
          <w:rFonts w:cstheme="minorHAnsi"/>
          <w:szCs w:val="22"/>
        </w:rPr>
        <w:t xml:space="preserve"> content of foods and beverages</w:t>
      </w:r>
      <w:r w:rsidR="00ED0586">
        <w:rPr>
          <w:rFonts w:cstheme="minorHAnsi"/>
          <w:szCs w:val="22"/>
        </w:rPr>
        <w:t>,</w:t>
      </w:r>
      <w:r w:rsidR="00A9704F">
        <w:rPr>
          <w:rFonts w:cstheme="minorHAnsi"/>
          <w:szCs w:val="22"/>
        </w:rPr>
        <w:t xml:space="preserve"> and </w:t>
      </w:r>
      <w:r w:rsidR="0090354B">
        <w:rPr>
          <w:rFonts w:cstheme="minorHAnsi"/>
          <w:szCs w:val="22"/>
        </w:rPr>
        <w:t xml:space="preserve">no requirement to include </w:t>
      </w:r>
      <w:r w:rsidR="0090354B">
        <w:rPr>
          <w:rFonts w:cstheme="minorHAnsi"/>
          <w:szCs w:val="22"/>
        </w:rPr>
        <w:lastRenderedPageBreak/>
        <w:t>added sugars in the NIP</w:t>
      </w:r>
      <w:r w:rsidR="00E25B82">
        <w:rPr>
          <w:rFonts w:cstheme="minorHAnsi"/>
          <w:szCs w:val="22"/>
        </w:rPr>
        <w:t xml:space="preserve"> </w:t>
      </w:r>
      <w:r w:rsidR="00E95248">
        <w:rPr>
          <w:rFonts w:cstheme="minorHAnsi"/>
          <w:szCs w:val="22"/>
        </w:rPr>
        <w:t>(</w:t>
      </w:r>
      <w:r w:rsidR="00E25B82">
        <w:rPr>
          <w:rFonts w:cstheme="minorHAnsi"/>
          <w:szCs w:val="22"/>
        </w:rPr>
        <w:t>noting the</w:t>
      </w:r>
      <w:r w:rsidR="00E95248">
        <w:rPr>
          <w:rFonts w:cstheme="minorHAnsi"/>
          <w:szCs w:val="22"/>
        </w:rPr>
        <w:t xml:space="preserve">re is work underway to </w:t>
      </w:r>
      <w:r w:rsidR="00E95248" w:rsidRPr="00037A83">
        <w:rPr>
          <w:rFonts w:cstheme="minorHAnsi"/>
          <w:szCs w:val="22"/>
        </w:rPr>
        <w:t>explor</w:t>
      </w:r>
      <w:r w:rsidR="00E95248">
        <w:rPr>
          <w:rFonts w:cstheme="minorHAnsi"/>
          <w:szCs w:val="22"/>
        </w:rPr>
        <w:t>e</w:t>
      </w:r>
      <w:r w:rsidR="00E95248" w:rsidRPr="00037A83">
        <w:rPr>
          <w:rFonts w:cstheme="minorHAnsi"/>
          <w:szCs w:val="22"/>
        </w:rPr>
        <w:t xml:space="preserve"> options for labelling of sugars on packaged foods and drinks for sale in Australia and New Zealand</w:t>
      </w:r>
      <w:r w:rsidR="00E95248">
        <w:rPr>
          <w:rFonts w:cstheme="minorHAnsi"/>
          <w:szCs w:val="22"/>
        </w:rPr>
        <w:t>).</w:t>
      </w:r>
      <w:r w:rsidR="00E95248" w:rsidRPr="00037A83">
        <w:rPr>
          <w:vertAlign w:val="superscript"/>
        </w:rPr>
        <w:footnoteReference w:id="33"/>
      </w:r>
    </w:p>
    <w:p w14:paraId="7D695C90" w14:textId="77777777" w:rsidR="00A01669" w:rsidRDefault="00A01669" w:rsidP="00455168">
      <w:pPr>
        <w:pStyle w:val="mpcbullets1"/>
        <w:numPr>
          <w:ilvl w:val="0"/>
          <w:numId w:val="0"/>
        </w:numPr>
        <w:rPr>
          <w:rFonts w:cstheme="minorHAnsi"/>
          <w:szCs w:val="22"/>
        </w:rPr>
      </w:pPr>
    </w:p>
    <w:p w14:paraId="05981F8F" w14:textId="2CB8D1C9" w:rsidR="00455168" w:rsidRDefault="002B4F9A" w:rsidP="00455168">
      <w:pPr>
        <w:pStyle w:val="mpcbullets1"/>
        <w:numPr>
          <w:ilvl w:val="0"/>
          <w:numId w:val="0"/>
        </w:numPr>
        <w:rPr>
          <w:bCs/>
          <w:szCs w:val="22"/>
        </w:rPr>
      </w:pPr>
      <w:r>
        <w:rPr>
          <w:rFonts w:cstheme="minorHAnsi"/>
          <w:szCs w:val="22"/>
        </w:rPr>
        <w:t>T</w:t>
      </w:r>
      <w:r w:rsidR="00455168" w:rsidRPr="00EF5CC4">
        <w:rPr>
          <w:rFonts w:cstheme="minorHAnsi"/>
          <w:szCs w:val="22"/>
        </w:rPr>
        <w:t xml:space="preserve">he </w:t>
      </w:r>
      <w:r w:rsidR="00455168">
        <w:rPr>
          <w:rFonts w:cstheme="minorHAnsi"/>
          <w:szCs w:val="22"/>
        </w:rPr>
        <w:t xml:space="preserve">most significant </w:t>
      </w:r>
      <w:r w:rsidR="00632105">
        <w:rPr>
          <w:rFonts w:cstheme="minorHAnsi"/>
          <w:szCs w:val="22"/>
        </w:rPr>
        <w:t xml:space="preserve">area of stakeholder </w:t>
      </w:r>
      <w:r w:rsidR="00455168" w:rsidRPr="00EF5CC4">
        <w:rPr>
          <w:rFonts w:cstheme="minorHAnsi"/>
          <w:szCs w:val="22"/>
        </w:rPr>
        <w:t>con</w:t>
      </w:r>
      <w:r w:rsidR="00632105">
        <w:rPr>
          <w:rFonts w:cstheme="minorHAnsi"/>
          <w:szCs w:val="22"/>
        </w:rPr>
        <w:t xml:space="preserve">cern </w:t>
      </w:r>
      <w:r>
        <w:rPr>
          <w:rFonts w:cstheme="minorHAnsi"/>
          <w:szCs w:val="22"/>
        </w:rPr>
        <w:t>with respect to the HSR</w:t>
      </w:r>
      <w:r w:rsidR="007B21C1">
        <w:rPr>
          <w:rFonts w:cstheme="minorHAnsi"/>
          <w:szCs w:val="22"/>
        </w:rPr>
        <w:t xml:space="preserve"> Calculator</w:t>
      </w:r>
      <w:r>
        <w:rPr>
          <w:rFonts w:cstheme="minorHAnsi"/>
          <w:szCs w:val="22"/>
        </w:rPr>
        <w:t xml:space="preserve"> </w:t>
      </w:r>
      <w:r w:rsidR="00632105">
        <w:rPr>
          <w:rFonts w:cstheme="minorHAnsi"/>
          <w:szCs w:val="22"/>
        </w:rPr>
        <w:t>relates to</w:t>
      </w:r>
      <w:r w:rsidR="00455168" w:rsidRPr="00EF5CC4">
        <w:rPr>
          <w:rFonts w:cstheme="minorHAnsi"/>
          <w:szCs w:val="22"/>
        </w:rPr>
        <w:t xml:space="preserve"> </w:t>
      </w:r>
      <w:r w:rsidR="00455168">
        <w:rPr>
          <w:rFonts w:cstheme="minorHAnsi"/>
          <w:szCs w:val="22"/>
        </w:rPr>
        <w:t>t</w:t>
      </w:r>
      <w:r w:rsidR="00455168" w:rsidRPr="00EF5CC4">
        <w:rPr>
          <w:rFonts w:cstheme="minorHAnsi"/>
          <w:szCs w:val="22"/>
        </w:rPr>
        <w:t>h</w:t>
      </w:r>
      <w:r w:rsidR="00455168">
        <w:rPr>
          <w:rFonts w:cstheme="minorHAnsi"/>
          <w:szCs w:val="22"/>
        </w:rPr>
        <w:t>e tre</w:t>
      </w:r>
      <w:r w:rsidR="00455168" w:rsidRPr="00EF5CC4">
        <w:rPr>
          <w:rFonts w:cstheme="minorHAnsi"/>
          <w:szCs w:val="22"/>
        </w:rPr>
        <w:t>atment of sugar</w:t>
      </w:r>
      <w:r w:rsidR="00A01669">
        <w:rPr>
          <w:rFonts w:cstheme="minorHAnsi"/>
          <w:szCs w:val="22"/>
        </w:rPr>
        <w:t>s</w:t>
      </w:r>
      <w:r w:rsidR="00555017">
        <w:rPr>
          <w:rFonts w:cstheme="minorHAnsi"/>
          <w:szCs w:val="22"/>
        </w:rPr>
        <w:t xml:space="preserve">, with concerns raised around the </w:t>
      </w:r>
      <w:r w:rsidR="00632105">
        <w:rPr>
          <w:rFonts w:cstheme="minorHAnsi"/>
          <w:szCs w:val="22"/>
        </w:rPr>
        <w:t xml:space="preserve">perceived </w:t>
      </w:r>
      <w:r w:rsidR="00455168" w:rsidRPr="00EF5CC4">
        <w:rPr>
          <w:szCs w:val="22"/>
        </w:rPr>
        <w:t>i</w:t>
      </w:r>
      <w:r w:rsidR="00455168" w:rsidRPr="00EF5CC4">
        <w:rPr>
          <w:bCs/>
          <w:szCs w:val="22"/>
        </w:rPr>
        <w:t xml:space="preserve">nappropriately high </w:t>
      </w:r>
      <w:r w:rsidR="00555017">
        <w:rPr>
          <w:bCs/>
          <w:szCs w:val="22"/>
        </w:rPr>
        <w:t>HSRs</w:t>
      </w:r>
      <w:r w:rsidR="00455168" w:rsidRPr="00EF5CC4">
        <w:rPr>
          <w:bCs/>
          <w:szCs w:val="22"/>
        </w:rPr>
        <w:t xml:space="preserve"> </w:t>
      </w:r>
      <w:r w:rsidR="00555017">
        <w:rPr>
          <w:bCs/>
          <w:szCs w:val="22"/>
        </w:rPr>
        <w:t>of some products</w:t>
      </w:r>
      <w:r w:rsidR="00455168" w:rsidRPr="00EF5CC4">
        <w:rPr>
          <w:bCs/>
          <w:szCs w:val="22"/>
        </w:rPr>
        <w:t xml:space="preserve"> with relatively high levels of added sugar</w:t>
      </w:r>
      <w:r w:rsidR="00555017">
        <w:rPr>
          <w:bCs/>
          <w:szCs w:val="22"/>
        </w:rPr>
        <w:t>s</w:t>
      </w:r>
      <w:r w:rsidR="00455168" w:rsidRPr="00EF5CC4">
        <w:rPr>
          <w:bCs/>
          <w:szCs w:val="22"/>
        </w:rPr>
        <w:t>. Stakeholders referred to:</w:t>
      </w:r>
      <w:r w:rsidR="001F4551">
        <w:rPr>
          <w:bCs/>
          <w:szCs w:val="22"/>
        </w:rPr>
        <w:t xml:space="preserve"> </w:t>
      </w:r>
    </w:p>
    <w:p w14:paraId="37FF6C38" w14:textId="77777777" w:rsidR="00455168" w:rsidRPr="00EF5CC4" w:rsidRDefault="00455168" w:rsidP="00455168">
      <w:pPr>
        <w:pStyle w:val="mpcbullets1"/>
        <w:numPr>
          <w:ilvl w:val="0"/>
          <w:numId w:val="0"/>
        </w:numPr>
        <w:rPr>
          <w:rFonts w:cstheme="minorHAnsi"/>
          <w:szCs w:val="22"/>
        </w:rPr>
      </w:pPr>
    </w:p>
    <w:p w14:paraId="5CE76DD1" w14:textId="4954C50A" w:rsidR="00455168" w:rsidRPr="00E4061C" w:rsidRDefault="00455168" w:rsidP="000F28DF">
      <w:pPr>
        <w:pStyle w:val="mpcbullets1"/>
      </w:pPr>
      <w:r w:rsidRPr="00E4061C">
        <w:t>certain bre</w:t>
      </w:r>
      <w:r w:rsidR="00A01669" w:rsidRPr="00E4061C">
        <w:t xml:space="preserve">akfast cereals with </w:t>
      </w:r>
      <w:r w:rsidR="002B4F9A" w:rsidRPr="00E4061C">
        <w:t>‘</w:t>
      </w:r>
      <w:r w:rsidR="00A01669" w:rsidRPr="00E4061C">
        <w:t>high</w:t>
      </w:r>
      <w:r w:rsidR="002B4F9A" w:rsidRPr="00E4061C">
        <w:t>’</w:t>
      </w:r>
      <w:r w:rsidR="00A01669" w:rsidRPr="00E4061C">
        <w:t xml:space="preserve"> </w:t>
      </w:r>
      <w:r w:rsidR="00A9704F" w:rsidRPr="00E4061C">
        <w:t>levels</w:t>
      </w:r>
      <w:r w:rsidR="00A01669" w:rsidRPr="00E4061C">
        <w:t xml:space="preserve"> of added sugars </w:t>
      </w:r>
      <w:r w:rsidRPr="00E4061C">
        <w:t xml:space="preserve">obtaining </w:t>
      </w:r>
      <w:r w:rsidR="00A01669" w:rsidRPr="00E4061C">
        <w:t>a</w:t>
      </w:r>
      <w:r w:rsidR="00ED0586" w:rsidRPr="00E4061C">
        <w:t>n</w:t>
      </w:r>
      <w:r w:rsidR="00A01669" w:rsidRPr="00E4061C">
        <w:t xml:space="preserve"> HSR</w:t>
      </w:r>
      <w:r w:rsidR="00632105" w:rsidRPr="00E4061C">
        <w:t xml:space="preserve"> of 3.5</w:t>
      </w:r>
      <w:r w:rsidRPr="00E4061C">
        <w:t xml:space="preserve"> or more </w:t>
      </w:r>
    </w:p>
    <w:p w14:paraId="356CE416" w14:textId="4400C33E" w:rsidR="00455168" w:rsidRPr="00E4061C" w:rsidRDefault="00455168" w:rsidP="000F28DF">
      <w:pPr>
        <w:pStyle w:val="mpcbullets1"/>
      </w:pPr>
      <w:r w:rsidRPr="00E4061C">
        <w:t xml:space="preserve">the </w:t>
      </w:r>
      <w:r w:rsidR="00A01669" w:rsidRPr="00E4061C">
        <w:t xml:space="preserve">HSR </w:t>
      </w:r>
      <w:r w:rsidR="006000E2" w:rsidRPr="00E4061C">
        <w:t>System</w:t>
      </w:r>
      <w:r w:rsidRPr="00E4061C">
        <w:t xml:space="preserve"> failing to adequately distinguish between added sugars and intrinsic sugars (noting that </w:t>
      </w:r>
      <w:r w:rsidR="00555017" w:rsidRPr="00E4061C">
        <w:t xml:space="preserve">Dietary Guidelines recommend limiting intake of </w:t>
      </w:r>
      <w:r w:rsidRPr="00E4061C">
        <w:t>added sugars)</w:t>
      </w:r>
    </w:p>
    <w:p w14:paraId="2D76EED1" w14:textId="50C0D24C" w:rsidR="00455168" w:rsidRPr="00E4061C" w:rsidRDefault="00455168" w:rsidP="000F28DF">
      <w:pPr>
        <w:pStyle w:val="mpcbullets1"/>
      </w:pPr>
      <w:r w:rsidRPr="00E4061C">
        <w:t xml:space="preserve">the World Health Organization (WHO) Guidelines that strongly recommend </w:t>
      </w:r>
      <w:r w:rsidR="006B2F45" w:rsidRPr="00E4061C">
        <w:t>reduced intake of free sugars</w:t>
      </w:r>
      <w:r w:rsidRPr="00E4061C">
        <w:t xml:space="preserve"> throughout the life course</w:t>
      </w:r>
      <w:r w:rsidR="006B2F45" w:rsidRPr="00E4061C">
        <w:rPr>
          <w:rStyle w:val="FootnoteReference"/>
          <w:sz w:val="22"/>
          <w:szCs w:val="22"/>
        </w:rPr>
        <w:footnoteReference w:id="34"/>
      </w:r>
      <w:r w:rsidR="00555017" w:rsidRPr="00E4061C">
        <w:t>.</w:t>
      </w:r>
    </w:p>
    <w:p w14:paraId="2E6B76F4" w14:textId="77777777" w:rsidR="00455168" w:rsidRDefault="00455168" w:rsidP="0024269C">
      <w:pPr>
        <w:pStyle w:val="mpcbullets2"/>
        <w:numPr>
          <w:ilvl w:val="0"/>
          <w:numId w:val="0"/>
        </w:numPr>
      </w:pPr>
    </w:p>
    <w:p w14:paraId="68947169" w14:textId="13D65E16" w:rsidR="001646C7" w:rsidRDefault="002B4F9A" w:rsidP="0024269C">
      <w:pPr>
        <w:pStyle w:val="mpcbullets2"/>
        <w:numPr>
          <w:ilvl w:val="0"/>
          <w:numId w:val="0"/>
        </w:numPr>
      </w:pPr>
      <w:r>
        <w:t xml:space="preserve">The extent to which there is a ‘problem’ with </w:t>
      </w:r>
      <w:r w:rsidR="007B21C1">
        <w:t xml:space="preserve">the treatment of </w:t>
      </w:r>
      <w:r>
        <w:t>sugar</w:t>
      </w:r>
      <w:r w:rsidR="007B21C1">
        <w:t>s in the HSR Calculator</w:t>
      </w:r>
      <w:r>
        <w:t xml:space="preserve"> is contested, with different stakeholders having different views about the </w:t>
      </w:r>
      <w:r w:rsidR="00F05E86">
        <w:t xml:space="preserve">appropriateness of the </w:t>
      </w:r>
      <w:r w:rsidR="007B21C1">
        <w:t>HSRs</w:t>
      </w:r>
      <w:r>
        <w:t xml:space="preserve"> </w:t>
      </w:r>
      <w:r w:rsidR="007B21C1">
        <w:t>of</w:t>
      </w:r>
      <w:r>
        <w:t xml:space="preserve"> different types of food</w:t>
      </w:r>
      <w:r w:rsidR="007B21C1">
        <w:t>s</w:t>
      </w:r>
      <w:r>
        <w:t>.</w:t>
      </w:r>
      <w:r w:rsidR="001646C7">
        <w:t xml:space="preserve"> </w:t>
      </w:r>
      <w:r>
        <w:t xml:space="preserve">From our perspective, </w:t>
      </w:r>
      <w:r w:rsidR="00F05E86">
        <w:t xml:space="preserve">it is not possible to scientifically establish </w:t>
      </w:r>
      <w:r w:rsidR="001646C7">
        <w:t>t</w:t>
      </w:r>
      <w:r w:rsidR="00F05E86">
        <w:t>h</w:t>
      </w:r>
      <w:r w:rsidR="001646C7">
        <w:t>e</w:t>
      </w:r>
      <w:r w:rsidR="00F05E86">
        <w:t xml:space="preserve"> param</w:t>
      </w:r>
      <w:r w:rsidR="001646C7">
        <w:t>e</w:t>
      </w:r>
      <w:r w:rsidR="00F05E86">
        <w:t>ters of the ‘</w:t>
      </w:r>
      <w:r w:rsidR="001646C7">
        <w:t>su</w:t>
      </w:r>
      <w:r w:rsidR="00F05E86">
        <w:t>g</w:t>
      </w:r>
      <w:r w:rsidR="001646C7">
        <w:t>ar</w:t>
      </w:r>
      <w:r w:rsidR="007B21C1">
        <w:t>s</w:t>
      </w:r>
      <w:r w:rsidR="00F05E86">
        <w:t xml:space="preserve"> problem’. However, </w:t>
      </w:r>
      <w:r w:rsidR="001646C7">
        <w:t xml:space="preserve">we consider it </w:t>
      </w:r>
      <w:r w:rsidR="00F4785F">
        <w:t xml:space="preserve">is </w:t>
      </w:r>
      <w:r w:rsidR="001646C7">
        <w:t>desirable to:</w:t>
      </w:r>
    </w:p>
    <w:p w14:paraId="472C84CE" w14:textId="77777777" w:rsidR="007B21C1" w:rsidRDefault="007B21C1" w:rsidP="0024269C">
      <w:pPr>
        <w:pStyle w:val="mpcbullets2"/>
        <w:numPr>
          <w:ilvl w:val="0"/>
          <w:numId w:val="0"/>
        </w:numPr>
      </w:pPr>
    </w:p>
    <w:p w14:paraId="4F883307" w14:textId="7ACD9280" w:rsidR="001646C7" w:rsidRDefault="001646C7" w:rsidP="000F28DF">
      <w:pPr>
        <w:pStyle w:val="mpcbullets1"/>
      </w:pPr>
      <w:r w:rsidRPr="001646C7">
        <w:t xml:space="preserve">better align the HSR System with Dietary Guidelines (including to better discern </w:t>
      </w:r>
      <w:r w:rsidR="00F4785F">
        <w:t>FFG</w:t>
      </w:r>
      <w:r w:rsidRPr="001646C7">
        <w:t xml:space="preserve"> and discretionary foods)</w:t>
      </w:r>
      <w:r>
        <w:t xml:space="preserve"> wherever possible</w:t>
      </w:r>
    </w:p>
    <w:p w14:paraId="1FCF878D" w14:textId="0D500166" w:rsidR="001646C7" w:rsidRPr="001646C7" w:rsidRDefault="001646C7" w:rsidP="000F28DF">
      <w:pPr>
        <w:pStyle w:val="mpcbullets1"/>
      </w:pPr>
      <w:r w:rsidRPr="001646C7">
        <w:t xml:space="preserve">address some of the consumer </w:t>
      </w:r>
      <w:r w:rsidR="002B4F9A" w:rsidRPr="001646C7">
        <w:t>perception</w:t>
      </w:r>
      <w:r w:rsidR="00F05E86" w:rsidRPr="001646C7">
        <w:t>s</w:t>
      </w:r>
      <w:r w:rsidR="002B4F9A" w:rsidRPr="001646C7">
        <w:t xml:space="preserve"> </w:t>
      </w:r>
      <w:r w:rsidRPr="001646C7">
        <w:t>around th</w:t>
      </w:r>
      <w:r>
        <w:t>e</w:t>
      </w:r>
      <w:r w:rsidRPr="001646C7">
        <w:t xml:space="preserve"> HSR </w:t>
      </w:r>
      <w:r w:rsidR="007B21C1">
        <w:t>Calculator’s</w:t>
      </w:r>
      <w:r>
        <w:t xml:space="preserve"> treat</w:t>
      </w:r>
      <w:r w:rsidRPr="001646C7">
        <w:t>ment of sugar</w:t>
      </w:r>
      <w:r w:rsidR="00ED0586">
        <w:t>s</w:t>
      </w:r>
      <w:r w:rsidRPr="001646C7">
        <w:t xml:space="preserve"> </w:t>
      </w:r>
      <w:r>
        <w:t xml:space="preserve">(where these </w:t>
      </w:r>
      <w:r w:rsidR="002B4F9A" w:rsidRPr="001646C7">
        <w:t xml:space="preserve">risk </w:t>
      </w:r>
      <w:r w:rsidR="00F05E86" w:rsidRPr="001646C7">
        <w:t xml:space="preserve">undermining </w:t>
      </w:r>
      <w:r w:rsidR="002B4F9A" w:rsidRPr="001646C7">
        <w:t>confidence in the HSR</w:t>
      </w:r>
      <w:r w:rsidRPr="001646C7">
        <w:t xml:space="preserve"> </w:t>
      </w:r>
      <w:r w:rsidR="007B21C1">
        <w:t>S</w:t>
      </w:r>
      <w:r w:rsidRPr="001646C7">
        <w:t>ystem</w:t>
      </w:r>
      <w:r>
        <w:t>)</w:t>
      </w:r>
    </w:p>
    <w:p w14:paraId="39820E4F" w14:textId="3D73CA55" w:rsidR="001646C7" w:rsidRPr="001646C7" w:rsidRDefault="001646C7" w:rsidP="000F28DF">
      <w:pPr>
        <w:pStyle w:val="mpcbullets1"/>
      </w:pPr>
      <w:r w:rsidRPr="00A66312">
        <w:t>further</w:t>
      </w:r>
      <w:r w:rsidRPr="00F4620B">
        <w:t xml:space="preserve"> encourage refor</w:t>
      </w:r>
      <w:r w:rsidRPr="002B3C8B">
        <w:t xml:space="preserve">mulation </w:t>
      </w:r>
      <w:r w:rsidRPr="00EF0775">
        <w:t xml:space="preserve">of foods to reduce </w:t>
      </w:r>
      <w:r w:rsidR="007B21C1">
        <w:t>added</w:t>
      </w:r>
      <w:r w:rsidRPr="00E32DB5">
        <w:t xml:space="preserve"> sugars</w:t>
      </w:r>
      <w:r>
        <w:t>.</w:t>
      </w:r>
    </w:p>
    <w:p w14:paraId="0F137C64" w14:textId="7997B535" w:rsidR="001646C7" w:rsidRDefault="001646C7" w:rsidP="0024269C">
      <w:pPr>
        <w:pStyle w:val="mpcbullets2"/>
        <w:numPr>
          <w:ilvl w:val="0"/>
          <w:numId w:val="0"/>
        </w:numPr>
      </w:pPr>
    </w:p>
    <w:p w14:paraId="7CEF3087" w14:textId="62A0A8FF" w:rsidR="00C26059" w:rsidRDefault="001646C7" w:rsidP="0024269C">
      <w:pPr>
        <w:pStyle w:val="mpcbullets2"/>
        <w:numPr>
          <w:ilvl w:val="0"/>
          <w:numId w:val="0"/>
        </w:numPr>
      </w:pPr>
      <w:r>
        <w:t xml:space="preserve">To this end, a </w:t>
      </w:r>
      <w:r w:rsidR="00107576">
        <w:t xml:space="preserve">range of options have been </w:t>
      </w:r>
      <w:r w:rsidR="007553E8">
        <w:t>considered</w:t>
      </w:r>
      <w:r w:rsidR="00107576">
        <w:t xml:space="preserve"> </w:t>
      </w:r>
      <w:r>
        <w:t>including</w:t>
      </w:r>
      <w:r w:rsidR="00C26059">
        <w:t>:</w:t>
      </w:r>
    </w:p>
    <w:p w14:paraId="63D0FA14" w14:textId="77777777" w:rsidR="00C26059" w:rsidRDefault="00C26059" w:rsidP="0024269C">
      <w:pPr>
        <w:pStyle w:val="mpcbullets2"/>
        <w:numPr>
          <w:ilvl w:val="0"/>
          <w:numId w:val="0"/>
        </w:numPr>
      </w:pPr>
    </w:p>
    <w:p w14:paraId="25073FF4" w14:textId="0FE5F99B" w:rsidR="00455168" w:rsidRPr="00EF5CC4" w:rsidRDefault="00C26059" w:rsidP="000F28DF">
      <w:pPr>
        <w:pStyle w:val="mpcbullets1"/>
      </w:pPr>
      <w:r>
        <w:t xml:space="preserve">replacing </w:t>
      </w:r>
      <w:r w:rsidR="00A177AD">
        <w:t xml:space="preserve">total sugars </w:t>
      </w:r>
      <w:r w:rsidR="00273920">
        <w:t>with added sugars</w:t>
      </w:r>
      <w:r w:rsidR="00273920" w:rsidRPr="00EF5CC4">
        <w:t xml:space="preserve"> </w:t>
      </w:r>
      <w:r w:rsidR="00A177AD">
        <w:t xml:space="preserve">in </w:t>
      </w:r>
      <w:r w:rsidR="00273920">
        <w:t xml:space="preserve">the HSR Calculator </w:t>
      </w:r>
    </w:p>
    <w:p w14:paraId="222D276B" w14:textId="5EBF2846" w:rsidR="00455168" w:rsidRPr="00EF5CC4" w:rsidRDefault="00455168" w:rsidP="000F28DF">
      <w:pPr>
        <w:pStyle w:val="mpcbullets1"/>
      </w:pPr>
      <w:r w:rsidRPr="00EF5CC4">
        <w:t xml:space="preserve">harsher penalisation of </w:t>
      </w:r>
      <w:r w:rsidR="00273920">
        <w:t>total sugars in the HSR C</w:t>
      </w:r>
      <w:r w:rsidRPr="00EF5CC4">
        <w:t xml:space="preserve">alculator (across </w:t>
      </w:r>
      <w:r w:rsidR="00273920">
        <w:t xml:space="preserve">some or all HSR </w:t>
      </w:r>
      <w:r w:rsidR="00DA5604">
        <w:t>c</w:t>
      </w:r>
      <w:r w:rsidRPr="00EF5CC4">
        <w:t>ategories)</w:t>
      </w:r>
    </w:p>
    <w:p w14:paraId="394DFB0E" w14:textId="6D32AAE7" w:rsidR="00455168" w:rsidRPr="00EF5CC4" w:rsidRDefault="00455168" w:rsidP="000F28DF">
      <w:pPr>
        <w:pStyle w:val="mpcbullets1"/>
      </w:pPr>
      <w:r w:rsidRPr="00EF5CC4">
        <w:t xml:space="preserve">creating ‘caps’ within categories such that </w:t>
      </w:r>
      <w:r w:rsidR="00107576">
        <w:t xml:space="preserve">certain </w:t>
      </w:r>
      <w:r w:rsidR="00273920">
        <w:t xml:space="preserve">products with total sugars above a threshold </w:t>
      </w:r>
      <w:r w:rsidRPr="00EF5CC4">
        <w:t xml:space="preserve">could not score </w:t>
      </w:r>
      <w:r w:rsidR="0034199C">
        <w:t>a</w:t>
      </w:r>
      <w:r w:rsidR="007E6515">
        <w:t>n</w:t>
      </w:r>
      <w:r w:rsidR="0034199C">
        <w:t xml:space="preserve"> HSR </w:t>
      </w:r>
      <w:r w:rsidR="00DA5604">
        <w:t>&gt;</w:t>
      </w:r>
      <w:r w:rsidR="0090354B">
        <w:t xml:space="preserve"> 3</w:t>
      </w:r>
      <w:r w:rsidRPr="00EF5CC4">
        <w:t>, or</w:t>
      </w:r>
    </w:p>
    <w:p w14:paraId="7FA510FD" w14:textId="62156737" w:rsidR="00455168" w:rsidRPr="00EF5CC4" w:rsidRDefault="00455168" w:rsidP="000F28DF">
      <w:pPr>
        <w:pStyle w:val="mpcbullets1"/>
      </w:pPr>
      <w:r w:rsidRPr="00EF5CC4">
        <w:t>where</w:t>
      </w:r>
      <w:r w:rsidR="00107576">
        <w:t xml:space="preserve"> a product’s</w:t>
      </w:r>
      <w:r w:rsidRPr="00EF5CC4">
        <w:t xml:space="preserve"> </w:t>
      </w:r>
      <w:r w:rsidR="00107576">
        <w:t>total sugars exceed a threshold</w:t>
      </w:r>
      <w:r w:rsidRPr="00EF5CC4">
        <w:t xml:space="preserve">, </w:t>
      </w:r>
      <w:r w:rsidR="00107576">
        <w:t xml:space="preserve">it may not score any </w:t>
      </w:r>
      <w:r w:rsidRPr="00EF5CC4">
        <w:t>modifying points.</w:t>
      </w:r>
    </w:p>
    <w:p w14:paraId="7A89AFFE" w14:textId="77777777" w:rsidR="00455168" w:rsidRDefault="00455168" w:rsidP="00455168">
      <w:pPr>
        <w:pStyle w:val="mpcbullets1"/>
        <w:numPr>
          <w:ilvl w:val="0"/>
          <w:numId w:val="0"/>
        </w:numPr>
        <w:ind w:left="360" w:hanging="360"/>
        <w:rPr>
          <w:rFonts w:cstheme="minorHAnsi"/>
          <w:szCs w:val="22"/>
        </w:rPr>
      </w:pPr>
    </w:p>
    <w:p w14:paraId="0F31ADAB" w14:textId="7C4BAF33" w:rsidR="00455168" w:rsidRDefault="00455168" w:rsidP="00455168">
      <w:pPr>
        <w:pStyle w:val="mpcbullets1"/>
        <w:numPr>
          <w:ilvl w:val="0"/>
          <w:numId w:val="0"/>
        </w:numPr>
        <w:ind w:left="360" w:hanging="360"/>
        <w:rPr>
          <w:rFonts w:cstheme="minorHAnsi"/>
          <w:szCs w:val="22"/>
        </w:rPr>
      </w:pPr>
      <w:r>
        <w:rPr>
          <w:rFonts w:cstheme="minorHAnsi"/>
          <w:szCs w:val="22"/>
        </w:rPr>
        <w:t>To inform the discussion, modelling was sought from</w:t>
      </w:r>
      <w:r w:rsidR="0090354B">
        <w:rPr>
          <w:rFonts w:cstheme="minorHAnsi"/>
          <w:szCs w:val="22"/>
        </w:rPr>
        <w:t xml:space="preserve"> the</w:t>
      </w:r>
      <w:r>
        <w:rPr>
          <w:rFonts w:cstheme="minorHAnsi"/>
          <w:szCs w:val="22"/>
        </w:rPr>
        <w:t xml:space="preserve"> TAG regarding these different options.</w:t>
      </w:r>
    </w:p>
    <w:p w14:paraId="7FE03F7A" w14:textId="77777777" w:rsidR="00455168" w:rsidRDefault="00455168" w:rsidP="00455168">
      <w:pPr>
        <w:pStyle w:val="mpcbullets1"/>
        <w:numPr>
          <w:ilvl w:val="0"/>
          <w:numId w:val="0"/>
        </w:numPr>
        <w:rPr>
          <w:rFonts w:cstheme="minorHAnsi"/>
          <w:szCs w:val="22"/>
        </w:rPr>
      </w:pPr>
    </w:p>
    <w:p w14:paraId="25A5556E" w14:textId="35DB4680" w:rsidR="00455168" w:rsidRPr="004F43AF" w:rsidRDefault="00455168" w:rsidP="000E0D23">
      <w:pPr>
        <w:pStyle w:val="mpcbullets1"/>
        <w:numPr>
          <w:ilvl w:val="0"/>
          <w:numId w:val="0"/>
        </w:numPr>
        <w:rPr>
          <w:bCs/>
          <w:szCs w:val="22"/>
        </w:rPr>
      </w:pPr>
      <w:r>
        <w:rPr>
          <w:rFonts w:cstheme="minorHAnsi"/>
          <w:szCs w:val="22"/>
        </w:rPr>
        <w:t xml:space="preserve">In </w:t>
      </w:r>
      <w:r w:rsidR="000E0D23">
        <w:rPr>
          <w:rFonts w:cstheme="minorHAnsi"/>
          <w:szCs w:val="22"/>
        </w:rPr>
        <w:t xml:space="preserve">considering these options, </w:t>
      </w:r>
      <w:r>
        <w:rPr>
          <w:rFonts w:cstheme="minorHAnsi"/>
          <w:szCs w:val="22"/>
        </w:rPr>
        <w:t xml:space="preserve">we sought to identify whether </w:t>
      </w:r>
      <w:r w:rsidR="000E0D23">
        <w:rPr>
          <w:rFonts w:cstheme="minorHAnsi"/>
          <w:szCs w:val="22"/>
        </w:rPr>
        <w:t xml:space="preserve">they improve alignment of the HSR </w:t>
      </w:r>
      <w:r w:rsidR="006000E2">
        <w:rPr>
          <w:rFonts w:cstheme="minorHAnsi"/>
          <w:szCs w:val="22"/>
        </w:rPr>
        <w:t>System</w:t>
      </w:r>
      <w:r w:rsidR="000E0D23">
        <w:rPr>
          <w:rFonts w:cstheme="minorHAnsi"/>
          <w:szCs w:val="22"/>
        </w:rPr>
        <w:t xml:space="preserve"> with Dietary Guidelines to better </w:t>
      </w:r>
      <w:r w:rsidR="000E0D23" w:rsidRPr="004F43AF">
        <w:rPr>
          <w:bCs/>
          <w:szCs w:val="22"/>
        </w:rPr>
        <w:t xml:space="preserve">discern </w:t>
      </w:r>
      <w:r w:rsidR="00F4785F">
        <w:rPr>
          <w:bCs/>
          <w:szCs w:val="22"/>
        </w:rPr>
        <w:t>FFG</w:t>
      </w:r>
      <w:r w:rsidR="000E0D23" w:rsidRPr="004F43AF">
        <w:rPr>
          <w:bCs/>
          <w:szCs w:val="22"/>
        </w:rPr>
        <w:t xml:space="preserve"> and discretionary foods</w:t>
      </w:r>
      <w:r w:rsidR="00ED0586">
        <w:rPr>
          <w:bCs/>
          <w:szCs w:val="22"/>
        </w:rPr>
        <w:t>,</w:t>
      </w:r>
      <w:r w:rsidR="000E0D23">
        <w:rPr>
          <w:bCs/>
          <w:szCs w:val="22"/>
        </w:rPr>
        <w:t xml:space="preserve"> and whether they might address the product types of concern to consumers, </w:t>
      </w:r>
      <w:r w:rsidR="00F4785F">
        <w:rPr>
          <w:bCs/>
          <w:szCs w:val="22"/>
        </w:rPr>
        <w:t>such as</w:t>
      </w:r>
      <w:r w:rsidR="000E0D23">
        <w:rPr>
          <w:bCs/>
          <w:szCs w:val="22"/>
        </w:rPr>
        <w:t xml:space="preserve"> </w:t>
      </w:r>
      <w:r w:rsidR="000E0D23" w:rsidRPr="004F43AF">
        <w:rPr>
          <w:bCs/>
          <w:szCs w:val="22"/>
        </w:rPr>
        <w:t>breakfast cereals</w:t>
      </w:r>
      <w:r w:rsidR="0090354B">
        <w:rPr>
          <w:bCs/>
          <w:szCs w:val="22"/>
        </w:rPr>
        <w:t xml:space="preserve"> and</w:t>
      </w:r>
      <w:r w:rsidR="000E0D23" w:rsidRPr="004F43AF">
        <w:rPr>
          <w:bCs/>
          <w:szCs w:val="22"/>
        </w:rPr>
        <w:t xml:space="preserve"> </w:t>
      </w:r>
      <w:r w:rsidR="00F07827">
        <w:rPr>
          <w:rFonts w:cstheme="minorHAnsi"/>
          <w:szCs w:val="22"/>
        </w:rPr>
        <w:t>ready to eat foods</w:t>
      </w:r>
      <w:r w:rsidR="00F07827" w:rsidRPr="004F43AF">
        <w:rPr>
          <w:bCs/>
          <w:szCs w:val="22"/>
        </w:rPr>
        <w:t xml:space="preserve"> </w:t>
      </w:r>
      <w:r w:rsidR="00F07827">
        <w:rPr>
          <w:bCs/>
          <w:szCs w:val="22"/>
        </w:rPr>
        <w:t xml:space="preserve">such as </w:t>
      </w:r>
      <w:r w:rsidR="000E0D23" w:rsidRPr="004F43AF">
        <w:rPr>
          <w:bCs/>
          <w:szCs w:val="22"/>
        </w:rPr>
        <w:t>muesli bars and sweetened yoghurts.</w:t>
      </w:r>
      <w:r w:rsidRPr="004F43AF">
        <w:rPr>
          <w:bCs/>
          <w:szCs w:val="22"/>
        </w:rPr>
        <w:t xml:space="preserve"> </w:t>
      </w:r>
    </w:p>
    <w:p w14:paraId="0189A959" w14:textId="77777777" w:rsidR="00455168" w:rsidRPr="00AB3873" w:rsidRDefault="00455168" w:rsidP="0024269C"/>
    <w:p w14:paraId="193278C7" w14:textId="77777777" w:rsidR="00455168" w:rsidRPr="00AB3873" w:rsidRDefault="00455168" w:rsidP="000F28DF">
      <w:pPr>
        <w:pStyle w:val="mpcheading3"/>
      </w:pPr>
      <w:bookmarkStart w:id="87" w:name="_Toc523922875"/>
      <w:bookmarkStart w:id="88" w:name="_Toc524530350"/>
      <w:r w:rsidRPr="00AB3873">
        <w:t>Considerations</w:t>
      </w:r>
      <w:bookmarkEnd w:id="87"/>
      <w:bookmarkEnd w:id="88"/>
    </w:p>
    <w:tbl>
      <w:tblPr>
        <w:tblStyle w:val="TableGrid"/>
        <w:tblW w:w="9781" w:type="dxa"/>
        <w:tblInd w:w="-5" w:type="dxa"/>
        <w:tblLook w:val="04A0" w:firstRow="1" w:lastRow="0" w:firstColumn="1" w:lastColumn="0" w:noHBand="0" w:noVBand="1"/>
        <w:tblCaption w:val="Considerations - sugars"/>
        <w:tblDescription w:val="This table outlines the relevant information to be considered in determining options to address this issue."/>
      </w:tblPr>
      <w:tblGrid>
        <w:gridCol w:w="1357"/>
        <w:gridCol w:w="8424"/>
      </w:tblGrid>
      <w:tr w:rsidR="00455168" w:rsidRPr="00AB3873" w14:paraId="094AE54E" w14:textId="77777777" w:rsidTr="00D37907">
        <w:trPr>
          <w:tblHeader/>
        </w:trPr>
        <w:tc>
          <w:tcPr>
            <w:tcW w:w="1357" w:type="dxa"/>
            <w:shd w:val="clear" w:color="auto" w:fill="DEEAF6" w:themeFill="accent5" w:themeFillTint="33"/>
          </w:tcPr>
          <w:p w14:paraId="40501BAC" w14:textId="27387BA0" w:rsidR="00455168" w:rsidRPr="00AB3873" w:rsidRDefault="00455168" w:rsidP="0024269C">
            <w:bookmarkStart w:id="89" w:name="RowTitle3"/>
            <w:bookmarkEnd w:id="89"/>
            <w:r w:rsidRPr="00AB3873">
              <w:lastRenderedPageBreak/>
              <w:t>Current tre</w:t>
            </w:r>
            <w:bookmarkStart w:id="90" w:name="Table_5_sugars"/>
            <w:bookmarkEnd w:id="90"/>
            <w:r w:rsidRPr="00AB3873">
              <w:t xml:space="preserve">atment in the HSR </w:t>
            </w:r>
            <w:r w:rsidR="006000E2">
              <w:t>System</w:t>
            </w:r>
          </w:p>
        </w:tc>
        <w:tc>
          <w:tcPr>
            <w:tcW w:w="8424" w:type="dxa"/>
          </w:tcPr>
          <w:p w14:paraId="5C426F5C"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 xml:space="preserve">Total sugars are a risk nutrient in the HSR Calculator. </w:t>
            </w:r>
          </w:p>
          <w:p w14:paraId="7BB704B8"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For Categories 1, 1D, 2 and 2D:</w:t>
            </w:r>
          </w:p>
          <w:p w14:paraId="373D010D" w14:textId="4F540C95" w:rsidR="00455168" w:rsidRPr="00AB3873" w:rsidRDefault="00DA5604" w:rsidP="00B91EBF">
            <w:pPr>
              <w:pStyle w:val="mpcbullets1"/>
              <w:numPr>
                <w:ilvl w:val="2"/>
                <w:numId w:val="5"/>
              </w:numPr>
              <w:spacing w:before="120" w:after="120"/>
              <w:ind w:left="597" w:hanging="283"/>
              <w:contextualSpacing/>
              <w:rPr>
                <w:rFonts w:cstheme="minorHAnsi"/>
                <w:szCs w:val="22"/>
              </w:rPr>
            </w:pPr>
            <w:r>
              <w:rPr>
                <w:rFonts w:cstheme="minorHAnsi"/>
                <w:szCs w:val="22"/>
              </w:rPr>
              <w:t>A product with &gt; 5g</w:t>
            </w:r>
            <w:r w:rsidR="00455168" w:rsidRPr="00AB3873">
              <w:rPr>
                <w:rFonts w:cstheme="minorHAnsi"/>
                <w:szCs w:val="22"/>
              </w:rPr>
              <w:t xml:space="preserve"> total sugars </w:t>
            </w:r>
            <w:r>
              <w:rPr>
                <w:rFonts w:cstheme="minorHAnsi"/>
                <w:szCs w:val="22"/>
              </w:rPr>
              <w:t xml:space="preserve">per 100g </w:t>
            </w:r>
            <w:r w:rsidR="00455168" w:rsidRPr="00AB3873">
              <w:rPr>
                <w:rFonts w:cstheme="minorHAnsi"/>
                <w:szCs w:val="22"/>
              </w:rPr>
              <w:t>scores baseline points (starting from 1).</w:t>
            </w:r>
          </w:p>
          <w:p w14:paraId="3A5E3374" w14:textId="343D4069"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99</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 xml:space="preserve">scores a maximum of 22 baseline points. </w:t>
            </w:r>
          </w:p>
          <w:p w14:paraId="4AE8B9EA"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For Categories 3 and 3D:</w:t>
            </w:r>
          </w:p>
          <w:p w14:paraId="5D311881" w14:textId="5DD4D025"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5</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scores baseline points (starting from 1).</w:t>
            </w:r>
          </w:p>
          <w:p w14:paraId="3E923012" w14:textId="06578B7C" w:rsidR="00F05E86" w:rsidRPr="001206CC"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45</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scores a maximum of 10 baseline points.</w:t>
            </w:r>
          </w:p>
        </w:tc>
      </w:tr>
      <w:tr w:rsidR="00455168" w:rsidRPr="00AB3873" w14:paraId="45F06BE5" w14:textId="77777777" w:rsidTr="00E135D0">
        <w:tc>
          <w:tcPr>
            <w:tcW w:w="1357" w:type="dxa"/>
            <w:shd w:val="clear" w:color="auto" w:fill="DEEAF6" w:themeFill="accent5" w:themeFillTint="33"/>
          </w:tcPr>
          <w:p w14:paraId="19046EA1" w14:textId="77777777" w:rsidR="00455168" w:rsidRPr="00AB3873" w:rsidRDefault="00455168" w:rsidP="0024269C">
            <w:r w:rsidRPr="00AB3873">
              <w:t>Dietary Guidelines</w:t>
            </w:r>
          </w:p>
        </w:tc>
        <w:tc>
          <w:tcPr>
            <w:tcW w:w="8424" w:type="dxa"/>
          </w:tcPr>
          <w:p w14:paraId="5A14C671" w14:textId="77777777" w:rsidR="00455168" w:rsidRPr="00030B89"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 xml:space="preserve">Dietary Guidelines recommend limiting intake of added sugars. </w:t>
            </w:r>
          </w:p>
          <w:p w14:paraId="2C9E09F3" w14:textId="7A5585CF" w:rsidR="00F05E86" w:rsidRPr="001206CC"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WHO Guidelines recommend reducing free sugars intake to less than 10% of total daily energy intake.</w:t>
            </w:r>
          </w:p>
        </w:tc>
      </w:tr>
      <w:tr w:rsidR="00455168" w:rsidRPr="00AB3873" w14:paraId="541A3EDB" w14:textId="77777777" w:rsidTr="00E135D0">
        <w:tc>
          <w:tcPr>
            <w:tcW w:w="1357" w:type="dxa"/>
            <w:shd w:val="clear" w:color="auto" w:fill="DEEAF6" w:themeFill="accent5" w:themeFillTint="33"/>
          </w:tcPr>
          <w:p w14:paraId="33680802" w14:textId="77777777" w:rsidR="00455168" w:rsidRPr="00AB3873" w:rsidRDefault="00455168" w:rsidP="0024269C">
            <w:r w:rsidRPr="00AB3873">
              <w:t>AHS List</w:t>
            </w:r>
          </w:p>
        </w:tc>
        <w:tc>
          <w:tcPr>
            <w:tcW w:w="8424" w:type="dxa"/>
          </w:tcPr>
          <w:p w14:paraId="39080A12" w14:textId="73E256D2" w:rsidR="00455168" w:rsidRPr="00AB3873" w:rsidRDefault="00455168" w:rsidP="00B91EBF">
            <w:pPr>
              <w:pStyle w:val="mpcbullets1"/>
              <w:numPr>
                <w:ilvl w:val="0"/>
                <w:numId w:val="6"/>
              </w:numPr>
              <w:spacing w:before="120" w:after="120"/>
              <w:contextualSpacing/>
              <w:rPr>
                <w:rFonts w:cstheme="minorHAnsi"/>
                <w:szCs w:val="22"/>
              </w:rPr>
            </w:pPr>
            <w:r>
              <w:rPr>
                <w:rFonts w:cstheme="minorHAnsi"/>
                <w:szCs w:val="22"/>
              </w:rPr>
              <w:t xml:space="preserve">Noting the challenges inherent in the AHS classifications (discussed </w:t>
            </w:r>
            <w:r w:rsidRPr="008D3072">
              <w:rPr>
                <w:rFonts w:cstheme="minorHAnsi"/>
                <w:szCs w:val="22"/>
              </w:rPr>
              <w:t xml:space="preserve">in </w:t>
            </w:r>
            <w:r w:rsidR="008D3072" w:rsidRPr="008D3072">
              <w:rPr>
                <w:rFonts w:cstheme="minorHAnsi"/>
                <w:szCs w:val="22"/>
              </w:rPr>
              <w:t>Chapter 2</w:t>
            </w:r>
            <w:r w:rsidRPr="008D3072">
              <w:rPr>
                <w:rFonts w:cstheme="minorHAnsi"/>
                <w:szCs w:val="22"/>
              </w:rPr>
              <w:t>), the</w:t>
            </w:r>
            <w:r w:rsidRPr="00AB3873">
              <w:rPr>
                <w:rFonts w:cstheme="minorHAnsi"/>
                <w:szCs w:val="22"/>
              </w:rPr>
              <w:t xml:space="preserve"> AHS </w:t>
            </w:r>
            <w:r w:rsidR="007869A0">
              <w:rPr>
                <w:rFonts w:cstheme="minorHAnsi"/>
                <w:szCs w:val="22"/>
              </w:rPr>
              <w:t xml:space="preserve">Discretionary Foods </w:t>
            </w:r>
            <w:r w:rsidRPr="00AB3873">
              <w:rPr>
                <w:rFonts w:cstheme="minorHAnsi"/>
                <w:szCs w:val="22"/>
              </w:rPr>
              <w:t>List categorises:</w:t>
            </w:r>
          </w:p>
          <w:p w14:paraId="04772A1C" w14:textId="6ADC2102"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breakfast cereals with no added fruit with total sugars </w:t>
            </w:r>
            <w:r w:rsidR="007C22AA">
              <w:rPr>
                <w:rFonts w:cstheme="minorHAnsi"/>
                <w:szCs w:val="22"/>
              </w:rPr>
              <w:sym w:font="Symbol" w:char="F0A3"/>
            </w:r>
            <w:r w:rsidR="007C22AA">
              <w:rPr>
                <w:rFonts w:cstheme="minorHAnsi"/>
                <w:szCs w:val="22"/>
              </w:rPr>
              <w:t xml:space="preserve"> </w:t>
            </w:r>
            <w:r w:rsidRPr="00AB3873">
              <w:rPr>
                <w:rFonts w:cstheme="minorHAnsi"/>
                <w:szCs w:val="22"/>
              </w:rPr>
              <w:t>30% as FFG</w:t>
            </w:r>
          </w:p>
          <w:p w14:paraId="6A973848" w14:textId="19EB30E8"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breakfast cereals with added fruit with total sugars </w:t>
            </w:r>
            <w:r w:rsidR="007C22AA">
              <w:rPr>
                <w:rFonts w:cstheme="minorHAnsi"/>
                <w:szCs w:val="22"/>
              </w:rPr>
              <w:sym w:font="Symbol" w:char="F0A3"/>
            </w:r>
            <w:r w:rsidR="007C22AA">
              <w:rPr>
                <w:rFonts w:cstheme="minorHAnsi"/>
                <w:szCs w:val="22"/>
              </w:rPr>
              <w:t xml:space="preserve"> </w:t>
            </w:r>
            <w:r w:rsidRPr="00AB3873">
              <w:rPr>
                <w:rFonts w:cstheme="minorHAnsi"/>
                <w:szCs w:val="22"/>
              </w:rPr>
              <w:t>35% as FFG</w:t>
            </w:r>
          </w:p>
          <w:p w14:paraId="12B20FF1" w14:textId="1AAD00C6" w:rsidR="00F05E86" w:rsidRPr="00A93F3C" w:rsidRDefault="00ED0586" w:rsidP="00B91EBF">
            <w:pPr>
              <w:pStyle w:val="mpcbullets1"/>
              <w:numPr>
                <w:ilvl w:val="2"/>
                <w:numId w:val="5"/>
              </w:numPr>
              <w:spacing w:before="120" w:after="120"/>
              <w:ind w:left="597" w:hanging="283"/>
              <w:contextualSpacing/>
              <w:rPr>
                <w:rFonts w:cstheme="minorHAnsi"/>
                <w:szCs w:val="22"/>
              </w:rPr>
            </w:pPr>
            <w:r>
              <w:rPr>
                <w:rFonts w:cstheme="minorHAnsi"/>
                <w:szCs w:val="22"/>
              </w:rPr>
              <w:t>flavoured, sugar-</w:t>
            </w:r>
            <w:r w:rsidR="00455168" w:rsidRPr="00AB3873">
              <w:rPr>
                <w:rFonts w:cstheme="minorHAnsi"/>
                <w:szCs w:val="22"/>
              </w:rPr>
              <w:t>sweetened yoghurts and milks as FFG</w:t>
            </w:r>
            <w:r w:rsidR="00455168">
              <w:rPr>
                <w:rFonts w:cstheme="minorHAnsi"/>
                <w:szCs w:val="22"/>
              </w:rPr>
              <w:t xml:space="preserve"> (regardless of the </w:t>
            </w:r>
            <w:r w:rsidR="00E37206">
              <w:rPr>
                <w:rFonts w:cstheme="minorHAnsi"/>
                <w:szCs w:val="22"/>
              </w:rPr>
              <w:t xml:space="preserve">total </w:t>
            </w:r>
            <w:r w:rsidR="00455168">
              <w:rPr>
                <w:rFonts w:cstheme="minorHAnsi"/>
                <w:szCs w:val="22"/>
              </w:rPr>
              <w:t>sugars</w:t>
            </w:r>
            <w:r w:rsidR="00E37206">
              <w:rPr>
                <w:rFonts w:cstheme="minorHAnsi"/>
                <w:szCs w:val="22"/>
              </w:rPr>
              <w:t xml:space="preserve"> content</w:t>
            </w:r>
            <w:r w:rsidR="00455168">
              <w:rPr>
                <w:rFonts w:cstheme="minorHAnsi"/>
                <w:szCs w:val="22"/>
              </w:rPr>
              <w:t>)</w:t>
            </w:r>
            <w:r w:rsidR="00B30B14">
              <w:rPr>
                <w:rFonts w:cstheme="minorHAnsi"/>
                <w:szCs w:val="22"/>
              </w:rPr>
              <w:t>.</w:t>
            </w:r>
          </w:p>
        </w:tc>
      </w:tr>
      <w:tr w:rsidR="00455168" w:rsidRPr="00AB3873" w14:paraId="3E2A9D07" w14:textId="77777777" w:rsidTr="00E135D0">
        <w:tc>
          <w:tcPr>
            <w:tcW w:w="1357" w:type="dxa"/>
            <w:shd w:val="clear" w:color="auto" w:fill="DEEAF6" w:themeFill="accent5" w:themeFillTint="33"/>
          </w:tcPr>
          <w:p w14:paraId="0DEA3B24" w14:textId="77777777" w:rsidR="00455168" w:rsidRPr="00AB3873" w:rsidRDefault="00455168" w:rsidP="0024269C">
            <w:r w:rsidRPr="00AB3873">
              <w:t>Intake</w:t>
            </w:r>
          </w:p>
        </w:tc>
        <w:tc>
          <w:tcPr>
            <w:tcW w:w="8424" w:type="dxa"/>
          </w:tcPr>
          <w:p w14:paraId="6DEB96E9" w14:textId="182AD674" w:rsidR="00455168" w:rsidRPr="00030B89"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Over half of Australians and New Zealanders exceed WHO recommendations on sugar</w:t>
            </w:r>
            <w:r w:rsidR="00E4061C" w:rsidRPr="00030B89">
              <w:rPr>
                <w:rFonts w:cstheme="minorHAnsi"/>
                <w:szCs w:val="22"/>
              </w:rPr>
              <w:t>s</w:t>
            </w:r>
            <w:r w:rsidRPr="00030B89">
              <w:rPr>
                <w:rFonts w:cstheme="minorHAnsi"/>
                <w:szCs w:val="22"/>
              </w:rPr>
              <w:t xml:space="preserve"> intake</w:t>
            </w:r>
            <w:r w:rsidR="00030B89">
              <w:rPr>
                <w:rFonts w:cstheme="minorHAnsi"/>
                <w:szCs w:val="22"/>
              </w:rPr>
              <w:t xml:space="preserve"> (AHS)</w:t>
            </w:r>
            <w:r w:rsidRPr="00030B89">
              <w:rPr>
                <w:rFonts w:cstheme="minorHAnsi"/>
                <w:szCs w:val="22"/>
              </w:rPr>
              <w:t>.</w:t>
            </w:r>
          </w:p>
          <w:p w14:paraId="0BCDF10F" w14:textId="656688DB" w:rsidR="00030B89" w:rsidRDefault="00030B89" w:rsidP="00B91EBF">
            <w:pPr>
              <w:pStyle w:val="mpcbullets1"/>
              <w:numPr>
                <w:ilvl w:val="0"/>
                <w:numId w:val="6"/>
              </w:numPr>
              <w:spacing w:before="120" w:after="120"/>
              <w:contextualSpacing/>
              <w:rPr>
                <w:rFonts w:cstheme="minorHAnsi"/>
                <w:szCs w:val="22"/>
              </w:rPr>
            </w:pPr>
            <w:r>
              <w:rPr>
                <w:rFonts w:cstheme="minorHAnsi"/>
                <w:szCs w:val="22"/>
              </w:rPr>
              <w:t xml:space="preserve">The majority (81%) of free sugars </w:t>
            </w:r>
            <w:r w:rsidRPr="00030B89">
              <w:rPr>
                <w:rFonts w:cstheme="minorHAnsi"/>
                <w:szCs w:val="22"/>
              </w:rPr>
              <w:t xml:space="preserve">in Australia </w:t>
            </w:r>
            <w:r>
              <w:rPr>
                <w:rFonts w:cstheme="minorHAnsi"/>
                <w:szCs w:val="22"/>
              </w:rPr>
              <w:t>are consumed from discretionary foods and beverages (AHS).</w:t>
            </w:r>
          </w:p>
          <w:p w14:paraId="020969C0" w14:textId="235EED9A" w:rsidR="004A63F5" w:rsidRPr="001206CC"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The largest proportion of free sugars intake in Australia comes from beverages (52%), followed by cake</w:t>
            </w:r>
            <w:r w:rsidR="007869A0" w:rsidRPr="00030B89">
              <w:rPr>
                <w:rFonts w:cstheme="minorHAnsi"/>
                <w:szCs w:val="22"/>
              </w:rPr>
              <w:t>-</w:t>
            </w:r>
            <w:r w:rsidRPr="00030B89">
              <w:rPr>
                <w:rFonts w:cstheme="minorHAnsi"/>
                <w:szCs w:val="22"/>
              </w:rPr>
              <w:t>like desserts (8.7%), sugar products and dishes (7.6%), chocolate and chocolate-based confectionery (5%), sweet biscuits (4%), frozen milk products (4%), breakfast cereals (3%), other confectionery (2.7%), flavoured milk (2.3%) and yoghurts (1.8%)</w:t>
            </w:r>
            <w:r w:rsidR="001B3AA1" w:rsidRPr="00030B89">
              <w:rPr>
                <w:rFonts w:cstheme="minorHAnsi"/>
                <w:szCs w:val="22"/>
              </w:rPr>
              <w:t xml:space="preserve"> (AHS)</w:t>
            </w:r>
            <w:r w:rsidRPr="00030B89">
              <w:rPr>
                <w:rFonts w:cstheme="minorHAnsi"/>
                <w:szCs w:val="22"/>
              </w:rPr>
              <w:t>.</w:t>
            </w:r>
          </w:p>
        </w:tc>
      </w:tr>
      <w:tr w:rsidR="00455168" w:rsidRPr="00AB3873" w14:paraId="7245AF1E" w14:textId="77777777" w:rsidTr="00E135D0">
        <w:tc>
          <w:tcPr>
            <w:tcW w:w="1357" w:type="dxa"/>
            <w:shd w:val="clear" w:color="auto" w:fill="DEEAF6" w:themeFill="accent5" w:themeFillTint="33"/>
          </w:tcPr>
          <w:p w14:paraId="03D6EAD1" w14:textId="77777777" w:rsidR="00455168" w:rsidRPr="00AB3873" w:rsidRDefault="00455168" w:rsidP="0024269C">
            <w:r w:rsidRPr="00AB3873">
              <w:t>HSR statistics</w:t>
            </w:r>
          </w:p>
        </w:tc>
        <w:tc>
          <w:tcPr>
            <w:tcW w:w="8424" w:type="dxa"/>
          </w:tcPr>
          <w:p w14:paraId="20D8D4D1" w14:textId="32BC4E37" w:rsidR="00A9494B" w:rsidRPr="00AB3873" w:rsidRDefault="00A9494B" w:rsidP="00B91EBF">
            <w:pPr>
              <w:pStyle w:val="mpcbullets1"/>
              <w:numPr>
                <w:ilvl w:val="0"/>
                <w:numId w:val="6"/>
              </w:numPr>
              <w:spacing w:before="120" w:after="120"/>
              <w:contextualSpacing/>
              <w:rPr>
                <w:rFonts w:cstheme="minorHAnsi"/>
                <w:szCs w:val="22"/>
              </w:rPr>
            </w:pPr>
            <w:r w:rsidRPr="00AB3873">
              <w:rPr>
                <w:rFonts w:cstheme="minorHAnsi"/>
                <w:szCs w:val="22"/>
              </w:rPr>
              <w:t xml:space="preserve">The Dietary Guidelines do not provide a definition for ‘high’ sugars. However, the UK </w:t>
            </w:r>
            <w:r>
              <w:rPr>
                <w:rFonts w:cstheme="minorHAnsi"/>
                <w:szCs w:val="22"/>
              </w:rPr>
              <w:t>Traffic Light System defines high total sugars as &gt; 22.5g/100g</w:t>
            </w:r>
            <w:r w:rsidR="00F744EE">
              <w:rPr>
                <w:rFonts w:cstheme="minorHAnsi"/>
                <w:szCs w:val="22"/>
              </w:rPr>
              <w:t xml:space="preserve"> (22.5%)</w:t>
            </w:r>
            <w:r>
              <w:rPr>
                <w:rStyle w:val="FootnoteReference"/>
                <w:rFonts w:cstheme="minorHAnsi"/>
                <w:szCs w:val="22"/>
              </w:rPr>
              <w:footnoteReference w:id="35"/>
            </w:r>
            <w:r w:rsidRPr="00AB3873">
              <w:rPr>
                <w:rFonts w:cstheme="minorHAnsi"/>
                <w:szCs w:val="22"/>
              </w:rPr>
              <w:t>.</w:t>
            </w:r>
          </w:p>
          <w:p w14:paraId="66FB132A" w14:textId="4228143B" w:rsidR="00455168" w:rsidRDefault="00455168" w:rsidP="00B91EBF">
            <w:pPr>
              <w:pStyle w:val="mpcbullets1"/>
              <w:numPr>
                <w:ilvl w:val="0"/>
                <w:numId w:val="6"/>
              </w:numPr>
              <w:spacing w:before="120" w:after="120"/>
              <w:contextualSpacing/>
              <w:rPr>
                <w:rFonts w:cstheme="minorHAnsi"/>
                <w:szCs w:val="22"/>
              </w:rPr>
            </w:pPr>
            <w:r>
              <w:rPr>
                <w:rFonts w:cstheme="minorHAnsi"/>
                <w:szCs w:val="22"/>
              </w:rPr>
              <w:t>In the TAG database:</w:t>
            </w:r>
          </w:p>
          <w:p w14:paraId="491B17C9" w14:textId="7A035A28" w:rsidR="00455168" w:rsidRDefault="00455168" w:rsidP="00B91EBF">
            <w:pPr>
              <w:pStyle w:val="mpcbullets1"/>
              <w:numPr>
                <w:ilvl w:val="2"/>
                <w:numId w:val="5"/>
              </w:numPr>
              <w:spacing w:before="120" w:after="120"/>
              <w:ind w:left="597" w:hanging="283"/>
              <w:contextualSpacing/>
              <w:rPr>
                <w:rFonts w:cstheme="minorHAnsi"/>
                <w:szCs w:val="22"/>
              </w:rPr>
            </w:pPr>
            <w:r>
              <w:rPr>
                <w:rFonts w:cstheme="minorHAnsi"/>
                <w:szCs w:val="22"/>
              </w:rPr>
              <w:t>51 breakfast cereals with more than 22.5% sugars have a</w:t>
            </w:r>
            <w:r w:rsidR="00A93F3C">
              <w:rPr>
                <w:rFonts w:cstheme="minorHAnsi"/>
                <w:szCs w:val="22"/>
              </w:rPr>
              <w:t>n</w:t>
            </w:r>
            <w:r>
              <w:rPr>
                <w:rFonts w:cstheme="minorHAnsi"/>
                <w:szCs w:val="22"/>
              </w:rPr>
              <w:t xml:space="preserve"> HSR of </w:t>
            </w:r>
            <w:r>
              <w:rPr>
                <w:rFonts w:cstheme="minorHAnsi"/>
                <w:szCs w:val="22"/>
              </w:rPr>
              <w:sym w:font="Symbol" w:char="F0B3"/>
            </w:r>
            <w:r>
              <w:rPr>
                <w:rFonts w:cstheme="minorHAnsi"/>
                <w:szCs w:val="22"/>
              </w:rPr>
              <w:t xml:space="preserve"> 3.5.</w:t>
            </w:r>
          </w:p>
          <w:p w14:paraId="326A3059" w14:textId="6DA6B381" w:rsidR="00AF7ACE" w:rsidRPr="00AF7ACE" w:rsidRDefault="00AF7ACE" w:rsidP="00B91EBF">
            <w:pPr>
              <w:pStyle w:val="mpcbullets1"/>
              <w:numPr>
                <w:ilvl w:val="2"/>
                <w:numId w:val="5"/>
              </w:numPr>
              <w:spacing w:before="120" w:after="120"/>
              <w:ind w:left="597" w:hanging="283"/>
              <w:contextualSpacing/>
              <w:rPr>
                <w:rFonts w:cstheme="minorHAnsi"/>
                <w:szCs w:val="22"/>
              </w:rPr>
            </w:pPr>
            <w:r>
              <w:rPr>
                <w:rFonts w:cstheme="minorHAnsi"/>
                <w:szCs w:val="22"/>
              </w:rPr>
              <w:t>53</w:t>
            </w:r>
            <w:r w:rsidR="00455168" w:rsidRPr="00AF7ACE">
              <w:rPr>
                <w:rFonts w:cstheme="minorHAnsi"/>
                <w:szCs w:val="22"/>
              </w:rPr>
              <w:t xml:space="preserve"> muesli or cerea</w:t>
            </w:r>
            <w:r>
              <w:rPr>
                <w:rFonts w:cstheme="minorHAnsi"/>
                <w:szCs w:val="22"/>
              </w:rPr>
              <w:t>l style bars with more than 10</w:t>
            </w:r>
            <w:r w:rsidR="00455168" w:rsidRPr="00AF7ACE">
              <w:rPr>
                <w:rFonts w:cstheme="minorHAnsi"/>
                <w:szCs w:val="22"/>
              </w:rPr>
              <w:t>% sugars have a</w:t>
            </w:r>
            <w:r w:rsidR="00A93F3C">
              <w:rPr>
                <w:rFonts w:cstheme="minorHAnsi"/>
                <w:szCs w:val="22"/>
              </w:rPr>
              <w:t>n</w:t>
            </w:r>
            <w:r w:rsidR="00455168" w:rsidRPr="00AF7ACE">
              <w:rPr>
                <w:rFonts w:cstheme="minorHAnsi"/>
                <w:szCs w:val="22"/>
              </w:rPr>
              <w:t xml:space="preserve"> HSR of </w:t>
            </w:r>
            <w:r w:rsidR="00455168" w:rsidRPr="00AF7ACE">
              <w:rPr>
                <w:rFonts w:cstheme="minorHAnsi"/>
                <w:szCs w:val="22"/>
              </w:rPr>
              <w:sym w:font="Symbol" w:char="F0B3"/>
            </w:r>
            <w:r w:rsidRPr="00AF7ACE">
              <w:rPr>
                <w:rFonts w:cstheme="minorHAnsi"/>
                <w:szCs w:val="22"/>
              </w:rPr>
              <w:t xml:space="preserve"> 3.5 </w:t>
            </w:r>
          </w:p>
          <w:p w14:paraId="6A8F0872" w14:textId="2F41492F" w:rsidR="00455168" w:rsidRPr="00E37206" w:rsidRDefault="00AF7ACE" w:rsidP="00B91EBF">
            <w:pPr>
              <w:pStyle w:val="mpcbullets1"/>
              <w:numPr>
                <w:ilvl w:val="2"/>
                <w:numId w:val="5"/>
              </w:numPr>
              <w:spacing w:before="120" w:after="120"/>
              <w:ind w:left="597" w:hanging="283"/>
              <w:contextualSpacing/>
              <w:rPr>
                <w:rFonts w:cstheme="minorHAnsi"/>
                <w:szCs w:val="22"/>
              </w:rPr>
            </w:pPr>
            <w:r w:rsidRPr="00E37206">
              <w:rPr>
                <w:rFonts w:cstheme="minorHAnsi"/>
                <w:szCs w:val="22"/>
              </w:rPr>
              <w:t>65</w:t>
            </w:r>
            <w:r w:rsidR="00455168" w:rsidRPr="00E37206">
              <w:rPr>
                <w:rFonts w:cstheme="minorHAnsi"/>
                <w:szCs w:val="22"/>
              </w:rPr>
              <w:t xml:space="preserve"> yoghurts</w:t>
            </w:r>
            <w:r w:rsidRPr="00E37206">
              <w:rPr>
                <w:rFonts w:cstheme="minorHAnsi"/>
                <w:szCs w:val="22"/>
              </w:rPr>
              <w:t xml:space="preserve"> with more than 10</w:t>
            </w:r>
            <w:r w:rsidR="00455168" w:rsidRPr="00E37206">
              <w:rPr>
                <w:rFonts w:cstheme="minorHAnsi"/>
                <w:szCs w:val="22"/>
              </w:rPr>
              <w:t>% sugars have a</w:t>
            </w:r>
            <w:r w:rsidR="00A93F3C">
              <w:rPr>
                <w:rFonts w:cstheme="minorHAnsi"/>
                <w:szCs w:val="22"/>
              </w:rPr>
              <w:t>n</w:t>
            </w:r>
            <w:r w:rsidR="00455168" w:rsidRPr="00E37206">
              <w:rPr>
                <w:rFonts w:cstheme="minorHAnsi"/>
                <w:szCs w:val="22"/>
              </w:rPr>
              <w:t xml:space="preserve"> HSR of </w:t>
            </w:r>
            <w:r w:rsidR="00455168" w:rsidRPr="00E37206">
              <w:rPr>
                <w:rFonts w:cstheme="minorHAnsi"/>
                <w:szCs w:val="22"/>
              </w:rPr>
              <w:sym w:font="Symbol" w:char="F0B3"/>
            </w:r>
            <w:r w:rsidR="00455168" w:rsidRPr="00E37206">
              <w:rPr>
                <w:rFonts w:cstheme="minorHAnsi"/>
                <w:szCs w:val="22"/>
              </w:rPr>
              <w:t xml:space="preserve"> 3.5.</w:t>
            </w:r>
          </w:p>
          <w:p w14:paraId="22EA7BAC" w14:textId="5CF8FA18"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George Institute data</w:t>
            </w:r>
            <w:r w:rsidR="002D580B">
              <w:rPr>
                <w:rFonts w:cstheme="minorHAnsi"/>
                <w:szCs w:val="22"/>
              </w:rPr>
              <w:t xml:space="preserve"> shows</w:t>
            </w:r>
            <w:r w:rsidRPr="00AB3873">
              <w:rPr>
                <w:rFonts w:cstheme="minorHAnsi"/>
                <w:szCs w:val="22"/>
              </w:rPr>
              <w:t>:</w:t>
            </w:r>
          </w:p>
          <w:p w14:paraId="0262C758" w14:textId="76A16A82" w:rsidR="00E37206" w:rsidRDefault="00AA562C" w:rsidP="00B91EBF">
            <w:pPr>
              <w:pStyle w:val="mpcbullets1"/>
              <w:numPr>
                <w:ilvl w:val="2"/>
                <w:numId w:val="5"/>
              </w:numPr>
              <w:spacing w:before="120" w:after="120"/>
              <w:ind w:left="597" w:hanging="283"/>
              <w:contextualSpacing/>
              <w:rPr>
                <w:rFonts w:cstheme="minorHAnsi"/>
                <w:szCs w:val="22"/>
              </w:rPr>
            </w:pPr>
            <w:r>
              <w:rPr>
                <w:rFonts w:cstheme="minorHAnsi"/>
                <w:szCs w:val="22"/>
              </w:rPr>
              <w:t>50</w:t>
            </w:r>
            <w:r w:rsidR="00E37206">
              <w:rPr>
                <w:rFonts w:cstheme="minorHAnsi"/>
                <w:szCs w:val="22"/>
              </w:rPr>
              <w:t xml:space="preserve"> breakfast cereals with more than 22.5% sugars have a</w:t>
            </w:r>
            <w:r w:rsidR="00A93F3C">
              <w:rPr>
                <w:rFonts w:cstheme="minorHAnsi"/>
                <w:szCs w:val="22"/>
              </w:rPr>
              <w:t>n</w:t>
            </w:r>
            <w:r w:rsidR="00E37206">
              <w:rPr>
                <w:rFonts w:cstheme="minorHAnsi"/>
                <w:szCs w:val="22"/>
              </w:rPr>
              <w:t xml:space="preserve"> HSR of </w:t>
            </w:r>
            <w:r w:rsidR="00E37206">
              <w:rPr>
                <w:rFonts w:cstheme="minorHAnsi"/>
                <w:szCs w:val="22"/>
              </w:rPr>
              <w:sym w:font="Symbol" w:char="F0B3"/>
            </w:r>
            <w:r w:rsidR="00E37206">
              <w:rPr>
                <w:rFonts w:cstheme="minorHAnsi"/>
                <w:szCs w:val="22"/>
              </w:rPr>
              <w:t xml:space="preserve"> 3.5.</w:t>
            </w:r>
          </w:p>
          <w:p w14:paraId="228631E5" w14:textId="298006A6" w:rsidR="00E37206" w:rsidRPr="00AF7ACE" w:rsidRDefault="002E6BD6" w:rsidP="00B91EBF">
            <w:pPr>
              <w:pStyle w:val="mpcbullets1"/>
              <w:numPr>
                <w:ilvl w:val="2"/>
                <w:numId w:val="5"/>
              </w:numPr>
              <w:spacing w:before="120" w:after="120"/>
              <w:ind w:left="597" w:hanging="283"/>
              <w:contextualSpacing/>
              <w:rPr>
                <w:rFonts w:cstheme="minorHAnsi"/>
                <w:szCs w:val="22"/>
              </w:rPr>
            </w:pPr>
            <w:r>
              <w:rPr>
                <w:rFonts w:cstheme="minorHAnsi"/>
                <w:szCs w:val="22"/>
              </w:rPr>
              <w:t>71</w:t>
            </w:r>
            <w:r w:rsidR="00E37206" w:rsidRPr="00AF7ACE">
              <w:rPr>
                <w:rFonts w:cstheme="minorHAnsi"/>
                <w:szCs w:val="22"/>
              </w:rPr>
              <w:t xml:space="preserve"> muesli or cerea</w:t>
            </w:r>
            <w:r w:rsidR="00E37206">
              <w:rPr>
                <w:rFonts w:cstheme="minorHAnsi"/>
                <w:szCs w:val="22"/>
              </w:rPr>
              <w:t>l style bars with more than 10</w:t>
            </w:r>
            <w:r w:rsidR="00E37206" w:rsidRPr="00AF7ACE">
              <w:rPr>
                <w:rFonts w:cstheme="minorHAnsi"/>
                <w:szCs w:val="22"/>
              </w:rPr>
              <w:t>% sugars have a</w:t>
            </w:r>
            <w:r w:rsidR="00A93F3C">
              <w:rPr>
                <w:rFonts w:cstheme="minorHAnsi"/>
                <w:szCs w:val="22"/>
              </w:rPr>
              <w:t>n</w:t>
            </w:r>
            <w:r w:rsidR="00E37206" w:rsidRPr="00AF7ACE">
              <w:rPr>
                <w:rFonts w:cstheme="minorHAnsi"/>
                <w:szCs w:val="22"/>
              </w:rPr>
              <w:t xml:space="preserve"> HSR of </w:t>
            </w:r>
            <w:r w:rsidR="00E37206" w:rsidRPr="00AF7ACE">
              <w:rPr>
                <w:rFonts w:cstheme="minorHAnsi"/>
                <w:szCs w:val="22"/>
              </w:rPr>
              <w:sym w:font="Symbol" w:char="F0B3"/>
            </w:r>
            <w:r w:rsidR="00E37206" w:rsidRPr="00AF7ACE">
              <w:rPr>
                <w:rFonts w:cstheme="minorHAnsi"/>
                <w:szCs w:val="22"/>
              </w:rPr>
              <w:t xml:space="preserve"> 3.5 </w:t>
            </w:r>
          </w:p>
          <w:p w14:paraId="4E8F809C" w14:textId="2F8BC6E0" w:rsidR="007869A0" w:rsidRPr="001206CC" w:rsidRDefault="002E6BD6" w:rsidP="00B91EBF">
            <w:pPr>
              <w:pStyle w:val="mpcbullets1"/>
              <w:numPr>
                <w:ilvl w:val="2"/>
                <w:numId w:val="5"/>
              </w:numPr>
              <w:spacing w:before="120" w:after="120"/>
              <w:ind w:left="597" w:hanging="283"/>
              <w:contextualSpacing/>
              <w:rPr>
                <w:rFonts w:cstheme="minorHAnsi"/>
                <w:szCs w:val="22"/>
              </w:rPr>
            </w:pPr>
            <w:r>
              <w:rPr>
                <w:rFonts w:cstheme="minorHAnsi"/>
                <w:szCs w:val="22"/>
              </w:rPr>
              <w:t>38</w:t>
            </w:r>
            <w:r w:rsidR="00E37206" w:rsidRPr="00E37206">
              <w:rPr>
                <w:rFonts w:cstheme="minorHAnsi"/>
                <w:szCs w:val="22"/>
              </w:rPr>
              <w:t xml:space="preserve"> yoghurts with more than 10% sugars have a</w:t>
            </w:r>
            <w:r w:rsidR="00A93F3C">
              <w:rPr>
                <w:rFonts w:cstheme="minorHAnsi"/>
                <w:szCs w:val="22"/>
              </w:rPr>
              <w:t>n</w:t>
            </w:r>
            <w:r w:rsidR="00E37206" w:rsidRPr="00E37206">
              <w:rPr>
                <w:rFonts w:cstheme="minorHAnsi"/>
                <w:szCs w:val="22"/>
              </w:rPr>
              <w:t xml:space="preserve"> HSR of </w:t>
            </w:r>
            <w:r w:rsidR="00E37206" w:rsidRPr="00E37206">
              <w:rPr>
                <w:rFonts w:cstheme="minorHAnsi"/>
                <w:szCs w:val="22"/>
              </w:rPr>
              <w:sym w:font="Symbol" w:char="F0B3"/>
            </w:r>
            <w:r w:rsidR="00E37206" w:rsidRPr="00E37206">
              <w:rPr>
                <w:rFonts w:cstheme="minorHAnsi"/>
                <w:szCs w:val="22"/>
              </w:rPr>
              <w:t xml:space="preserve"> 3.5.</w:t>
            </w:r>
          </w:p>
        </w:tc>
      </w:tr>
      <w:tr w:rsidR="00455168" w:rsidRPr="00AB3873" w14:paraId="04E1C6CB" w14:textId="77777777" w:rsidTr="00E135D0">
        <w:trPr>
          <w:trHeight w:val="219"/>
        </w:trPr>
        <w:tc>
          <w:tcPr>
            <w:tcW w:w="1357" w:type="dxa"/>
            <w:shd w:val="clear" w:color="auto" w:fill="DEEAF6" w:themeFill="accent5" w:themeFillTint="33"/>
          </w:tcPr>
          <w:p w14:paraId="142848F8" w14:textId="6EBFEC66" w:rsidR="00455168" w:rsidRPr="00AB3873" w:rsidRDefault="007C22AA" w:rsidP="0024269C">
            <w:r>
              <w:t>Relevant</w:t>
            </w:r>
            <w:r w:rsidR="00455168" w:rsidRPr="00AB3873">
              <w:t xml:space="preserve"> TAG papers</w:t>
            </w:r>
          </w:p>
        </w:tc>
        <w:tc>
          <w:tcPr>
            <w:tcW w:w="8424" w:type="dxa"/>
          </w:tcPr>
          <w:p w14:paraId="2C383F51" w14:textId="6167636A" w:rsidR="008A2E98" w:rsidRPr="00BE61A6"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 xml:space="preserve">Sugars (added and total) in the HSR </w:t>
            </w:r>
            <w:r w:rsidR="00926B08">
              <w:rPr>
                <w:rFonts w:cstheme="minorHAnsi"/>
                <w:szCs w:val="22"/>
              </w:rPr>
              <w:t>System</w:t>
            </w:r>
          </w:p>
        </w:tc>
      </w:tr>
    </w:tbl>
    <w:p w14:paraId="64940E58" w14:textId="77777777" w:rsidR="00455168" w:rsidRPr="00AB3873" w:rsidRDefault="00455168" w:rsidP="0024269C"/>
    <w:p w14:paraId="3241E2ED" w14:textId="77777777" w:rsidR="000C5DBF" w:rsidRPr="00AB3873" w:rsidRDefault="000C5DBF" w:rsidP="00B51EE9">
      <w:pPr>
        <w:pStyle w:val="mpcheading3"/>
      </w:pPr>
      <w:bookmarkStart w:id="91" w:name="_Toc523922877"/>
      <w:bookmarkStart w:id="92" w:name="_Toc524530352"/>
      <w:r w:rsidRPr="00AB3873">
        <w:t xml:space="preserve">Options </w:t>
      </w:r>
      <w:r>
        <w:t xml:space="preserve">to </w:t>
      </w:r>
      <w:r w:rsidRPr="00B51EE9">
        <w:t>address</w:t>
      </w:r>
      <w:r>
        <w:t xml:space="preserve"> issue</w:t>
      </w:r>
    </w:p>
    <w:p w14:paraId="0C7D37FE" w14:textId="77777777" w:rsidR="00455168" w:rsidRPr="00AB3873" w:rsidRDefault="00455168" w:rsidP="00B91EBF">
      <w:pPr>
        <w:pStyle w:val="mpcheading4"/>
        <w:numPr>
          <w:ilvl w:val="0"/>
          <w:numId w:val="10"/>
        </w:numPr>
      </w:pPr>
      <w:r w:rsidRPr="00AB3873">
        <w:t xml:space="preserve">Status quo for </w:t>
      </w:r>
      <w:r>
        <w:t>sugars</w:t>
      </w:r>
      <w:bookmarkEnd w:id="91"/>
      <w:bookmarkEnd w:id="92"/>
    </w:p>
    <w:p w14:paraId="0CB2A9FF" w14:textId="77012650" w:rsidR="000C4C98" w:rsidRDefault="00455168" w:rsidP="0024269C">
      <w:r w:rsidRPr="00F67EC4">
        <w:lastRenderedPageBreak/>
        <w:t xml:space="preserve">This option would result in no changes to the </w:t>
      </w:r>
      <w:r>
        <w:t>treatment of</w:t>
      </w:r>
      <w:r w:rsidR="001F72BF">
        <w:t xml:space="preserve"> </w:t>
      </w:r>
      <w:r>
        <w:t>sugar</w:t>
      </w:r>
      <w:r w:rsidR="001F72BF">
        <w:t>s</w:t>
      </w:r>
      <w:r>
        <w:t xml:space="preserve"> in the </w:t>
      </w:r>
      <w:r w:rsidRPr="00F67EC4">
        <w:t>HSR</w:t>
      </w:r>
      <w:r>
        <w:t xml:space="preserve"> Calculator. </w:t>
      </w:r>
      <w:r w:rsidR="000C4C98">
        <w:t>The HSR Calculator would continue to calculate total sugars and indirectly address added sugars by awarding baseline points for total sugars and modifying points for</w:t>
      </w:r>
      <w:r w:rsidR="000C4C98" w:rsidRPr="005A7792">
        <w:t xml:space="preserve"> % FVNL (to offset sugar in fruit) or protein (to offset lactose in milk).</w:t>
      </w:r>
      <w:r w:rsidR="000C4C98">
        <w:rPr>
          <w:rStyle w:val="FootnoteReference"/>
          <w:sz w:val="22"/>
        </w:rPr>
        <w:footnoteReference w:id="36"/>
      </w:r>
    </w:p>
    <w:p w14:paraId="3DFB1743" w14:textId="3901095F" w:rsidR="000C4C98" w:rsidRDefault="000C4C98" w:rsidP="0024269C"/>
    <w:p w14:paraId="6EF1112B" w14:textId="2C8C7218" w:rsidR="00272568" w:rsidRPr="008A1B67" w:rsidRDefault="00272568" w:rsidP="0024269C">
      <w:r>
        <w:t>The main advantage of this option is that r</w:t>
      </w:r>
      <w:r w:rsidRPr="008A1B67">
        <w:t>esearch indicates the HSR System generally distinguishes well between FFG and discretionary foods, with</w:t>
      </w:r>
      <w:r>
        <w:t xml:space="preserve"> total</w:t>
      </w:r>
      <w:r w:rsidRPr="008A1B67">
        <w:t xml:space="preserve"> sugars </w:t>
      </w:r>
      <w:r>
        <w:t>having the greatest individual capacity to discriminate between FFG and discretionary products</w:t>
      </w:r>
      <w:r>
        <w:rPr>
          <w:rStyle w:val="FootnoteReference"/>
          <w:sz w:val="22"/>
          <w:szCs w:val="22"/>
        </w:rPr>
        <w:footnoteReference w:id="37"/>
      </w:r>
      <w:r>
        <w:t xml:space="preserve">. </w:t>
      </w:r>
    </w:p>
    <w:p w14:paraId="4CBBCD8F" w14:textId="77777777" w:rsidR="00272568" w:rsidRDefault="00272568" w:rsidP="0024269C"/>
    <w:p w14:paraId="208E63A8" w14:textId="2BBDB726" w:rsidR="00A66312" w:rsidRDefault="00A66312" w:rsidP="0024269C">
      <w:r>
        <w:t>The main disadvantage of this option is that</w:t>
      </w:r>
      <w:r w:rsidRPr="00F67EC4">
        <w:t xml:space="preserve"> it does not address </w:t>
      </w:r>
      <w:r>
        <w:t xml:space="preserve">stakeholder </w:t>
      </w:r>
      <w:r w:rsidRPr="00F67EC4">
        <w:t xml:space="preserve">concerns regarding products high in </w:t>
      </w:r>
      <w:r w:rsidRPr="001F72BF">
        <w:t>total sugars receiving a high HSR</w:t>
      </w:r>
      <w:r>
        <w:t>,</w:t>
      </w:r>
      <w:r w:rsidRPr="001F72BF">
        <w:t xml:space="preserve"> particularly for products such as breakfast cereals, </w:t>
      </w:r>
      <w:r w:rsidR="00086091">
        <w:t xml:space="preserve">‘lunch box’ foods such as </w:t>
      </w:r>
      <w:r w:rsidRPr="001F72BF">
        <w:t>muesli bars</w:t>
      </w:r>
      <w:r w:rsidR="00A93F3C">
        <w:t>,</w:t>
      </w:r>
      <w:r w:rsidR="00086091">
        <w:t xml:space="preserve"> </w:t>
      </w:r>
      <w:r w:rsidRPr="001F72BF">
        <w:t>and sweetened yog</w:t>
      </w:r>
      <w:r w:rsidR="00655BEA">
        <w:t>h</w:t>
      </w:r>
      <w:r w:rsidRPr="001F72BF">
        <w:t>urts.</w:t>
      </w:r>
      <w:r>
        <w:t xml:space="preserve"> Nor does it </w:t>
      </w:r>
      <w:r w:rsidR="00F4620B">
        <w:t>take the opportunity to further encourage reformulation.</w:t>
      </w:r>
      <w:r w:rsidR="000C4C98" w:rsidRPr="000C4C98">
        <w:t xml:space="preserve"> </w:t>
      </w:r>
    </w:p>
    <w:p w14:paraId="3DFEC8BC" w14:textId="7267A2BE" w:rsidR="002D580B" w:rsidRPr="002D580B" w:rsidRDefault="002D580B" w:rsidP="0024269C">
      <w:pPr>
        <w:rPr>
          <w:highlight w:val="green"/>
        </w:rPr>
      </w:pPr>
    </w:p>
    <w:p w14:paraId="432F46E0" w14:textId="0F993375" w:rsidR="00F13EA7" w:rsidRPr="00F13EA7" w:rsidRDefault="00A66312" w:rsidP="0024269C">
      <w:r>
        <w:t>It could also be argued that t</w:t>
      </w:r>
      <w:r w:rsidR="002D580B" w:rsidRPr="00F13EA7">
        <w:t>here are a range of initiatives outside of the HSR System that may impact on the high population level intakes of added sugars</w:t>
      </w:r>
      <w:r w:rsidR="00A93F3C">
        <w:t>, including the following Government-</w:t>
      </w:r>
      <w:r w:rsidR="00A17918">
        <w:t>led initiatives</w:t>
      </w:r>
      <w:r w:rsidR="00A93F3C">
        <w:t>:</w:t>
      </w:r>
    </w:p>
    <w:p w14:paraId="3FED8129" w14:textId="77777777" w:rsidR="00F13EA7" w:rsidRDefault="00F13EA7" w:rsidP="0024269C">
      <w:pPr>
        <w:rPr>
          <w:highlight w:val="green"/>
        </w:rPr>
      </w:pPr>
    </w:p>
    <w:p w14:paraId="532819F7" w14:textId="4420F5EF" w:rsidR="00033396" w:rsidRPr="00F15579" w:rsidRDefault="00033396" w:rsidP="00B51EE9">
      <w:pPr>
        <w:pStyle w:val="mpcbullets1"/>
      </w:pPr>
      <w:r w:rsidRPr="004A3DA1">
        <w:t>Government activities</w:t>
      </w:r>
      <w:r w:rsidR="00A93F3C">
        <w:t xml:space="preserve"> are wide-</w:t>
      </w:r>
      <w:r w:rsidRPr="004A3DA1">
        <w:t>ranging</w:t>
      </w:r>
      <w:r>
        <w:t>,</w:t>
      </w:r>
      <w:r w:rsidRPr="004A3DA1">
        <w:t xml:space="preserve"> but many </w:t>
      </w:r>
      <w:r>
        <w:t xml:space="preserve">aim to reduce </w:t>
      </w:r>
      <w:r w:rsidR="00A93F3C">
        <w:t>consumption of sugar-</w:t>
      </w:r>
      <w:r w:rsidRPr="004A3DA1">
        <w:t xml:space="preserve">sweetened beverages. Examples include restricting high sugar foods </w:t>
      </w:r>
      <w:r>
        <w:t>and beverages</w:t>
      </w:r>
      <w:r w:rsidRPr="004A3DA1">
        <w:t xml:space="preserve"> in school canteens and health care settings, plus health promotion messages through social marketing.  </w:t>
      </w:r>
    </w:p>
    <w:p w14:paraId="4D91A7C4" w14:textId="2AD4BE97" w:rsidR="00455168" w:rsidRPr="00F13EA7" w:rsidRDefault="00F13EA7" w:rsidP="00B51EE9">
      <w:pPr>
        <w:pStyle w:val="mpcbullets1"/>
      </w:pPr>
      <w:r w:rsidRPr="00F13EA7">
        <w:t xml:space="preserve">The </w:t>
      </w:r>
      <w:hyperlink r:id="rId28" w:history="1">
        <w:r w:rsidRPr="00F13EA7">
          <w:rPr>
            <w:rStyle w:val="Hyperlink"/>
            <w:szCs w:val="22"/>
          </w:rPr>
          <w:t>Healthy Food Partnership</w:t>
        </w:r>
      </w:hyperlink>
      <w:r>
        <w:t xml:space="preserve"> is a joint initiative between government, industry</w:t>
      </w:r>
      <w:r w:rsidRPr="00F13EA7">
        <w:t xml:space="preserve"> </w:t>
      </w:r>
      <w:r>
        <w:t xml:space="preserve">and public health groups focusing </w:t>
      </w:r>
      <w:r w:rsidR="00A93F3C">
        <w:t xml:space="preserve">on </w:t>
      </w:r>
      <w:r>
        <w:rPr>
          <w:lang w:eastAsia="en-AU"/>
        </w:rPr>
        <w:t>increasing</w:t>
      </w:r>
      <w:r w:rsidRPr="00097D28">
        <w:rPr>
          <w:lang w:eastAsia="en-AU"/>
        </w:rPr>
        <w:t xml:space="preserve"> health knowledge, healthier choices and better health outcomes for the Australian population</w:t>
      </w:r>
      <w:r>
        <w:rPr>
          <w:lang w:eastAsia="en-AU"/>
        </w:rPr>
        <w:t>.</w:t>
      </w:r>
    </w:p>
    <w:p w14:paraId="3F207B50" w14:textId="4B0A17C1" w:rsidR="00F13EA7" w:rsidRPr="00F13EA7" w:rsidRDefault="00F13EA7" w:rsidP="00B51EE9">
      <w:pPr>
        <w:pStyle w:val="mpcbullets1"/>
        <w:rPr>
          <w:color w:val="002639"/>
          <w:lang w:val="en-NZ" w:eastAsia="en-NZ"/>
        </w:rPr>
      </w:pPr>
      <w:r w:rsidRPr="00F13EA7">
        <w:rPr>
          <w:color w:val="002639"/>
          <w:lang w:val="en-NZ" w:eastAsia="en-NZ"/>
        </w:rPr>
        <w:t xml:space="preserve">As part of the New Zealand Government’s Childhood Obesity Plan the </w:t>
      </w:r>
      <w:hyperlink r:id="rId29" w:history="1">
        <w:r w:rsidRPr="00F13EA7">
          <w:rPr>
            <w:rStyle w:val="Hyperlink"/>
            <w:lang w:val="en-NZ" w:eastAsia="en-NZ"/>
          </w:rPr>
          <w:t>Healthy kids industry pledge</w:t>
        </w:r>
      </w:hyperlink>
      <w:r w:rsidRPr="00F13EA7">
        <w:rPr>
          <w:color w:val="002639"/>
          <w:lang w:val="en-NZ" w:eastAsia="en-NZ"/>
        </w:rPr>
        <w:t xml:space="preserve"> involves partnerships with the food and beverage industry to make commitments that will make a contribution to reducing the incidence of childhood obesity. </w:t>
      </w:r>
    </w:p>
    <w:p w14:paraId="672511AC" w14:textId="33F8C9C3" w:rsidR="00F13EA7" w:rsidRDefault="00F13EA7" w:rsidP="00B51EE9">
      <w:pPr>
        <w:pStyle w:val="mpcbullets1"/>
        <w:rPr>
          <w:color w:val="002639"/>
          <w:lang w:val="en-NZ" w:eastAsia="en-NZ"/>
        </w:rPr>
      </w:pPr>
      <w:r w:rsidRPr="00F13EA7">
        <w:rPr>
          <w:color w:val="002639"/>
          <w:lang w:val="en-NZ" w:eastAsia="en-NZ"/>
        </w:rPr>
        <w:t xml:space="preserve">The </w:t>
      </w:r>
      <w:hyperlink r:id="rId30" w:history="1">
        <w:r w:rsidRPr="00F13EA7">
          <w:rPr>
            <w:rStyle w:val="Hyperlink"/>
            <w:lang w:val="en-NZ" w:eastAsia="en-NZ"/>
          </w:rPr>
          <w:t>Healthy Bodies Need Healthy Drinks</w:t>
        </w:r>
      </w:hyperlink>
      <w:r w:rsidRPr="00F13EA7">
        <w:rPr>
          <w:color w:val="002639"/>
          <w:lang w:val="en-NZ" w:eastAsia="en-NZ"/>
        </w:rPr>
        <w:t xml:space="preserve"> resources promote healthy drink choices and discourage excessive consumption of sugar-sweetened drinks among Aboriginal and Torres Strait Islander children.</w:t>
      </w:r>
    </w:p>
    <w:p w14:paraId="2089A1B7" w14:textId="77777777" w:rsidR="00086091" w:rsidRDefault="00086091" w:rsidP="0024269C"/>
    <w:p w14:paraId="7CA890B8" w14:textId="53A340FD" w:rsidR="009753C1" w:rsidRDefault="009753C1" w:rsidP="0024269C">
      <w:r w:rsidRPr="00086091">
        <w:t>State and Territory Governments and industry bodies are also undertaking a range of initiatives relating to sugar</w:t>
      </w:r>
      <w:r w:rsidR="00DA1C0C" w:rsidRPr="00086091">
        <w:t>s</w:t>
      </w:r>
      <w:r w:rsidR="00086091" w:rsidRPr="007B5449">
        <w:t>, including:</w:t>
      </w:r>
    </w:p>
    <w:p w14:paraId="70625E30" w14:textId="4478FB1D" w:rsidR="00086091" w:rsidRDefault="00086091" w:rsidP="0024269C"/>
    <w:p w14:paraId="72EE9B56" w14:textId="623447FA" w:rsidR="007B5449" w:rsidRPr="007B5449" w:rsidRDefault="00F17EE9" w:rsidP="00B51EE9">
      <w:pPr>
        <w:pStyle w:val="mpcbullets1"/>
      </w:pPr>
      <w:hyperlink r:id="rId31" w:history="1">
        <w:r w:rsidR="007B5449" w:rsidRPr="007B5449">
          <w:rPr>
            <w:rStyle w:val="Hyperlink"/>
            <w:bCs/>
            <w:szCs w:val="22"/>
          </w:rPr>
          <w:t>New Zealand Food and Grocery Council Healthier New Zealanders Initiative</w:t>
        </w:r>
      </w:hyperlink>
      <w:r w:rsidR="007B5449" w:rsidRPr="007B5449">
        <w:t xml:space="preserve"> </w:t>
      </w:r>
      <w:r w:rsidR="00332C04">
        <w:t>aims</w:t>
      </w:r>
      <w:r w:rsidR="007B5449" w:rsidRPr="007B5449">
        <w:t xml:space="preserve"> to </w:t>
      </w:r>
      <w:r w:rsidR="00332C04">
        <w:t>promote</w:t>
      </w:r>
      <w:r w:rsidR="00332C04" w:rsidRPr="007B5449">
        <w:t xml:space="preserve"> </w:t>
      </w:r>
      <w:r w:rsidR="007B5449" w:rsidRPr="007B5449">
        <w:t xml:space="preserve">health </w:t>
      </w:r>
      <w:r w:rsidR="007B5449">
        <w:t>and</w:t>
      </w:r>
      <w:r w:rsidR="007B5449" w:rsidRPr="007B5449">
        <w:t xml:space="preserve"> wellness across the New Zealand population</w:t>
      </w:r>
      <w:r w:rsidR="00332C04">
        <w:t xml:space="preserve"> through product labelling, consumer education and marketing initiatives</w:t>
      </w:r>
      <w:r w:rsidR="007B5449" w:rsidRPr="007B5449">
        <w:t xml:space="preserve">. Many of the programs under this initiative are part of broader work in </w:t>
      </w:r>
      <w:r w:rsidR="007B5449">
        <w:t>non-communicable disease</w:t>
      </w:r>
      <w:r w:rsidR="007B5449" w:rsidRPr="007B5449">
        <w:t xml:space="preserve"> prevention</w:t>
      </w:r>
      <w:r w:rsidR="007B5449">
        <w:t>.</w:t>
      </w:r>
    </w:p>
    <w:p w14:paraId="3D446FC9" w14:textId="77777777" w:rsidR="00F744EE" w:rsidRPr="007B5449" w:rsidRDefault="00F744EE" w:rsidP="00B51EE9">
      <w:pPr>
        <w:pStyle w:val="mpcbullets1"/>
      </w:pPr>
      <w:r w:rsidRPr="007B5449">
        <w:t>The</w:t>
      </w:r>
      <w:r w:rsidRPr="001358D9">
        <w:t xml:space="preserve"> </w:t>
      </w:r>
      <w:hyperlink r:id="rId32" w:history="1">
        <w:r w:rsidRPr="007B5449">
          <w:rPr>
            <w:rStyle w:val="Hyperlink"/>
            <w:bCs/>
            <w:szCs w:val="22"/>
          </w:rPr>
          <w:t>Sugar Research Advisory Service</w:t>
        </w:r>
      </w:hyperlink>
      <w:r w:rsidRPr="007B5449">
        <w:t xml:space="preserve"> is funded by the Australian Sugar Industry Alliance and New Zealand Sugar, and is managed by health professionals including </w:t>
      </w:r>
      <w:r>
        <w:t>d</w:t>
      </w:r>
      <w:r w:rsidRPr="007B5449">
        <w:t xml:space="preserve">ietitians from Australia and New Zealand. </w:t>
      </w:r>
      <w:r>
        <w:t>It</w:t>
      </w:r>
      <w:r w:rsidRPr="007B5449">
        <w:t xml:space="preserve"> aims to provide an evidence-based view on the role of carbohydrates, and particularly sugars, in nutrition and health by disseminating scientific research</w:t>
      </w:r>
      <w:r>
        <w:t xml:space="preserve"> to</w:t>
      </w:r>
      <w:r w:rsidRPr="007B5449">
        <w:t xml:space="preserve"> health care professionals.</w:t>
      </w:r>
    </w:p>
    <w:p w14:paraId="20FEEB42" w14:textId="0EC3F69F" w:rsidR="00E95248" w:rsidRDefault="00F17EE9" w:rsidP="00B51EE9">
      <w:pPr>
        <w:pStyle w:val="mpcbullets1"/>
      </w:pPr>
      <w:hyperlink r:id="rId33" w:history="1">
        <w:r w:rsidR="007B5449" w:rsidRPr="007B5449">
          <w:rPr>
            <w:rStyle w:val="Hyperlink"/>
            <w:bCs/>
            <w:szCs w:val="22"/>
          </w:rPr>
          <w:t>Rethink sugary drink</w:t>
        </w:r>
      </w:hyperlink>
      <w:r w:rsidR="007B5449" w:rsidRPr="007B5449">
        <w:t xml:space="preserve"> is a partnership between 13 public health organisations </w:t>
      </w:r>
      <w:r w:rsidR="007B5449">
        <w:t>aimed at</w:t>
      </w:r>
      <w:r w:rsidR="007B5449" w:rsidRPr="007B5449">
        <w:t xml:space="preserve"> promot</w:t>
      </w:r>
      <w:r w:rsidR="007B5449">
        <w:t>ing</w:t>
      </w:r>
      <w:r w:rsidR="007B5449" w:rsidRPr="007B5449">
        <w:t xml:space="preserve"> reduc</w:t>
      </w:r>
      <w:r w:rsidR="007B5449">
        <w:t xml:space="preserve">ed </w:t>
      </w:r>
      <w:r w:rsidR="007B5449" w:rsidRPr="007B5449">
        <w:t>intake of sugar-sweetened beverages</w:t>
      </w:r>
      <w:r w:rsidR="00A93F3C">
        <w:t>,</w:t>
      </w:r>
      <w:r w:rsidR="007B5449" w:rsidRPr="007B5449">
        <w:t xml:space="preserve"> and calling for activities in a range of areas such as investigating the possibility of a tax on sugar-sweetened beverages, social media campaigns to raise awareness of the health impacts of consumption of sugar-sweetened</w:t>
      </w:r>
      <w:r w:rsidR="00A93F3C">
        <w:t xml:space="preserve"> beverages</w:t>
      </w:r>
      <w:r w:rsidR="007B5449" w:rsidRPr="007B5449">
        <w:t xml:space="preserve"> and reducing children’s exposure to </w:t>
      </w:r>
      <w:r w:rsidR="004B0C88">
        <w:t xml:space="preserve">their </w:t>
      </w:r>
      <w:r w:rsidR="007B5449" w:rsidRPr="007B5449">
        <w:t>marketing.</w:t>
      </w:r>
    </w:p>
    <w:p w14:paraId="0ED8F0B4" w14:textId="77777777" w:rsidR="00B51EE9" w:rsidRDefault="00B51EE9" w:rsidP="00B51EE9">
      <w:pPr>
        <w:pStyle w:val="ListParagraph"/>
        <w:ind w:left="360"/>
        <w:rPr>
          <w:rFonts w:eastAsiaTheme="minorHAnsi"/>
        </w:rPr>
      </w:pPr>
    </w:p>
    <w:p w14:paraId="2E9EF600" w14:textId="2D94A346" w:rsidR="001007BA" w:rsidRPr="001007BA" w:rsidRDefault="001007BA" w:rsidP="0024269C">
      <w:pPr>
        <w:rPr>
          <w:rFonts w:eastAsiaTheme="minorHAnsi"/>
        </w:rPr>
      </w:pPr>
      <w:r w:rsidRPr="001007BA">
        <w:rPr>
          <w:rFonts w:eastAsiaTheme="minorHAnsi"/>
        </w:rPr>
        <w:t xml:space="preserve">However, </w:t>
      </w:r>
      <w:r w:rsidR="00F744EE">
        <w:rPr>
          <w:rFonts w:eastAsiaTheme="minorHAnsi"/>
        </w:rPr>
        <w:t xml:space="preserve">stakeholders have suggested </w:t>
      </w:r>
      <w:r w:rsidRPr="001007BA">
        <w:rPr>
          <w:rFonts w:eastAsiaTheme="minorHAnsi"/>
        </w:rPr>
        <w:t>that there are limited interventions targeting sugars in New Zealand</w:t>
      </w:r>
      <w:r w:rsidR="00F744EE">
        <w:rPr>
          <w:rFonts w:eastAsiaTheme="minorHAnsi"/>
        </w:rPr>
        <w:t>.</w:t>
      </w:r>
    </w:p>
    <w:p w14:paraId="1B59403F" w14:textId="77777777" w:rsidR="000C4C98" w:rsidRPr="000C4C98" w:rsidRDefault="000C4C98" w:rsidP="0024269C">
      <w:pPr>
        <w:rPr>
          <w:rFonts w:eastAsiaTheme="minorHAnsi"/>
        </w:rPr>
      </w:pPr>
    </w:p>
    <w:p w14:paraId="6D94FBED" w14:textId="77777777" w:rsidR="00455168" w:rsidRPr="00675A4C" w:rsidRDefault="00455168" w:rsidP="00B91EBF">
      <w:pPr>
        <w:pStyle w:val="mpcheading4"/>
        <w:numPr>
          <w:ilvl w:val="0"/>
          <w:numId w:val="10"/>
        </w:numPr>
      </w:pPr>
      <w:bookmarkStart w:id="93" w:name="_Toc523922878"/>
      <w:bookmarkStart w:id="94" w:name="_Toc524530353"/>
      <w:r w:rsidRPr="00675A4C">
        <w:t>Replace total sugars with added sugars</w:t>
      </w:r>
      <w:bookmarkEnd w:id="93"/>
      <w:bookmarkEnd w:id="94"/>
    </w:p>
    <w:p w14:paraId="0791A43E" w14:textId="0ABA3E5B" w:rsidR="00455168" w:rsidRDefault="00455168" w:rsidP="0024269C">
      <w:r>
        <w:lastRenderedPageBreak/>
        <w:t xml:space="preserve">Under this option, the HSR </w:t>
      </w:r>
      <w:r w:rsidR="001F72BF">
        <w:t>C</w:t>
      </w:r>
      <w:r>
        <w:t xml:space="preserve">alculator would consider </w:t>
      </w:r>
      <w:r w:rsidRPr="00FD6F65">
        <w:t xml:space="preserve">added </w:t>
      </w:r>
      <w:r>
        <w:t>sugars rather than total sugars (</w:t>
      </w:r>
      <w:r w:rsidR="001F72BF">
        <w:t>and</w:t>
      </w:r>
      <w:r>
        <w:t xml:space="preserve"> would also </w:t>
      </w:r>
      <w:r w:rsidRPr="00FD6F65">
        <w:t>require changes to the sugars table</w:t>
      </w:r>
      <w:r w:rsidR="00A82895">
        <w:rPr>
          <w:rStyle w:val="FootnoteReference"/>
          <w:sz w:val="22"/>
        </w:rPr>
        <w:footnoteReference w:id="38"/>
      </w:r>
      <w:r>
        <w:t>)</w:t>
      </w:r>
      <w:r w:rsidRPr="00FD6F65">
        <w:t>.</w:t>
      </w:r>
    </w:p>
    <w:p w14:paraId="79569CC9" w14:textId="77777777" w:rsidR="00455168" w:rsidRDefault="00455168" w:rsidP="0024269C"/>
    <w:p w14:paraId="0AC9C90D" w14:textId="20BBDBC9" w:rsidR="00455168" w:rsidRDefault="00F4620B" w:rsidP="0024269C">
      <w:r w:rsidRPr="00272568">
        <w:t>A</w:t>
      </w:r>
      <w:r w:rsidR="00455168" w:rsidRPr="00272568">
        <w:t xml:space="preserve"> number of stakeholders supported this approach, with some citing a study published in July 2017</w:t>
      </w:r>
      <w:r w:rsidR="00455168" w:rsidRPr="00272568">
        <w:rPr>
          <w:vertAlign w:val="superscript"/>
        </w:rPr>
        <w:footnoteReference w:id="39"/>
      </w:r>
      <w:r w:rsidR="00455168" w:rsidRPr="00272568">
        <w:t xml:space="preserve"> that found the HSR </w:t>
      </w:r>
      <w:r w:rsidR="006000E2" w:rsidRPr="00272568">
        <w:t>System</w:t>
      </w:r>
      <w:r w:rsidR="001F72BF" w:rsidRPr="00272568">
        <w:t xml:space="preserve"> </w:t>
      </w:r>
      <w:r w:rsidR="00455168" w:rsidRPr="00272568">
        <w:t>currently discriminates well between FF</w:t>
      </w:r>
      <w:r w:rsidR="001F72BF" w:rsidRPr="00272568">
        <w:t>G and discretionary foods but</w:t>
      </w:r>
      <w:r w:rsidR="00455168" w:rsidRPr="00272568">
        <w:t xml:space="preserve"> may be improved by </w:t>
      </w:r>
      <w:r w:rsidR="003A1D35" w:rsidRPr="00272568">
        <w:t xml:space="preserve">incorporating </w:t>
      </w:r>
      <w:r w:rsidR="00455168" w:rsidRPr="00272568">
        <w:t xml:space="preserve">added sugars </w:t>
      </w:r>
      <w:r w:rsidR="003A1D35" w:rsidRPr="00272568">
        <w:t xml:space="preserve">as well as </w:t>
      </w:r>
      <w:r w:rsidR="00455168" w:rsidRPr="00272568">
        <w:t>total sugars</w:t>
      </w:r>
      <w:r w:rsidR="003A1D35" w:rsidRPr="00272568">
        <w:t xml:space="preserve"> in the HSR Calculator</w:t>
      </w:r>
      <w:r w:rsidR="00455168" w:rsidRPr="00272568">
        <w:t>.</w:t>
      </w:r>
      <w:r w:rsidR="00455168" w:rsidRPr="00B35C49">
        <w:t xml:space="preserve"> </w:t>
      </w:r>
    </w:p>
    <w:p w14:paraId="2499E777" w14:textId="3F5181B8" w:rsidR="00470D04" w:rsidRDefault="00470D04" w:rsidP="0024269C"/>
    <w:p w14:paraId="34EA403E" w14:textId="10399A8C" w:rsidR="00470D04" w:rsidRPr="00B35C49" w:rsidRDefault="00470D04" w:rsidP="0024269C">
      <w:r>
        <w:t xml:space="preserve">The UK </w:t>
      </w:r>
      <w:r w:rsidR="00FC5354">
        <w:t xml:space="preserve">Ofcom </w:t>
      </w:r>
      <w:r>
        <w:t>Nutrient Profiling Model (NPM) - on which the NPSC and the HSR System are based - is currently undergoing review, exploring the inclusion of added sugars rather than total sugars.</w:t>
      </w:r>
      <w:r>
        <w:rPr>
          <w:rStyle w:val="FootnoteReference"/>
          <w:sz w:val="22"/>
        </w:rPr>
        <w:footnoteReference w:id="40"/>
      </w:r>
    </w:p>
    <w:p w14:paraId="23E41208" w14:textId="77777777" w:rsidR="005A7792" w:rsidRDefault="005A7792" w:rsidP="0024269C"/>
    <w:p w14:paraId="07E0F28B" w14:textId="0E49442A" w:rsidR="00455168" w:rsidRDefault="00455168" w:rsidP="0024269C">
      <w:r>
        <w:t>TAG modelling</w:t>
      </w:r>
      <w:r w:rsidR="00666C4F">
        <w:t xml:space="preserve"> explored the option of replacing total sugars with added sugars, with modelling suggesting that</w:t>
      </w:r>
      <w:r>
        <w:t>:</w:t>
      </w:r>
    </w:p>
    <w:p w14:paraId="5BC579C3" w14:textId="77777777" w:rsidR="00455168" w:rsidRDefault="00455168" w:rsidP="0024269C"/>
    <w:p w14:paraId="1942DFEE" w14:textId="496EB207" w:rsidR="0063787E" w:rsidRDefault="00EC71E3" w:rsidP="00B51EE9">
      <w:pPr>
        <w:pStyle w:val="mpcbullets1"/>
      </w:pPr>
      <w:r>
        <w:t>substituting total sugars with</w:t>
      </w:r>
      <w:r w:rsidR="00455168">
        <w:t xml:space="preserve"> added sugars results in a mean increase in HSRs across most product categories</w:t>
      </w:r>
      <w:r w:rsidR="00666C4F">
        <w:t xml:space="preserve"> because added sugars content is lower than total sugars content and therefore, fewer negative points are scored</w:t>
      </w:r>
      <w:r w:rsidR="00455168">
        <w:t xml:space="preserve">. It does not have the desired impact on those products of concern, </w:t>
      </w:r>
      <w:r w:rsidR="0063787E">
        <w:t xml:space="preserve">generally </w:t>
      </w:r>
      <w:r w:rsidR="00455168">
        <w:t>resulting in</w:t>
      </w:r>
      <w:r w:rsidR="00515118">
        <w:t xml:space="preserve"> </w:t>
      </w:r>
      <w:r w:rsidR="009A20C0">
        <w:t>increases</w:t>
      </w:r>
      <w:r w:rsidR="00455168">
        <w:t xml:space="preserve"> </w:t>
      </w:r>
      <w:r w:rsidR="00AE7F9E">
        <w:t>to</w:t>
      </w:r>
      <w:r w:rsidR="00455168">
        <w:t xml:space="preserve"> the HSRs for breakfast cereals, muesli bars and yog</w:t>
      </w:r>
      <w:r w:rsidR="00655BEA">
        <w:t>h</w:t>
      </w:r>
      <w:r w:rsidR="00455168">
        <w:t>urt</w:t>
      </w:r>
      <w:r w:rsidR="00EB491F">
        <w:t>s</w:t>
      </w:r>
    </w:p>
    <w:p w14:paraId="5B61E301" w14:textId="2BC8AEFD" w:rsidR="00455168" w:rsidRPr="0063787E" w:rsidRDefault="00455168" w:rsidP="00B51EE9">
      <w:pPr>
        <w:pStyle w:val="mpcbullets1"/>
      </w:pPr>
      <w:r w:rsidRPr="0063787E">
        <w:t>while this option (with rescaling of the sugars table) may decrease the HSR</w:t>
      </w:r>
      <w:r w:rsidR="00AE7F9E" w:rsidRPr="0063787E">
        <w:t>s</w:t>
      </w:r>
      <w:r w:rsidRPr="0063787E">
        <w:t xml:space="preserve"> for some discretionary products and increase the HSR</w:t>
      </w:r>
      <w:r w:rsidR="00AE7F9E" w:rsidRPr="0063787E">
        <w:t>s</w:t>
      </w:r>
      <w:r w:rsidRPr="0063787E">
        <w:t xml:space="preserve"> for some </w:t>
      </w:r>
      <w:r w:rsidR="002E690E">
        <w:t>FFG</w:t>
      </w:r>
      <w:r w:rsidRPr="0063787E">
        <w:t xml:space="preserve"> products high in intrinsic sugars (such as fruits and dairy), it </w:t>
      </w:r>
      <w:r w:rsidR="00515118" w:rsidRPr="0063787E">
        <w:t>still would not have the desired impact on the products of concern</w:t>
      </w:r>
      <w:r w:rsidR="00666C4F">
        <w:t>.</w:t>
      </w:r>
    </w:p>
    <w:p w14:paraId="4259085C" w14:textId="77777777" w:rsidR="00455168" w:rsidRDefault="00455168" w:rsidP="0024269C"/>
    <w:p w14:paraId="28D1514D" w14:textId="3B2AC22F" w:rsidR="009004C4" w:rsidRDefault="00455168" w:rsidP="0024269C">
      <w:r w:rsidRPr="009004C4">
        <w:t>This outcome is also broadly consistent with a study published in December 2017</w:t>
      </w:r>
      <w:r w:rsidRPr="009004C4">
        <w:rPr>
          <w:rStyle w:val="FootnoteReference"/>
          <w:sz w:val="22"/>
        </w:rPr>
        <w:footnoteReference w:id="41"/>
      </w:r>
      <w:r w:rsidR="0063787E" w:rsidRPr="009004C4">
        <w:t>, which</w:t>
      </w:r>
      <w:r w:rsidRPr="009004C4">
        <w:t xml:space="preserve"> found that when added sugar</w:t>
      </w:r>
      <w:r w:rsidR="0063787E" w:rsidRPr="009004C4">
        <w:t>s were used in place of total sugars in the HSR Calculator</w:t>
      </w:r>
      <w:r w:rsidRPr="009004C4">
        <w:t>, the number of discretionary products that received a</w:t>
      </w:r>
      <w:r w:rsidR="007E6515">
        <w:t>n</w:t>
      </w:r>
      <w:r w:rsidRPr="009004C4">
        <w:t xml:space="preserve"> HSR of </w:t>
      </w:r>
      <w:r w:rsidRPr="009004C4">
        <w:sym w:font="Symbol" w:char="F0B3"/>
      </w:r>
      <w:r w:rsidRPr="009004C4">
        <w:t xml:space="preserve"> 3.5 increased by 7.6%. </w:t>
      </w:r>
      <w:r w:rsidR="009004C4">
        <w:t>The</w:t>
      </w:r>
      <w:r w:rsidR="009004C4" w:rsidRPr="009004C4">
        <w:t xml:space="preserve"> study found</w:t>
      </w:r>
      <w:r w:rsidR="009004C4">
        <w:t xml:space="preserve"> that while using added sugars resulted in</w:t>
      </w:r>
      <w:r w:rsidR="009004C4" w:rsidRPr="009004C4">
        <w:t xml:space="preserve"> some</w:t>
      </w:r>
      <w:r w:rsidR="009004C4">
        <w:t xml:space="preserve"> </w:t>
      </w:r>
      <w:r w:rsidR="009004C4" w:rsidRPr="00C77380">
        <w:t>improve</w:t>
      </w:r>
      <w:r w:rsidR="009004C4">
        <w:t>d</w:t>
      </w:r>
      <w:r w:rsidR="009004C4" w:rsidRPr="00C77380">
        <w:t xml:space="preserve"> alignment with Dietary Guidelines</w:t>
      </w:r>
      <w:r w:rsidR="009004C4">
        <w:t>, ther</w:t>
      </w:r>
      <w:r w:rsidR="002D580B">
        <w:t>e was no significant difference</w:t>
      </w:r>
      <w:r w:rsidR="009004C4">
        <w:t xml:space="preserve"> in the </w:t>
      </w:r>
      <w:r w:rsidR="00EC71E3">
        <w:t>median HSR of breakfast cereals</w:t>
      </w:r>
      <w:r w:rsidR="00BC619F">
        <w:t xml:space="preserve">. This study also found that, </w:t>
      </w:r>
      <w:r w:rsidR="00BC619F" w:rsidRPr="00BC619F">
        <w:t>even when the HSR is calculated with added</w:t>
      </w:r>
      <w:r w:rsidR="00BC619F">
        <w:t xml:space="preserve"> </w:t>
      </w:r>
      <w:r w:rsidR="00BC619F" w:rsidRPr="00BC619F">
        <w:t xml:space="preserve">sugars, fresh fruit and vegetables do not receive </w:t>
      </w:r>
      <w:r w:rsidR="002D580B">
        <w:t>a</w:t>
      </w:r>
      <w:r w:rsidR="007E6515">
        <w:t>n</w:t>
      </w:r>
      <w:r w:rsidR="002D580B">
        <w:t xml:space="preserve"> HSR of 5</w:t>
      </w:r>
      <w:r w:rsidR="00BC619F" w:rsidRPr="00BC619F">
        <w:t>; in</w:t>
      </w:r>
      <w:r w:rsidR="00BC619F">
        <w:t xml:space="preserve"> </w:t>
      </w:r>
      <w:r w:rsidR="00BC619F" w:rsidRPr="00BC619F">
        <w:t>fact</w:t>
      </w:r>
      <w:r w:rsidR="00EC71E3">
        <w:t>, the HSR for these products is</w:t>
      </w:r>
      <w:r w:rsidR="00BC619F" w:rsidRPr="00BC619F">
        <w:t xml:space="preserve"> not elevated at all.</w:t>
      </w:r>
    </w:p>
    <w:p w14:paraId="677A9C30" w14:textId="77777777" w:rsidR="00192237" w:rsidRDefault="00192237" w:rsidP="0024269C"/>
    <w:p w14:paraId="2B2C9DE9" w14:textId="591198B3" w:rsidR="00455168" w:rsidRDefault="00BC619F" w:rsidP="0024269C">
      <w:r>
        <w:t>Further d</w:t>
      </w:r>
      <w:r w:rsidR="00455168">
        <w:t xml:space="preserve">isadvantages of </w:t>
      </w:r>
      <w:r>
        <w:t>this option</w:t>
      </w:r>
      <w:r w:rsidR="00455168">
        <w:t xml:space="preserve"> include: </w:t>
      </w:r>
    </w:p>
    <w:p w14:paraId="69B2C4DD" w14:textId="77777777" w:rsidR="00455168" w:rsidRPr="00822333" w:rsidRDefault="00455168" w:rsidP="0024269C"/>
    <w:p w14:paraId="0A374E98" w14:textId="254694C1" w:rsidR="00455168" w:rsidRDefault="00455168" w:rsidP="00B51EE9">
      <w:pPr>
        <w:pStyle w:val="mpcbullets1"/>
      </w:pPr>
      <w:r w:rsidRPr="00B35C49">
        <w:t xml:space="preserve">it would </w:t>
      </w:r>
      <w:r>
        <w:t xml:space="preserve">diminish </w:t>
      </w:r>
      <w:r w:rsidRPr="00B35C49">
        <w:t>align</w:t>
      </w:r>
      <w:r>
        <w:t>ment</w:t>
      </w:r>
      <w:r w:rsidRPr="00B35C49">
        <w:t xml:space="preserve"> with the NPSC </w:t>
      </w:r>
      <w:r w:rsidR="002D580B">
        <w:t>(</w:t>
      </w:r>
      <w:r w:rsidR="00F7534E">
        <w:t>which</w:t>
      </w:r>
      <w:r w:rsidR="002D580B">
        <w:t xml:space="preserve"> uses total sugars)</w:t>
      </w:r>
    </w:p>
    <w:p w14:paraId="06CEDDD0" w14:textId="62DE573E" w:rsidR="00455168" w:rsidRPr="00B35C49" w:rsidRDefault="00AB3CAA" w:rsidP="00B51EE9">
      <w:pPr>
        <w:pStyle w:val="mpcbullets1"/>
      </w:pPr>
      <w:r>
        <w:t>i</w:t>
      </w:r>
      <w:r w:rsidR="00BC619F">
        <w:t xml:space="preserve">t </w:t>
      </w:r>
      <w:r w:rsidR="00455168" w:rsidRPr="00B35C49">
        <w:t xml:space="preserve">would represent a significant change </w:t>
      </w:r>
      <w:r>
        <w:t xml:space="preserve">and a potential barrier to uptake </w:t>
      </w:r>
      <w:r w:rsidR="00455168" w:rsidRPr="00B35C49">
        <w:t>for industry</w:t>
      </w:r>
      <w:r w:rsidR="00455168">
        <w:t xml:space="preserve"> (in terms of </w:t>
      </w:r>
      <w:r w:rsidR="00BC619F">
        <w:t>quantifying added sugars rather than total sugars</w:t>
      </w:r>
      <w:r w:rsidR="00455168">
        <w:t>)</w:t>
      </w:r>
      <w:r>
        <w:t>. There is currently no analytical method for measuring only the added sugars of a product</w:t>
      </w:r>
      <w:r w:rsidR="00EC71E3">
        <w:t>,</w:t>
      </w:r>
      <w:r>
        <w:t xml:space="preserve"> as this is indistinguishable when conducting a nutrient analysis</w:t>
      </w:r>
      <w:r w:rsidR="00C331C0">
        <w:t xml:space="preserve">. However, </w:t>
      </w:r>
      <w:r w:rsidR="00F744EE">
        <w:t xml:space="preserve">some stakeholders have noted that </w:t>
      </w:r>
      <w:r w:rsidR="00C331C0">
        <w:t>added sugars content may be estimated from ingredients lists</w:t>
      </w:r>
      <w:r w:rsidR="00F744EE">
        <w:t xml:space="preserve"> and that both </w:t>
      </w:r>
      <w:r w:rsidR="00C331C0">
        <w:t xml:space="preserve">the United States and </w:t>
      </w:r>
      <w:r w:rsidR="00F744EE">
        <w:t>the UK are exploring methods to quantify added sugars</w:t>
      </w:r>
    </w:p>
    <w:p w14:paraId="492017B4" w14:textId="1FC57E91" w:rsidR="00455168" w:rsidRPr="00B35C49" w:rsidRDefault="00455168" w:rsidP="00B51EE9">
      <w:pPr>
        <w:pStyle w:val="mpcbullets1"/>
      </w:pPr>
      <w:r>
        <w:t>i</w:t>
      </w:r>
      <w:r w:rsidRPr="00822333">
        <w:t xml:space="preserve">n Australia and New Zealand there is currently no </w:t>
      </w:r>
      <w:r>
        <w:t>agreed definition of added sugar</w:t>
      </w:r>
      <w:r w:rsidR="00EC71E3">
        <w:t>,</w:t>
      </w:r>
      <w:r>
        <w:t xml:space="preserve"> and it is not a </w:t>
      </w:r>
      <w:r w:rsidRPr="00822333">
        <w:t>requirement to display added sug</w:t>
      </w:r>
      <w:r w:rsidR="002D580B">
        <w:t>ars content i</w:t>
      </w:r>
      <w:r w:rsidRPr="00822333">
        <w:t xml:space="preserve">n the NIP. </w:t>
      </w:r>
      <w:r>
        <w:t xml:space="preserve">While this presents an additional </w:t>
      </w:r>
      <w:r w:rsidR="00AB3CAA">
        <w:t>challenge, we do not consider that</w:t>
      </w:r>
      <w:r>
        <w:t xml:space="preserve"> this </w:t>
      </w:r>
      <w:r w:rsidR="00AB3CAA">
        <w:t xml:space="preserve">alone </w:t>
      </w:r>
      <w:r>
        <w:t>present</w:t>
      </w:r>
      <w:r w:rsidR="00AB3CAA">
        <w:t>s</w:t>
      </w:r>
      <w:r>
        <w:t xml:space="preserve"> an insurmountable barrier to implementation of this option</w:t>
      </w:r>
      <w:r w:rsidR="00AB3CAA">
        <w:t xml:space="preserve">. </w:t>
      </w:r>
      <w:r>
        <w:t xml:space="preserve">A definition could, for example, </w:t>
      </w:r>
      <w:r w:rsidRPr="00B35C49">
        <w:t>be linked to criteria for claims of no added sugar as set out in Schedule 4 of the Code</w:t>
      </w:r>
      <w:r>
        <w:rPr>
          <w:rStyle w:val="FootnoteReference"/>
          <w:sz w:val="22"/>
        </w:rPr>
        <w:footnoteReference w:id="42"/>
      </w:r>
      <w:r w:rsidR="00BF1780">
        <w:t xml:space="preserve"> </w:t>
      </w:r>
      <w:r w:rsidR="00BF1780">
        <w:rPr>
          <w:rStyle w:val="FootnoteReference"/>
          <w:sz w:val="22"/>
        </w:rPr>
        <w:footnoteReference w:id="43"/>
      </w:r>
      <w:r w:rsidR="00BD70A7">
        <w:t>. Technical guidance on how added sugars should be quantified would also be required</w:t>
      </w:r>
    </w:p>
    <w:p w14:paraId="6F3A357F" w14:textId="50F1F9CC" w:rsidR="00455168" w:rsidRPr="001B3174" w:rsidRDefault="002D580B" w:rsidP="00B51EE9">
      <w:pPr>
        <w:pStyle w:val="mpcbullets1"/>
      </w:pPr>
      <w:r w:rsidRPr="001B3174">
        <w:lastRenderedPageBreak/>
        <w:t>adde</w:t>
      </w:r>
      <w:r w:rsidR="00BD4218" w:rsidRPr="001B3174">
        <w:t xml:space="preserve">d sugars are chemically </w:t>
      </w:r>
      <w:r w:rsidR="003768C3" w:rsidRPr="001B3174">
        <w:t>identical to</w:t>
      </w:r>
      <w:r w:rsidR="00BD4218" w:rsidRPr="001B3174">
        <w:t xml:space="preserve"> intrinsic sugars and </w:t>
      </w:r>
      <w:r w:rsidR="00455168" w:rsidRPr="001B3174">
        <w:t xml:space="preserve">are processed by the body </w:t>
      </w:r>
      <w:r w:rsidR="003768C3" w:rsidRPr="001B3174">
        <w:t>in the same way</w:t>
      </w:r>
      <w:r w:rsidR="003768C3" w:rsidRPr="001B3174">
        <w:rPr>
          <w:rStyle w:val="FootnoteReference"/>
          <w:sz w:val="22"/>
          <w:szCs w:val="22"/>
        </w:rPr>
        <w:footnoteReference w:id="44"/>
      </w:r>
      <w:r w:rsidR="008B72F8">
        <w:t>, such that some argue they should not be treated differently.</w:t>
      </w:r>
    </w:p>
    <w:p w14:paraId="6E3E2D82" w14:textId="77777777" w:rsidR="00F15579" w:rsidRDefault="00F15579" w:rsidP="0024269C"/>
    <w:p w14:paraId="0C5787AC" w14:textId="0F52066C" w:rsidR="00455168" w:rsidRDefault="00455168" w:rsidP="0024269C">
      <w:r>
        <w:t>Rather tha</w:t>
      </w:r>
      <w:r w:rsidR="00C70562">
        <w:t>n</w:t>
      </w:r>
      <w:r>
        <w:t xml:space="preserve"> replacing total s</w:t>
      </w:r>
      <w:r w:rsidR="00F6489B">
        <w:t>ugars with added sugars in the HSR C</w:t>
      </w:r>
      <w:r>
        <w:t>alculator</w:t>
      </w:r>
      <w:r w:rsidR="00F7534E">
        <w:t>,</w:t>
      </w:r>
      <w:r>
        <w:t xml:space="preserve"> we suggest that:</w:t>
      </w:r>
    </w:p>
    <w:p w14:paraId="14FC7E4B" w14:textId="77777777" w:rsidR="00455168" w:rsidRDefault="00455168" w:rsidP="0024269C"/>
    <w:p w14:paraId="3585CE8D" w14:textId="7E822C34" w:rsidR="00455168" w:rsidRPr="005A5DA6" w:rsidRDefault="00455168" w:rsidP="00B51EE9">
      <w:pPr>
        <w:pStyle w:val="mpcbullets1"/>
      </w:pPr>
      <w:r>
        <w:t>i</w:t>
      </w:r>
      <w:r w:rsidRPr="005A5DA6">
        <w:t>ncreasing the impact of to</w:t>
      </w:r>
      <w:r>
        <w:t>t</w:t>
      </w:r>
      <w:r w:rsidRPr="005A5DA6">
        <w:t xml:space="preserve">al sugars may be more desirable and </w:t>
      </w:r>
      <w:r w:rsidR="00F7534E">
        <w:t xml:space="preserve">better able to </w:t>
      </w:r>
      <w:r w:rsidRPr="005A5DA6">
        <w:t>target</w:t>
      </w:r>
      <w:r>
        <w:t xml:space="preserve"> the</w:t>
      </w:r>
      <w:r w:rsidRPr="005A5DA6">
        <w:t xml:space="preserve"> problem (see discussi</w:t>
      </w:r>
      <w:r>
        <w:t>o</w:t>
      </w:r>
      <w:r w:rsidRPr="005A5DA6">
        <w:t xml:space="preserve">n </w:t>
      </w:r>
      <w:r w:rsidR="00F6489B">
        <w:t>on Option C</w:t>
      </w:r>
      <w:r w:rsidRPr="005A5DA6">
        <w:t>)</w:t>
      </w:r>
    </w:p>
    <w:p w14:paraId="6951BFC0" w14:textId="4C92DCE5" w:rsidR="00455168" w:rsidRPr="005A5DA6" w:rsidRDefault="00455168" w:rsidP="00B51EE9">
      <w:pPr>
        <w:pStyle w:val="mpcbullets1"/>
      </w:pPr>
      <w:r>
        <w:t>t</w:t>
      </w:r>
      <w:r w:rsidRPr="005A5DA6">
        <w:t xml:space="preserve">here </w:t>
      </w:r>
      <w:r>
        <w:t>are a</w:t>
      </w:r>
      <w:r w:rsidRPr="005A5DA6">
        <w:t xml:space="preserve"> range of </w:t>
      </w:r>
      <w:r>
        <w:t xml:space="preserve">other </w:t>
      </w:r>
      <w:r w:rsidRPr="005A5DA6">
        <w:t>ini</w:t>
      </w:r>
      <w:r>
        <w:t xml:space="preserve">tiatives </w:t>
      </w:r>
      <w:r w:rsidRPr="005A5DA6">
        <w:t xml:space="preserve">occurring </w:t>
      </w:r>
      <w:r>
        <w:t>in parallel</w:t>
      </w:r>
      <w:r w:rsidRPr="005A5DA6">
        <w:t xml:space="preserve"> designed to </w:t>
      </w:r>
      <w:r>
        <w:t>address</w:t>
      </w:r>
      <w:r w:rsidRPr="005A5DA6">
        <w:t xml:space="preserve"> </w:t>
      </w:r>
      <w:r>
        <w:t xml:space="preserve">added sugars </w:t>
      </w:r>
      <w:r w:rsidR="00F7534E">
        <w:t xml:space="preserve">that </w:t>
      </w:r>
      <w:r>
        <w:t xml:space="preserve">would complement the treatment of </w:t>
      </w:r>
      <w:r w:rsidR="00037A83">
        <w:t xml:space="preserve">total </w:t>
      </w:r>
      <w:r>
        <w:t>sugars in the HSR.</w:t>
      </w:r>
    </w:p>
    <w:p w14:paraId="2113CA04" w14:textId="39310DD1" w:rsidR="00037A83" w:rsidRPr="00037A83" w:rsidRDefault="00037A83" w:rsidP="00B51EE9">
      <w:pPr>
        <w:pStyle w:val="mpcbullets2"/>
      </w:pPr>
      <w:r w:rsidRPr="00037A83">
        <w:t xml:space="preserve">The </w:t>
      </w:r>
      <w:hyperlink r:id="rId34" w:history="1">
        <w:r w:rsidRPr="001206CC">
          <w:rPr>
            <w:rStyle w:val="Hyperlink"/>
            <w:szCs w:val="22"/>
          </w:rPr>
          <w:t>Australia and New Zealand Ministerial Forum on Food Regulation</w:t>
        </w:r>
      </w:hyperlink>
      <w:r w:rsidRPr="00037A83">
        <w:t xml:space="preserve"> (the Forum) is currently exploring options for labelling of sugars on packaged foods and drinks for sale in Australia and New Zealand. The outcomes of this work may provide consumers with </w:t>
      </w:r>
      <w:r w:rsidR="00901420">
        <w:t>additional</w:t>
      </w:r>
      <w:r w:rsidRPr="00037A83">
        <w:t xml:space="preserve"> contextual information about sugars to enable </w:t>
      </w:r>
      <w:r w:rsidR="00F7534E">
        <w:t>them</w:t>
      </w:r>
      <w:r w:rsidR="00F7534E" w:rsidRPr="00037A83">
        <w:t xml:space="preserve"> </w:t>
      </w:r>
      <w:r w:rsidRPr="00037A83">
        <w:t>to make informed choices in support of the Dietary Guidelines.</w:t>
      </w:r>
      <w:r w:rsidRPr="00037A83">
        <w:rPr>
          <w:vertAlign w:val="superscript"/>
        </w:rPr>
        <w:footnoteReference w:id="45"/>
      </w:r>
    </w:p>
    <w:p w14:paraId="0036225D" w14:textId="29EBCF7D" w:rsidR="00455168" w:rsidRDefault="00455168" w:rsidP="00B51EE9">
      <w:pPr>
        <w:pStyle w:val="mpcbullets2"/>
      </w:pPr>
      <w:r w:rsidRPr="005A5DA6">
        <w:t xml:space="preserve">The </w:t>
      </w:r>
      <w:hyperlink r:id="rId35" w:history="1">
        <w:r w:rsidRPr="001206CC">
          <w:rPr>
            <w:rStyle w:val="Hyperlink"/>
            <w:szCs w:val="22"/>
          </w:rPr>
          <w:t>Healthy Food Partnership’s Reformulation Working Group </w:t>
        </w:r>
      </w:hyperlink>
      <w:r w:rsidRPr="005A5DA6">
        <w:t>has developed draft reformulation targets for sugars across foods that represent the highest contributors of free sugars to Australian population level intakes. Reformulation targets are specifically proposed for: soft drinks and energy drinks; flavoured water, mineral water, soda water and iced teas; breakfast cereals; flavoured milks; yog</w:t>
      </w:r>
      <w:r w:rsidR="00655BEA">
        <w:t>h</w:t>
      </w:r>
      <w:r w:rsidRPr="005A5DA6">
        <w:t>urts; and muesli or cereal style bars.</w:t>
      </w:r>
    </w:p>
    <w:p w14:paraId="52B87F89" w14:textId="77777777" w:rsidR="002E0AB5" w:rsidRDefault="002E0AB5" w:rsidP="00BF1780">
      <w:pPr>
        <w:pStyle w:val="mpcbullets1"/>
        <w:numPr>
          <w:ilvl w:val="0"/>
          <w:numId w:val="0"/>
        </w:numPr>
        <w:ind w:left="720"/>
        <w:rPr>
          <w:rFonts w:cstheme="minorHAnsi"/>
          <w:szCs w:val="22"/>
        </w:rPr>
      </w:pPr>
    </w:p>
    <w:p w14:paraId="4994B926" w14:textId="59644CD0" w:rsidR="002E0AB5" w:rsidRDefault="002E0AB5" w:rsidP="00BF1780">
      <w:pPr>
        <w:pStyle w:val="mpcbullets1"/>
        <w:numPr>
          <w:ilvl w:val="0"/>
          <w:numId w:val="0"/>
        </w:numPr>
        <w:rPr>
          <w:rFonts w:cstheme="minorHAnsi"/>
          <w:szCs w:val="22"/>
        </w:rPr>
      </w:pPr>
      <w:r>
        <w:rPr>
          <w:rFonts w:cstheme="minorHAnsi"/>
          <w:szCs w:val="22"/>
        </w:rPr>
        <w:t xml:space="preserve">We note that the TAG also modelled a hybrid option that </w:t>
      </w:r>
      <w:r w:rsidR="00BF1780">
        <w:rPr>
          <w:rFonts w:cstheme="minorHAnsi"/>
          <w:szCs w:val="22"/>
        </w:rPr>
        <w:t xml:space="preserve">more </w:t>
      </w:r>
      <w:r w:rsidR="008B72F8">
        <w:rPr>
          <w:rFonts w:cstheme="minorHAnsi"/>
          <w:szCs w:val="22"/>
        </w:rPr>
        <w:t xml:space="preserve">strongly </w:t>
      </w:r>
      <w:r w:rsidR="00BF1780">
        <w:rPr>
          <w:rFonts w:cstheme="minorHAnsi"/>
          <w:szCs w:val="22"/>
        </w:rPr>
        <w:t>penalises total sugars</w:t>
      </w:r>
      <w:r w:rsidR="00B51EE9">
        <w:rPr>
          <w:rFonts w:cstheme="minorHAnsi"/>
          <w:szCs w:val="22"/>
        </w:rPr>
        <w:t xml:space="preserve"> (as per Option </w:t>
      </w:r>
      <w:r w:rsidR="00702C4D">
        <w:rPr>
          <w:rFonts w:cstheme="minorHAnsi"/>
          <w:szCs w:val="22"/>
        </w:rPr>
        <w:t>C)</w:t>
      </w:r>
      <w:r w:rsidR="00B11DBC">
        <w:rPr>
          <w:rFonts w:cstheme="minorHAnsi"/>
          <w:szCs w:val="22"/>
        </w:rPr>
        <w:t>,</w:t>
      </w:r>
      <w:r w:rsidR="00702C4D">
        <w:rPr>
          <w:rFonts w:cstheme="minorHAnsi"/>
          <w:szCs w:val="22"/>
        </w:rPr>
        <w:t xml:space="preserve"> but only</w:t>
      </w:r>
      <w:r w:rsidR="00BF1780">
        <w:rPr>
          <w:rFonts w:cstheme="minorHAnsi"/>
          <w:szCs w:val="22"/>
        </w:rPr>
        <w:t xml:space="preserve"> when added sugars are present. However, this </w:t>
      </w:r>
      <w:r>
        <w:rPr>
          <w:rFonts w:cstheme="minorHAnsi"/>
          <w:szCs w:val="22"/>
        </w:rPr>
        <w:t xml:space="preserve">has many of the </w:t>
      </w:r>
      <w:r w:rsidR="008162D9">
        <w:rPr>
          <w:rFonts w:cstheme="minorHAnsi"/>
          <w:szCs w:val="22"/>
        </w:rPr>
        <w:t xml:space="preserve">same </w:t>
      </w:r>
      <w:r>
        <w:rPr>
          <w:rFonts w:cstheme="minorHAnsi"/>
          <w:szCs w:val="22"/>
        </w:rPr>
        <w:t xml:space="preserve">disadvantages of </w:t>
      </w:r>
      <w:r w:rsidR="008162D9">
        <w:rPr>
          <w:rFonts w:cstheme="minorHAnsi"/>
          <w:szCs w:val="22"/>
        </w:rPr>
        <w:t>replacing total sugars in the H</w:t>
      </w:r>
      <w:r w:rsidR="00B11DBC">
        <w:rPr>
          <w:rFonts w:cstheme="minorHAnsi"/>
          <w:szCs w:val="22"/>
        </w:rPr>
        <w:t>SR Calculator with added sugars,</w:t>
      </w:r>
      <w:r w:rsidR="006A53D2">
        <w:rPr>
          <w:rFonts w:cstheme="minorHAnsi"/>
          <w:szCs w:val="22"/>
        </w:rPr>
        <w:t xml:space="preserve"> al</w:t>
      </w:r>
      <w:r>
        <w:rPr>
          <w:rFonts w:cstheme="minorHAnsi"/>
          <w:szCs w:val="22"/>
        </w:rPr>
        <w:t>ong with added complexity</w:t>
      </w:r>
      <w:r w:rsidR="008162D9">
        <w:rPr>
          <w:rFonts w:cstheme="minorHAnsi"/>
          <w:szCs w:val="22"/>
        </w:rPr>
        <w:t xml:space="preserve"> in determining the </w:t>
      </w:r>
      <w:r w:rsidR="00FB3296">
        <w:rPr>
          <w:rFonts w:cstheme="minorHAnsi"/>
          <w:szCs w:val="22"/>
        </w:rPr>
        <w:t>parameters</w:t>
      </w:r>
      <w:r w:rsidR="008162D9">
        <w:rPr>
          <w:rFonts w:cstheme="minorHAnsi"/>
          <w:szCs w:val="22"/>
        </w:rPr>
        <w:t xml:space="preserve"> </w:t>
      </w:r>
      <w:r w:rsidR="00FB3296">
        <w:rPr>
          <w:rFonts w:cstheme="minorHAnsi"/>
          <w:szCs w:val="22"/>
        </w:rPr>
        <w:t xml:space="preserve">adopted to capture products with added </w:t>
      </w:r>
      <w:r w:rsidR="00FB3296" w:rsidRPr="00B11DBC">
        <w:rPr>
          <w:rFonts w:cstheme="minorHAnsi"/>
          <w:szCs w:val="22"/>
        </w:rPr>
        <w:t xml:space="preserve">sugars. </w:t>
      </w:r>
      <w:r w:rsidR="006A53D2" w:rsidRPr="00B11DBC">
        <w:rPr>
          <w:rFonts w:cstheme="minorHAnsi"/>
          <w:szCs w:val="22"/>
        </w:rPr>
        <w:t xml:space="preserve">The impacts </w:t>
      </w:r>
      <w:r w:rsidR="00BB6A29" w:rsidRPr="00B11DBC">
        <w:rPr>
          <w:rFonts w:cstheme="minorHAnsi"/>
          <w:szCs w:val="22"/>
        </w:rPr>
        <w:t>of this option</w:t>
      </w:r>
      <w:r w:rsidR="00B11DBC" w:rsidRPr="00B11DBC">
        <w:rPr>
          <w:rFonts w:cstheme="minorHAnsi"/>
          <w:szCs w:val="22"/>
        </w:rPr>
        <w:t>,</w:t>
      </w:r>
      <w:r w:rsidR="001B3AA1" w:rsidRPr="00B11DBC">
        <w:rPr>
          <w:rFonts w:cstheme="minorHAnsi"/>
          <w:szCs w:val="22"/>
        </w:rPr>
        <w:t xml:space="preserve"> as modelled by the TAG</w:t>
      </w:r>
      <w:r w:rsidR="00B11DBC" w:rsidRPr="00B11DBC">
        <w:rPr>
          <w:rFonts w:cstheme="minorHAnsi"/>
          <w:szCs w:val="22"/>
        </w:rPr>
        <w:t>,</w:t>
      </w:r>
      <w:r w:rsidR="00BB6A29" w:rsidRPr="00B11DBC">
        <w:rPr>
          <w:rFonts w:cstheme="minorHAnsi"/>
          <w:szCs w:val="22"/>
        </w:rPr>
        <w:t xml:space="preserve"> are similar to</w:t>
      </w:r>
      <w:r w:rsidR="001B3AA1" w:rsidRPr="00B11DBC">
        <w:rPr>
          <w:rFonts w:cstheme="minorHAnsi"/>
          <w:szCs w:val="22"/>
        </w:rPr>
        <w:t xml:space="preserve"> the impacts of</w:t>
      </w:r>
      <w:r w:rsidR="00C52B2C" w:rsidRPr="00B11DBC">
        <w:rPr>
          <w:rFonts w:cstheme="minorHAnsi"/>
          <w:szCs w:val="22"/>
        </w:rPr>
        <w:t xml:space="preserve"> Option C</w:t>
      </w:r>
      <w:r w:rsidRPr="00B11DBC">
        <w:rPr>
          <w:rFonts w:cstheme="minorHAnsi"/>
          <w:szCs w:val="22"/>
        </w:rPr>
        <w:t xml:space="preserve"> </w:t>
      </w:r>
      <w:r w:rsidR="002E6BD6" w:rsidRPr="00B11DBC">
        <w:rPr>
          <w:rFonts w:cstheme="minorHAnsi"/>
          <w:szCs w:val="22"/>
        </w:rPr>
        <w:t xml:space="preserve">(particularly if a policy decision is made such that all </w:t>
      </w:r>
      <w:r w:rsidR="00B11DBC" w:rsidRPr="00B11DBC">
        <w:rPr>
          <w:rFonts w:cstheme="minorHAnsi"/>
          <w:szCs w:val="22"/>
        </w:rPr>
        <w:t xml:space="preserve">fresh or minimally processed </w:t>
      </w:r>
      <w:r w:rsidR="002E6BD6" w:rsidRPr="00B11DBC">
        <w:rPr>
          <w:rFonts w:cstheme="minorHAnsi"/>
          <w:szCs w:val="22"/>
        </w:rPr>
        <w:t>fruits and vegetables automatically receive a</w:t>
      </w:r>
      <w:r w:rsidR="007E6515">
        <w:rPr>
          <w:rFonts w:cstheme="minorHAnsi"/>
          <w:szCs w:val="22"/>
        </w:rPr>
        <w:t>n</w:t>
      </w:r>
      <w:r w:rsidR="002E6BD6" w:rsidRPr="00B11DBC">
        <w:rPr>
          <w:rFonts w:cstheme="minorHAnsi"/>
          <w:szCs w:val="22"/>
        </w:rPr>
        <w:t xml:space="preserve"> HSR of 5) </w:t>
      </w:r>
      <w:r w:rsidR="00BF1780" w:rsidRPr="00B11DBC">
        <w:rPr>
          <w:rFonts w:cstheme="minorHAnsi"/>
          <w:szCs w:val="22"/>
        </w:rPr>
        <w:t>and as such</w:t>
      </w:r>
      <w:r w:rsidR="006A53D2" w:rsidRPr="00B11DBC">
        <w:rPr>
          <w:rFonts w:cstheme="minorHAnsi"/>
          <w:szCs w:val="22"/>
        </w:rPr>
        <w:t>,</w:t>
      </w:r>
      <w:r w:rsidR="00BF1780" w:rsidRPr="00B11DBC">
        <w:rPr>
          <w:rFonts w:cstheme="minorHAnsi"/>
          <w:szCs w:val="22"/>
        </w:rPr>
        <w:t xml:space="preserve"> </w:t>
      </w:r>
      <w:r w:rsidRPr="00B11DBC">
        <w:rPr>
          <w:rFonts w:cstheme="minorHAnsi"/>
          <w:szCs w:val="22"/>
        </w:rPr>
        <w:t>we have not examined it further.</w:t>
      </w:r>
      <w:r>
        <w:rPr>
          <w:rFonts w:cstheme="minorHAnsi"/>
          <w:szCs w:val="22"/>
        </w:rPr>
        <w:t xml:space="preserve"> </w:t>
      </w:r>
    </w:p>
    <w:p w14:paraId="666E7213" w14:textId="77777777" w:rsidR="00455168" w:rsidRDefault="00455168" w:rsidP="0024269C"/>
    <w:p w14:paraId="361B24E9" w14:textId="78E55520" w:rsidR="00455168" w:rsidRPr="00675A4C" w:rsidRDefault="00455168" w:rsidP="00B91EBF">
      <w:pPr>
        <w:pStyle w:val="mpcheading4"/>
        <w:numPr>
          <w:ilvl w:val="0"/>
          <w:numId w:val="10"/>
        </w:numPr>
      </w:pPr>
      <w:bookmarkStart w:id="95" w:name="_Toc523922879"/>
      <w:bookmarkStart w:id="96" w:name="_Toc524530354"/>
      <w:r>
        <w:t xml:space="preserve">Increase the </w:t>
      </w:r>
      <w:r w:rsidR="0027644B">
        <w:t>baseline points awarded for</w:t>
      </w:r>
      <w:r>
        <w:t xml:space="preserve"> total sugars</w:t>
      </w:r>
      <w:bookmarkEnd w:id="95"/>
      <w:bookmarkEnd w:id="96"/>
      <w:r>
        <w:t xml:space="preserve"> </w:t>
      </w:r>
      <w:r w:rsidR="001A0508">
        <w:t xml:space="preserve">to reduce the HSRs for products </w:t>
      </w:r>
      <w:r w:rsidR="0046622F">
        <w:t xml:space="preserve">relatively </w:t>
      </w:r>
      <w:r w:rsidR="001A0508">
        <w:t>high in total sugars</w:t>
      </w:r>
    </w:p>
    <w:p w14:paraId="4A63C899" w14:textId="358BC206" w:rsidR="00455168" w:rsidRDefault="00455168" w:rsidP="0024269C">
      <w:pPr>
        <w:rPr>
          <w:szCs w:val="22"/>
        </w:rPr>
      </w:pPr>
      <w:r w:rsidRPr="00FD6F65">
        <w:t xml:space="preserve">This option would require changes to the HSR Calculator to </w:t>
      </w:r>
      <w:r>
        <w:t xml:space="preserve">increase the weighting of total sugars, changing the existing 22 point table to, for example, a 25 point table. </w:t>
      </w:r>
      <w:r>
        <w:rPr>
          <w:szCs w:val="22"/>
        </w:rPr>
        <w:t xml:space="preserve">Increasing the points for </w:t>
      </w:r>
      <w:r w:rsidR="0075415D">
        <w:rPr>
          <w:szCs w:val="22"/>
        </w:rPr>
        <w:t xml:space="preserve">total </w:t>
      </w:r>
      <w:r>
        <w:rPr>
          <w:szCs w:val="22"/>
        </w:rPr>
        <w:t xml:space="preserve">sugars means that products would receive more baseline points </w:t>
      </w:r>
      <w:r w:rsidR="0075415D">
        <w:rPr>
          <w:szCs w:val="22"/>
        </w:rPr>
        <w:t>for the total sugars content</w:t>
      </w:r>
      <w:r w:rsidR="00EC71E3">
        <w:rPr>
          <w:szCs w:val="22"/>
        </w:rPr>
        <w:t>,</w:t>
      </w:r>
      <w:r w:rsidR="0075415D">
        <w:rPr>
          <w:szCs w:val="22"/>
        </w:rPr>
        <w:t xml:space="preserve"> </w:t>
      </w:r>
      <w:r>
        <w:rPr>
          <w:szCs w:val="22"/>
        </w:rPr>
        <w:t xml:space="preserve">and </w:t>
      </w:r>
      <w:r w:rsidR="00F7534E">
        <w:rPr>
          <w:szCs w:val="22"/>
        </w:rPr>
        <w:t xml:space="preserve">therefore </w:t>
      </w:r>
      <w:r>
        <w:rPr>
          <w:szCs w:val="22"/>
        </w:rPr>
        <w:t xml:space="preserve">generally lower HSRs. </w:t>
      </w:r>
    </w:p>
    <w:p w14:paraId="71137A22" w14:textId="77777777" w:rsidR="00455168" w:rsidRDefault="00455168" w:rsidP="0024269C"/>
    <w:p w14:paraId="6A69E4B5" w14:textId="5139F813" w:rsidR="0075415D" w:rsidRDefault="00455168" w:rsidP="0024269C">
      <w:r>
        <w:t xml:space="preserve">The impact of this (and the number of products affected) depends on the proposed change to the </w:t>
      </w:r>
      <w:r w:rsidR="0075415D">
        <w:t>points table</w:t>
      </w:r>
      <w:r>
        <w:t xml:space="preserve">. </w:t>
      </w:r>
      <w:r w:rsidR="00BD4218">
        <w:t xml:space="preserve">The </w:t>
      </w:r>
      <w:r>
        <w:t xml:space="preserve">TAG examined </w:t>
      </w:r>
      <w:r w:rsidR="0075415D">
        <w:t xml:space="preserve">two </w:t>
      </w:r>
      <w:r w:rsidR="007F35B3">
        <w:t>possibilities</w:t>
      </w:r>
      <w:r w:rsidR="0075415D">
        <w:t>: moving to a 25 point table or a 30 point table, against the current 22 point table (status quo).</w:t>
      </w:r>
    </w:p>
    <w:p w14:paraId="4E42EB1C" w14:textId="77777777" w:rsidR="00455168" w:rsidRDefault="00455168" w:rsidP="0024269C"/>
    <w:p w14:paraId="4654A1B9" w14:textId="140E65D2" w:rsidR="007F35B3" w:rsidRDefault="00BD4218" w:rsidP="0024269C">
      <w:r>
        <w:t>Modelling found that a</w:t>
      </w:r>
      <w:r w:rsidR="007F35B3">
        <w:t xml:space="preserve"> 25 point table </w:t>
      </w:r>
      <w:r w:rsidR="00F7534E">
        <w:t>affects</w:t>
      </w:r>
      <w:r w:rsidR="003C297A">
        <w:t xml:space="preserve"> 289 of the 5,885 products in the TAG database (5%), causing</w:t>
      </w:r>
      <w:r w:rsidR="007F35B3">
        <w:t xml:space="preserve"> some </w:t>
      </w:r>
      <w:r w:rsidR="00594FAA">
        <w:t>decrease</w:t>
      </w:r>
      <w:r w:rsidR="00063CBC">
        <w:t>s</w:t>
      </w:r>
      <w:r w:rsidR="00594FAA">
        <w:t xml:space="preserve"> </w:t>
      </w:r>
      <w:r w:rsidR="003C297A">
        <w:t xml:space="preserve">(of between 0.5-1.5) </w:t>
      </w:r>
      <w:r w:rsidR="00594FAA">
        <w:t xml:space="preserve">in the HSRs in the </w:t>
      </w:r>
      <w:r w:rsidR="003C297A">
        <w:t xml:space="preserve">product </w:t>
      </w:r>
      <w:r w:rsidR="00594FAA">
        <w:t>categories of:</w:t>
      </w:r>
    </w:p>
    <w:p w14:paraId="4F9CC38E" w14:textId="4C06FF78" w:rsidR="00594FAA" w:rsidRDefault="00594FAA" w:rsidP="0024269C"/>
    <w:p w14:paraId="4383731D" w14:textId="26F824D5" w:rsidR="00594FAA" w:rsidRPr="00B51EE9" w:rsidRDefault="003C297A" w:rsidP="00B51EE9">
      <w:pPr>
        <w:pStyle w:val="mpcbullets1"/>
      </w:pPr>
      <w:r w:rsidRPr="00B51EE9">
        <w:t>b</w:t>
      </w:r>
      <w:r w:rsidR="00594FAA" w:rsidRPr="00B51EE9">
        <w:t>reakfast cereals</w:t>
      </w:r>
    </w:p>
    <w:p w14:paraId="7935FB9A" w14:textId="3CF3A1D7" w:rsidR="003C297A" w:rsidRPr="00B51EE9" w:rsidRDefault="003C297A" w:rsidP="00B51EE9">
      <w:pPr>
        <w:pStyle w:val="mpcbullets1"/>
      </w:pPr>
      <w:r w:rsidRPr="00B51EE9">
        <w:t>muesli and cereal bars</w:t>
      </w:r>
    </w:p>
    <w:p w14:paraId="70F02021" w14:textId="20F82BA5" w:rsidR="00594FAA" w:rsidRPr="00B51EE9" w:rsidRDefault="003C297A" w:rsidP="00B51EE9">
      <w:pPr>
        <w:pStyle w:val="mpcbullets1"/>
      </w:pPr>
      <w:r w:rsidRPr="00B51EE9">
        <w:t>f</w:t>
      </w:r>
      <w:r w:rsidR="00594FAA" w:rsidRPr="00B51EE9">
        <w:t>lavoured milks and yog</w:t>
      </w:r>
      <w:r w:rsidR="00655BEA" w:rsidRPr="00B51EE9">
        <w:t>h</w:t>
      </w:r>
      <w:r w:rsidR="00594FAA" w:rsidRPr="00B51EE9">
        <w:t>urts</w:t>
      </w:r>
    </w:p>
    <w:p w14:paraId="22C4F803" w14:textId="3903F4DD" w:rsidR="00594FAA" w:rsidRPr="00B51EE9" w:rsidRDefault="003C297A" w:rsidP="00B51EE9">
      <w:pPr>
        <w:pStyle w:val="mpcbullets1"/>
      </w:pPr>
      <w:r w:rsidRPr="00B51EE9">
        <w:t>d</w:t>
      </w:r>
      <w:r w:rsidR="00594FAA" w:rsidRPr="00B51EE9">
        <w:t>airy based desserts</w:t>
      </w:r>
      <w:r w:rsidRPr="00B51EE9">
        <w:t xml:space="preserve">, cream cheeses, </w:t>
      </w:r>
      <w:r w:rsidR="00594FAA" w:rsidRPr="00B51EE9">
        <w:t>custar</w:t>
      </w:r>
      <w:r w:rsidRPr="00B51EE9">
        <w:t>ds, ice creams</w:t>
      </w:r>
    </w:p>
    <w:p w14:paraId="227FECF5" w14:textId="2A12EF36" w:rsidR="00594FAA" w:rsidRPr="00B51EE9" w:rsidRDefault="003C297A" w:rsidP="00B51EE9">
      <w:pPr>
        <w:pStyle w:val="mpcbullets1"/>
      </w:pPr>
      <w:r w:rsidRPr="00B51EE9">
        <w:t>f</w:t>
      </w:r>
      <w:r w:rsidR="00594FAA" w:rsidRPr="00B51EE9">
        <w:t>ruit drinks</w:t>
      </w:r>
      <w:r w:rsidR="00063CBC" w:rsidRPr="00B51EE9">
        <w:t xml:space="preserve"> and</w:t>
      </w:r>
      <w:r w:rsidR="00594FAA" w:rsidRPr="00B51EE9">
        <w:t xml:space="preserve"> soft drinks</w:t>
      </w:r>
    </w:p>
    <w:p w14:paraId="560F8559" w14:textId="3E7E0FF4" w:rsidR="00594FAA" w:rsidRPr="00B51EE9" w:rsidRDefault="003C297A" w:rsidP="00B51EE9">
      <w:pPr>
        <w:pStyle w:val="mpcbullets1"/>
      </w:pPr>
      <w:r w:rsidRPr="00B51EE9">
        <w:t>d</w:t>
      </w:r>
      <w:r w:rsidR="00594FAA" w:rsidRPr="00B51EE9">
        <w:t>ried fruits and jams</w:t>
      </w:r>
    </w:p>
    <w:p w14:paraId="149CCBF0" w14:textId="259666FA" w:rsidR="00594FAA" w:rsidRPr="00B51EE9" w:rsidRDefault="003C297A" w:rsidP="00B51EE9">
      <w:pPr>
        <w:pStyle w:val="mpcbullets1"/>
      </w:pPr>
      <w:r w:rsidRPr="00B51EE9">
        <w:lastRenderedPageBreak/>
        <w:t>s</w:t>
      </w:r>
      <w:r w:rsidR="00594FAA" w:rsidRPr="00B51EE9">
        <w:t>ugar-based desserts, sweet biscuits and cakes</w:t>
      </w:r>
    </w:p>
    <w:p w14:paraId="15F93B72" w14:textId="683E632C" w:rsidR="00036921" w:rsidRPr="00B51EE9" w:rsidRDefault="00036921" w:rsidP="00B51EE9">
      <w:pPr>
        <w:pStyle w:val="mpcbullets1"/>
      </w:pPr>
      <w:r w:rsidRPr="00B51EE9">
        <w:t>ice creams</w:t>
      </w:r>
    </w:p>
    <w:p w14:paraId="6F94CF73" w14:textId="0764D9D9" w:rsidR="00594FAA" w:rsidRPr="00B51EE9" w:rsidRDefault="003C297A" w:rsidP="00B51EE9">
      <w:pPr>
        <w:pStyle w:val="mpcbullets1"/>
      </w:pPr>
      <w:r w:rsidRPr="00B51EE9">
        <w:t>s</w:t>
      </w:r>
      <w:r w:rsidR="00594FAA" w:rsidRPr="00B51EE9">
        <w:t>ugar-based confectionery</w:t>
      </w:r>
    </w:p>
    <w:p w14:paraId="1310FD07" w14:textId="3C8EC41B" w:rsidR="003C297A" w:rsidRDefault="003C297A" w:rsidP="00B51EE9">
      <w:pPr>
        <w:pStyle w:val="mpcbullets1"/>
      </w:pPr>
      <w:r w:rsidRPr="00B51EE9">
        <w:t>mayonnaise and</w:t>
      </w:r>
      <w:r>
        <w:t xml:space="preserve"> savoury sauces.</w:t>
      </w:r>
    </w:p>
    <w:p w14:paraId="51E4A2E9" w14:textId="4C0606D7" w:rsidR="007F35B3" w:rsidRDefault="007F35B3" w:rsidP="0024269C"/>
    <w:p w14:paraId="1D41A1D3" w14:textId="7B047D3F" w:rsidR="00036921" w:rsidRDefault="003C297A" w:rsidP="0024269C">
      <w:r>
        <w:t>By contrast, a 30 point table impacts on 814 of the 5,885 products in the TAG database (14%), causing decrease</w:t>
      </w:r>
      <w:r w:rsidR="00063CBC">
        <w:t>s</w:t>
      </w:r>
      <w:r>
        <w:t xml:space="preserve"> (of between 0.5-1.5) in the HSRs in the </w:t>
      </w:r>
      <w:r w:rsidR="00063CBC">
        <w:t xml:space="preserve">above </w:t>
      </w:r>
      <w:r>
        <w:t xml:space="preserve">product categories </w:t>
      </w:r>
      <w:r w:rsidR="00BD4218">
        <w:t>as well as</w:t>
      </w:r>
      <w:r w:rsidR="00036921">
        <w:t xml:space="preserve"> </w:t>
      </w:r>
      <w:r w:rsidR="00063CBC">
        <w:t>fruit juices</w:t>
      </w:r>
      <w:r w:rsidR="00036921">
        <w:t>, processed fruits and chocolate-based confection</w:t>
      </w:r>
      <w:r w:rsidR="002B0FA9">
        <w:t>s</w:t>
      </w:r>
      <w:r w:rsidR="00036921">
        <w:t>.</w:t>
      </w:r>
      <w:r w:rsidR="00320D06">
        <w:t xml:space="preserve"> </w:t>
      </w:r>
    </w:p>
    <w:p w14:paraId="183C378F" w14:textId="592C3347" w:rsidR="006F5EE5" w:rsidRDefault="006F5EE5" w:rsidP="0024269C"/>
    <w:p w14:paraId="3B97B71F" w14:textId="29D5CDFC" w:rsidR="00455168" w:rsidRDefault="008B72F8" w:rsidP="0024269C">
      <w:r>
        <w:t>Both of these sub-options</w:t>
      </w:r>
      <w:r w:rsidR="00455168" w:rsidRPr="00C652E7">
        <w:t xml:space="preserve"> </w:t>
      </w:r>
      <w:r w:rsidR="00384936">
        <w:t>reduce</w:t>
      </w:r>
      <w:r w:rsidR="00384936" w:rsidRPr="00C652E7">
        <w:t xml:space="preserve"> the HSRs for</w:t>
      </w:r>
      <w:r w:rsidR="00384936" w:rsidRPr="00384936">
        <w:t xml:space="preserve"> </w:t>
      </w:r>
      <w:r w:rsidR="00384936">
        <w:t xml:space="preserve">products </w:t>
      </w:r>
      <w:r w:rsidR="00235F37">
        <w:t xml:space="preserve">relatively </w:t>
      </w:r>
      <w:r w:rsidR="00384936" w:rsidRPr="00C652E7">
        <w:t xml:space="preserve">high in </w:t>
      </w:r>
      <w:r w:rsidR="00384936">
        <w:t xml:space="preserve">total </w:t>
      </w:r>
      <w:r w:rsidR="00384936" w:rsidRPr="00C652E7">
        <w:t>sugars and without significant nutritional value (in the</w:t>
      </w:r>
      <w:r w:rsidR="00384936">
        <w:t xml:space="preserve"> form of FVNL, protein or fibre). </w:t>
      </w:r>
      <w:r>
        <w:t xml:space="preserve">They </w:t>
      </w:r>
      <w:r w:rsidR="00384936">
        <w:t xml:space="preserve">also appear to target products of concern, including </w:t>
      </w:r>
      <w:r w:rsidR="00455168" w:rsidRPr="00C652E7">
        <w:t>breakfast cereals</w:t>
      </w:r>
      <w:r w:rsidR="00687C19">
        <w:t xml:space="preserve">, </w:t>
      </w:r>
      <w:r w:rsidR="00F07827">
        <w:t>ready to eat foods</w:t>
      </w:r>
      <w:r w:rsidR="00F07827" w:rsidRPr="00C652E7">
        <w:t xml:space="preserve"> </w:t>
      </w:r>
      <w:r w:rsidR="00F07827">
        <w:t xml:space="preserve">such as </w:t>
      </w:r>
      <w:r w:rsidR="00455168" w:rsidRPr="00C652E7">
        <w:t>muesli</w:t>
      </w:r>
      <w:r w:rsidR="00384936">
        <w:t xml:space="preserve"> and</w:t>
      </w:r>
      <w:r w:rsidR="00455168" w:rsidRPr="00C652E7">
        <w:t xml:space="preserve"> cereal </w:t>
      </w:r>
      <w:r w:rsidR="00A94023">
        <w:t xml:space="preserve">bars and </w:t>
      </w:r>
      <w:r w:rsidR="00455168" w:rsidRPr="00C652E7">
        <w:t>sweetened and flavoured milks and yog</w:t>
      </w:r>
      <w:r w:rsidR="00655BEA">
        <w:t>h</w:t>
      </w:r>
      <w:r w:rsidR="00455168" w:rsidRPr="00C652E7">
        <w:t xml:space="preserve">urts </w:t>
      </w:r>
      <w:r w:rsidR="00A94023">
        <w:t xml:space="preserve">(as well as </w:t>
      </w:r>
      <w:r w:rsidR="00455168" w:rsidRPr="00C652E7">
        <w:t>cakes and sweet biscuits</w:t>
      </w:r>
      <w:r w:rsidR="00384936">
        <w:t>,</w:t>
      </w:r>
      <w:r w:rsidR="00455168" w:rsidRPr="00C652E7">
        <w:t xml:space="preserve"> confectionery</w:t>
      </w:r>
      <w:r w:rsidR="00384936">
        <w:t>,</w:t>
      </w:r>
      <w:r w:rsidR="00455168" w:rsidRPr="00C652E7">
        <w:t xml:space="preserve"> ice creams and desserts</w:t>
      </w:r>
      <w:r w:rsidR="00384936">
        <w:t>,</w:t>
      </w:r>
      <w:r w:rsidR="00455168" w:rsidRPr="00C652E7">
        <w:t xml:space="preserve"> some jams and mayonnaises and some savoury sauces</w:t>
      </w:r>
      <w:r w:rsidR="00A94023">
        <w:t>)</w:t>
      </w:r>
      <w:r w:rsidR="00455168" w:rsidRPr="00C652E7">
        <w:t>.</w:t>
      </w:r>
    </w:p>
    <w:p w14:paraId="0B6C6C79" w14:textId="77777777" w:rsidR="00455168" w:rsidRDefault="00455168" w:rsidP="0024269C"/>
    <w:p w14:paraId="1EA699B3" w14:textId="7D611DA8" w:rsidR="00455168" w:rsidRDefault="00A94023" w:rsidP="0024269C">
      <w:r>
        <w:t>T</w:t>
      </w:r>
      <w:r w:rsidR="00455168" w:rsidRPr="00A94023">
        <w:t xml:space="preserve">his option maintains some alignment with the NPSC in continuing to use total sugars, but changes to the </w:t>
      </w:r>
      <w:r w:rsidR="001F189B" w:rsidRPr="00A94023">
        <w:t>points</w:t>
      </w:r>
      <w:r w:rsidR="00455168" w:rsidRPr="00A94023">
        <w:t xml:space="preserve"> table mean it will not completely align</w:t>
      </w:r>
      <w:r w:rsidR="00901420">
        <w:t xml:space="preserve"> with the NPSC</w:t>
      </w:r>
      <w:r w:rsidRPr="00D07B6B">
        <w:t>.</w:t>
      </w:r>
      <w:r w:rsidR="00D07B6B" w:rsidRPr="00D07B6B">
        <w:t xml:space="preserve"> A 30 point table would </w:t>
      </w:r>
      <w:r w:rsidR="00D07B6B">
        <w:t>also align with the 30 </w:t>
      </w:r>
      <w:r w:rsidR="00D07B6B" w:rsidRPr="00D07B6B">
        <w:t>point tables used for saturated fat and sodium.</w:t>
      </w:r>
    </w:p>
    <w:p w14:paraId="59256288" w14:textId="0A41D5D9" w:rsidR="008B72F8" w:rsidRDefault="008B72F8" w:rsidP="0024269C"/>
    <w:p w14:paraId="1AB5A287" w14:textId="1F5346AC" w:rsidR="008B72F8" w:rsidRDefault="008B72F8" w:rsidP="0024269C">
      <w:r>
        <w:t>For the purposes of modelling total system enhancements</w:t>
      </w:r>
      <w:r w:rsidR="00320D06">
        <w:t xml:space="preserve"> in Chapter 7</w:t>
      </w:r>
      <w:r>
        <w:t>, we have used a 25 point table.</w:t>
      </w:r>
    </w:p>
    <w:p w14:paraId="4EBF2867" w14:textId="5FB47BEB" w:rsidR="00455168" w:rsidRDefault="00455168" w:rsidP="0024269C"/>
    <w:p w14:paraId="167DC738" w14:textId="2A201181" w:rsidR="00455168" w:rsidRPr="00442DA2" w:rsidRDefault="00455168" w:rsidP="00B91EBF">
      <w:pPr>
        <w:pStyle w:val="mpcheading4"/>
        <w:numPr>
          <w:ilvl w:val="0"/>
          <w:numId w:val="10"/>
        </w:numPr>
      </w:pPr>
      <w:bookmarkStart w:id="97" w:name="_Toc523922880"/>
      <w:bookmarkStart w:id="98" w:name="_Toc524530355"/>
      <w:r>
        <w:t>Remove modifying points or restrict</w:t>
      </w:r>
      <w:r w:rsidR="00327ED0">
        <w:t xml:space="preserve"> the HSR</w:t>
      </w:r>
      <w:r>
        <w:t xml:space="preserve"> </w:t>
      </w:r>
      <w:r w:rsidR="00F7343B">
        <w:t xml:space="preserve">for </w:t>
      </w:r>
      <w:r>
        <w:t>products</w:t>
      </w:r>
      <w:r w:rsidR="007F0181">
        <w:t xml:space="preserve"> relatively</w:t>
      </w:r>
      <w:r>
        <w:t xml:space="preserve"> high in total sugars</w:t>
      </w:r>
      <w:bookmarkEnd w:id="97"/>
      <w:bookmarkEnd w:id="98"/>
      <w:r>
        <w:t xml:space="preserve"> </w:t>
      </w:r>
      <w:r w:rsidR="006878C4">
        <w:t>to reduce the</w:t>
      </w:r>
      <w:r w:rsidR="00D46E91">
        <w:t>ir</w:t>
      </w:r>
      <w:r w:rsidR="006878C4">
        <w:t xml:space="preserve"> HSRs </w:t>
      </w:r>
    </w:p>
    <w:p w14:paraId="725073FA" w14:textId="1FA29813" w:rsidR="00455168" w:rsidRDefault="00455168" w:rsidP="0024269C">
      <w:r>
        <w:t xml:space="preserve">Other options </w:t>
      </w:r>
      <w:r w:rsidR="00A94023">
        <w:t xml:space="preserve">to address </w:t>
      </w:r>
      <w:r w:rsidR="00D433AC">
        <w:t xml:space="preserve">concerns regarding </w:t>
      </w:r>
      <w:r w:rsidR="00A94023">
        <w:t xml:space="preserve">sugars </w:t>
      </w:r>
      <w:r>
        <w:t xml:space="preserve">involve greater disruption to the </w:t>
      </w:r>
      <w:r w:rsidR="00A94023">
        <w:t>broader</w:t>
      </w:r>
      <w:r>
        <w:t xml:space="preserve"> HSR </w:t>
      </w:r>
      <w:r w:rsidR="006000E2">
        <w:t>System</w:t>
      </w:r>
      <w:r>
        <w:t xml:space="preserve">. </w:t>
      </w:r>
      <w:r w:rsidR="00B7723B">
        <w:t>Options include, f</w:t>
      </w:r>
      <w:r>
        <w:t>or example</w:t>
      </w:r>
      <w:r w:rsidR="00A94023">
        <w:t>,</w:t>
      </w:r>
      <w:r>
        <w:t xml:space="preserve"> providing that products with total sugars over a certain threshold:</w:t>
      </w:r>
    </w:p>
    <w:p w14:paraId="137E2659" w14:textId="77777777" w:rsidR="00455168" w:rsidRDefault="00455168" w:rsidP="0024269C"/>
    <w:p w14:paraId="6991E6CB" w14:textId="2CA6FB0E" w:rsidR="00455168" w:rsidRPr="0018523D" w:rsidRDefault="00455168" w:rsidP="00B91EBF">
      <w:pPr>
        <w:pStyle w:val="ListParagraph"/>
        <w:numPr>
          <w:ilvl w:val="0"/>
          <w:numId w:val="14"/>
        </w:numPr>
      </w:pPr>
      <w:r w:rsidRPr="0018523D">
        <w:t>cannot receive modifying points for protein, fibre and/or FVNL</w:t>
      </w:r>
      <w:r w:rsidR="00D433AC">
        <w:t xml:space="preserve"> content</w:t>
      </w:r>
      <w:r>
        <w:t>, or</w:t>
      </w:r>
    </w:p>
    <w:p w14:paraId="1D4FD802" w14:textId="790CFFB8" w:rsidR="00455168" w:rsidRDefault="00455168" w:rsidP="00B91EBF">
      <w:pPr>
        <w:pStyle w:val="ListParagraph"/>
        <w:numPr>
          <w:ilvl w:val="0"/>
          <w:numId w:val="14"/>
        </w:numPr>
      </w:pPr>
      <w:r>
        <w:t>cannot receive a</w:t>
      </w:r>
      <w:r w:rsidR="00115211">
        <w:t>n</w:t>
      </w:r>
      <w:r>
        <w:t xml:space="preserve"> HSR of </w:t>
      </w:r>
      <w:r w:rsidR="00D433AC">
        <w:t>3</w:t>
      </w:r>
      <w:r>
        <w:t xml:space="preserve"> or higher.</w:t>
      </w:r>
    </w:p>
    <w:p w14:paraId="1B1E8B89" w14:textId="77777777" w:rsidR="00455168" w:rsidRDefault="00455168" w:rsidP="0024269C"/>
    <w:p w14:paraId="7DDBD331" w14:textId="77777777" w:rsidR="00455168" w:rsidRDefault="00455168" w:rsidP="0024269C">
      <w:r>
        <w:t>These options are not preferred because:</w:t>
      </w:r>
    </w:p>
    <w:p w14:paraId="7542097D" w14:textId="77777777" w:rsidR="00455168" w:rsidRDefault="00455168" w:rsidP="0024269C"/>
    <w:p w14:paraId="01730902" w14:textId="77777777" w:rsidR="00455168" w:rsidRDefault="00455168" w:rsidP="00B51EE9">
      <w:pPr>
        <w:pStyle w:val="mpcbullets1"/>
      </w:pPr>
      <w:r>
        <w:t xml:space="preserve">they remove a significant degree of differentiation between products high in sugars </w:t>
      </w:r>
    </w:p>
    <w:p w14:paraId="352D4A4C" w14:textId="3BB0E63F" w:rsidR="00455168" w:rsidRDefault="00455168" w:rsidP="00B51EE9">
      <w:pPr>
        <w:pStyle w:val="mpcbullets1"/>
      </w:pPr>
      <w:r>
        <w:t xml:space="preserve">they </w:t>
      </w:r>
      <w:r w:rsidR="00E975F3">
        <w:t xml:space="preserve">disadvantage </w:t>
      </w:r>
      <w:r>
        <w:t xml:space="preserve">products that may have nutritional value from </w:t>
      </w:r>
      <w:r w:rsidRPr="0018523D">
        <w:t>protein, fibre and/or FVNL</w:t>
      </w:r>
      <w:r>
        <w:t xml:space="preserve"> such that overall the product is a</w:t>
      </w:r>
      <w:r w:rsidR="002C375E">
        <w:t>n</w:t>
      </w:r>
      <w:r>
        <w:t xml:space="preserve"> </w:t>
      </w:r>
      <w:r w:rsidR="00901420">
        <w:t>FFG</w:t>
      </w:r>
      <w:r>
        <w:t xml:space="preserve"> food</w:t>
      </w:r>
    </w:p>
    <w:p w14:paraId="258824C5" w14:textId="57DF38C0" w:rsidR="00455168" w:rsidRDefault="00455168" w:rsidP="00B51EE9">
      <w:pPr>
        <w:pStyle w:val="mpcbullets1"/>
      </w:pPr>
      <w:r>
        <w:t xml:space="preserve">they impact on the logic of the HSR </w:t>
      </w:r>
      <w:r w:rsidR="006000E2">
        <w:t>System</w:t>
      </w:r>
      <w:r>
        <w:t xml:space="preserve">, which aims to provide an overall </w:t>
      </w:r>
      <w:r w:rsidRPr="00E6379D">
        <w:t>view of a product based on a combination of nutrients</w:t>
      </w:r>
    </w:p>
    <w:p w14:paraId="72F772C4" w14:textId="524C509D" w:rsidR="00455168" w:rsidRDefault="00455168" w:rsidP="00B51EE9">
      <w:pPr>
        <w:pStyle w:val="mpcbullets1"/>
      </w:pPr>
      <w:r>
        <w:t xml:space="preserve">a </w:t>
      </w:r>
      <w:r w:rsidRPr="00122D26">
        <w:t xml:space="preserve">threshold for high </w:t>
      </w:r>
      <w:r w:rsidR="008241A7">
        <w:t xml:space="preserve">total </w:t>
      </w:r>
      <w:r w:rsidRPr="00122D26">
        <w:t>sugars would need to be determined</w:t>
      </w:r>
      <w:r>
        <w:t xml:space="preserve"> (for example, the </w:t>
      </w:r>
      <w:r w:rsidRPr="00122D26">
        <w:t xml:space="preserve">UK Traffic Light </w:t>
      </w:r>
      <w:r w:rsidR="006000E2">
        <w:t>System</w:t>
      </w:r>
      <w:r w:rsidRPr="00122D26">
        <w:t xml:space="preserve"> uses 22.5g/100g</w:t>
      </w:r>
      <w:r>
        <w:t xml:space="preserve">). </w:t>
      </w:r>
      <w:r w:rsidRPr="00122D26">
        <w:t xml:space="preserve">Depending on the threshold, this may </w:t>
      </w:r>
      <w:r w:rsidR="00B7723B">
        <w:t>affect</w:t>
      </w:r>
      <w:r w:rsidRPr="00122D26">
        <w:t xml:space="preserve"> a significant proportion of products (not just </w:t>
      </w:r>
      <w:r w:rsidR="00901420">
        <w:t xml:space="preserve">the </w:t>
      </w:r>
      <w:r w:rsidRPr="00122D26">
        <w:t>products of concern) and require changes to the labels of many product</w:t>
      </w:r>
      <w:r>
        <w:t>s currently displaying the HSR</w:t>
      </w:r>
    </w:p>
    <w:p w14:paraId="19FABF8E" w14:textId="0343EBAE" w:rsidR="00455168" w:rsidRDefault="00455168" w:rsidP="00B51EE9">
      <w:pPr>
        <w:pStyle w:val="mpcbullets1"/>
      </w:pPr>
      <w:r>
        <w:t>w</w:t>
      </w:r>
      <w:r w:rsidRPr="00122D26">
        <w:t xml:space="preserve">hile </w:t>
      </w:r>
      <w:r>
        <w:t>these options</w:t>
      </w:r>
      <w:r w:rsidRPr="00122D26">
        <w:t xml:space="preserve"> may encourage some reformulation to decrease sugars for product</w:t>
      </w:r>
      <w:r>
        <w:t xml:space="preserve">s just exceeding the threshold, </w:t>
      </w:r>
      <w:r w:rsidRPr="00122D26">
        <w:t>they would remove incentives for reformulation in high</w:t>
      </w:r>
      <w:r w:rsidR="00B7723B">
        <w:t>-</w:t>
      </w:r>
      <w:r w:rsidRPr="00122D26">
        <w:t xml:space="preserve">sugar products to increase positive nutrients as they would be ineligible to receive modifying </w:t>
      </w:r>
      <w:r w:rsidR="00405972">
        <w:t>V</w:t>
      </w:r>
      <w:r w:rsidRPr="00122D26">
        <w:t>, F and/or P points</w:t>
      </w:r>
      <w:r>
        <w:t xml:space="preserve"> or a</w:t>
      </w:r>
      <w:r w:rsidR="00115211">
        <w:t>n</w:t>
      </w:r>
      <w:r>
        <w:t xml:space="preserve"> HSR </w:t>
      </w:r>
      <w:r w:rsidR="00D433AC">
        <w:t xml:space="preserve">of more than 3 </w:t>
      </w:r>
      <w:r>
        <w:t>regardless.</w:t>
      </w:r>
    </w:p>
    <w:p w14:paraId="35533E06" w14:textId="6CD5B157" w:rsidR="007841CA" w:rsidRDefault="007841CA" w:rsidP="0024269C"/>
    <w:p w14:paraId="557F33CF" w14:textId="77777777" w:rsidR="007841CA" w:rsidRPr="002123F0" w:rsidRDefault="007841CA" w:rsidP="00B51EE9">
      <w:pPr>
        <w:pStyle w:val="mpcheading3"/>
      </w:pPr>
      <w:bookmarkStart w:id="99" w:name="_Toc523922881"/>
      <w:bookmarkStart w:id="100" w:name="_Toc524530356"/>
      <w:r>
        <w:t xml:space="preserve">Summary and </w:t>
      </w:r>
      <w:r w:rsidRPr="00B51EE9">
        <w:t>consultation</w:t>
      </w:r>
      <w:bookmarkEnd w:id="99"/>
      <w:bookmarkEnd w:id="100"/>
    </w:p>
    <w:p w14:paraId="0BF37EEB" w14:textId="21DF2E5D" w:rsidR="007841CA" w:rsidRDefault="00901420" w:rsidP="0024269C">
      <w:r>
        <w:t>We</w:t>
      </w:r>
      <w:r w:rsidR="007841CA">
        <w:t xml:space="preserve"> acknowledge the concerns of a number of stakeholders about the focus on sugar</w:t>
      </w:r>
      <w:r w:rsidR="008241A7">
        <w:t xml:space="preserve">, </w:t>
      </w:r>
      <w:r w:rsidR="007841CA">
        <w:t>the risk of penalising sugar disproportionally to other risk nutrients</w:t>
      </w:r>
      <w:r w:rsidR="002C375E">
        <w:t>,</w:t>
      </w:r>
      <w:r w:rsidR="007841CA">
        <w:t xml:space="preserve"> and the desire for scientific justification for any changes to the </w:t>
      </w:r>
      <w:r w:rsidR="008241A7">
        <w:t>HSR C</w:t>
      </w:r>
      <w:r w:rsidR="007841CA">
        <w:t>alculator in relation to sugar</w:t>
      </w:r>
      <w:r w:rsidR="008241A7">
        <w:t>s</w:t>
      </w:r>
      <w:r w:rsidR="007841CA">
        <w:t>.</w:t>
      </w:r>
    </w:p>
    <w:p w14:paraId="1758B45F" w14:textId="77777777" w:rsidR="007841CA" w:rsidRDefault="007841CA" w:rsidP="0024269C"/>
    <w:p w14:paraId="410C606D" w14:textId="63DEDDE5" w:rsidR="007841CA" w:rsidRDefault="007841CA" w:rsidP="0024269C">
      <w:r>
        <w:lastRenderedPageBreak/>
        <w:t>Having said this</w:t>
      </w:r>
      <w:r w:rsidR="008241A7">
        <w:t>, we are acutely aware</w:t>
      </w:r>
      <w:r w:rsidR="00F07827">
        <w:t xml:space="preserve"> that</w:t>
      </w:r>
      <w:r>
        <w:t xml:space="preserve"> media and stakeholder consultations</w:t>
      </w:r>
      <w:r w:rsidR="00F07827">
        <w:t xml:space="preserve"> have raised the HSR </w:t>
      </w:r>
      <w:r w:rsidR="006000E2">
        <w:t>System</w:t>
      </w:r>
      <w:r w:rsidR="00F07827">
        <w:t>’s treatment of sugars as a key concern for the Review’s consideration. In particular</w:t>
      </w:r>
      <w:r w:rsidR="00D433AC">
        <w:t>,</w:t>
      </w:r>
      <w:r w:rsidR="00F07827">
        <w:t xml:space="preserve"> we note </w:t>
      </w:r>
      <w:r>
        <w:t xml:space="preserve">the </w:t>
      </w:r>
      <w:r w:rsidR="008C5263">
        <w:t xml:space="preserve">existing </w:t>
      </w:r>
      <w:r>
        <w:t xml:space="preserve">incongruence around certain </w:t>
      </w:r>
      <w:r w:rsidR="008C5263">
        <w:t>products</w:t>
      </w:r>
      <w:r>
        <w:t xml:space="preserve"> (such as breakfast cereals and ready to eat foods) receiving high HSRs despite being </w:t>
      </w:r>
      <w:r w:rsidR="00235F37">
        <w:t xml:space="preserve">relatively </w:t>
      </w:r>
      <w:r>
        <w:t xml:space="preserve">high in </w:t>
      </w:r>
      <w:r w:rsidR="008C5263">
        <w:t xml:space="preserve">added </w:t>
      </w:r>
      <w:r>
        <w:t>sugar</w:t>
      </w:r>
      <w:r w:rsidR="008C5263">
        <w:t>s</w:t>
      </w:r>
      <w:r>
        <w:t xml:space="preserve">. These concerns are such that they risk loss of confidence in the </w:t>
      </w:r>
      <w:r w:rsidR="008C5263">
        <w:t xml:space="preserve">broader HSR </w:t>
      </w:r>
      <w:r w:rsidR="006000E2">
        <w:t>System</w:t>
      </w:r>
      <w:r>
        <w:t>.</w:t>
      </w:r>
    </w:p>
    <w:p w14:paraId="12DC0D1E" w14:textId="77777777" w:rsidR="007841CA" w:rsidRDefault="007841CA" w:rsidP="0024269C"/>
    <w:p w14:paraId="1EEFF15F" w14:textId="1A25A1AF" w:rsidR="007841CA" w:rsidRDefault="007841CA" w:rsidP="0024269C">
      <w:r>
        <w:t>Despite such foods not contributing significantly to the overall diet (</w:t>
      </w:r>
      <w:r w:rsidR="008C5263">
        <w:t>or the</w:t>
      </w:r>
      <w:r>
        <w:t xml:space="preserve"> overall contribution of total sugars</w:t>
      </w:r>
      <w:r w:rsidR="008C5263">
        <w:t xml:space="preserve"> to the diet</w:t>
      </w:r>
      <w:r>
        <w:t>)</w:t>
      </w:r>
      <w:r w:rsidR="00B045E2">
        <w:rPr>
          <w:rStyle w:val="FootnoteReference"/>
          <w:sz w:val="22"/>
          <w:szCs w:val="22"/>
        </w:rPr>
        <w:footnoteReference w:id="46"/>
      </w:r>
      <w:r>
        <w:t>, the reasons for such concerns are understandable:</w:t>
      </w:r>
    </w:p>
    <w:p w14:paraId="760B8933" w14:textId="77777777" w:rsidR="007841CA" w:rsidRDefault="007841CA" w:rsidP="0024269C"/>
    <w:p w14:paraId="339B5281" w14:textId="0A027583" w:rsidR="007841CA" w:rsidRDefault="008C5263" w:rsidP="00B51EE9">
      <w:pPr>
        <w:pStyle w:val="mpcbullets1"/>
      </w:pPr>
      <w:r>
        <w:t>t</w:t>
      </w:r>
      <w:r w:rsidR="007841CA">
        <w:t xml:space="preserve">hese </w:t>
      </w:r>
      <w:r w:rsidR="003A4EC8">
        <w:t>products</w:t>
      </w:r>
      <w:r w:rsidR="007841CA">
        <w:t xml:space="preserve"> form part of </w:t>
      </w:r>
      <w:r w:rsidR="003A4EC8">
        <w:t xml:space="preserve">the </w:t>
      </w:r>
      <w:r w:rsidR="007841CA">
        <w:t>weekly shopping basket</w:t>
      </w:r>
      <w:r w:rsidR="002C375E">
        <w:t>,</w:t>
      </w:r>
      <w:r w:rsidR="007841CA">
        <w:t xml:space="preserve"> and </w:t>
      </w:r>
      <w:r w:rsidR="003A4EC8">
        <w:t>are foods that</w:t>
      </w:r>
      <w:r w:rsidR="007841CA">
        <w:t xml:space="preserve"> parents </w:t>
      </w:r>
      <w:r w:rsidR="003A4EC8">
        <w:t xml:space="preserve">include in lunch boxes or encourage </w:t>
      </w:r>
      <w:r w:rsidR="007841CA">
        <w:t xml:space="preserve">children to </w:t>
      </w:r>
      <w:r w:rsidR="003A4EC8">
        <w:t>consume</w:t>
      </w:r>
    </w:p>
    <w:p w14:paraId="3F030581" w14:textId="63735F00" w:rsidR="003A4EC8" w:rsidRDefault="003A4EC8" w:rsidP="00B51EE9">
      <w:pPr>
        <w:pStyle w:val="mpcbullets1"/>
      </w:pPr>
      <w:r>
        <w:t>these products are marketed strongly</w:t>
      </w:r>
      <w:r w:rsidR="006D18DF">
        <w:t xml:space="preserve"> </w:t>
      </w:r>
      <w:r w:rsidR="00235F37">
        <w:t>and, given the nature of the products, children are exposed to such marketing</w:t>
      </w:r>
      <w:r w:rsidR="00D57EC9">
        <w:rPr>
          <w:rStyle w:val="FootnoteReference"/>
          <w:sz w:val="22"/>
          <w:szCs w:val="22"/>
        </w:rPr>
        <w:footnoteReference w:id="47"/>
      </w:r>
      <w:r w:rsidR="00E56E40">
        <w:t xml:space="preserve"> </w:t>
      </w:r>
      <w:r w:rsidR="00E56E40">
        <w:rPr>
          <w:rStyle w:val="FootnoteReference"/>
          <w:sz w:val="22"/>
          <w:szCs w:val="22"/>
        </w:rPr>
        <w:footnoteReference w:id="48"/>
      </w:r>
    </w:p>
    <w:p w14:paraId="1BCEAF4A" w14:textId="783D39FD" w:rsidR="007841CA" w:rsidRDefault="003A4EC8" w:rsidP="00B51EE9">
      <w:pPr>
        <w:pStyle w:val="mpcbullets1"/>
      </w:pPr>
      <w:r>
        <w:t>t</w:t>
      </w:r>
      <w:r w:rsidR="007841CA">
        <w:t>he</w:t>
      </w:r>
      <w:r>
        <w:t xml:space="preserve"> HSRs of these products can widely vary</w:t>
      </w:r>
      <w:r w:rsidR="007841CA">
        <w:t>.</w:t>
      </w:r>
    </w:p>
    <w:p w14:paraId="2C79EDDA" w14:textId="6F906E59" w:rsidR="007841CA" w:rsidRDefault="007841CA" w:rsidP="0024269C">
      <w:r>
        <w:br/>
      </w:r>
      <w:r w:rsidR="00AD5804">
        <w:t xml:space="preserve">For these reasons, we </w:t>
      </w:r>
      <w:r>
        <w:t>are of the view that changes to the HSR</w:t>
      </w:r>
      <w:r w:rsidR="00AD5804">
        <w:t xml:space="preserve"> System</w:t>
      </w:r>
      <w:r>
        <w:t xml:space="preserve"> are warranted in relation to sugar</w:t>
      </w:r>
      <w:r w:rsidR="00AD5804">
        <w:t>s</w:t>
      </w:r>
      <w:r w:rsidR="002C375E">
        <w:t>,</w:t>
      </w:r>
      <w:r>
        <w:t xml:space="preserve"> but </w:t>
      </w:r>
      <w:r w:rsidR="00D433AC">
        <w:t xml:space="preserve">that </w:t>
      </w:r>
      <w:r>
        <w:t>these changes should be as targeted as possible (to address the specific concerns of stakeholders), encourage reformulation as far as possible</w:t>
      </w:r>
      <w:r w:rsidR="002C375E">
        <w:t>,</w:t>
      </w:r>
      <w:r>
        <w:t xml:space="preserve"> and minimise disruption to the integrity of the HSR</w:t>
      </w:r>
      <w:r w:rsidR="00AD5804">
        <w:t xml:space="preserve"> System. </w:t>
      </w:r>
      <w:r w:rsidR="00AD5804" w:rsidRPr="001A60E2">
        <w:t xml:space="preserve">On the basis of our </w:t>
      </w:r>
      <w:r w:rsidR="00AD5804">
        <w:t>examination</w:t>
      </w:r>
      <w:r w:rsidR="00AD5804" w:rsidRPr="001A60E2">
        <w:t xml:space="preserve"> of the issues to date</w:t>
      </w:r>
      <w:r w:rsidR="00AD5804">
        <w:t>, the</w:t>
      </w:r>
      <w:r w:rsidR="00AD5804" w:rsidRPr="001A60E2">
        <w:t xml:space="preserve"> preferred option is </w:t>
      </w:r>
      <w:r w:rsidR="00AD5804">
        <w:t>currently</w:t>
      </w:r>
      <w:r>
        <w:t xml:space="preserve"> Option C. We note that Option C could also be implemented in parallel with any changes agreed by Ministers and/or industry in relation to labelling of added sugars and reformulation targets.</w:t>
      </w:r>
      <w:r>
        <w:br/>
      </w:r>
    </w:p>
    <w:p w14:paraId="5CA680D0" w14:textId="2A60C7BF" w:rsidR="007841CA" w:rsidRPr="00471CDF" w:rsidRDefault="007841CA" w:rsidP="0024269C">
      <w:r>
        <w:t>We seek stakeholder views regarding each of the options</w:t>
      </w:r>
      <w:r w:rsidR="00D433AC">
        <w:t xml:space="preserve">, </w:t>
      </w:r>
      <w:r w:rsidR="00AD5804">
        <w:t>particularly O</w:t>
      </w:r>
      <w:r w:rsidR="00D433AC">
        <w:t>ption C,</w:t>
      </w:r>
      <w:r>
        <w:t xml:space="preserve"> and the likely impacts.</w:t>
      </w:r>
    </w:p>
    <w:p w14:paraId="5FBB4D27" w14:textId="2F8BBBB8" w:rsidR="007841CA" w:rsidRDefault="007841CA" w:rsidP="0024269C"/>
    <w:p w14:paraId="7792890F" w14:textId="77777777" w:rsidR="007841CA" w:rsidRPr="00B51EE9" w:rsidRDefault="007841CA" w:rsidP="00B51EE9">
      <w:pPr>
        <w:pStyle w:val="mpcheading2"/>
      </w:pPr>
      <w:bookmarkStart w:id="101" w:name="Sodium"/>
      <w:bookmarkStart w:id="102" w:name="_Toc527112902"/>
      <w:bookmarkEnd w:id="101"/>
      <w:r w:rsidRPr="00AB3873">
        <w:t>Sodium</w:t>
      </w:r>
      <w:bookmarkEnd w:id="102"/>
    </w:p>
    <w:p w14:paraId="4BA0FFDB" w14:textId="77777777" w:rsidR="007841CA" w:rsidRPr="00AB3873" w:rsidRDefault="007841CA" w:rsidP="0024269C"/>
    <w:p w14:paraId="7A8454B0" w14:textId="77777777" w:rsidR="007841CA" w:rsidRPr="00B51EE9" w:rsidRDefault="007841CA" w:rsidP="00B51EE9">
      <w:pPr>
        <w:pStyle w:val="mpcheading3"/>
      </w:pPr>
      <w:bookmarkStart w:id="103" w:name="_Toc524530358"/>
      <w:r w:rsidRPr="00AB3873">
        <w:t>Issue</w:t>
      </w:r>
      <w:bookmarkEnd w:id="103"/>
    </w:p>
    <w:p w14:paraId="41B1E5DD" w14:textId="22D4D41E" w:rsidR="007841CA" w:rsidRPr="00AB3873" w:rsidRDefault="007841CA" w:rsidP="005D4A07">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For HSR Categories 1 and 2, the NPSC table that allocates up to 10 baseline points for sodium content &gt;</w:t>
      </w:r>
      <w:r w:rsidR="00B7723B">
        <w:rPr>
          <w:rFonts w:cstheme="minorHAnsi"/>
          <w:szCs w:val="22"/>
        </w:rPr>
        <w:t> </w:t>
      </w:r>
      <w:r>
        <w:rPr>
          <w:rFonts w:cstheme="minorHAnsi"/>
          <w:szCs w:val="22"/>
        </w:rPr>
        <w:t xml:space="preserve">900mg was extended to cover the entire food supply to a maximum of 30 baseline points for sodium content &gt; 8,106mg/100g. For Category 3, the table was extended to a maximum of 30 baseline points for sodium content &gt; 2,700mg/100g. </w:t>
      </w:r>
    </w:p>
    <w:p w14:paraId="60CC27EC"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1324845E" w14:textId="59DA45E2"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While the tables are generally </w:t>
      </w:r>
      <w:r w:rsidR="003A3509">
        <w:rPr>
          <w:rFonts w:cstheme="minorHAnsi"/>
          <w:szCs w:val="22"/>
        </w:rPr>
        <w:t xml:space="preserve">treating </w:t>
      </w:r>
      <w:r>
        <w:rPr>
          <w:rFonts w:cstheme="minorHAnsi"/>
          <w:szCs w:val="22"/>
        </w:rPr>
        <w:t>sodium appropriately (as</w:t>
      </w:r>
      <w:r w:rsidR="004D3848">
        <w:rPr>
          <w:rFonts w:cstheme="minorHAnsi"/>
          <w:szCs w:val="22"/>
        </w:rPr>
        <w:t xml:space="preserve"> reflected in the TAG technical paper on sodium)</w:t>
      </w:r>
      <w:r>
        <w:rPr>
          <w:rFonts w:cstheme="minorHAnsi"/>
          <w:szCs w:val="22"/>
        </w:rPr>
        <w:t xml:space="preserve">, concerns have been raised that the sodium table for Categories 1 and 2 has been extended too far in order to cover the entire food supply. </w:t>
      </w:r>
      <w:r w:rsidRPr="003A3509">
        <w:rPr>
          <w:rFonts w:cstheme="minorHAnsi"/>
          <w:szCs w:val="22"/>
        </w:rPr>
        <w:t>Extending the tables to cover produ</w:t>
      </w:r>
      <w:r w:rsidR="00901420" w:rsidRPr="003A3509">
        <w:rPr>
          <w:rFonts w:cstheme="minorHAnsi"/>
          <w:szCs w:val="22"/>
        </w:rPr>
        <w:t>cts with sodium content up to &gt; </w:t>
      </w:r>
      <w:r w:rsidRPr="003A3509">
        <w:rPr>
          <w:rFonts w:cstheme="minorHAnsi"/>
          <w:szCs w:val="22"/>
        </w:rPr>
        <w:t>8,106mg/100g results in large differences in sodium between the cut</w:t>
      </w:r>
      <w:r w:rsidRPr="003A3509">
        <w:rPr>
          <w:rFonts w:cstheme="minorHAnsi"/>
          <w:szCs w:val="22"/>
        </w:rPr>
        <w:noBreakHyphen/>
        <w:t>offs for baseline points</w:t>
      </w:r>
      <w:r w:rsidR="003A3509" w:rsidRPr="00235F37">
        <w:rPr>
          <w:rFonts w:cstheme="minorHAnsi"/>
          <w:szCs w:val="22"/>
        </w:rPr>
        <w:t xml:space="preserve"> (i.e. a large change in sodium is required to have any impact on the baseline points a product receives for sodium)</w:t>
      </w:r>
      <w:r w:rsidRPr="003A3509">
        <w:rPr>
          <w:rFonts w:cstheme="minorHAnsi"/>
          <w:szCs w:val="22"/>
        </w:rPr>
        <w:t>.</w:t>
      </w:r>
      <w:r>
        <w:rPr>
          <w:rFonts w:cstheme="minorHAnsi"/>
          <w:szCs w:val="22"/>
        </w:rPr>
        <w:t xml:space="preserve"> </w:t>
      </w:r>
      <w:r w:rsidR="00901420">
        <w:rPr>
          <w:rFonts w:cstheme="minorHAnsi"/>
          <w:szCs w:val="22"/>
        </w:rPr>
        <w:t>However,</w:t>
      </w:r>
      <w:r>
        <w:rPr>
          <w:rFonts w:cstheme="minorHAnsi"/>
          <w:szCs w:val="22"/>
        </w:rPr>
        <w:t xml:space="preserve"> the majority of products in the food supply have a sodium content &lt; 900mg/100g (only 8%</w:t>
      </w:r>
      <w:r w:rsidR="00235F37">
        <w:rPr>
          <w:rFonts w:cstheme="minorHAnsi"/>
          <w:szCs w:val="22"/>
        </w:rPr>
        <w:t xml:space="preserve"> of</w:t>
      </w:r>
      <w:r>
        <w:rPr>
          <w:rFonts w:cstheme="minorHAnsi"/>
          <w:szCs w:val="22"/>
        </w:rPr>
        <w:t xml:space="preserve"> products in the TAG database have a sodium content &gt; 900mg/100g)</w:t>
      </w:r>
      <w:r w:rsidR="00D32E48">
        <w:rPr>
          <w:rFonts w:cstheme="minorHAnsi"/>
          <w:szCs w:val="22"/>
        </w:rPr>
        <w:t>, making this high upper limit unnecessary</w:t>
      </w:r>
      <w:r>
        <w:rPr>
          <w:rFonts w:cstheme="minorHAnsi"/>
          <w:szCs w:val="22"/>
        </w:rPr>
        <w:t>.</w:t>
      </w:r>
    </w:p>
    <w:p w14:paraId="7AF6D8BF"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021A909E" w14:textId="3EEF1AEF" w:rsidR="00D464AE"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As </w:t>
      </w:r>
      <w:r w:rsidR="00235F37">
        <w:rPr>
          <w:rFonts w:cstheme="minorHAnsi"/>
          <w:szCs w:val="22"/>
        </w:rPr>
        <w:t>a result of extending the sodium table</w:t>
      </w:r>
      <w:r w:rsidR="00FC5354">
        <w:rPr>
          <w:rFonts w:cstheme="minorHAnsi"/>
          <w:szCs w:val="22"/>
        </w:rPr>
        <w:t xml:space="preserve"> for Categories 1 and 2</w:t>
      </w:r>
      <w:r>
        <w:rPr>
          <w:rFonts w:cstheme="minorHAnsi"/>
          <w:szCs w:val="22"/>
        </w:rPr>
        <w:t xml:space="preserve">, the HSR Calculator does not effectively discriminate between products </w:t>
      </w:r>
      <w:r w:rsidR="00FC5354">
        <w:rPr>
          <w:rFonts w:cstheme="minorHAnsi"/>
          <w:szCs w:val="22"/>
        </w:rPr>
        <w:t xml:space="preserve">in these categories </w:t>
      </w:r>
      <w:r>
        <w:rPr>
          <w:rFonts w:cstheme="minorHAnsi"/>
          <w:szCs w:val="22"/>
        </w:rPr>
        <w:t xml:space="preserve">that have significantly different sodium levels. This may </w:t>
      </w:r>
      <w:r>
        <w:rPr>
          <w:rFonts w:cstheme="minorHAnsi"/>
          <w:szCs w:val="22"/>
        </w:rPr>
        <w:lastRenderedPageBreak/>
        <w:t>be a disincentive for manufacturers to reformulate to reduce sodium, as large and unrealistic decreases may be required before an increase in the HSR is achieved.</w:t>
      </w:r>
      <w:r w:rsidR="00D464AE">
        <w:rPr>
          <w:rFonts w:cstheme="minorHAnsi"/>
          <w:szCs w:val="22"/>
        </w:rPr>
        <w:t xml:space="preserve"> </w:t>
      </w:r>
    </w:p>
    <w:p w14:paraId="1359F5D3" w14:textId="77777777" w:rsidR="00D464AE" w:rsidRDefault="00D464AE"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75ED5933" w14:textId="1700E31E" w:rsidR="007841CA" w:rsidRDefault="004D3848"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Modelling </w:t>
      </w:r>
      <w:r w:rsidR="001B3AA1">
        <w:rPr>
          <w:rFonts w:cstheme="minorHAnsi"/>
          <w:szCs w:val="22"/>
        </w:rPr>
        <w:t xml:space="preserve">undertaken by the TAG has </w:t>
      </w:r>
      <w:r>
        <w:rPr>
          <w:rFonts w:cstheme="minorHAnsi"/>
          <w:szCs w:val="22"/>
        </w:rPr>
        <w:t xml:space="preserve">identified key </w:t>
      </w:r>
      <w:r w:rsidR="007841CA">
        <w:rPr>
          <w:rFonts w:cstheme="minorHAnsi"/>
          <w:szCs w:val="22"/>
        </w:rPr>
        <w:t>products of concern, including salty snacks, processed meats, soups, stocks and seasonings and savoury sauces.</w:t>
      </w:r>
    </w:p>
    <w:p w14:paraId="2D83E9C5"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38AC084D" w14:textId="6C29AF92" w:rsidR="007841CA" w:rsidRDefault="00D433AC" w:rsidP="00B51EE9">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The </w:t>
      </w:r>
      <w:r w:rsidR="007841CA">
        <w:rPr>
          <w:rFonts w:cstheme="minorHAnsi"/>
          <w:szCs w:val="22"/>
        </w:rPr>
        <w:t>TAG modelled four options to address this issue:</w:t>
      </w:r>
    </w:p>
    <w:p w14:paraId="3AC754BB" w14:textId="77777777" w:rsidR="007841CA" w:rsidRDefault="007841CA" w:rsidP="00B51EE9">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0C0A4CD9" w14:textId="77777777" w:rsidR="007841CA" w:rsidRPr="00B51EE9" w:rsidRDefault="007841CA" w:rsidP="00B51EE9">
      <w:pPr>
        <w:pStyle w:val="mpcbullets1"/>
      </w:pPr>
      <w:r w:rsidRPr="00B51EE9">
        <w:t>status quo</w:t>
      </w:r>
    </w:p>
    <w:p w14:paraId="0232DC2E" w14:textId="77777777" w:rsidR="007841CA" w:rsidRPr="00B51EE9" w:rsidRDefault="007841CA" w:rsidP="00B51EE9">
      <w:pPr>
        <w:pStyle w:val="mpcbullets1"/>
      </w:pPr>
      <w:r w:rsidRPr="00B51EE9">
        <w:t>adjust the sodium table for Categories 1 and 2 to a maximum of 30 baseline points for sodium content &gt; 2,700mg/100g (in line with Category 3)</w:t>
      </w:r>
    </w:p>
    <w:p w14:paraId="74357ECA" w14:textId="25B7D7C7" w:rsidR="007841CA" w:rsidRPr="00B51EE9" w:rsidRDefault="007841CA" w:rsidP="00B51EE9">
      <w:pPr>
        <w:pStyle w:val="mpcbullets1"/>
      </w:pPr>
      <w:r w:rsidRPr="00B51EE9">
        <w:t>adjust the sodium table for Categories 1 and 2 to a maximum of 30 baseline points for sodium content &gt; 2,000mg/100g</w:t>
      </w:r>
    </w:p>
    <w:p w14:paraId="434E006C" w14:textId="16415B4B" w:rsidR="007841CA" w:rsidRDefault="007841CA" w:rsidP="00B51EE9">
      <w:pPr>
        <w:pStyle w:val="mpcbullets1"/>
      </w:pPr>
      <w:r w:rsidRPr="00B51EE9">
        <w:t>restrict products</w:t>
      </w:r>
      <w:r>
        <w:t xml:space="preserve"> with high sodium content to a maximum HSR</w:t>
      </w:r>
      <w:r w:rsidR="00D433AC">
        <w:t>.</w:t>
      </w:r>
    </w:p>
    <w:p w14:paraId="22731583"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340D1A1B" w14:textId="456E83B6" w:rsidR="007841CA" w:rsidRDefault="00D433AC"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r>
        <w:rPr>
          <w:rFonts w:cstheme="minorHAnsi"/>
          <w:szCs w:val="22"/>
        </w:rPr>
        <w:t>Having reviewed the available options, this Consultation Paper focuses on t</w:t>
      </w:r>
      <w:r w:rsidR="007841CA">
        <w:rPr>
          <w:rFonts w:cstheme="minorHAnsi"/>
          <w:szCs w:val="22"/>
        </w:rPr>
        <w:t>wo conceptual approaches:</w:t>
      </w:r>
    </w:p>
    <w:p w14:paraId="75AF5DA4"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63A842A1" w14:textId="18DDBD9E" w:rsidR="007841CA" w:rsidRPr="00B51EE9" w:rsidRDefault="007841CA" w:rsidP="00B51EE9">
      <w:pPr>
        <w:pStyle w:val="mpcbullets1"/>
      </w:pPr>
      <w:r w:rsidRPr="00B51EE9">
        <w:t>retaining the status qu</w:t>
      </w:r>
      <w:r w:rsidR="002F0426" w:rsidRPr="00B51EE9">
        <w:t>o</w:t>
      </w:r>
    </w:p>
    <w:p w14:paraId="2F6B6466" w14:textId="77777777" w:rsidR="002F0426" w:rsidRDefault="007841CA" w:rsidP="00B51EE9">
      <w:pPr>
        <w:pStyle w:val="mpcbullets1"/>
      </w:pPr>
      <w:r w:rsidRPr="00B51EE9">
        <w:t>adjusti</w:t>
      </w:r>
      <w:r>
        <w:t>ng the sodium table for Categories 1 and 2</w:t>
      </w:r>
      <w:r w:rsidR="002F0426">
        <w:t>.</w:t>
      </w:r>
    </w:p>
    <w:p w14:paraId="41C13F0E" w14:textId="77777777" w:rsidR="002F0426" w:rsidRDefault="002F0426" w:rsidP="002F0426">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4911039D" w14:textId="0DC02574" w:rsidR="007841CA" w:rsidRDefault="002F0426" w:rsidP="002F0426">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Restricting products with high sodium content to a maximum HSR is discussed under salty snacks in Chapter 6.</w:t>
      </w:r>
    </w:p>
    <w:p w14:paraId="746F8A9A" w14:textId="77777777" w:rsidR="007841CA" w:rsidRPr="00AB3873" w:rsidRDefault="007841CA" w:rsidP="0024269C"/>
    <w:p w14:paraId="7625328C" w14:textId="77777777" w:rsidR="007841CA" w:rsidRPr="00B51EE9" w:rsidRDefault="007841CA" w:rsidP="00B51EE9">
      <w:pPr>
        <w:pStyle w:val="mpcheading3"/>
      </w:pPr>
      <w:bookmarkStart w:id="104" w:name="_Toc524530359"/>
      <w:r w:rsidRPr="00AB3873">
        <w:t>Considerations</w:t>
      </w:r>
      <w:bookmarkEnd w:id="104"/>
    </w:p>
    <w:tbl>
      <w:tblPr>
        <w:tblStyle w:val="TableGrid"/>
        <w:tblW w:w="9781" w:type="dxa"/>
        <w:tblInd w:w="-5" w:type="dxa"/>
        <w:tblLook w:val="04A0" w:firstRow="1" w:lastRow="0" w:firstColumn="1" w:lastColumn="0" w:noHBand="0" w:noVBand="1"/>
        <w:tblCaption w:val="Considerations - sodium"/>
        <w:tblDescription w:val="This table outlines the relevant information to be considered in determining options to address this issue."/>
      </w:tblPr>
      <w:tblGrid>
        <w:gridCol w:w="1498"/>
        <w:gridCol w:w="8283"/>
      </w:tblGrid>
      <w:tr w:rsidR="007841CA" w:rsidRPr="00AB3873" w14:paraId="0D696881" w14:textId="77777777" w:rsidTr="00D37907">
        <w:trPr>
          <w:tblHeader/>
        </w:trPr>
        <w:tc>
          <w:tcPr>
            <w:tcW w:w="1498" w:type="dxa"/>
            <w:shd w:val="clear" w:color="auto" w:fill="DEEAF6" w:themeFill="accent5" w:themeFillTint="33"/>
          </w:tcPr>
          <w:p w14:paraId="0C1127C3" w14:textId="18787C92" w:rsidR="007841CA" w:rsidRPr="00AB3873" w:rsidRDefault="007841CA" w:rsidP="0024269C">
            <w:bookmarkStart w:id="105" w:name="RowTitle4"/>
            <w:bookmarkEnd w:id="105"/>
            <w:r w:rsidRPr="00AB3873">
              <w:t>Cu</w:t>
            </w:r>
            <w:bookmarkStart w:id="106" w:name="Table_6_sodium"/>
            <w:bookmarkEnd w:id="106"/>
            <w:r w:rsidRPr="00AB3873">
              <w:t xml:space="preserve">rrent treatment in the HSR </w:t>
            </w:r>
            <w:r w:rsidR="006000E2">
              <w:t>System</w:t>
            </w:r>
          </w:p>
        </w:tc>
        <w:tc>
          <w:tcPr>
            <w:tcW w:w="8283" w:type="dxa"/>
          </w:tcPr>
          <w:p w14:paraId="092F23E8"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Sodium is a risk nutrient in the HSR Calculator. </w:t>
            </w:r>
          </w:p>
          <w:p w14:paraId="70813A5E"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For Categories 1, 1D, 2 and 2D:</w:t>
            </w:r>
          </w:p>
          <w:p w14:paraId="28A9261B" w14:textId="195A3EF9"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90mg/100g</w:t>
            </w:r>
            <w:r w:rsidRPr="00AB3873">
              <w:rPr>
                <w:rFonts w:cstheme="minorHAnsi"/>
                <w:szCs w:val="22"/>
              </w:rPr>
              <w:t xml:space="preserve"> sodium scores baseline points (starting from 1).</w:t>
            </w:r>
          </w:p>
          <w:p w14:paraId="7C279A52"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8,106mg/100g</w:t>
            </w:r>
            <w:r w:rsidRPr="00AB3873">
              <w:rPr>
                <w:rFonts w:cstheme="minorHAnsi"/>
                <w:szCs w:val="22"/>
              </w:rPr>
              <w:t xml:space="preserve"> sodium scores a maximum of 30 baseline points. </w:t>
            </w:r>
          </w:p>
          <w:p w14:paraId="165824B1"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For Categories 3 and 3D:</w:t>
            </w:r>
          </w:p>
          <w:p w14:paraId="4E84592A" w14:textId="362E8F7A"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90mg/100g</w:t>
            </w:r>
            <w:r w:rsidRPr="00AB3873">
              <w:rPr>
                <w:rFonts w:cstheme="minorHAnsi"/>
                <w:szCs w:val="22"/>
              </w:rPr>
              <w:t xml:space="preserve"> sodium scores baseline points (starting from 1).</w:t>
            </w:r>
          </w:p>
          <w:p w14:paraId="465D894F" w14:textId="3D1914CF" w:rsidR="00614E06" w:rsidRPr="00F53A94"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2,700mg/100g</w:t>
            </w:r>
            <w:r w:rsidRPr="00AB3873">
              <w:rPr>
                <w:rFonts w:cstheme="minorHAnsi"/>
                <w:szCs w:val="22"/>
              </w:rPr>
              <w:t xml:space="preserve"> sodium scores a maximum of 30 baseline points. </w:t>
            </w:r>
          </w:p>
        </w:tc>
      </w:tr>
      <w:tr w:rsidR="007841CA" w:rsidRPr="00AB3873" w14:paraId="4A158076" w14:textId="77777777" w:rsidTr="00F53A94">
        <w:tc>
          <w:tcPr>
            <w:tcW w:w="1498" w:type="dxa"/>
            <w:shd w:val="clear" w:color="auto" w:fill="DEEAF6" w:themeFill="accent5" w:themeFillTint="33"/>
          </w:tcPr>
          <w:p w14:paraId="1FDAD74F" w14:textId="77777777" w:rsidR="007841CA" w:rsidRPr="00AB3873" w:rsidRDefault="007841CA" w:rsidP="0024269C">
            <w:r w:rsidRPr="00AB3873">
              <w:t>Dietary Guidelines</w:t>
            </w:r>
          </w:p>
        </w:tc>
        <w:tc>
          <w:tcPr>
            <w:tcW w:w="8283" w:type="dxa"/>
          </w:tcPr>
          <w:p w14:paraId="2982BF40"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Dietary Guidelines recommend limiting intake of sodium.</w:t>
            </w:r>
          </w:p>
          <w:p w14:paraId="17EFD404"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The terms salt and sodium are often used interchangeably but they refer to different things, as sodium is one component of salt.</w:t>
            </w:r>
          </w:p>
          <w:p w14:paraId="66A56828" w14:textId="487B2C8E"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ADG recommend:</w:t>
            </w:r>
          </w:p>
          <w:p w14:paraId="7299A40A"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limit intake of foods and drinks containing added salt</w:t>
            </w:r>
          </w:p>
          <w:p w14:paraId="0B3707DA"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choose lower sodium options among similar foods</w:t>
            </w:r>
          </w:p>
          <w:p w14:paraId="5934DF2E" w14:textId="54B35D03"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limit intake of sodium to less than 2,300mg per day (approx. 6g of salt).</w:t>
            </w:r>
          </w:p>
          <w:p w14:paraId="45CC4F92" w14:textId="779B3C03" w:rsidR="00614E06" w:rsidRPr="003A3509"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NZEAG recommend foods and drinks low in salt (sodium) and</w:t>
            </w:r>
            <w:r w:rsidR="00864B65">
              <w:rPr>
                <w:rFonts w:cstheme="minorHAnsi"/>
                <w:szCs w:val="22"/>
              </w:rPr>
              <w:t>,</w:t>
            </w:r>
            <w:r w:rsidRPr="00AB3873">
              <w:rPr>
                <w:rFonts w:cstheme="minorHAnsi"/>
                <w:szCs w:val="22"/>
              </w:rPr>
              <w:t xml:space="preserve"> if using salt, choose iodised salt.</w:t>
            </w:r>
          </w:p>
        </w:tc>
      </w:tr>
      <w:tr w:rsidR="007841CA" w:rsidRPr="00AB3873" w14:paraId="22E2BB1B" w14:textId="77777777" w:rsidTr="00F53A94">
        <w:tc>
          <w:tcPr>
            <w:tcW w:w="1498" w:type="dxa"/>
            <w:shd w:val="clear" w:color="auto" w:fill="DEEAF6" w:themeFill="accent5" w:themeFillTint="33"/>
          </w:tcPr>
          <w:p w14:paraId="35EE0257" w14:textId="77777777" w:rsidR="007841CA" w:rsidRPr="00AB3873" w:rsidRDefault="007841CA" w:rsidP="0024269C">
            <w:r w:rsidRPr="00AB3873">
              <w:t>Intake</w:t>
            </w:r>
          </w:p>
        </w:tc>
        <w:tc>
          <w:tcPr>
            <w:tcW w:w="8283" w:type="dxa"/>
          </w:tcPr>
          <w:p w14:paraId="06DC846C" w14:textId="2A753179" w:rsidR="007841CA" w:rsidRPr="00AB3873" w:rsidRDefault="001B3AA1" w:rsidP="00B91EBF">
            <w:pPr>
              <w:pStyle w:val="mpcbullets1"/>
              <w:numPr>
                <w:ilvl w:val="0"/>
                <w:numId w:val="6"/>
              </w:numPr>
              <w:spacing w:before="120" w:after="120"/>
              <w:contextualSpacing/>
              <w:rPr>
                <w:rFonts w:cstheme="minorHAnsi"/>
                <w:szCs w:val="22"/>
              </w:rPr>
            </w:pPr>
            <w:r>
              <w:rPr>
                <w:rFonts w:cstheme="minorHAnsi"/>
                <w:szCs w:val="22"/>
              </w:rPr>
              <w:t xml:space="preserve">AHS 2011-12 indicates that </w:t>
            </w:r>
            <w:r w:rsidR="007841CA" w:rsidRPr="00AB3873">
              <w:rPr>
                <w:rFonts w:cstheme="minorHAnsi"/>
                <w:szCs w:val="22"/>
              </w:rPr>
              <w:t>59% of Australians exceed the</w:t>
            </w:r>
            <w:r>
              <w:rPr>
                <w:rFonts w:cstheme="minorHAnsi"/>
                <w:szCs w:val="22"/>
              </w:rPr>
              <w:t xml:space="preserve"> recommended intake for sodium</w:t>
            </w:r>
            <w:r w:rsidR="007841CA" w:rsidRPr="00AB3873">
              <w:rPr>
                <w:rFonts w:cstheme="minorHAnsi"/>
                <w:szCs w:val="22"/>
              </w:rPr>
              <w:t>.</w:t>
            </w:r>
          </w:p>
          <w:p w14:paraId="6B792DE6" w14:textId="7229CF2B" w:rsidR="00614E06" w:rsidRPr="00F53A94"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largest proportion of sodium intake in Australia comes from cereal and cereal products (43%), milk products (8%), processed meat (6%) and snack foods (1.9%).</w:t>
            </w:r>
          </w:p>
        </w:tc>
      </w:tr>
      <w:tr w:rsidR="007841CA" w:rsidRPr="00AB3873" w14:paraId="0EDEAB2B" w14:textId="77777777" w:rsidTr="00F53A94">
        <w:tc>
          <w:tcPr>
            <w:tcW w:w="1498" w:type="dxa"/>
            <w:shd w:val="clear" w:color="auto" w:fill="DEEAF6" w:themeFill="accent5" w:themeFillTint="33"/>
          </w:tcPr>
          <w:p w14:paraId="6F30B9AC" w14:textId="77777777" w:rsidR="007841CA" w:rsidRPr="00AB3873" w:rsidRDefault="007841CA" w:rsidP="0024269C">
            <w:r w:rsidRPr="00AB3873">
              <w:t>HSR statistics</w:t>
            </w:r>
          </w:p>
        </w:tc>
        <w:tc>
          <w:tcPr>
            <w:tcW w:w="8283" w:type="dxa"/>
          </w:tcPr>
          <w:p w14:paraId="6D41E6C4" w14:textId="195A3B53" w:rsidR="003A3509"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Most foods in the TAG database have a sodium content </w:t>
            </w:r>
            <w:r w:rsidR="003A3509">
              <w:rPr>
                <w:rFonts w:cstheme="minorHAnsi"/>
                <w:szCs w:val="22"/>
              </w:rPr>
              <w:t>&lt;</w:t>
            </w:r>
            <w:r w:rsidR="003A3509" w:rsidRPr="00AB3873">
              <w:rPr>
                <w:rFonts w:cstheme="minorHAnsi"/>
                <w:szCs w:val="22"/>
              </w:rPr>
              <w:t xml:space="preserve"> </w:t>
            </w:r>
            <w:r>
              <w:rPr>
                <w:rFonts w:cstheme="minorHAnsi"/>
                <w:szCs w:val="22"/>
              </w:rPr>
              <w:t>9</w:t>
            </w:r>
            <w:r w:rsidRPr="00AB3873">
              <w:rPr>
                <w:rFonts w:cstheme="minorHAnsi"/>
                <w:szCs w:val="22"/>
              </w:rPr>
              <w:t>00mg/100g.</w:t>
            </w:r>
            <w:r>
              <w:rPr>
                <w:rFonts w:cstheme="minorHAnsi"/>
                <w:szCs w:val="22"/>
              </w:rPr>
              <w:t xml:space="preserve"> </w:t>
            </w:r>
          </w:p>
          <w:p w14:paraId="3B4FE489" w14:textId="60A531C6" w:rsidR="007841CA" w:rsidRPr="00AB3873"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Only 389 products (8%) have a </w:t>
            </w:r>
            <w:r w:rsidRPr="00AB3873">
              <w:rPr>
                <w:rFonts w:cstheme="minorHAnsi"/>
                <w:szCs w:val="22"/>
              </w:rPr>
              <w:t xml:space="preserve">sodium content </w:t>
            </w:r>
            <w:r w:rsidR="003A3509">
              <w:rPr>
                <w:rFonts w:cstheme="minorHAnsi"/>
                <w:szCs w:val="22"/>
              </w:rPr>
              <w:t>&gt;</w:t>
            </w:r>
            <w:r w:rsidR="003A3509" w:rsidRPr="00AB3873">
              <w:rPr>
                <w:rFonts w:cstheme="minorHAnsi"/>
                <w:szCs w:val="22"/>
              </w:rPr>
              <w:t xml:space="preserve"> </w:t>
            </w:r>
            <w:r w:rsidR="003A3509">
              <w:rPr>
                <w:rFonts w:cstheme="minorHAnsi"/>
                <w:szCs w:val="22"/>
              </w:rPr>
              <w:t>9</w:t>
            </w:r>
            <w:r w:rsidR="003A3509" w:rsidRPr="00AB3873">
              <w:rPr>
                <w:rFonts w:cstheme="minorHAnsi"/>
                <w:szCs w:val="22"/>
              </w:rPr>
              <w:t>00mg/100g</w:t>
            </w:r>
            <w:r>
              <w:rPr>
                <w:rFonts w:cstheme="minorHAnsi"/>
                <w:szCs w:val="22"/>
              </w:rPr>
              <w:t>.</w:t>
            </w:r>
          </w:p>
          <w:p w14:paraId="28B5F08C" w14:textId="3C737623" w:rsidR="003A3509"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58 products in the TAG database </w:t>
            </w:r>
            <w:r w:rsidRPr="00AB3873">
              <w:rPr>
                <w:rFonts w:cstheme="minorHAnsi"/>
                <w:szCs w:val="22"/>
              </w:rPr>
              <w:t xml:space="preserve">have a sodium content </w:t>
            </w:r>
            <w:r w:rsidR="003A3509">
              <w:rPr>
                <w:rFonts w:cstheme="minorHAnsi"/>
                <w:szCs w:val="22"/>
              </w:rPr>
              <w:t xml:space="preserve">&gt; </w:t>
            </w:r>
            <w:r>
              <w:rPr>
                <w:rFonts w:cstheme="minorHAnsi"/>
                <w:szCs w:val="22"/>
              </w:rPr>
              <w:t>2,700mg/100g</w:t>
            </w:r>
            <w:r w:rsidR="003A3509">
              <w:rPr>
                <w:rFonts w:cstheme="minorHAnsi"/>
                <w:szCs w:val="22"/>
              </w:rPr>
              <w:t>.</w:t>
            </w:r>
          </w:p>
          <w:p w14:paraId="02FF28BA" w14:textId="5C4A36F1" w:rsidR="007841CA"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lastRenderedPageBreak/>
              <w:t xml:space="preserve">106 products in the TAG database </w:t>
            </w:r>
            <w:r w:rsidRPr="00AB3873">
              <w:rPr>
                <w:rFonts w:cstheme="minorHAnsi"/>
                <w:szCs w:val="22"/>
              </w:rPr>
              <w:t xml:space="preserve">have a sodium content </w:t>
            </w:r>
            <w:r w:rsidR="003A3509">
              <w:rPr>
                <w:rFonts w:cstheme="minorHAnsi"/>
                <w:szCs w:val="22"/>
              </w:rPr>
              <w:t xml:space="preserve">&gt; </w:t>
            </w:r>
            <w:r>
              <w:rPr>
                <w:rFonts w:cstheme="minorHAnsi"/>
                <w:szCs w:val="22"/>
              </w:rPr>
              <w:t>2,000</w:t>
            </w:r>
            <w:r w:rsidRPr="00AB3873">
              <w:rPr>
                <w:rFonts w:cstheme="minorHAnsi"/>
                <w:szCs w:val="22"/>
              </w:rPr>
              <w:t>mg/100g.</w:t>
            </w:r>
            <w:r>
              <w:rPr>
                <w:rFonts w:cstheme="minorHAnsi"/>
                <w:szCs w:val="22"/>
              </w:rPr>
              <w:t xml:space="preserve"> </w:t>
            </w:r>
          </w:p>
          <w:p w14:paraId="11CA0997" w14:textId="262AA128" w:rsidR="00614E06" w:rsidRPr="00F53A94"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Most products </w:t>
            </w:r>
            <w:r w:rsidR="003A3509">
              <w:rPr>
                <w:rFonts w:cstheme="minorHAnsi"/>
                <w:szCs w:val="22"/>
              </w:rPr>
              <w:t xml:space="preserve">with sodium &gt; </w:t>
            </w:r>
            <w:r w:rsidR="008E61B3">
              <w:rPr>
                <w:rFonts w:cstheme="minorHAnsi"/>
                <w:szCs w:val="22"/>
              </w:rPr>
              <w:t>900mg/100g</w:t>
            </w:r>
            <w:r w:rsidR="003A3509">
              <w:rPr>
                <w:rFonts w:cstheme="minorHAnsi"/>
                <w:szCs w:val="22"/>
              </w:rPr>
              <w:t xml:space="preserve"> </w:t>
            </w:r>
            <w:r>
              <w:rPr>
                <w:rFonts w:cstheme="minorHAnsi"/>
                <w:szCs w:val="22"/>
              </w:rPr>
              <w:t>currently score a</w:t>
            </w:r>
            <w:r w:rsidR="007E6515">
              <w:rPr>
                <w:rFonts w:cstheme="minorHAnsi"/>
                <w:szCs w:val="22"/>
              </w:rPr>
              <w:t>n</w:t>
            </w:r>
            <w:r>
              <w:rPr>
                <w:rFonts w:cstheme="minorHAnsi"/>
                <w:szCs w:val="22"/>
              </w:rPr>
              <w:t xml:space="preserve"> HSR of 3 or lower</w:t>
            </w:r>
            <w:r w:rsidR="008E61B3">
              <w:rPr>
                <w:rFonts w:cstheme="minorHAnsi"/>
                <w:szCs w:val="22"/>
              </w:rPr>
              <w:t xml:space="preserve"> (with the exception of some reduced fat cheeses)</w:t>
            </w:r>
            <w:r>
              <w:rPr>
                <w:rFonts w:cstheme="minorHAnsi"/>
                <w:szCs w:val="22"/>
              </w:rPr>
              <w:t>.</w:t>
            </w:r>
          </w:p>
        </w:tc>
      </w:tr>
      <w:tr w:rsidR="007841CA" w:rsidRPr="00AB3873" w14:paraId="6A6728E0" w14:textId="77777777" w:rsidTr="00F53A94">
        <w:trPr>
          <w:trHeight w:val="219"/>
        </w:trPr>
        <w:tc>
          <w:tcPr>
            <w:tcW w:w="1498" w:type="dxa"/>
            <w:shd w:val="clear" w:color="auto" w:fill="DEEAF6" w:themeFill="accent5" w:themeFillTint="33"/>
          </w:tcPr>
          <w:p w14:paraId="0DD495AA" w14:textId="4C753AB2" w:rsidR="007841CA" w:rsidRPr="00AB3873" w:rsidRDefault="007747D2" w:rsidP="0024269C">
            <w:r>
              <w:lastRenderedPageBreak/>
              <w:t>Relevant</w:t>
            </w:r>
            <w:r w:rsidR="007841CA" w:rsidRPr="00AB3873">
              <w:t xml:space="preserve"> TAG papers</w:t>
            </w:r>
          </w:p>
        </w:tc>
        <w:tc>
          <w:tcPr>
            <w:tcW w:w="8283" w:type="dxa"/>
          </w:tcPr>
          <w:p w14:paraId="2F7E531B"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Sodium</w:t>
            </w:r>
          </w:p>
          <w:p w14:paraId="1C46FD11" w14:textId="685B806A"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Salty snacks </w:t>
            </w:r>
            <w:r w:rsidR="00FC5354">
              <w:rPr>
                <w:rFonts w:cstheme="minorHAnsi"/>
                <w:szCs w:val="22"/>
              </w:rPr>
              <w:t>and hot potato products</w:t>
            </w:r>
          </w:p>
        </w:tc>
      </w:tr>
    </w:tbl>
    <w:p w14:paraId="1297FFF4" w14:textId="77777777" w:rsidR="007841CA" w:rsidRPr="00AB3873" w:rsidRDefault="007841CA" w:rsidP="0024269C"/>
    <w:p w14:paraId="5860368D" w14:textId="77777777" w:rsidR="003A76BF" w:rsidRPr="00AB3873" w:rsidRDefault="003A76BF" w:rsidP="00B51EE9">
      <w:pPr>
        <w:pStyle w:val="mpcheading3"/>
      </w:pPr>
      <w:bookmarkStart w:id="107" w:name="_Toc524530361"/>
      <w:r w:rsidRPr="00AB3873">
        <w:t xml:space="preserve">Options </w:t>
      </w:r>
      <w:r>
        <w:t xml:space="preserve">to </w:t>
      </w:r>
      <w:r w:rsidRPr="00B51EE9">
        <w:t>address</w:t>
      </w:r>
      <w:r>
        <w:t xml:space="preserve"> issue</w:t>
      </w:r>
    </w:p>
    <w:p w14:paraId="617D6F78" w14:textId="77777777" w:rsidR="007841CA" w:rsidRPr="00AB3873" w:rsidRDefault="007841CA" w:rsidP="00B91EBF">
      <w:pPr>
        <w:pStyle w:val="mpcheading4"/>
        <w:numPr>
          <w:ilvl w:val="0"/>
          <w:numId w:val="15"/>
        </w:numPr>
      </w:pPr>
      <w:r w:rsidRPr="00AB3873">
        <w:t>Status quo for sodium</w:t>
      </w:r>
      <w:bookmarkEnd w:id="107"/>
    </w:p>
    <w:p w14:paraId="242A3639" w14:textId="6C3F058B" w:rsidR="007841CA" w:rsidRDefault="007841CA" w:rsidP="0024269C">
      <w:r w:rsidRPr="00AB3873">
        <w:t xml:space="preserve">This option would result in no changes </w:t>
      </w:r>
      <w:r>
        <w:t>to the sodium tables</w:t>
      </w:r>
      <w:r w:rsidR="0089646D">
        <w:t>,</w:t>
      </w:r>
      <w:r>
        <w:t xml:space="preserve"> and no change</w:t>
      </w:r>
      <w:r w:rsidR="00CC65E1">
        <w:t xml:space="preserve"> to the treatment of sodium in the HSR Calculator</w:t>
      </w:r>
      <w:r w:rsidRPr="00AB3873">
        <w:t xml:space="preserve">. </w:t>
      </w:r>
    </w:p>
    <w:p w14:paraId="026EE434" w14:textId="77777777" w:rsidR="007841CA" w:rsidRDefault="007841CA" w:rsidP="0024269C"/>
    <w:p w14:paraId="60ED6314" w14:textId="0E78C414" w:rsidR="007841CA" w:rsidRDefault="00CC65E1" w:rsidP="0024269C">
      <w:r>
        <w:t>Under this option, t</w:t>
      </w:r>
      <w:r w:rsidR="007841CA">
        <w:t>here would continue to be some differentiation between products with very high levels of sodium (i.e. &gt;2,700mg/100g)</w:t>
      </w:r>
      <w:r>
        <w:t>. However, very few products in the food supply exceed this level of sodium</w:t>
      </w:r>
      <w:r w:rsidR="00020E9F">
        <w:t>,</w:t>
      </w:r>
      <w:r>
        <w:t xml:space="preserve"> so this</w:t>
      </w:r>
      <w:r w:rsidR="00020E9F">
        <w:t xml:space="preserve"> option</w:t>
      </w:r>
      <w:r>
        <w:t xml:space="preserve"> </w:t>
      </w:r>
      <w:r w:rsidR="00020E9F">
        <w:t>limits broader discrimination in sodium content in order to cover a limited number of additional products.</w:t>
      </w:r>
    </w:p>
    <w:p w14:paraId="2697D820" w14:textId="77777777" w:rsidR="00F53A94" w:rsidRDefault="00F53A94" w:rsidP="0024269C"/>
    <w:p w14:paraId="057C56B9" w14:textId="480AB743" w:rsidR="007841CA" w:rsidRDefault="007841CA" w:rsidP="0024269C">
      <w:r>
        <w:t xml:space="preserve">The main disadvantages </w:t>
      </w:r>
      <w:r w:rsidR="00020E9F">
        <w:t xml:space="preserve">of this option </w:t>
      </w:r>
      <w:r>
        <w:t>include:</w:t>
      </w:r>
    </w:p>
    <w:p w14:paraId="30277EFD" w14:textId="77777777" w:rsidR="00020E9F" w:rsidRDefault="00020E9F" w:rsidP="0024269C"/>
    <w:p w14:paraId="0E17ADD5" w14:textId="5C627C02" w:rsidR="007841CA" w:rsidRDefault="00020E9F" w:rsidP="00B51EE9">
      <w:pPr>
        <w:pStyle w:val="mpcbullets1"/>
      </w:pPr>
      <w:r>
        <w:t>i</w:t>
      </w:r>
      <w:r w:rsidR="007841CA" w:rsidRPr="00F93D0B">
        <w:t>t does not address</w:t>
      </w:r>
      <w:r w:rsidR="007841CA">
        <w:t xml:space="preserve"> </w:t>
      </w:r>
      <w:r w:rsidR="007841CA" w:rsidRPr="00F93D0B">
        <w:t>concerns</w:t>
      </w:r>
      <w:r>
        <w:t xml:space="preserve"> regarding the limited ability of the HSR System to </w:t>
      </w:r>
      <w:r w:rsidR="007841CA" w:rsidRPr="00F93D0B">
        <w:t>discriminate between products that have significantly different sodium levels</w:t>
      </w:r>
    </w:p>
    <w:p w14:paraId="3D7487D1" w14:textId="48599D39" w:rsidR="007841CA" w:rsidRDefault="00020E9F" w:rsidP="00B51EE9">
      <w:pPr>
        <w:pStyle w:val="mpcbullets1"/>
      </w:pPr>
      <w:r>
        <w:t>i</w:t>
      </w:r>
      <w:r w:rsidR="007841CA" w:rsidRPr="00F93D0B">
        <w:t xml:space="preserve">t does not provide </w:t>
      </w:r>
      <w:r w:rsidR="00D32E48">
        <w:t xml:space="preserve">an </w:t>
      </w:r>
      <w:r w:rsidR="007841CA" w:rsidRPr="00F93D0B">
        <w:t>incentive for manufacturers t</w:t>
      </w:r>
      <w:r w:rsidR="007841CA">
        <w:t>o reformulate to reduce sodium</w:t>
      </w:r>
      <w:r>
        <w:t>, as large and unrealistic decreases are required before an increase in the HSR is achieved</w:t>
      </w:r>
    </w:p>
    <w:p w14:paraId="3A8B22AF" w14:textId="1FDC7E20" w:rsidR="007841CA" w:rsidRPr="00F93D0B" w:rsidRDefault="00020E9F" w:rsidP="00B51EE9">
      <w:pPr>
        <w:pStyle w:val="mpcbullets1"/>
      </w:pPr>
      <w:r>
        <w:t>i</w:t>
      </w:r>
      <w:r w:rsidR="007841CA">
        <w:t xml:space="preserve">t does not address consumer concerns regarding </w:t>
      </w:r>
      <w:r>
        <w:t xml:space="preserve">the HSRs of </w:t>
      </w:r>
      <w:r w:rsidR="007841CA">
        <w:t>products such as salty snacks.</w:t>
      </w:r>
    </w:p>
    <w:p w14:paraId="06BE718A" w14:textId="77777777" w:rsidR="007841CA" w:rsidRPr="00AB3873" w:rsidRDefault="007841CA" w:rsidP="0024269C"/>
    <w:p w14:paraId="53166611" w14:textId="4D2CBAE5" w:rsidR="007841CA" w:rsidRPr="00AB3873" w:rsidRDefault="007F0181" w:rsidP="00B91EBF">
      <w:pPr>
        <w:pStyle w:val="mpcheading4"/>
        <w:numPr>
          <w:ilvl w:val="0"/>
          <w:numId w:val="15"/>
        </w:numPr>
      </w:pPr>
      <w:r>
        <w:t>Decrease the maximum sodium levels used to determine baseline points for sodium to better reflect the range of sodium levels in the food supply</w:t>
      </w:r>
    </w:p>
    <w:p w14:paraId="1D567717" w14:textId="2A4D9DBF" w:rsidR="007841CA" w:rsidRDefault="007841CA" w:rsidP="0024269C">
      <w:r w:rsidRPr="00AB3873">
        <w:t xml:space="preserve">This option would require changes to the HSR Calculator </w:t>
      </w:r>
      <w:r>
        <w:t xml:space="preserve">to reduce the upper limit of the sodium table for Categories 1 and 2 from a maximum of 30 baseline points for sodium content &gt; </w:t>
      </w:r>
      <w:r w:rsidRPr="0091730A">
        <w:t xml:space="preserve">8,106mg/100g </w:t>
      </w:r>
      <w:r>
        <w:t>to a maximum of 30 baseline points for sodium content &gt; 2,700mg/100g. To retain alignment with the NPSC, there would be no changes to the sodium table below 900mg/100g.</w:t>
      </w:r>
    </w:p>
    <w:p w14:paraId="7EA976C2" w14:textId="463DF087" w:rsidR="00335DCC" w:rsidRDefault="00335DCC" w:rsidP="0024269C"/>
    <w:p w14:paraId="51415537" w14:textId="0C5A7FE9" w:rsidR="00335DCC" w:rsidRDefault="00335DCC" w:rsidP="0024269C">
      <w:r>
        <w:t xml:space="preserve">While the TAG </w:t>
      </w:r>
      <w:r w:rsidR="00F928A0">
        <w:t>also modelled the option of reducing the upper limit of the sodium table to a maximum sodium content &gt; 2,000mg/100g, 2,700mg/100g has been selected as it aligns the sodium tables across the HSR System.</w:t>
      </w:r>
    </w:p>
    <w:p w14:paraId="192369D3" w14:textId="77777777" w:rsidR="007841CA" w:rsidRDefault="007841CA" w:rsidP="0024269C"/>
    <w:p w14:paraId="7E9F8D87" w14:textId="77777777" w:rsidR="007841CA" w:rsidRPr="00AB3873" w:rsidRDefault="007841CA" w:rsidP="0024269C">
      <w:r w:rsidRPr="00AB3873">
        <w:t xml:space="preserve">Only 58 products in the TAG database </w:t>
      </w:r>
      <w:r>
        <w:t>would be</w:t>
      </w:r>
      <w:r w:rsidRPr="00AB3873">
        <w:t xml:space="preserve"> impacted by this option, including some sauces, dips and condiments, mixed cereal-based products (e.g. pizzas, cakes), meat and poultry dishes, preserved vegetable products and salty snack foods.</w:t>
      </w:r>
      <w:r>
        <w:t xml:space="preserve"> The scope of changes is generally in the range of a 0.5 to 1 star decrease in the HSRs of products impacted.</w:t>
      </w:r>
    </w:p>
    <w:p w14:paraId="4A0577FE" w14:textId="77777777" w:rsidR="007841CA" w:rsidRDefault="007841CA" w:rsidP="0024269C"/>
    <w:p w14:paraId="4ED9202B" w14:textId="77777777" w:rsidR="007841CA" w:rsidRDefault="007841CA" w:rsidP="0024269C">
      <w:r>
        <w:lastRenderedPageBreak/>
        <w:t>The main advantages of this include:</w:t>
      </w:r>
    </w:p>
    <w:p w14:paraId="7AB3E3BD" w14:textId="77777777" w:rsidR="007841CA" w:rsidRDefault="007841CA" w:rsidP="0024269C"/>
    <w:p w14:paraId="6234CCDC" w14:textId="48C4893A" w:rsidR="007841CA" w:rsidRDefault="007841CA" w:rsidP="00B51EE9">
      <w:pPr>
        <w:pStyle w:val="mpcbullets1"/>
      </w:pPr>
      <w:r>
        <w:t>it i</w:t>
      </w:r>
      <w:r w:rsidRPr="0091730A">
        <w:t>mprove</w:t>
      </w:r>
      <w:r>
        <w:t>s</w:t>
      </w:r>
      <w:r w:rsidRPr="0091730A">
        <w:t xml:space="preserve"> sodium sensitivity </w:t>
      </w:r>
      <w:r>
        <w:t>for products with sodium content between 900mg/100g and 2,700mg/100g</w:t>
      </w:r>
      <w:r w:rsidR="0089646D">
        <w:t>,</w:t>
      </w:r>
      <w:r>
        <w:t xml:space="preserve"> as</w:t>
      </w:r>
      <w:r w:rsidRPr="0091730A">
        <w:t xml:space="preserve"> products </w:t>
      </w:r>
      <w:r>
        <w:t xml:space="preserve">in this range </w:t>
      </w:r>
      <w:r w:rsidRPr="0091730A">
        <w:t>can incur baseline points faster</w:t>
      </w:r>
    </w:p>
    <w:p w14:paraId="1EA3EFDC" w14:textId="77777777" w:rsidR="007841CA" w:rsidRDefault="007841CA" w:rsidP="00B51EE9">
      <w:pPr>
        <w:pStyle w:val="mpcbullets1"/>
      </w:pPr>
      <w:r>
        <w:t xml:space="preserve">the decreased upper limit of the sodium table </w:t>
      </w:r>
      <w:r w:rsidRPr="005511CF">
        <w:t>more appropriately reflect</w:t>
      </w:r>
      <w:r>
        <w:t>s</w:t>
      </w:r>
      <w:r w:rsidRPr="005511CF">
        <w:t xml:space="preserve"> the range and frequency of sodium values in the food supply</w:t>
      </w:r>
    </w:p>
    <w:p w14:paraId="12359FE5" w14:textId="77777777" w:rsidR="007841CA" w:rsidRDefault="007841CA" w:rsidP="00B51EE9">
      <w:pPr>
        <w:pStyle w:val="mpcbullets1"/>
      </w:pPr>
      <w:r>
        <w:t>it will encourage reformulation in products with sodium levels &gt;900mg/100g</w:t>
      </w:r>
    </w:p>
    <w:p w14:paraId="2E43C6EB" w14:textId="77777777" w:rsidR="007841CA" w:rsidRDefault="007841CA" w:rsidP="00B51EE9">
      <w:pPr>
        <w:pStyle w:val="mpcbullets1"/>
      </w:pPr>
      <w:r>
        <w:t>the impact is limited to products with sodium levels &gt;900mg/100g, so this option will not necessitate changes to the HSRs of a wide range of products</w:t>
      </w:r>
    </w:p>
    <w:p w14:paraId="7932FE15" w14:textId="5E255789" w:rsidR="007841CA" w:rsidRDefault="007841CA" w:rsidP="00B51EE9">
      <w:pPr>
        <w:pStyle w:val="mpcbullets1"/>
      </w:pPr>
      <w:r>
        <w:t>it aligns the sodium tables across all HSR Categories</w:t>
      </w:r>
    </w:p>
    <w:p w14:paraId="27ED52A1" w14:textId="77777777" w:rsidR="008622C7" w:rsidRDefault="007841CA" w:rsidP="00B51EE9">
      <w:pPr>
        <w:pStyle w:val="mpcbullets1"/>
      </w:pPr>
      <w:r>
        <w:t>it retains alignment with the NPSC</w:t>
      </w:r>
    </w:p>
    <w:p w14:paraId="142CCDDE" w14:textId="77777777" w:rsidR="008622C7" w:rsidRDefault="008622C7" w:rsidP="00B51EE9">
      <w:pPr>
        <w:pStyle w:val="mpcbullets1"/>
      </w:pPr>
      <w:r>
        <w:t xml:space="preserve">it is relatively </w:t>
      </w:r>
      <w:r w:rsidRPr="005511CF">
        <w:t>simpl</w:t>
      </w:r>
      <w:r>
        <w:t>e to implement and communicate</w:t>
      </w:r>
    </w:p>
    <w:p w14:paraId="267397FD" w14:textId="7AF206FD" w:rsidR="007841CA" w:rsidRDefault="008622C7" w:rsidP="00B51EE9">
      <w:pPr>
        <w:pStyle w:val="mpcbullets1"/>
      </w:pPr>
      <w:r>
        <w:t xml:space="preserve">it </w:t>
      </w:r>
      <w:r w:rsidRPr="008622C7">
        <w:t>provides some increased alignment with Dietary Guideline recommendations to avoid foods high in sodium</w:t>
      </w:r>
      <w:r>
        <w:t>.</w:t>
      </w:r>
    </w:p>
    <w:p w14:paraId="32030096" w14:textId="77777777" w:rsidR="008622C7" w:rsidRPr="008622C7" w:rsidRDefault="008622C7" w:rsidP="0024269C"/>
    <w:p w14:paraId="3D7B3AF1" w14:textId="2D46D142" w:rsidR="008622C7" w:rsidRDefault="001E6BBF" w:rsidP="0024269C">
      <w:r>
        <w:t>The key d</w:t>
      </w:r>
      <w:r w:rsidR="008622C7">
        <w:t>isadvantage</w:t>
      </w:r>
      <w:r>
        <w:t xml:space="preserve"> of this option is it</w:t>
      </w:r>
      <w:r w:rsidR="008622C7">
        <w:t xml:space="preserve"> does not impact on </w:t>
      </w:r>
      <w:r>
        <w:t xml:space="preserve">the majority of </w:t>
      </w:r>
      <w:r w:rsidR="008622C7">
        <w:t xml:space="preserve">products </w:t>
      </w:r>
      <w:r>
        <w:t xml:space="preserve">(i.e. those </w:t>
      </w:r>
      <w:r w:rsidR="008622C7">
        <w:t>with sodium content &lt; 900mg/100g</w:t>
      </w:r>
      <w:r>
        <w:t>)</w:t>
      </w:r>
      <w:r w:rsidR="008622C7">
        <w:t>, and so will not address the issue with salty snacks (discussed under Chapter 6).</w:t>
      </w:r>
    </w:p>
    <w:p w14:paraId="627D91A8" w14:textId="77777777" w:rsidR="009A3F60" w:rsidRDefault="009A3F60" w:rsidP="0024269C"/>
    <w:p w14:paraId="49032ACD" w14:textId="1D476E53" w:rsidR="009A3F60" w:rsidRPr="002123F0" w:rsidRDefault="009A3F60" w:rsidP="00B51EE9">
      <w:pPr>
        <w:pStyle w:val="mpcheading3"/>
      </w:pPr>
      <w:bookmarkStart w:id="108" w:name="_Toc524530363"/>
      <w:r>
        <w:t xml:space="preserve">Summary and </w:t>
      </w:r>
      <w:r w:rsidRPr="00B51EE9">
        <w:t>consultation</w:t>
      </w:r>
      <w:r>
        <w:t xml:space="preserve"> </w:t>
      </w:r>
      <w:bookmarkEnd w:id="108"/>
    </w:p>
    <w:p w14:paraId="5645E847" w14:textId="6E180391" w:rsidR="00455168" w:rsidRDefault="009A3F60" w:rsidP="0024269C">
      <w:pPr>
        <w:rPr>
          <w:b/>
        </w:rPr>
      </w:pPr>
      <w:r w:rsidRPr="001A60E2">
        <w:t xml:space="preserve">On the basis of our </w:t>
      </w:r>
      <w:r>
        <w:t>examination</w:t>
      </w:r>
      <w:r w:rsidRPr="001A60E2">
        <w:t xml:space="preserve"> of the issues to date</w:t>
      </w:r>
      <w:r>
        <w:t>, the</w:t>
      </w:r>
      <w:r w:rsidRPr="001A60E2">
        <w:t xml:space="preserve"> preferred option is currently </w:t>
      </w:r>
      <w:r>
        <w:t>Option</w:t>
      </w:r>
      <w:r w:rsidRPr="001A60E2">
        <w:t xml:space="preserve"> </w:t>
      </w:r>
      <w:r>
        <w:t>B</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Pr>
          <w:b/>
        </w:rPr>
        <w:t>.</w:t>
      </w:r>
      <w:r w:rsidR="00455168">
        <w:rPr>
          <w:b/>
        </w:rPr>
        <w:br w:type="page"/>
      </w:r>
    </w:p>
    <w:p w14:paraId="07A10917" w14:textId="2C63873B" w:rsidR="00D464AE" w:rsidRPr="00AB3873" w:rsidRDefault="00561741" w:rsidP="00B51EE9">
      <w:pPr>
        <w:pStyle w:val="mpcheading1"/>
      </w:pPr>
      <w:bookmarkStart w:id="109" w:name="Chapter5"/>
      <w:bookmarkStart w:id="110" w:name="_Toc523922882"/>
      <w:bookmarkStart w:id="111" w:name="_Toc527112903"/>
      <w:bookmarkEnd w:id="109"/>
      <w:r>
        <w:lastRenderedPageBreak/>
        <w:t>Chapter 5</w:t>
      </w:r>
      <w:r w:rsidR="00D464AE" w:rsidRPr="00AB3873">
        <w:t xml:space="preserve"> –</w:t>
      </w:r>
      <w:r w:rsidR="00D464AE">
        <w:t xml:space="preserve"> </w:t>
      </w:r>
      <w:r w:rsidR="00D464AE" w:rsidRPr="00AB3873">
        <w:t>Positive nutrients</w:t>
      </w:r>
      <w:bookmarkEnd w:id="110"/>
      <w:bookmarkEnd w:id="111"/>
    </w:p>
    <w:p w14:paraId="7099DCA6" w14:textId="77777777" w:rsidR="00D464AE" w:rsidRPr="00B51EE9" w:rsidRDefault="00D464AE" w:rsidP="00B51EE9">
      <w:pPr>
        <w:pStyle w:val="mpcheading2"/>
      </w:pPr>
      <w:bookmarkStart w:id="112" w:name="Ch5Overview"/>
      <w:bookmarkStart w:id="113" w:name="_Toc523922883"/>
      <w:bookmarkStart w:id="114" w:name="_Toc527112904"/>
      <w:bookmarkEnd w:id="112"/>
      <w:r w:rsidRPr="00AB3873">
        <w:t>Overview</w:t>
      </w:r>
      <w:bookmarkEnd w:id="113"/>
      <w:bookmarkEnd w:id="114"/>
    </w:p>
    <w:p w14:paraId="59B2B607" w14:textId="77777777" w:rsidR="00D464AE" w:rsidRPr="00AB3873" w:rsidRDefault="00D464AE" w:rsidP="0024269C"/>
    <w:p w14:paraId="37FE0FC6" w14:textId="159A7ED7" w:rsidR="00D464AE" w:rsidRPr="00AB3873" w:rsidRDefault="00D464AE" w:rsidP="0024269C">
      <w:r w:rsidRPr="00AB3873">
        <w:t xml:space="preserve">This Chapter relates to </w:t>
      </w:r>
      <w:r w:rsidR="009A3F60">
        <w:t>stakeholder comments</w:t>
      </w:r>
      <w:r w:rsidRPr="00AB3873">
        <w:t xml:space="preserve"> regarding the treatment of protein and fibre in the HSR </w:t>
      </w:r>
      <w:r w:rsidR="006000E2">
        <w:t>System</w:t>
      </w:r>
      <w:r w:rsidR="0089646D">
        <w:t>,</w:t>
      </w:r>
      <w:r w:rsidRPr="00AB3873">
        <w:t xml:space="preserve"> and the potential for including wholegrain in the HSR Calculator. </w:t>
      </w:r>
    </w:p>
    <w:p w14:paraId="28AFE19E" w14:textId="77777777" w:rsidR="00D464AE" w:rsidRPr="00AB3873" w:rsidRDefault="00D464AE" w:rsidP="0024269C"/>
    <w:p w14:paraId="7E6F3732" w14:textId="3E937AB1" w:rsidR="00D464AE" w:rsidRPr="006B4701" w:rsidRDefault="00D464AE" w:rsidP="00D464AE">
      <w:pPr>
        <w:pStyle w:val="mpcbullets1"/>
        <w:numPr>
          <w:ilvl w:val="0"/>
          <w:numId w:val="0"/>
        </w:numPr>
        <w:rPr>
          <w:rFonts w:cstheme="minorHAnsi"/>
          <w:szCs w:val="22"/>
        </w:rPr>
      </w:pPr>
      <w:r w:rsidRPr="006B4701">
        <w:rPr>
          <w:rFonts w:cstheme="minorHAnsi"/>
          <w:szCs w:val="22"/>
        </w:rPr>
        <w:t xml:space="preserve">HSR modifying points may be scored for the positive </w:t>
      </w:r>
      <w:r w:rsidR="00DE5AA8">
        <w:rPr>
          <w:rFonts w:cstheme="minorHAnsi"/>
          <w:szCs w:val="22"/>
        </w:rPr>
        <w:t>components</w:t>
      </w:r>
      <w:r w:rsidR="00DC4672">
        <w:rPr>
          <w:rFonts w:cstheme="minorHAnsi"/>
          <w:szCs w:val="22"/>
        </w:rPr>
        <w:t xml:space="preserve"> of</w:t>
      </w:r>
      <w:r w:rsidRPr="006B4701">
        <w:rPr>
          <w:rFonts w:cstheme="minorHAnsi"/>
          <w:szCs w:val="22"/>
        </w:rPr>
        <w:t xml:space="preserve"> a product:</w:t>
      </w:r>
    </w:p>
    <w:p w14:paraId="0BA58057" w14:textId="77777777" w:rsidR="00D464AE" w:rsidRPr="006B4701" w:rsidRDefault="00D464AE" w:rsidP="00D464AE">
      <w:pPr>
        <w:pStyle w:val="mpcbullets1"/>
        <w:numPr>
          <w:ilvl w:val="0"/>
          <w:numId w:val="0"/>
        </w:numPr>
        <w:rPr>
          <w:rFonts w:cstheme="minorHAnsi"/>
          <w:szCs w:val="22"/>
        </w:rPr>
      </w:pPr>
    </w:p>
    <w:p w14:paraId="673930CA" w14:textId="0DC89C96" w:rsidR="00D464AE" w:rsidRPr="00B51EE9" w:rsidRDefault="00D464AE" w:rsidP="00B51EE9">
      <w:pPr>
        <w:pStyle w:val="mpcbullets1"/>
      </w:pPr>
      <w:r w:rsidRPr="006B4701">
        <w:rPr>
          <w:b/>
        </w:rPr>
        <w:t>V points</w:t>
      </w:r>
      <w:r w:rsidRPr="006B4701">
        <w:t xml:space="preserve"> can be </w:t>
      </w:r>
      <w:r w:rsidRPr="00B51EE9">
        <w:t xml:space="preserve">scored for the amount of FVNL </w:t>
      </w:r>
      <w:r w:rsidR="00BB06AD" w:rsidRPr="00B51EE9">
        <w:t xml:space="preserve">or concentrated fruit and vegetable content </w:t>
      </w:r>
      <w:r w:rsidRPr="00B51EE9">
        <w:t xml:space="preserve">in a food </w:t>
      </w:r>
      <w:r w:rsidR="0089646D" w:rsidRPr="00B51EE9">
        <w:t xml:space="preserve">– </w:t>
      </w:r>
      <w:r w:rsidRPr="00B51EE9">
        <w:t xml:space="preserve">from 1 </w:t>
      </w:r>
      <w:r w:rsidR="00BB06AD" w:rsidRPr="00B51EE9">
        <w:t xml:space="preserve">point (for &gt; 40% FVNL or &gt; 25% concentrated fruit and vegetable content) </w:t>
      </w:r>
      <w:r w:rsidRPr="00B51EE9">
        <w:t xml:space="preserve">to a maximum of 8 points </w:t>
      </w:r>
      <w:r w:rsidR="0089646D" w:rsidRPr="00B51EE9">
        <w:t>(</w:t>
      </w:r>
      <w:r w:rsidRPr="00B51EE9">
        <w:t>for 100% FVNL content</w:t>
      </w:r>
      <w:r w:rsidR="0089646D" w:rsidRPr="00B51EE9">
        <w:t>)</w:t>
      </w:r>
      <w:r w:rsidR="00DC4672" w:rsidRPr="00B51EE9">
        <w:t>.</w:t>
      </w:r>
    </w:p>
    <w:p w14:paraId="1811B583" w14:textId="5E305DD0" w:rsidR="00D464AE" w:rsidRPr="00B51EE9" w:rsidRDefault="00D464AE" w:rsidP="00B51EE9">
      <w:pPr>
        <w:pStyle w:val="mpcbullets1"/>
      </w:pPr>
      <w:r w:rsidRPr="00B51EE9">
        <w:rPr>
          <w:b/>
        </w:rPr>
        <w:t>P points</w:t>
      </w:r>
      <w:r w:rsidRPr="00B51EE9">
        <w:t xml:space="preserve"> can be scored for the amount of protein in a product, only if the product scores 13 or less baseline points or scores more than 13 baseline points but also score</w:t>
      </w:r>
      <w:r w:rsidR="0089646D" w:rsidRPr="00B51EE9">
        <w:t xml:space="preserve">s 5 or more V points – </w:t>
      </w:r>
      <w:r w:rsidRPr="00B51EE9">
        <w:t xml:space="preserve">from 1 to a maximum of 15 points </w:t>
      </w:r>
      <w:r w:rsidR="0089646D" w:rsidRPr="00B51EE9">
        <w:t>(</w:t>
      </w:r>
      <w:r w:rsidRPr="00B51EE9">
        <w:t>for more than 50% protein</w:t>
      </w:r>
      <w:r w:rsidR="0089646D" w:rsidRPr="00B51EE9">
        <w:t>)</w:t>
      </w:r>
      <w:r w:rsidR="00DC4672" w:rsidRPr="00B51EE9">
        <w:t>.</w:t>
      </w:r>
    </w:p>
    <w:p w14:paraId="7A6D2D4A" w14:textId="1FFD85D1" w:rsidR="00D464AE" w:rsidRPr="006B4701" w:rsidRDefault="00D464AE" w:rsidP="00B51EE9">
      <w:pPr>
        <w:pStyle w:val="mpcbullets1"/>
      </w:pPr>
      <w:r w:rsidRPr="00B51EE9">
        <w:rPr>
          <w:b/>
        </w:rPr>
        <w:t>F points</w:t>
      </w:r>
      <w:r w:rsidRPr="00B51EE9">
        <w:t xml:space="preserve"> can be scored for</w:t>
      </w:r>
      <w:r w:rsidRPr="006B4701">
        <w:t xml:space="preserve"> the amount of dietary fibre in a product for Category 2, 2D, 3 and 3D foods only (i.e. beverages cannot score F points) </w:t>
      </w:r>
      <w:r w:rsidR="0089646D">
        <w:t xml:space="preserve">– </w:t>
      </w:r>
      <w:r w:rsidRPr="006B4701">
        <w:t xml:space="preserve">from 1 to a maximum of 15 points </w:t>
      </w:r>
      <w:r w:rsidR="0089646D">
        <w:t>(</w:t>
      </w:r>
      <w:r w:rsidRPr="006B4701">
        <w:t>for more than 20% fibre)</w:t>
      </w:r>
      <w:r w:rsidR="00DC4672">
        <w:t>.</w:t>
      </w:r>
    </w:p>
    <w:p w14:paraId="496F73C2" w14:textId="77777777" w:rsidR="00D464AE" w:rsidRPr="006B4701" w:rsidRDefault="00D464AE" w:rsidP="0024269C"/>
    <w:p w14:paraId="53B8A754" w14:textId="03A1767F" w:rsidR="00D464AE" w:rsidRDefault="00D464AE" w:rsidP="0024269C">
      <w:r>
        <w:t xml:space="preserve">The key issues raised by stakeholders in </w:t>
      </w:r>
      <w:r w:rsidR="00DE7F65">
        <w:t>relation to positive nutrients a</w:t>
      </w:r>
      <w:r>
        <w:t>re:</w:t>
      </w:r>
    </w:p>
    <w:p w14:paraId="6DF810CA" w14:textId="77777777" w:rsidR="00D464AE" w:rsidRDefault="00D464AE" w:rsidP="0024269C"/>
    <w:p w14:paraId="60A8F5F7" w14:textId="644B927E" w:rsidR="00D464AE" w:rsidRPr="00B51EE9" w:rsidRDefault="006B3F1D" w:rsidP="00B51EE9">
      <w:pPr>
        <w:pStyle w:val="mpcbullets1"/>
      </w:pPr>
      <w:r w:rsidRPr="00B51EE9">
        <w:t>c</w:t>
      </w:r>
      <w:r w:rsidR="00D464AE" w:rsidRPr="00B51EE9">
        <w:t>oncern</w:t>
      </w:r>
      <w:r w:rsidRPr="00B51EE9">
        <w:t xml:space="preserve"> regarding</w:t>
      </w:r>
      <w:r w:rsidR="00D464AE" w:rsidRPr="00B51EE9">
        <w:t xml:space="preserve"> the i</w:t>
      </w:r>
      <w:r w:rsidR="00D648A1" w:rsidRPr="00B51EE9">
        <w:t>nclusion of protein in the HSR C</w:t>
      </w:r>
      <w:r w:rsidR="00D464AE" w:rsidRPr="00B51EE9">
        <w:t>alculator when the majority of Australians and New Zealanders meet or exceed th</w:t>
      </w:r>
      <w:r w:rsidRPr="00B51EE9">
        <w:t>e recommended intake of protein</w:t>
      </w:r>
    </w:p>
    <w:p w14:paraId="4CF0E3D0" w14:textId="642BDF23" w:rsidR="00D464AE" w:rsidRPr="00B51EE9" w:rsidRDefault="00D32E48" w:rsidP="00B51EE9">
      <w:pPr>
        <w:pStyle w:val="mpcbullets1"/>
      </w:pPr>
      <w:r w:rsidRPr="00B51EE9">
        <w:t>concern that manufacturers may add refined fibres (such as Inulin) to products in order to drive up the HSR</w:t>
      </w:r>
    </w:p>
    <w:p w14:paraId="50608FA8" w14:textId="6E9E7699" w:rsidR="00D464AE" w:rsidRPr="009F0220" w:rsidRDefault="00D464AE" w:rsidP="00B51EE9">
      <w:pPr>
        <w:pStyle w:val="mpcbullets1"/>
      </w:pPr>
      <w:r w:rsidRPr="00B51EE9">
        <w:t xml:space="preserve">concern that modifying points for fibre do not </w:t>
      </w:r>
      <w:r w:rsidR="00D648A1" w:rsidRPr="00B51EE9">
        <w:t>consider</w:t>
      </w:r>
      <w:r w:rsidRPr="00B51EE9">
        <w:t xml:space="preserve"> wholegrain</w:t>
      </w:r>
      <w:r w:rsidR="00D648A1" w:rsidRPr="00B51EE9">
        <w:t xml:space="preserve"> content</w:t>
      </w:r>
      <w:r w:rsidRPr="00B51EE9">
        <w:t>, resulting in a lack of differentiation</w:t>
      </w:r>
      <w:r w:rsidRPr="00AB3873">
        <w:t xml:space="preserve"> between products containing</w:t>
      </w:r>
      <w:r>
        <w:t xml:space="preserve"> wholegrains compared to those products that are </w:t>
      </w:r>
      <w:r w:rsidRPr="00AB3873">
        <w:t>more refine</w:t>
      </w:r>
      <w:r>
        <w:t>d</w:t>
      </w:r>
      <w:r w:rsidRPr="00AB3873">
        <w:t xml:space="preserve">. </w:t>
      </w:r>
    </w:p>
    <w:p w14:paraId="23740BDB" w14:textId="77777777" w:rsidR="00D464AE" w:rsidRDefault="00D464AE" w:rsidP="0024269C"/>
    <w:p w14:paraId="35F792A5" w14:textId="77777777" w:rsidR="00D464AE" w:rsidRPr="00AB3873" w:rsidRDefault="00D464AE" w:rsidP="0024269C">
      <w:r>
        <w:t>This Chapter examines each of these issues.</w:t>
      </w:r>
    </w:p>
    <w:p w14:paraId="727E7097" w14:textId="77777777" w:rsidR="00D464AE" w:rsidRPr="00AB3873" w:rsidRDefault="00D464AE" w:rsidP="0024269C"/>
    <w:p w14:paraId="77B24F42" w14:textId="77777777" w:rsidR="00D464AE" w:rsidRPr="00B51EE9" w:rsidRDefault="00D464AE" w:rsidP="00B51EE9">
      <w:pPr>
        <w:pStyle w:val="mpcheading2"/>
      </w:pPr>
      <w:bookmarkStart w:id="115" w:name="Protein"/>
      <w:bookmarkStart w:id="116" w:name="_Toc523922884"/>
      <w:bookmarkStart w:id="117" w:name="_Toc527112905"/>
      <w:bookmarkEnd w:id="115"/>
      <w:r w:rsidRPr="00AB3873">
        <w:t>Protein</w:t>
      </w:r>
      <w:bookmarkEnd w:id="116"/>
      <w:bookmarkEnd w:id="117"/>
    </w:p>
    <w:p w14:paraId="0E97814E" w14:textId="77777777" w:rsidR="00D464AE" w:rsidRPr="00AB3873" w:rsidRDefault="00D464AE" w:rsidP="0024269C"/>
    <w:p w14:paraId="65483738" w14:textId="77777777" w:rsidR="00D464AE" w:rsidRPr="00B51EE9" w:rsidRDefault="00D464AE" w:rsidP="00B51EE9">
      <w:pPr>
        <w:pStyle w:val="mpcheading3"/>
      </w:pPr>
      <w:bookmarkStart w:id="118" w:name="_Toc523922885"/>
      <w:bookmarkStart w:id="119" w:name="_Toc524530367"/>
      <w:r w:rsidRPr="00AB3873">
        <w:t>Issue</w:t>
      </w:r>
      <w:bookmarkEnd w:id="118"/>
      <w:bookmarkEnd w:id="119"/>
    </w:p>
    <w:p w14:paraId="1E7B4DCA" w14:textId="002BAD2D" w:rsidR="00D464AE" w:rsidRDefault="00D464AE" w:rsidP="0024269C">
      <w:r>
        <w:t>Some stakeholders have questioned whether protein should be included as a positive nutrient in the HSR Calculator, as the majority of Australians and New Zealanders meet or exceed recommended intake</w:t>
      </w:r>
      <w:r w:rsidR="00C37F06">
        <w:t>s for</w:t>
      </w:r>
      <w:r>
        <w:t xml:space="preserve"> protein.</w:t>
      </w:r>
    </w:p>
    <w:p w14:paraId="7B640E2E" w14:textId="77777777" w:rsidR="00D464AE" w:rsidRDefault="00D464AE" w:rsidP="0024269C"/>
    <w:p w14:paraId="4880E5B5" w14:textId="34320622" w:rsidR="00D464AE" w:rsidRDefault="00D464AE" w:rsidP="0024269C">
      <w:r>
        <w:t>Protein is included in the HSR Calculator as it is part of the NPSC and the UK NPM on which the NPSC is based. Evidence underpinning the UK NP</w:t>
      </w:r>
      <w:r w:rsidR="002B0FA9">
        <w:t>M</w:t>
      </w:r>
      <w:r>
        <w:t xml:space="preserve"> demonstrates that protein is a reasonable surrogate for iron and calcium content</w:t>
      </w:r>
      <w:r w:rsidR="00047AB6">
        <w:rPr>
          <w:rStyle w:val="FootnoteReference"/>
          <w:sz w:val="22"/>
          <w:szCs w:val="22"/>
        </w:rPr>
        <w:footnoteReference w:id="49"/>
      </w:r>
      <w:r>
        <w:t xml:space="preserve">, which are </w:t>
      </w:r>
      <w:r w:rsidR="0089646D">
        <w:t xml:space="preserve">both </w:t>
      </w:r>
      <w:r>
        <w:t>lacking in the Australian and New Zealand</w:t>
      </w:r>
      <w:r w:rsidR="00DE7F65">
        <w:t>er</w:t>
      </w:r>
      <w:r>
        <w:t xml:space="preserve"> populations.</w:t>
      </w:r>
      <w:r w:rsidR="003B7B74">
        <w:t xml:space="preserve"> As neither iron </w:t>
      </w:r>
      <w:r w:rsidR="0089646D">
        <w:t>nor calcium content is</w:t>
      </w:r>
      <w:r w:rsidR="003B7B74">
        <w:t xml:space="preserve"> mandated in the NIP, it is also more practical to use protein as a surrogate</w:t>
      </w:r>
      <w:r w:rsidR="00DE7F65">
        <w:t xml:space="preserve"> in the HSR Calculator</w:t>
      </w:r>
      <w:r w:rsidR="003B7B74">
        <w:t>.</w:t>
      </w:r>
    </w:p>
    <w:p w14:paraId="13F93948" w14:textId="77777777" w:rsidR="00D464AE" w:rsidRDefault="00D464AE" w:rsidP="0024269C"/>
    <w:p w14:paraId="7B370EA8" w14:textId="3B5A2425" w:rsidR="003B7B74" w:rsidRDefault="003B7B74" w:rsidP="00B51EE9">
      <w:pPr>
        <w:keepNext/>
      </w:pPr>
      <w:r>
        <w:lastRenderedPageBreak/>
        <w:t xml:space="preserve">In the HSR System, </w:t>
      </w:r>
      <w:r w:rsidR="00B51EE9">
        <w:t>P</w:t>
      </w:r>
      <w:r w:rsidR="002B7855">
        <w:t xml:space="preserve"> </w:t>
      </w:r>
      <w:r w:rsidR="006D153A">
        <w:t>points can only be scored where</w:t>
      </w:r>
      <w:r>
        <w:t>:</w:t>
      </w:r>
    </w:p>
    <w:p w14:paraId="75EAA0B8" w14:textId="77777777" w:rsidR="003B7B74" w:rsidRDefault="003B7B74" w:rsidP="00B51EE9">
      <w:pPr>
        <w:keepNext/>
      </w:pPr>
    </w:p>
    <w:p w14:paraId="6F83A35F" w14:textId="304A65C4" w:rsidR="003B7B74" w:rsidRDefault="006D153A" w:rsidP="00B91EBF">
      <w:pPr>
        <w:pStyle w:val="ListParagraph"/>
        <w:keepNext/>
        <w:numPr>
          <w:ilvl w:val="0"/>
          <w:numId w:val="20"/>
        </w:numPr>
      </w:pPr>
      <w:r w:rsidRPr="00BE308B">
        <w:t>the product sc</w:t>
      </w:r>
      <w:r w:rsidR="003B7B74">
        <w:t xml:space="preserve">ores 13 or </w:t>
      </w:r>
      <w:r w:rsidR="00795FB0">
        <w:t xml:space="preserve">fewer </w:t>
      </w:r>
      <w:r w:rsidR="003B7B74">
        <w:t xml:space="preserve">baseline points (from energy, total sugars, sodium and/or saturated fat content), </w:t>
      </w:r>
      <w:r w:rsidRPr="00BE308B">
        <w:t xml:space="preserve">or </w:t>
      </w:r>
    </w:p>
    <w:p w14:paraId="4EEB6E3B" w14:textId="6D9B0621" w:rsidR="006D153A" w:rsidRPr="00BE308B" w:rsidRDefault="00DE7F65" w:rsidP="00B91EBF">
      <w:pPr>
        <w:pStyle w:val="ListParagraph"/>
        <w:numPr>
          <w:ilvl w:val="0"/>
          <w:numId w:val="20"/>
        </w:numPr>
      </w:pPr>
      <w:r>
        <w:t>the product</w:t>
      </w:r>
      <w:r w:rsidR="003B7B74">
        <w:t xml:space="preserve"> scores </w:t>
      </w:r>
      <w:r w:rsidR="006D153A" w:rsidRPr="00BE308B">
        <w:t>more than 13 baseline points but also score</w:t>
      </w:r>
      <w:r w:rsidR="006D153A">
        <w:t>s</w:t>
      </w:r>
      <w:r w:rsidR="006D153A" w:rsidRPr="00BE308B">
        <w:t xml:space="preserve"> 5 or more V points</w:t>
      </w:r>
      <w:r w:rsidR="003B7B74">
        <w:t xml:space="preserve"> (from FVNL content)</w:t>
      </w:r>
      <w:r w:rsidR="006D153A">
        <w:t>.</w:t>
      </w:r>
    </w:p>
    <w:p w14:paraId="348AF04C" w14:textId="5FA0B63E" w:rsidR="006D153A" w:rsidRDefault="006D153A" w:rsidP="0024269C"/>
    <w:p w14:paraId="337C522C" w14:textId="2E9FEB03" w:rsidR="003B7B74" w:rsidRDefault="003B7B74" w:rsidP="0024269C">
      <w:r>
        <w:t xml:space="preserve">This represents a change from the UK NPM. When the NPSC was developed, </w:t>
      </w:r>
      <w:r w:rsidR="001254D3">
        <w:t xml:space="preserve">a more lenient approach to eligibility for </w:t>
      </w:r>
      <w:r w:rsidR="00B51EE9">
        <w:t>P</w:t>
      </w:r>
      <w:r w:rsidR="001254D3">
        <w:t xml:space="preserve"> points was taken. In adapting the UK NPM, eligibility for </w:t>
      </w:r>
      <w:r w:rsidR="00A45B11">
        <w:t>P</w:t>
      </w:r>
      <w:r w:rsidR="001254D3">
        <w:t xml:space="preserve"> points was changed from </w:t>
      </w:r>
      <w:r w:rsidR="000E0271">
        <w:t xml:space="preserve">11 or </w:t>
      </w:r>
      <w:r w:rsidR="00864B65">
        <w:t xml:space="preserve">fewer </w:t>
      </w:r>
      <w:r w:rsidR="000E0271">
        <w:t xml:space="preserve">baseline points to 13 or </w:t>
      </w:r>
      <w:r w:rsidR="00864B65">
        <w:t xml:space="preserve">fewer </w:t>
      </w:r>
      <w:r w:rsidR="000E0271">
        <w:t>baseline points, meaning that a product can receive more baseline points before becoming ineligible</w:t>
      </w:r>
      <w:r w:rsidR="00A45B11">
        <w:t xml:space="preserve">. This means that the NPSC (and consequently the HSR Calculator) </w:t>
      </w:r>
      <w:r w:rsidR="001A2BD3">
        <w:t>make</w:t>
      </w:r>
      <w:r w:rsidR="00864B65">
        <w:t>s</w:t>
      </w:r>
      <w:r w:rsidR="00A45B11">
        <w:t xml:space="preserve"> it easier for less healthy products higher in risk nutrients to benefit from their protein content. The products affected by this are generally breakfast cereals, muesli bars</w:t>
      </w:r>
      <w:r w:rsidR="0091776D">
        <w:t xml:space="preserve"> and</w:t>
      </w:r>
      <w:r w:rsidR="00A45B11">
        <w:t xml:space="preserve"> bakery products</w:t>
      </w:r>
      <w:r w:rsidR="0091776D">
        <w:t xml:space="preserve"> with added sugars or saturated fats (such as iced buns, scones</w:t>
      </w:r>
      <w:r w:rsidR="002B7855">
        <w:t xml:space="preserve"> and</w:t>
      </w:r>
      <w:r w:rsidR="0089646D">
        <w:t xml:space="preserve"> cheese-</w:t>
      </w:r>
      <w:r w:rsidR="0091776D">
        <w:t>topped rolls).</w:t>
      </w:r>
    </w:p>
    <w:p w14:paraId="0BA16DFA" w14:textId="4B04C64B" w:rsidR="00D02CB7" w:rsidRDefault="00D02CB7" w:rsidP="0024269C"/>
    <w:p w14:paraId="2209BFA7" w14:textId="77777777" w:rsidR="00EE0946" w:rsidRDefault="00590455" w:rsidP="0024269C">
      <w:r>
        <w:t>Stakeholder</w:t>
      </w:r>
      <w:r w:rsidR="006B3F1D">
        <w:t>s</w:t>
      </w:r>
      <w:r>
        <w:t xml:space="preserve"> have </w:t>
      </w:r>
      <w:r w:rsidR="00E6680A">
        <w:t xml:space="preserve">also </w:t>
      </w:r>
      <w:r>
        <w:t>raised concerns that manufacturers may add protein</w:t>
      </w:r>
      <w:r w:rsidR="004F0137">
        <w:t xml:space="preserve"> (such as whey or casein)</w:t>
      </w:r>
      <w:r>
        <w:t xml:space="preserve"> to products to offset risk nutrients to gain a higher HSR, without delivering health benefits. </w:t>
      </w:r>
    </w:p>
    <w:p w14:paraId="639F10D8" w14:textId="42095F33" w:rsidR="00D464AE" w:rsidRPr="001452D2" w:rsidRDefault="00D464AE" w:rsidP="0024269C"/>
    <w:p w14:paraId="68561724" w14:textId="77777777" w:rsidR="00D464AE" w:rsidRPr="00AB3873" w:rsidRDefault="00D464AE" w:rsidP="00B51EE9">
      <w:pPr>
        <w:pStyle w:val="mpcheading3"/>
      </w:pPr>
      <w:bookmarkStart w:id="120" w:name="_Toc523922886"/>
      <w:bookmarkStart w:id="121" w:name="_Toc524530368"/>
      <w:r w:rsidRPr="00B51EE9">
        <w:t>Considerations</w:t>
      </w:r>
      <w:bookmarkEnd w:id="120"/>
      <w:bookmarkEnd w:id="121"/>
    </w:p>
    <w:tbl>
      <w:tblPr>
        <w:tblStyle w:val="TableGrid"/>
        <w:tblW w:w="9781" w:type="dxa"/>
        <w:tblInd w:w="-5" w:type="dxa"/>
        <w:tblLook w:val="04A0" w:firstRow="1" w:lastRow="0" w:firstColumn="1" w:lastColumn="0" w:noHBand="0" w:noVBand="1"/>
        <w:tblCaption w:val="Considerations - protein"/>
        <w:tblDescription w:val="This table outlines the relevant information to be considered in determining options to address this issue."/>
      </w:tblPr>
      <w:tblGrid>
        <w:gridCol w:w="1328"/>
        <w:gridCol w:w="8453"/>
      </w:tblGrid>
      <w:tr w:rsidR="00D464AE" w:rsidRPr="00AB3873" w14:paraId="307C254B" w14:textId="77777777" w:rsidTr="00D37907">
        <w:trPr>
          <w:tblHeader/>
        </w:trPr>
        <w:tc>
          <w:tcPr>
            <w:tcW w:w="1328" w:type="dxa"/>
            <w:shd w:val="clear" w:color="auto" w:fill="DEEAF6" w:themeFill="accent5" w:themeFillTint="33"/>
          </w:tcPr>
          <w:p w14:paraId="49C2B6C4" w14:textId="4DE55A81" w:rsidR="00D464AE" w:rsidRPr="00AB3873" w:rsidRDefault="00D464AE" w:rsidP="0024269C">
            <w:bookmarkStart w:id="122" w:name="RowTitle5"/>
            <w:bookmarkEnd w:id="122"/>
            <w:r w:rsidRPr="00AB3873">
              <w:t>Current tre</w:t>
            </w:r>
            <w:bookmarkStart w:id="123" w:name="Table_7_protein"/>
            <w:bookmarkEnd w:id="123"/>
            <w:r w:rsidRPr="00AB3873">
              <w:t xml:space="preserve">atment in the HSR </w:t>
            </w:r>
            <w:r w:rsidR="006000E2">
              <w:t>System</w:t>
            </w:r>
          </w:p>
        </w:tc>
        <w:tc>
          <w:tcPr>
            <w:tcW w:w="8453" w:type="dxa"/>
          </w:tcPr>
          <w:p w14:paraId="0ED2C063" w14:textId="77777777"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 xml:space="preserve">Protein is a positive nutrient in the HSR Calculator. </w:t>
            </w:r>
          </w:p>
          <w:p w14:paraId="462B5B7D" w14:textId="27B07B40" w:rsidR="006D153A" w:rsidRPr="004F43B9"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 xml:space="preserve">A product with &gt; 1.6% protein can score modifying </w:t>
            </w:r>
            <w:r w:rsidR="002B7855">
              <w:rPr>
                <w:szCs w:val="22"/>
              </w:rPr>
              <w:t xml:space="preserve">protein </w:t>
            </w:r>
            <w:r w:rsidRPr="004F43B9">
              <w:rPr>
                <w:rFonts w:cstheme="minorHAnsi"/>
                <w:szCs w:val="22"/>
              </w:rPr>
              <w:t>points (starting from 1).</w:t>
            </w:r>
          </w:p>
          <w:p w14:paraId="0861AA96" w14:textId="7DE76059" w:rsidR="006D153A" w:rsidRPr="004F43B9"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 xml:space="preserve">A product with &gt; 50% protein can score a maximum of 15 modifying </w:t>
            </w:r>
            <w:r w:rsidR="002B7855">
              <w:rPr>
                <w:szCs w:val="22"/>
              </w:rPr>
              <w:t xml:space="preserve">protein </w:t>
            </w:r>
            <w:r w:rsidRPr="004F43B9">
              <w:rPr>
                <w:rFonts w:cstheme="minorHAnsi"/>
                <w:szCs w:val="22"/>
              </w:rPr>
              <w:t xml:space="preserve">points. </w:t>
            </w:r>
          </w:p>
          <w:p w14:paraId="25D9E1F5" w14:textId="263537CC" w:rsidR="006D153A"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 xml:space="preserve">A product scoring 13 or more baseline points (for high energy, sugars, sodium and/or saturated fat levels) is ineligible to receive </w:t>
            </w:r>
            <w:r w:rsidR="002B7855">
              <w:rPr>
                <w:szCs w:val="22"/>
              </w:rPr>
              <w:t xml:space="preserve">protein </w:t>
            </w:r>
            <w:r w:rsidRPr="004F43B9">
              <w:rPr>
                <w:rFonts w:cstheme="minorHAnsi"/>
                <w:szCs w:val="22"/>
              </w:rPr>
              <w:t>points</w:t>
            </w:r>
            <w:r>
              <w:rPr>
                <w:rFonts w:cstheme="minorHAnsi"/>
                <w:szCs w:val="22"/>
              </w:rPr>
              <w:t xml:space="preserve"> unless the product also</w:t>
            </w:r>
            <w:r w:rsidRPr="004F43B9">
              <w:rPr>
                <w:rFonts w:cstheme="minorHAnsi"/>
                <w:szCs w:val="22"/>
              </w:rPr>
              <w:t xml:space="preserve"> scores 5 or more V points (for FVNL content). </w:t>
            </w:r>
          </w:p>
          <w:p w14:paraId="4DEA4C40" w14:textId="0B30160D" w:rsidR="00002F8A" w:rsidRPr="00977364" w:rsidRDefault="006D153A" w:rsidP="00B91EBF">
            <w:pPr>
              <w:pStyle w:val="mpcbullets1"/>
              <w:numPr>
                <w:ilvl w:val="0"/>
                <w:numId w:val="9"/>
              </w:numPr>
              <w:spacing w:before="120" w:after="120"/>
              <w:contextualSpacing/>
              <w:rPr>
                <w:rFonts w:cstheme="minorHAnsi"/>
                <w:szCs w:val="22"/>
              </w:rPr>
            </w:pPr>
            <w:r w:rsidRPr="004F43B9">
              <w:rPr>
                <w:rFonts w:cstheme="minorHAnsi"/>
                <w:szCs w:val="22"/>
              </w:rPr>
              <w:t>Protein provides a surrogate for iron and calcium content.</w:t>
            </w:r>
          </w:p>
        </w:tc>
      </w:tr>
      <w:tr w:rsidR="006D153A" w:rsidRPr="00AB3873" w14:paraId="3A11A68B" w14:textId="77777777" w:rsidTr="002D17A9">
        <w:tc>
          <w:tcPr>
            <w:tcW w:w="1328" w:type="dxa"/>
            <w:shd w:val="clear" w:color="auto" w:fill="DEEAF6" w:themeFill="accent5" w:themeFillTint="33"/>
          </w:tcPr>
          <w:p w14:paraId="25AF7342" w14:textId="77777777" w:rsidR="006D153A" w:rsidRPr="00AB3873" w:rsidRDefault="006D153A" w:rsidP="0024269C">
            <w:r w:rsidRPr="00AB3873">
              <w:t>Dietary Guidelines</w:t>
            </w:r>
          </w:p>
        </w:tc>
        <w:tc>
          <w:tcPr>
            <w:tcW w:w="8453" w:type="dxa"/>
          </w:tcPr>
          <w:p w14:paraId="4C693D7C" w14:textId="223191AC"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Sources of dietary protein include lean meat, poultry and fish, eggs</w:t>
            </w:r>
            <w:r w:rsidR="0089646D">
              <w:rPr>
                <w:rFonts w:cstheme="minorHAnsi"/>
                <w:szCs w:val="22"/>
              </w:rPr>
              <w:t>,</w:t>
            </w:r>
            <w:r w:rsidRPr="004F43B9">
              <w:rPr>
                <w:rFonts w:cstheme="minorHAnsi"/>
                <w:szCs w:val="22"/>
              </w:rPr>
              <w:t xml:space="preserve"> dairy products like milk, yoghurt and cheese, seeds and nuts, beans and legumes </w:t>
            </w:r>
            <w:r w:rsidR="00DB1548">
              <w:rPr>
                <w:rFonts w:cstheme="minorHAnsi"/>
                <w:szCs w:val="22"/>
              </w:rPr>
              <w:t>(such as lentils and chickpeas) and</w:t>
            </w:r>
            <w:r w:rsidRPr="004F43B9">
              <w:rPr>
                <w:rFonts w:cstheme="minorHAnsi"/>
                <w:szCs w:val="22"/>
              </w:rPr>
              <w:t xml:space="preserve"> soy products like tofu.</w:t>
            </w:r>
          </w:p>
          <w:p w14:paraId="7C68908A" w14:textId="77777777"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Dietary Guidelines recommend eating a variety of foods containing lean meats and poultry, fish, eggs, nuts and seeds, and legumes/beans as they provide many nutrients, including protein, iron, zinc and other minerals and vitamins.</w:t>
            </w:r>
          </w:p>
          <w:p w14:paraId="56E5699E" w14:textId="30A80364" w:rsidR="00002F8A" w:rsidRPr="00977364" w:rsidRDefault="006D153A" w:rsidP="00B91EBF">
            <w:pPr>
              <w:pStyle w:val="mpcbullets1"/>
              <w:numPr>
                <w:ilvl w:val="0"/>
                <w:numId w:val="9"/>
              </w:numPr>
              <w:spacing w:before="120" w:after="120"/>
              <w:contextualSpacing/>
              <w:rPr>
                <w:rFonts w:cstheme="minorHAnsi"/>
                <w:szCs w:val="22"/>
              </w:rPr>
            </w:pPr>
            <w:r w:rsidRPr="004F43B9">
              <w:rPr>
                <w:rFonts w:cstheme="minorHAnsi"/>
                <w:szCs w:val="22"/>
              </w:rPr>
              <w:t>ADG recommend adults consume 37-65 g of protein per day.</w:t>
            </w:r>
          </w:p>
        </w:tc>
      </w:tr>
      <w:tr w:rsidR="006D153A" w:rsidRPr="00AB3873" w14:paraId="1EB47162" w14:textId="77777777" w:rsidTr="002D17A9">
        <w:tc>
          <w:tcPr>
            <w:tcW w:w="1328" w:type="dxa"/>
            <w:shd w:val="clear" w:color="auto" w:fill="DEEAF6" w:themeFill="accent5" w:themeFillTint="33"/>
          </w:tcPr>
          <w:p w14:paraId="522EFBA9" w14:textId="77777777" w:rsidR="006D153A" w:rsidRPr="00AB3873" w:rsidRDefault="006D153A" w:rsidP="0024269C">
            <w:r w:rsidRPr="00AB3873">
              <w:t>Intake</w:t>
            </w:r>
          </w:p>
        </w:tc>
        <w:tc>
          <w:tcPr>
            <w:tcW w:w="8453" w:type="dxa"/>
          </w:tcPr>
          <w:p w14:paraId="7C6FBE46" w14:textId="15521402"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Almost all Australians (99%) and New Zealanders (98%) me</w:t>
            </w:r>
            <w:r w:rsidR="00DE5AA8">
              <w:rPr>
                <w:rFonts w:cstheme="minorHAnsi"/>
                <w:szCs w:val="22"/>
              </w:rPr>
              <w:t>e</w:t>
            </w:r>
            <w:r w:rsidRPr="004F43B9">
              <w:rPr>
                <w:rFonts w:cstheme="minorHAnsi"/>
                <w:szCs w:val="22"/>
              </w:rPr>
              <w:t xml:space="preserve">t or exceed the recommended estimated average requirements for protein. </w:t>
            </w:r>
          </w:p>
          <w:p w14:paraId="6F796213" w14:textId="62AE2E27" w:rsidR="00002F8A" w:rsidRPr="00977364" w:rsidRDefault="006D153A" w:rsidP="00B91EBF">
            <w:pPr>
              <w:pStyle w:val="mpcbullets1"/>
              <w:numPr>
                <w:ilvl w:val="0"/>
                <w:numId w:val="9"/>
              </w:numPr>
              <w:spacing w:before="120" w:after="120"/>
              <w:contextualSpacing/>
              <w:rPr>
                <w:rFonts w:cstheme="minorHAnsi"/>
                <w:szCs w:val="22"/>
              </w:rPr>
            </w:pPr>
            <w:r w:rsidRPr="00C936B5">
              <w:rPr>
                <w:rFonts w:cstheme="minorHAnsi"/>
                <w:szCs w:val="22"/>
              </w:rPr>
              <w:t xml:space="preserve">The main sources of protein for adult Australians are unprocessed beef, sheep and pork (11.2%), </w:t>
            </w:r>
            <w:r w:rsidR="0089646D">
              <w:rPr>
                <w:rFonts w:cstheme="minorHAnsi"/>
                <w:szCs w:val="22"/>
              </w:rPr>
              <w:t>cereals (10.9%), poultry (8.2%) and</w:t>
            </w:r>
            <w:r w:rsidRPr="00C936B5">
              <w:rPr>
                <w:rFonts w:cstheme="minorHAnsi"/>
                <w:szCs w:val="22"/>
              </w:rPr>
              <w:t xml:space="preserve"> breads and bread rolls (7.1%)</w:t>
            </w:r>
            <w:r w:rsidR="00C936B5" w:rsidRPr="00C936B5">
              <w:rPr>
                <w:rFonts w:cstheme="minorHAnsi"/>
                <w:szCs w:val="22"/>
              </w:rPr>
              <w:t xml:space="preserve"> (AHS). Cereals and bread are significant contributors to protein intake as they are consumed in large amounts and contain wholegrains, gluten</w:t>
            </w:r>
            <w:r w:rsidR="007A42D8">
              <w:rPr>
                <w:rFonts w:cstheme="minorHAnsi"/>
                <w:szCs w:val="22"/>
              </w:rPr>
              <w:t xml:space="preserve"> </w:t>
            </w:r>
            <w:r w:rsidR="00C936B5" w:rsidRPr="00C936B5">
              <w:rPr>
                <w:rFonts w:cstheme="minorHAnsi"/>
                <w:szCs w:val="22"/>
              </w:rPr>
              <w:t>and wheat proteins.</w:t>
            </w:r>
          </w:p>
        </w:tc>
      </w:tr>
      <w:tr w:rsidR="006D153A" w:rsidRPr="00AB3873" w14:paraId="41065E77" w14:textId="77777777" w:rsidTr="00230480">
        <w:tc>
          <w:tcPr>
            <w:tcW w:w="1328" w:type="dxa"/>
            <w:shd w:val="clear" w:color="auto" w:fill="DEEAF6" w:themeFill="accent5" w:themeFillTint="33"/>
          </w:tcPr>
          <w:p w14:paraId="0B6E8775" w14:textId="77777777" w:rsidR="006D153A" w:rsidRPr="00AB3873" w:rsidRDefault="006D153A" w:rsidP="0024269C">
            <w:r w:rsidRPr="00AB3873">
              <w:t>HSR statistics</w:t>
            </w:r>
          </w:p>
        </w:tc>
        <w:tc>
          <w:tcPr>
            <w:tcW w:w="8453" w:type="dxa"/>
            <w:tcBorders>
              <w:bottom w:val="single" w:sz="4" w:space="0" w:color="auto"/>
            </w:tcBorders>
          </w:tcPr>
          <w:p w14:paraId="70987E66" w14:textId="77777777" w:rsidR="00054AE7" w:rsidRDefault="00054AE7" w:rsidP="00B91EBF">
            <w:pPr>
              <w:pStyle w:val="mpcbullets1"/>
              <w:numPr>
                <w:ilvl w:val="0"/>
                <w:numId w:val="9"/>
              </w:numPr>
              <w:spacing w:before="120" w:after="120"/>
              <w:contextualSpacing/>
              <w:rPr>
                <w:rFonts w:cstheme="minorHAnsi"/>
                <w:szCs w:val="22"/>
              </w:rPr>
            </w:pPr>
            <w:r>
              <w:rPr>
                <w:rFonts w:cstheme="minorHAnsi"/>
                <w:szCs w:val="22"/>
              </w:rPr>
              <w:t>Based on the TAG database:</w:t>
            </w:r>
          </w:p>
          <w:p w14:paraId="1E45EE04" w14:textId="4F2D70A0" w:rsidR="00054AE7" w:rsidRDefault="00054AE7" w:rsidP="00B91EBF">
            <w:pPr>
              <w:pStyle w:val="mpcbullets1"/>
              <w:numPr>
                <w:ilvl w:val="2"/>
                <w:numId w:val="5"/>
              </w:numPr>
              <w:spacing w:before="120" w:after="120"/>
              <w:ind w:left="597" w:hanging="283"/>
              <w:contextualSpacing/>
              <w:rPr>
                <w:rFonts w:cstheme="minorHAnsi"/>
                <w:szCs w:val="22"/>
              </w:rPr>
            </w:pPr>
            <w:r>
              <w:rPr>
                <w:rFonts w:cstheme="minorHAnsi"/>
                <w:szCs w:val="22"/>
              </w:rPr>
              <w:t>64% of n</w:t>
            </w:r>
            <w:r w:rsidR="006D153A" w:rsidRPr="004F43B9">
              <w:rPr>
                <w:rFonts w:cstheme="minorHAnsi"/>
                <w:szCs w:val="22"/>
              </w:rPr>
              <w:t xml:space="preserve">uts, </w:t>
            </w:r>
            <w:r>
              <w:rPr>
                <w:rFonts w:cstheme="minorHAnsi"/>
                <w:szCs w:val="22"/>
              </w:rPr>
              <w:t xml:space="preserve">36% of dips, 29% of </w:t>
            </w:r>
            <w:r w:rsidR="006D153A" w:rsidRPr="004F43B9">
              <w:rPr>
                <w:rFonts w:cstheme="minorHAnsi"/>
                <w:szCs w:val="22"/>
              </w:rPr>
              <w:t xml:space="preserve">snack foods such as potato crisps and muesli bars </w:t>
            </w:r>
            <w:r w:rsidR="00655BEA">
              <w:rPr>
                <w:rFonts w:cstheme="minorHAnsi"/>
                <w:szCs w:val="22"/>
              </w:rPr>
              <w:t xml:space="preserve">and </w:t>
            </w:r>
            <w:r>
              <w:rPr>
                <w:rFonts w:cstheme="minorHAnsi"/>
                <w:szCs w:val="22"/>
              </w:rPr>
              <w:t xml:space="preserve">27% of breakfast cereals benefit from </w:t>
            </w:r>
            <w:r w:rsidR="002B7855">
              <w:rPr>
                <w:szCs w:val="22"/>
              </w:rPr>
              <w:t xml:space="preserve">protein </w:t>
            </w:r>
            <w:r>
              <w:rPr>
                <w:rFonts w:cstheme="minorHAnsi"/>
                <w:szCs w:val="22"/>
              </w:rPr>
              <w:t xml:space="preserve">points. </w:t>
            </w:r>
          </w:p>
          <w:p w14:paraId="2A4F5897" w14:textId="31CBA8DF" w:rsidR="00A21D25" w:rsidRPr="00977364"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Some cakes, biscuits, cream</w:t>
            </w:r>
            <w:r w:rsidR="00054AE7">
              <w:rPr>
                <w:rFonts w:cstheme="minorHAnsi"/>
                <w:szCs w:val="22"/>
              </w:rPr>
              <w:t>s</w:t>
            </w:r>
            <w:r w:rsidRPr="004F43B9">
              <w:rPr>
                <w:rFonts w:cstheme="minorHAnsi"/>
                <w:szCs w:val="22"/>
              </w:rPr>
              <w:t xml:space="preserve"> and ice creams also benefit from </w:t>
            </w:r>
            <w:r w:rsidR="002B7855">
              <w:rPr>
                <w:szCs w:val="22"/>
              </w:rPr>
              <w:t xml:space="preserve">protein </w:t>
            </w:r>
            <w:r w:rsidRPr="004F43B9">
              <w:rPr>
                <w:rFonts w:cstheme="minorHAnsi"/>
                <w:szCs w:val="22"/>
              </w:rPr>
              <w:t>points.</w:t>
            </w:r>
          </w:p>
        </w:tc>
      </w:tr>
      <w:tr w:rsidR="006D153A" w:rsidRPr="00AB3873" w14:paraId="0B21F255" w14:textId="77777777" w:rsidTr="00230480">
        <w:tc>
          <w:tcPr>
            <w:tcW w:w="1328" w:type="dxa"/>
            <w:shd w:val="clear" w:color="auto" w:fill="DEEAF6" w:themeFill="accent5" w:themeFillTint="33"/>
          </w:tcPr>
          <w:p w14:paraId="2C62CB41" w14:textId="1D467787" w:rsidR="006D153A" w:rsidRPr="00AB3873" w:rsidRDefault="00330CE4" w:rsidP="0024269C">
            <w:r>
              <w:t>Relevant</w:t>
            </w:r>
            <w:r w:rsidR="006D153A" w:rsidRPr="00AB3873">
              <w:t xml:space="preserve"> TAG papers</w:t>
            </w:r>
          </w:p>
        </w:tc>
        <w:tc>
          <w:tcPr>
            <w:tcW w:w="8453" w:type="dxa"/>
            <w:tcBorders>
              <w:bottom w:val="single" w:sz="4" w:space="0" w:color="auto"/>
            </w:tcBorders>
          </w:tcPr>
          <w:p w14:paraId="651C5627" w14:textId="4A8D63AA" w:rsidR="006D153A" w:rsidRPr="00AB3873" w:rsidRDefault="006D153A" w:rsidP="00B91EBF">
            <w:pPr>
              <w:pStyle w:val="mpcbullets1"/>
              <w:numPr>
                <w:ilvl w:val="0"/>
                <w:numId w:val="9"/>
              </w:numPr>
              <w:tabs>
                <w:tab w:val="left" w:pos="2389"/>
              </w:tabs>
              <w:spacing w:before="120" w:after="120"/>
              <w:contextualSpacing/>
              <w:rPr>
                <w:rFonts w:cstheme="minorHAnsi"/>
                <w:szCs w:val="22"/>
              </w:rPr>
            </w:pPr>
            <w:r w:rsidRPr="004F43B9">
              <w:rPr>
                <w:rFonts w:cstheme="minorHAnsi"/>
                <w:szCs w:val="22"/>
              </w:rPr>
              <w:t>Protein</w:t>
            </w:r>
          </w:p>
        </w:tc>
      </w:tr>
    </w:tbl>
    <w:p w14:paraId="02F9A98D" w14:textId="77777777" w:rsidR="006D153A" w:rsidRPr="00AB3873" w:rsidRDefault="006D153A" w:rsidP="0024269C"/>
    <w:p w14:paraId="137226CE" w14:textId="77777777" w:rsidR="003A76BF" w:rsidRPr="00AB3873" w:rsidRDefault="003A76BF" w:rsidP="00B51EE9">
      <w:pPr>
        <w:pStyle w:val="mpcheading3"/>
        <w:keepNext/>
      </w:pPr>
      <w:bookmarkStart w:id="124" w:name="_Toc523922888"/>
      <w:bookmarkStart w:id="125" w:name="_Toc524530370"/>
      <w:r w:rsidRPr="00AB3873">
        <w:lastRenderedPageBreak/>
        <w:t xml:space="preserve">Options </w:t>
      </w:r>
      <w:r>
        <w:t xml:space="preserve">to address </w:t>
      </w:r>
      <w:r w:rsidRPr="00B51EE9">
        <w:t>issue</w:t>
      </w:r>
    </w:p>
    <w:p w14:paraId="613C31EC" w14:textId="77777777" w:rsidR="00D464AE" w:rsidRPr="00AB3873" w:rsidRDefault="00D464AE" w:rsidP="00B91EBF">
      <w:pPr>
        <w:pStyle w:val="mpcheading4"/>
        <w:keepNext/>
        <w:numPr>
          <w:ilvl w:val="0"/>
          <w:numId w:val="19"/>
        </w:numPr>
      </w:pPr>
      <w:r w:rsidRPr="00AB3873">
        <w:t>Status quo fo</w:t>
      </w:r>
      <w:r>
        <w:t>r protein</w:t>
      </w:r>
      <w:bookmarkEnd w:id="124"/>
      <w:bookmarkEnd w:id="125"/>
    </w:p>
    <w:p w14:paraId="5D5422C5" w14:textId="1763594C" w:rsidR="00D464AE" w:rsidRDefault="00D464AE" w:rsidP="0024269C">
      <w:r>
        <w:t xml:space="preserve">Under this option, protein would continue to be </w:t>
      </w:r>
      <w:r w:rsidR="00162C4D">
        <w:t xml:space="preserve">a part of the HSR </w:t>
      </w:r>
      <w:r w:rsidR="00054AE7">
        <w:t>Calculator</w:t>
      </w:r>
      <w:r w:rsidR="00162C4D">
        <w:t>,</w:t>
      </w:r>
      <w:r>
        <w:t xml:space="preserve"> </w:t>
      </w:r>
      <w:r w:rsidR="00162C4D">
        <w:t>with</w:t>
      </w:r>
      <w:r w:rsidR="00A32358">
        <w:t xml:space="preserve"> </w:t>
      </w:r>
      <w:r w:rsidR="00162C4D">
        <w:t xml:space="preserve">eligibility </w:t>
      </w:r>
      <w:r w:rsidR="002B7855">
        <w:t xml:space="preserve">to score modifying </w:t>
      </w:r>
      <w:r w:rsidR="00B51EE9">
        <w:t>P</w:t>
      </w:r>
      <w:r w:rsidR="00162C4D">
        <w:t xml:space="preserve"> points for products with 13 or </w:t>
      </w:r>
      <w:r w:rsidR="00795FB0">
        <w:t xml:space="preserve">fewer </w:t>
      </w:r>
      <w:r w:rsidR="00162C4D">
        <w:t>baseline points</w:t>
      </w:r>
      <w:r>
        <w:t>.</w:t>
      </w:r>
    </w:p>
    <w:p w14:paraId="7FC6B8F4" w14:textId="77777777" w:rsidR="00D464AE" w:rsidRDefault="00D464AE" w:rsidP="0024269C"/>
    <w:p w14:paraId="5E0FE167" w14:textId="6D5AD344" w:rsidR="00DB1548" w:rsidRDefault="00DB1548" w:rsidP="0024269C">
      <w:r>
        <w:t>The</w:t>
      </w:r>
      <w:r w:rsidR="00361439">
        <w:t xml:space="preserve"> main </w:t>
      </w:r>
      <w:r>
        <w:t>advantages of this are:</w:t>
      </w:r>
    </w:p>
    <w:p w14:paraId="1B9F4E71" w14:textId="77777777" w:rsidR="00DB1548" w:rsidRDefault="00DB1548" w:rsidP="0024269C"/>
    <w:p w14:paraId="1837C9B5" w14:textId="77777777" w:rsidR="00361439" w:rsidRDefault="00D464AE" w:rsidP="00B51EE9">
      <w:pPr>
        <w:pStyle w:val="mpcbullets1"/>
      </w:pPr>
      <w:r w:rsidRPr="00361439">
        <w:t xml:space="preserve">the inclusion of protein in the HSR </w:t>
      </w:r>
      <w:r w:rsidR="00054AE7" w:rsidRPr="00361439">
        <w:t>Calculator</w:t>
      </w:r>
      <w:r w:rsidRPr="00361439">
        <w:t xml:space="preserve"> generally provides a pragmatic, if indirect, surrogate for iron and calcium content, both of which are lacking to some degree in Au</w:t>
      </w:r>
      <w:r w:rsidR="00361439">
        <w:t>stralian and New Zealand diets</w:t>
      </w:r>
    </w:p>
    <w:p w14:paraId="32D6396A" w14:textId="4AE6EDA6" w:rsidR="00D464AE" w:rsidRPr="00361439" w:rsidRDefault="00D464AE" w:rsidP="00B51EE9">
      <w:pPr>
        <w:pStyle w:val="mpcbullets1"/>
      </w:pPr>
      <w:r w:rsidRPr="00361439">
        <w:t>many FFG products (nuts, breakfast cereals, lean meats) are being appropriately pr</w:t>
      </w:r>
      <w:r w:rsidR="00E06D22" w:rsidRPr="00361439">
        <w:t xml:space="preserve">omoted through </w:t>
      </w:r>
      <w:r w:rsidR="00A70557" w:rsidRPr="00361439">
        <w:t xml:space="preserve">the consideration of </w:t>
      </w:r>
      <w:r w:rsidR="00E06D22" w:rsidRPr="00361439">
        <w:t>protein content.</w:t>
      </w:r>
    </w:p>
    <w:p w14:paraId="5F657863" w14:textId="77777777" w:rsidR="00D464AE" w:rsidRPr="004247A4" w:rsidRDefault="00D464AE" w:rsidP="0024269C"/>
    <w:p w14:paraId="2871AC52" w14:textId="77777777" w:rsidR="00361439" w:rsidRDefault="00D464AE" w:rsidP="0024269C">
      <w:r w:rsidRPr="004247A4">
        <w:t>The main disadvantage</w:t>
      </w:r>
      <w:r w:rsidR="00361439">
        <w:t>s</w:t>
      </w:r>
      <w:r w:rsidRPr="004247A4">
        <w:t xml:space="preserve"> of this option </w:t>
      </w:r>
      <w:r w:rsidR="00361439">
        <w:t>are:</w:t>
      </w:r>
    </w:p>
    <w:p w14:paraId="2B340905" w14:textId="77777777" w:rsidR="00361439" w:rsidRDefault="00361439" w:rsidP="0024269C"/>
    <w:p w14:paraId="550C1D63" w14:textId="77777777" w:rsidR="00361439" w:rsidRPr="00361439" w:rsidRDefault="00D464AE" w:rsidP="00B51EE9">
      <w:pPr>
        <w:pStyle w:val="mpcbullets1"/>
      </w:pPr>
      <w:r w:rsidRPr="00361439">
        <w:t xml:space="preserve">based on </w:t>
      </w:r>
      <w:r w:rsidR="00A70557" w:rsidRPr="00361439">
        <w:t xml:space="preserve">the </w:t>
      </w:r>
      <w:r w:rsidRPr="00361439">
        <w:t>TAG modelling</w:t>
      </w:r>
      <w:r w:rsidR="004247A4" w:rsidRPr="00361439">
        <w:t>,</w:t>
      </w:r>
      <w:r w:rsidR="00E06D22" w:rsidRPr="00361439">
        <w:t xml:space="preserve"> it may</w:t>
      </w:r>
      <w:r w:rsidR="004247A4" w:rsidRPr="00361439">
        <w:t xml:space="preserve"> </w:t>
      </w:r>
      <w:r w:rsidRPr="00361439">
        <w:t xml:space="preserve">inappropriately advantage </w:t>
      </w:r>
      <w:r w:rsidR="00E06D22" w:rsidRPr="00361439">
        <w:t xml:space="preserve">some </w:t>
      </w:r>
      <w:r w:rsidRPr="00361439">
        <w:t xml:space="preserve">products with high protein content that do not confer </w:t>
      </w:r>
      <w:r w:rsidR="00E06D22" w:rsidRPr="00361439">
        <w:t xml:space="preserve">other </w:t>
      </w:r>
      <w:r w:rsidRPr="00361439">
        <w:t>health benefits</w:t>
      </w:r>
    </w:p>
    <w:p w14:paraId="210D0CD7" w14:textId="4DD24E73" w:rsidR="00EE0946" w:rsidRPr="00361439" w:rsidRDefault="00361439" w:rsidP="00B51EE9">
      <w:pPr>
        <w:pStyle w:val="mpcbullets1"/>
      </w:pPr>
      <w:r w:rsidRPr="00361439">
        <w:t>s</w:t>
      </w:r>
      <w:r w:rsidR="004247A4" w:rsidRPr="00361439">
        <w:t xml:space="preserve">takeholders have suggested that </w:t>
      </w:r>
      <w:r w:rsidR="00CA4C8E" w:rsidRPr="00361439">
        <w:t xml:space="preserve">the inclusion of protein in the HSR Calculator may </w:t>
      </w:r>
      <w:r w:rsidR="00D464AE" w:rsidRPr="00361439">
        <w:t xml:space="preserve">encourage the addition of protein to products in order to </w:t>
      </w:r>
      <w:r w:rsidR="00577AE3" w:rsidRPr="00361439">
        <w:t>increase the</w:t>
      </w:r>
      <w:r w:rsidR="00CA4C8E" w:rsidRPr="00361439">
        <w:t xml:space="preserve">ir HSR. </w:t>
      </w:r>
    </w:p>
    <w:p w14:paraId="4EB74913" w14:textId="07A81483" w:rsidR="00EE0946" w:rsidRDefault="00EE0946" w:rsidP="00B51EE9">
      <w:pPr>
        <w:pStyle w:val="mpcbullets2"/>
      </w:pPr>
      <w:r w:rsidRPr="00102339">
        <w:t xml:space="preserve">Analysis undertaken by the George Institute shows </w:t>
      </w:r>
      <w:r w:rsidR="002A68F1">
        <w:t xml:space="preserve">that added protein is most </w:t>
      </w:r>
      <w:r w:rsidRPr="00102339">
        <w:t>common in cereal and nut bars, protein ba</w:t>
      </w:r>
      <w:r w:rsidR="002A68F1">
        <w:t>rs, pizzas and processed meats. However,</w:t>
      </w:r>
      <w:r w:rsidRPr="00102339">
        <w:t xml:space="preserve"> only 3.4% (4</w:t>
      </w:r>
      <w:r w:rsidR="00192A3F">
        <w:t xml:space="preserve">/112) </w:t>
      </w:r>
      <w:r w:rsidR="002A68F1">
        <w:t xml:space="preserve">of </w:t>
      </w:r>
      <w:r w:rsidR="00192A3F">
        <w:t>breakfast cereals benefit</w:t>
      </w:r>
      <w:r w:rsidRPr="00102339">
        <w:t>ing from protein points contained any added protein.</w:t>
      </w:r>
      <w:r w:rsidR="002A68F1">
        <w:t xml:space="preserve"> E</w:t>
      </w:r>
      <w:r w:rsidRPr="00102339">
        <w:t>xcept for protein bars, added proteins were mostly found lower down in the ingredients list, suggesting they were not a major component of the product and not a major driver of the modifying protein</w:t>
      </w:r>
      <w:r w:rsidR="00102339" w:rsidRPr="00102339">
        <w:t xml:space="preserve"> points.</w:t>
      </w:r>
      <w:r w:rsidR="00102339">
        <w:rPr>
          <w:rStyle w:val="FootnoteReference"/>
          <w:szCs w:val="22"/>
        </w:rPr>
        <w:footnoteReference w:id="50"/>
      </w:r>
    </w:p>
    <w:p w14:paraId="5E3ABB72" w14:textId="77777777" w:rsidR="00102339" w:rsidRPr="00102339" w:rsidRDefault="00102339" w:rsidP="0024269C"/>
    <w:p w14:paraId="2EEA7390" w14:textId="5627A581" w:rsidR="005834C6" w:rsidRPr="004247A4" w:rsidRDefault="00102339" w:rsidP="0024269C">
      <w:r>
        <w:t>A</w:t>
      </w:r>
      <w:r w:rsidR="005834C6" w:rsidRPr="00102339">
        <w:t xml:space="preserve"> study published in August 2017</w:t>
      </w:r>
      <w:r w:rsidR="005834C6">
        <w:rPr>
          <w:rStyle w:val="FootnoteReference"/>
          <w:sz w:val="22"/>
          <w:szCs w:val="22"/>
        </w:rPr>
        <w:footnoteReference w:id="51"/>
      </w:r>
      <w:r w:rsidR="005834C6" w:rsidRPr="00102339">
        <w:t xml:space="preserve"> analysing the nutritional composi</w:t>
      </w:r>
      <w:r w:rsidR="00A32358">
        <w:t>tion of foods from 2015 to 2016</w:t>
      </w:r>
      <w:r w:rsidR="005834C6" w:rsidRPr="00102339">
        <w:t xml:space="preserve"> found that the average protein content of products displaying the HSR was unchanged.</w:t>
      </w:r>
      <w:r w:rsidR="00DC4672" w:rsidRPr="00102339">
        <w:t xml:space="preserve"> </w:t>
      </w:r>
      <w:r w:rsidR="00DC4672">
        <w:t xml:space="preserve">Further, </w:t>
      </w:r>
      <w:r w:rsidR="009F3850">
        <w:t xml:space="preserve">industry has advised that </w:t>
      </w:r>
      <w:r w:rsidR="00727BE2">
        <w:t xml:space="preserve">given the expense of </w:t>
      </w:r>
      <w:r w:rsidR="00DC4672">
        <w:t xml:space="preserve">protein </w:t>
      </w:r>
      <w:r w:rsidR="00727BE2">
        <w:t xml:space="preserve">as an </w:t>
      </w:r>
      <w:r w:rsidR="00DC4672">
        <w:t>ingredient</w:t>
      </w:r>
      <w:r w:rsidR="009F3850">
        <w:t xml:space="preserve">, </w:t>
      </w:r>
      <w:r w:rsidR="00727BE2">
        <w:t xml:space="preserve">this would likely </w:t>
      </w:r>
      <w:r w:rsidR="009F3850">
        <w:t>limit</w:t>
      </w:r>
      <w:r w:rsidR="00A70557">
        <w:t xml:space="preserve"> its use in large quantities</w:t>
      </w:r>
      <w:r w:rsidR="009F3850">
        <w:t xml:space="preserve"> to increase a product’s HSR</w:t>
      </w:r>
      <w:r w:rsidR="00DC4672">
        <w:t>.</w:t>
      </w:r>
    </w:p>
    <w:p w14:paraId="716FBC31" w14:textId="0D99C036" w:rsidR="00D464AE" w:rsidRDefault="00D464AE" w:rsidP="0024269C"/>
    <w:p w14:paraId="78A39513" w14:textId="4BF53B83" w:rsidR="005E370C" w:rsidRPr="00975649" w:rsidRDefault="005E370C" w:rsidP="00B91EBF">
      <w:pPr>
        <w:pStyle w:val="mpcheading4"/>
        <w:numPr>
          <w:ilvl w:val="0"/>
          <w:numId w:val="19"/>
        </w:numPr>
      </w:pPr>
      <w:bookmarkStart w:id="126" w:name="_Toc523922890"/>
      <w:bookmarkStart w:id="127" w:name="_Toc524530371"/>
      <w:r>
        <w:t>Adjust</w:t>
      </w:r>
      <w:r w:rsidRPr="00975649">
        <w:t xml:space="preserve"> the threshold at which products can claim modifying protein points</w:t>
      </w:r>
      <w:bookmarkEnd w:id="126"/>
      <w:bookmarkEnd w:id="127"/>
      <w:r w:rsidR="006878C4">
        <w:t xml:space="preserve"> to reduce the ability for less healthy products to increase their HSR </w:t>
      </w:r>
      <w:r w:rsidR="00D46E91">
        <w:t>through</w:t>
      </w:r>
      <w:r w:rsidR="006878C4">
        <w:t xml:space="preserve"> protein </w:t>
      </w:r>
    </w:p>
    <w:p w14:paraId="369AEC3E" w14:textId="4144F212" w:rsidR="005E370C" w:rsidRDefault="005E370C" w:rsidP="0024269C">
      <w:r w:rsidRPr="00E06D22">
        <w:t xml:space="preserve">Under this option, </w:t>
      </w:r>
      <w:r>
        <w:t xml:space="preserve">eligibility to score </w:t>
      </w:r>
      <w:r w:rsidR="002B7855">
        <w:t xml:space="preserve">protein </w:t>
      </w:r>
      <w:r>
        <w:t>points would be changed from 1</w:t>
      </w:r>
      <w:r w:rsidR="002B7855">
        <w:t xml:space="preserve">3 or </w:t>
      </w:r>
      <w:r w:rsidR="00795FB0">
        <w:t xml:space="preserve">fewer </w:t>
      </w:r>
      <w:r w:rsidR="002B7855">
        <w:t>baseline points to 11 </w:t>
      </w:r>
      <w:r>
        <w:t xml:space="preserve">or </w:t>
      </w:r>
      <w:r w:rsidR="00795FB0">
        <w:t xml:space="preserve">fewer </w:t>
      </w:r>
      <w:r>
        <w:t>baseline points (in line with the UK NPM on which the NPSC is based).</w:t>
      </w:r>
    </w:p>
    <w:p w14:paraId="7065E78E" w14:textId="77777777" w:rsidR="005E370C" w:rsidRDefault="005E370C" w:rsidP="0024269C"/>
    <w:p w14:paraId="1071150C" w14:textId="5D4E00F0" w:rsidR="005E370C" w:rsidRDefault="005E370C" w:rsidP="0024269C">
      <w:r w:rsidRPr="006000E2">
        <w:t xml:space="preserve">In adapting the UK </w:t>
      </w:r>
      <w:r>
        <w:t>NPM,</w:t>
      </w:r>
      <w:r w:rsidRPr="006000E2">
        <w:t xml:space="preserve"> the NPSC (and</w:t>
      </w:r>
      <w:r>
        <w:t xml:space="preserve"> consequently</w:t>
      </w:r>
      <w:r w:rsidRPr="006000E2">
        <w:t xml:space="preserve"> </w:t>
      </w:r>
      <w:r>
        <w:t xml:space="preserve">the </w:t>
      </w:r>
      <w:r w:rsidRPr="006000E2">
        <w:t xml:space="preserve">HSR </w:t>
      </w:r>
      <w:r>
        <w:t>Calculator</w:t>
      </w:r>
      <w:r w:rsidRPr="006000E2">
        <w:t>) made it e</w:t>
      </w:r>
      <w:r>
        <w:t xml:space="preserve">asier for products high in risk nutrients </w:t>
      </w:r>
      <w:r w:rsidRPr="006000E2">
        <w:t xml:space="preserve">to be eligible for </w:t>
      </w:r>
      <w:r>
        <w:t xml:space="preserve">modifying </w:t>
      </w:r>
      <w:r w:rsidR="00B51EE9">
        <w:t>P</w:t>
      </w:r>
      <w:r w:rsidR="002B7855">
        <w:t xml:space="preserve"> </w:t>
      </w:r>
      <w:r w:rsidRPr="006000E2">
        <w:t>points.</w:t>
      </w:r>
      <w:r>
        <w:t xml:space="preserve"> The products affected by this are generally breakfast cereals, muesli bars and bakery products with added sugars or saturated fats (such a</w:t>
      </w:r>
      <w:r w:rsidR="00A32358">
        <w:t>s iced buns, scones, cheese-</w:t>
      </w:r>
      <w:r>
        <w:t>topped rolls).</w:t>
      </w:r>
    </w:p>
    <w:p w14:paraId="5D41148C" w14:textId="77777777" w:rsidR="005E370C" w:rsidRDefault="005E370C" w:rsidP="0024269C"/>
    <w:p w14:paraId="24BE18A0" w14:textId="43688E6E" w:rsidR="005E370C" w:rsidRDefault="005E370C" w:rsidP="0024269C">
      <w:r>
        <w:t xml:space="preserve">The TAG modelled the potential impact of changing the eligibility for </w:t>
      </w:r>
      <w:r w:rsidR="00B51EE9">
        <w:t>P</w:t>
      </w:r>
      <w:r>
        <w:t xml:space="preserve"> points from 13 or </w:t>
      </w:r>
      <w:r w:rsidR="00795FB0">
        <w:t xml:space="preserve">fewer </w:t>
      </w:r>
      <w:r>
        <w:t>baseline points to either 12 or 11. Modelling indicates that under either option the product types impacted would include</w:t>
      </w:r>
      <w:r w:rsidR="007A42D8">
        <w:t xml:space="preserve"> some</w:t>
      </w:r>
      <w:r>
        <w:t>:</w:t>
      </w:r>
    </w:p>
    <w:p w14:paraId="2BC37CD4" w14:textId="77777777" w:rsidR="005E370C" w:rsidRDefault="005E370C" w:rsidP="0024269C"/>
    <w:p w14:paraId="0598AE88" w14:textId="77777777" w:rsidR="005E370C" w:rsidRDefault="005E370C" w:rsidP="00B51EE9">
      <w:pPr>
        <w:pStyle w:val="mpcbullets1"/>
      </w:pPr>
      <w:r>
        <w:t>dips</w:t>
      </w:r>
    </w:p>
    <w:p w14:paraId="4D6C3EE5" w14:textId="2A74D25C" w:rsidR="005E370C" w:rsidRDefault="00F077F7" w:rsidP="00B51EE9">
      <w:pPr>
        <w:pStyle w:val="mpcbullets1"/>
      </w:pPr>
      <w:r>
        <w:t>snacks</w:t>
      </w:r>
      <w:r w:rsidR="005E370C">
        <w:t xml:space="preserve"> (such as muesli bars, potato crisps, extruded snacks and popcorn)</w:t>
      </w:r>
    </w:p>
    <w:p w14:paraId="4CB5A677" w14:textId="77777777" w:rsidR="005E370C" w:rsidRDefault="005E370C" w:rsidP="00B51EE9">
      <w:pPr>
        <w:pStyle w:val="mpcbullets1"/>
      </w:pPr>
      <w:r>
        <w:t>breakfast cereals</w:t>
      </w:r>
    </w:p>
    <w:p w14:paraId="6FC003CF" w14:textId="77777777" w:rsidR="005E370C" w:rsidRDefault="005E370C" w:rsidP="00B51EE9">
      <w:pPr>
        <w:pStyle w:val="mpcbullets1"/>
      </w:pPr>
      <w:r>
        <w:lastRenderedPageBreak/>
        <w:t>bakery/cake mixes</w:t>
      </w:r>
    </w:p>
    <w:p w14:paraId="345F2193" w14:textId="77777777" w:rsidR="005E370C" w:rsidRDefault="005E370C" w:rsidP="00B51EE9">
      <w:pPr>
        <w:pStyle w:val="mpcbullets1"/>
      </w:pPr>
      <w:r>
        <w:t>biscuits (both sweet and savoury)</w:t>
      </w:r>
    </w:p>
    <w:p w14:paraId="4097C42B" w14:textId="7429C3D4" w:rsidR="005E370C" w:rsidRDefault="005E370C" w:rsidP="00B51EE9">
      <w:pPr>
        <w:pStyle w:val="mpcbullets1"/>
      </w:pPr>
      <w:r>
        <w:t>cream and ice cream</w:t>
      </w:r>
    </w:p>
    <w:p w14:paraId="194D6F34" w14:textId="77777777" w:rsidR="005E370C" w:rsidRPr="00246933" w:rsidRDefault="005E370C" w:rsidP="00B51EE9">
      <w:pPr>
        <w:pStyle w:val="mpcbullets1"/>
      </w:pPr>
      <w:r>
        <w:t>processed meats.</w:t>
      </w:r>
    </w:p>
    <w:p w14:paraId="4AAFDF9A" w14:textId="77777777" w:rsidR="005E370C" w:rsidRPr="006000E2" w:rsidRDefault="005E370C" w:rsidP="0024269C"/>
    <w:p w14:paraId="5821FC3F" w14:textId="2E10FD0B" w:rsidR="005E370C" w:rsidRDefault="002B7855" w:rsidP="0024269C">
      <w:r>
        <w:t>Changing the eligibility for protein</w:t>
      </w:r>
      <w:r w:rsidR="005E370C">
        <w:t xml:space="preserve"> points to 12 or </w:t>
      </w:r>
      <w:r w:rsidR="00795FB0">
        <w:t xml:space="preserve">fewer </w:t>
      </w:r>
      <w:r w:rsidR="005E370C">
        <w:t xml:space="preserve">baseline points would impact on 116 products in the TAG database (approximately 2%). Changing it to 11 or </w:t>
      </w:r>
      <w:r w:rsidR="00795FB0">
        <w:t xml:space="preserve">fewer </w:t>
      </w:r>
      <w:r w:rsidR="005E370C">
        <w:t xml:space="preserve">baseline points would impact on 192 products in the TAG database (approximately 3%). </w:t>
      </w:r>
    </w:p>
    <w:p w14:paraId="2AD6ECE8" w14:textId="77777777" w:rsidR="005E370C" w:rsidRPr="006000E2" w:rsidRDefault="005E370C" w:rsidP="0024269C"/>
    <w:p w14:paraId="124B48F7" w14:textId="03889DBA" w:rsidR="005E370C" w:rsidRPr="006000E2" w:rsidRDefault="005E370C" w:rsidP="0024269C">
      <w:r w:rsidRPr="006000E2">
        <w:t xml:space="preserve">The main advantages of </w:t>
      </w:r>
      <w:r w:rsidR="002B7855">
        <w:t xml:space="preserve">changing the eligibility for </w:t>
      </w:r>
      <w:r w:rsidR="00B51EE9">
        <w:t>P</w:t>
      </w:r>
      <w:r>
        <w:t xml:space="preserve"> points </w:t>
      </w:r>
      <w:r w:rsidR="002A68F1">
        <w:t>include</w:t>
      </w:r>
      <w:r w:rsidRPr="006000E2">
        <w:t>:</w:t>
      </w:r>
    </w:p>
    <w:p w14:paraId="6D3AE68C" w14:textId="77777777" w:rsidR="005E370C" w:rsidRPr="006000E2" w:rsidRDefault="005E370C" w:rsidP="0024269C"/>
    <w:p w14:paraId="0BA1C042" w14:textId="6E36F8B2" w:rsidR="005E370C" w:rsidRDefault="005E370C" w:rsidP="00B51EE9">
      <w:pPr>
        <w:pStyle w:val="mpcbullets1"/>
      </w:pPr>
      <w:r>
        <w:t xml:space="preserve">protein is retained in the HSR Calculator as </w:t>
      </w:r>
      <w:r w:rsidRPr="00BD42C4">
        <w:t xml:space="preserve">a </w:t>
      </w:r>
      <w:r>
        <w:t>surrogate for iron and calcium content</w:t>
      </w:r>
    </w:p>
    <w:p w14:paraId="07AB7941" w14:textId="0B2A3CBD" w:rsidR="005E370C" w:rsidRDefault="001F1CA4" w:rsidP="00B51EE9">
      <w:pPr>
        <w:pStyle w:val="mpcbullets1"/>
      </w:pPr>
      <w:r>
        <w:t xml:space="preserve">the adjustment </w:t>
      </w:r>
      <w:r w:rsidR="005E370C" w:rsidRPr="006000E2">
        <w:t xml:space="preserve">would impact </w:t>
      </w:r>
      <w:r w:rsidR="005E370C">
        <w:t xml:space="preserve">on </w:t>
      </w:r>
      <w:r w:rsidR="005E370C" w:rsidRPr="006000E2">
        <w:t>relatively few products overall</w:t>
      </w:r>
      <w:r w:rsidR="005E370C">
        <w:t>,</w:t>
      </w:r>
      <w:r w:rsidR="005E370C" w:rsidRPr="006000E2">
        <w:t xml:space="preserve"> while preventing those </w:t>
      </w:r>
      <w:r w:rsidR="005E370C">
        <w:t>that</w:t>
      </w:r>
      <w:r w:rsidR="005E370C" w:rsidRPr="006000E2">
        <w:t xml:space="preserve"> are higher in </w:t>
      </w:r>
      <w:r>
        <w:t>risk nutrients</w:t>
      </w:r>
      <w:r w:rsidR="005E370C" w:rsidRPr="006000E2">
        <w:t xml:space="preserve"> from being </w:t>
      </w:r>
      <w:r w:rsidR="005E370C">
        <w:t>advantaged by protein content</w:t>
      </w:r>
    </w:p>
    <w:p w14:paraId="585777C5" w14:textId="77777777" w:rsidR="005E370C" w:rsidRDefault="005E370C" w:rsidP="00B51EE9">
      <w:pPr>
        <w:pStyle w:val="mpcbullets1"/>
      </w:pPr>
      <w:r>
        <w:t>it may address stakeholder concerns regarding the potential for manufacturers to add protein to products to offset risk nutrients to gain a higher HSR, without delivering health benefits</w:t>
      </w:r>
    </w:p>
    <w:p w14:paraId="2E9AB382" w14:textId="3F5C0EA2" w:rsidR="005E370C" w:rsidRPr="00E00A93" w:rsidRDefault="005E370C" w:rsidP="00B51EE9">
      <w:pPr>
        <w:pStyle w:val="mpcbullets1"/>
      </w:pPr>
      <w:r w:rsidRPr="00E00A93">
        <w:t xml:space="preserve">it targets those products </w:t>
      </w:r>
      <w:r w:rsidR="00795FB0">
        <w:t>that</w:t>
      </w:r>
      <w:r w:rsidR="00795FB0" w:rsidRPr="00E00A93">
        <w:t xml:space="preserve"> </w:t>
      </w:r>
      <w:r w:rsidRPr="00E00A93">
        <w:t>have been raised as a concern including breakfast cereals, muesli bars, salty snacks and processed meats</w:t>
      </w:r>
    </w:p>
    <w:p w14:paraId="7FE54E20" w14:textId="0C12D4E8" w:rsidR="005E370C" w:rsidRPr="006000E2" w:rsidRDefault="005E370C" w:rsidP="00B51EE9">
      <w:pPr>
        <w:pStyle w:val="mpcbullets1"/>
      </w:pPr>
      <w:r>
        <w:t>it may</w:t>
      </w:r>
      <w:r w:rsidRPr="006000E2">
        <w:t xml:space="preserve"> incentivise reformulation amongst the products</w:t>
      </w:r>
      <w:r>
        <w:t xml:space="preserve"> impacted</w:t>
      </w:r>
      <w:r w:rsidRPr="006000E2">
        <w:t xml:space="preserve"> </w:t>
      </w:r>
      <w:r w:rsidR="00C516AA">
        <w:t>(</w:t>
      </w:r>
      <w:r w:rsidRPr="006000E2">
        <w:t xml:space="preserve">i.e. in order to meet the new </w:t>
      </w:r>
      <w:r>
        <w:t>eligibility</w:t>
      </w:r>
      <w:r w:rsidRPr="006000E2">
        <w:t xml:space="preserve"> </w:t>
      </w:r>
      <w:r w:rsidR="00C516AA">
        <w:t xml:space="preserve">criterion </w:t>
      </w:r>
      <w:r>
        <w:t xml:space="preserve">so as to </w:t>
      </w:r>
      <w:r w:rsidRPr="006000E2">
        <w:t>maintain current HSR</w:t>
      </w:r>
      <w:r>
        <w:t>s</w:t>
      </w:r>
      <w:r w:rsidRPr="006000E2">
        <w:t>, energy, total sugars, sodium and/or saturated fat content</w:t>
      </w:r>
      <w:r w:rsidRPr="005E370C">
        <w:t xml:space="preserve"> </w:t>
      </w:r>
      <w:r w:rsidRPr="006000E2">
        <w:t xml:space="preserve">would need to </w:t>
      </w:r>
      <w:r>
        <w:t xml:space="preserve">be </w:t>
      </w:r>
      <w:r w:rsidRPr="006000E2">
        <w:t>reduce</w:t>
      </w:r>
      <w:r>
        <w:t>d</w:t>
      </w:r>
      <w:r w:rsidR="00C516AA">
        <w:t>)</w:t>
      </w:r>
      <w:r w:rsidRPr="006000E2">
        <w:t>.</w:t>
      </w:r>
    </w:p>
    <w:p w14:paraId="1AF321E8" w14:textId="77777777" w:rsidR="005E370C" w:rsidRPr="006000E2" w:rsidRDefault="005E370C" w:rsidP="0024269C"/>
    <w:p w14:paraId="7C68738E" w14:textId="5C4D8E94" w:rsidR="005E370C" w:rsidRDefault="005E370C" w:rsidP="0024269C">
      <w:r w:rsidRPr="006000E2">
        <w:t>The main d</w:t>
      </w:r>
      <w:r>
        <w:t xml:space="preserve">isadvantage of this option is that it reduces alignment </w:t>
      </w:r>
      <w:r w:rsidRPr="006000E2">
        <w:t xml:space="preserve">with </w:t>
      </w:r>
      <w:r>
        <w:t xml:space="preserve">the </w:t>
      </w:r>
      <w:r w:rsidR="00A32358">
        <w:t>NPSC</w:t>
      </w:r>
      <w:r w:rsidRPr="006000E2">
        <w:t xml:space="preserve"> </w:t>
      </w:r>
      <w:r>
        <w:t>(however</w:t>
      </w:r>
      <w:r w:rsidR="00A32358">
        <w:t xml:space="preserve"> it</w:t>
      </w:r>
      <w:r>
        <w:t xml:space="preserve"> restores alignment with the</w:t>
      </w:r>
      <w:r w:rsidRPr="006000E2">
        <w:t xml:space="preserve"> original UK </w:t>
      </w:r>
      <w:r>
        <w:t>NPM on which the NPSC is based).</w:t>
      </w:r>
    </w:p>
    <w:p w14:paraId="3F0B7159" w14:textId="77777777" w:rsidR="005E370C" w:rsidRPr="005E370C" w:rsidRDefault="005E370C" w:rsidP="0024269C"/>
    <w:p w14:paraId="66939158" w14:textId="2B858B32" w:rsidR="00D464AE" w:rsidRPr="00BD42C4" w:rsidRDefault="00D464AE" w:rsidP="00B91EBF">
      <w:pPr>
        <w:pStyle w:val="mpcheading4"/>
        <w:numPr>
          <w:ilvl w:val="0"/>
          <w:numId w:val="19"/>
        </w:numPr>
      </w:pPr>
      <w:bookmarkStart w:id="128" w:name="_Toc523922889"/>
      <w:bookmarkStart w:id="129" w:name="_Toc524530372"/>
      <w:r w:rsidRPr="00BD42C4">
        <w:t>Remove protein from the HSR</w:t>
      </w:r>
      <w:bookmarkEnd w:id="128"/>
      <w:r w:rsidRPr="00BD42C4">
        <w:t xml:space="preserve"> </w:t>
      </w:r>
      <w:r w:rsidR="00BD42C4">
        <w:t>Calculator</w:t>
      </w:r>
      <w:bookmarkEnd w:id="129"/>
    </w:p>
    <w:p w14:paraId="0B23B866" w14:textId="77777777" w:rsidR="002A68F1" w:rsidRDefault="00DC5016" w:rsidP="0024269C">
      <w:r>
        <w:t xml:space="preserve">This option would remove protein </w:t>
      </w:r>
      <w:r w:rsidR="00C667AD">
        <w:t xml:space="preserve">as a </w:t>
      </w:r>
      <w:r>
        <w:t>positive nutrient from the HSR Calculator, such that produc</w:t>
      </w:r>
      <w:r w:rsidR="002B7855">
        <w:t>ts would not receive modifying protein</w:t>
      </w:r>
      <w:r>
        <w:t xml:space="preserve"> points for their protein content. </w:t>
      </w:r>
    </w:p>
    <w:p w14:paraId="7F1CCF9F" w14:textId="26F06440" w:rsidR="00D464AE" w:rsidRDefault="00D464AE" w:rsidP="0024269C"/>
    <w:p w14:paraId="074953FA" w14:textId="48D49839" w:rsidR="00A573FA" w:rsidRDefault="00C667AD" w:rsidP="0024269C">
      <w:r>
        <w:t>Modelling suggests that t</w:t>
      </w:r>
      <w:r w:rsidR="00A573FA">
        <w:t xml:space="preserve">his option would impact on 400 products in the TAG database (approximately 7%), including </w:t>
      </w:r>
      <w:r w:rsidR="0060390E">
        <w:t>some FFG products such as nuts, meats and fish, processed fruits and vegetables and cheeses.</w:t>
      </w:r>
    </w:p>
    <w:p w14:paraId="4CD51E18" w14:textId="1BF4E2AE" w:rsidR="008F6AD8" w:rsidRDefault="008F6AD8" w:rsidP="0024269C"/>
    <w:p w14:paraId="1CA8DE37" w14:textId="7E4CAFCC" w:rsidR="002A68F1" w:rsidRDefault="003323CE" w:rsidP="0024269C">
      <w:r>
        <w:t>The main advantages of this are</w:t>
      </w:r>
      <w:r w:rsidR="002A68F1">
        <w:t xml:space="preserve"> that:</w:t>
      </w:r>
    </w:p>
    <w:p w14:paraId="244B207D" w14:textId="712A2A62" w:rsidR="002A68F1" w:rsidRDefault="002A68F1" w:rsidP="0024269C"/>
    <w:p w14:paraId="79A8DCAC" w14:textId="3F13F8BE" w:rsidR="002A68F1" w:rsidRPr="00B51EE9" w:rsidRDefault="002A68F1" w:rsidP="00B51EE9">
      <w:pPr>
        <w:pStyle w:val="mpcbullets1"/>
      </w:pPr>
      <w:r w:rsidRPr="00BD42C4">
        <w:t>protein</w:t>
      </w:r>
      <w:r>
        <w:t xml:space="preserve"> </w:t>
      </w:r>
      <w:r w:rsidRPr="00B51EE9">
        <w:t>consumption does not need to be promoted within the diet</w:t>
      </w:r>
    </w:p>
    <w:p w14:paraId="608B40AB" w14:textId="695F7B13" w:rsidR="002A68F1" w:rsidRDefault="002A68F1" w:rsidP="00B51EE9">
      <w:pPr>
        <w:pStyle w:val="mpcbullets1"/>
      </w:pPr>
      <w:r w:rsidRPr="00B51EE9">
        <w:t>removing protein may encourage some industry reformulation to reduce energy, total sugars, sodium and</w:t>
      </w:r>
      <w:r>
        <w:t>/or saturated fat content, as the baseline points for these nutrients would no longer be offset by modifying protein points.</w:t>
      </w:r>
    </w:p>
    <w:p w14:paraId="03A0E5B4" w14:textId="77777777" w:rsidR="002A68F1" w:rsidRPr="00BD42C4" w:rsidRDefault="002A68F1" w:rsidP="0024269C"/>
    <w:p w14:paraId="0F5608EA" w14:textId="1C5F8AD6" w:rsidR="00D464AE" w:rsidRDefault="00D464AE" w:rsidP="0024269C">
      <w:r w:rsidRPr="00BD42C4">
        <w:t>The main disadvantages of this are:</w:t>
      </w:r>
    </w:p>
    <w:p w14:paraId="185DF2AF" w14:textId="77777777" w:rsidR="0060390E" w:rsidRPr="00BD42C4" w:rsidRDefault="0060390E" w:rsidP="0024269C"/>
    <w:p w14:paraId="72A0C01D" w14:textId="7465A059" w:rsidR="00D464AE" w:rsidRPr="00BD42C4" w:rsidRDefault="00D464AE" w:rsidP="00B51EE9">
      <w:pPr>
        <w:pStyle w:val="mpcbullets1"/>
      </w:pPr>
      <w:r w:rsidRPr="00BD42C4">
        <w:t xml:space="preserve">the inclusion of protein in the HSR </w:t>
      </w:r>
      <w:r w:rsidR="0060390E">
        <w:t>Calculator</w:t>
      </w:r>
      <w:r w:rsidRPr="00BD42C4">
        <w:t xml:space="preserve"> provides </w:t>
      </w:r>
      <w:r w:rsidR="005E370C">
        <w:t xml:space="preserve">a </w:t>
      </w:r>
      <w:r w:rsidRPr="00BD42C4">
        <w:t>surrogate for iron and calcium content, both of which are lacking in Au</w:t>
      </w:r>
      <w:r w:rsidR="0060390E">
        <w:t>stralian and New Zealand</w:t>
      </w:r>
      <w:r w:rsidR="00C667AD">
        <w:t>er</w:t>
      </w:r>
      <w:r w:rsidR="0060390E">
        <w:t xml:space="preserve"> diets</w:t>
      </w:r>
    </w:p>
    <w:p w14:paraId="1BF700D6" w14:textId="497E7922" w:rsidR="00D464AE" w:rsidRPr="00BD42C4" w:rsidRDefault="00D464AE" w:rsidP="00B51EE9">
      <w:pPr>
        <w:pStyle w:val="mpcbullets1"/>
      </w:pPr>
      <w:r w:rsidRPr="00BD42C4">
        <w:t>many FFG products (nuts, breakfast cereals, lean meats) are being appropriately pro</w:t>
      </w:r>
      <w:r w:rsidR="0060390E">
        <w:t>moted through protein content. R</w:t>
      </w:r>
      <w:r w:rsidRPr="00BD42C4">
        <w:t xml:space="preserve">emoving protein from the HSR </w:t>
      </w:r>
      <w:r w:rsidR="0060390E">
        <w:t>Calculator</w:t>
      </w:r>
      <w:r w:rsidRPr="00BD42C4">
        <w:t xml:space="preserve"> wo</w:t>
      </w:r>
      <w:r w:rsidR="00137158">
        <w:t>uld disadvantage these products</w:t>
      </w:r>
    </w:p>
    <w:p w14:paraId="4BBCED1B" w14:textId="59CF9061" w:rsidR="00D464AE" w:rsidRPr="00137158" w:rsidRDefault="0060390E" w:rsidP="00B51EE9">
      <w:pPr>
        <w:pStyle w:val="mpcbullets1"/>
      </w:pPr>
      <w:r w:rsidRPr="0060390E">
        <w:t xml:space="preserve">the HSR System </w:t>
      </w:r>
      <w:r w:rsidR="00503550">
        <w:t>would no longer align with the N</w:t>
      </w:r>
      <w:r w:rsidRPr="0060390E">
        <w:t>PSC</w:t>
      </w:r>
      <w:r w:rsidR="00A32358">
        <w:t>,</w:t>
      </w:r>
      <w:r w:rsidRPr="0060390E">
        <w:t xml:space="preserve"> </w:t>
      </w:r>
      <w:r w:rsidR="00A32358">
        <w:t>n</w:t>
      </w:r>
      <w:r w:rsidR="00C667AD">
        <w:t>or</w:t>
      </w:r>
      <w:r w:rsidR="00503550">
        <w:t xml:space="preserve"> with the UK NPM</w:t>
      </w:r>
      <w:r w:rsidR="00137158">
        <w:t>.</w:t>
      </w:r>
    </w:p>
    <w:p w14:paraId="167A165A" w14:textId="64B830B7" w:rsidR="005E370C" w:rsidRDefault="005E370C" w:rsidP="0024269C"/>
    <w:p w14:paraId="403F295B" w14:textId="13F9F7AE" w:rsidR="005E370C" w:rsidRPr="002123F0" w:rsidRDefault="005E370C" w:rsidP="00B51EE9">
      <w:pPr>
        <w:pStyle w:val="mpcheading3"/>
      </w:pPr>
      <w:bookmarkStart w:id="130" w:name="_Toc524530373"/>
      <w:r>
        <w:t xml:space="preserve">Summary </w:t>
      </w:r>
      <w:r w:rsidRPr="00B51EE9">
        <w:t>and</w:t>
      </w:r>
      <w:r>
        <w:t xml:space="preserve"> consultation</w:t>
      </w:r>
      <w:bookmarkEnd w:id="130"/>
    </w:p>
    <w:p w14:paraId="0931DB43" w14:textId="25F2B702" w:rsidR="005E370C" w:rsidRPr="001452D2" w:rsidRDefault="005E370C" w:rsidP="0024269C">
      <w:r w:rsidRPr="001A60E2">
        <w:t xml:space="preserve">On the basis of our </w:t>
      </w:r>
      <w:r>
        <w:t>examination</w:t>
      </w:r>
      <w:r w:rsidRPr="001A60E2">
        <w:t xml:space="preserve"> of the issues to date</w:t>
      </w:r>
      <w:r>
        <w:t>, the</w:t>
      </w:r>
      <w:r w:rsidRPr="001A60E2">
        <w:t xml:space="preserve"> preferred option is currently </w:t>
      </w:r>
      <w:r>
        <w:t>Option</w:t>
      </w:r>
      <w:r w:rsidRPr="001A60E2">
        <w:t xml:space="preserve"> </w:t>
      </w:r>
      <w:r>
        <w:t>B</w:t>
      </w:r>
      <w:r w:rsidRPr="001A60E2">
        <w:t xml:space="preserve">. </w:t>
      </w:r>
      <w:r w:rsidR="00C516AA">
        <w:t>This</w:t>
      </w:r>
      <w:r w:rsidR="001F1CA4">
        <w:t xml:space="preserve"> </w:t>
      </w:r>
      <w:r w:rsidR="00B045E2">
        <w:t>Option addresses concerns by</w:t>
      </w:r>
      <w:r w:rsidR="00B045E2" w:rsidRPr="006000E2">
        <w:t xml:space="preserve"> </w:t>
      </w:r>
      <w:r w:rsidR="00702E4F">
        <w:t xml:space="preserve">lifting the point at which </w:t>
      </w:r>
      <w:r w:rsidR="00B045E2">
        <w:t>products high</w:t>
      </w:r>
      <w:r w:rsidR="002B7855">
        <w:t>er</w:t>
      </w:r>
      <w:r w:rsidR="00B045E2">
        <w:t xml:space="preserve"> in risk </w:t>
      </w:r>
      <w:r w:rsidR="002B7855">
        <w:t>components</w:t>
      </w:r>
      <w:r w:rsidR="00B045E2" w:rsidRPr="006000E2">
        <w:t xml:space="preserve"> be</w:t>
      </w:r>
      <w:r w:rsidR="00702E4F">
        <w:t>come</w:t>
      </w:r>
      <w:r w:rsidR="00B045E2" w:rsidRPr="006000E2">
        <w:t xml:space="preserve"> eligible for </w:t>
      </w:r>
      <w:r w:rsidR="002B7855">
        <w:lastRenderedPageBreak/>
        <w:t xml:space="preserve">modifying </w:t>
      </w:r>
      <w:r w:rsidR="00B51EE9">
        <w:t>P</w:t>
      </w:r>
      <w:r w:rsidR="00B045E2" w:rsidRPr="006000E2">
        <w:t xml:space="preserve"> points</w:t>
      </w:r>
      <w:r w:rsidR="001F1CA4">
        <w:t xml:space="preserve">. </w:t>
      </w:r>
      <w:r w:rsidRPr="001A60E2">
        <w:t xml:space="preserve">We seek </w:t>
      </w:r>
      <w:r>
        <w:t>stakeholder</w:t>
      </w:r>
      <w:r w:rsidRPr="001A60E2">
        <w:t xml:space="preserve"> views </w:t>
      </w:r>
      <w:r>
        <w:t>regarding</w:t>
      </w:r>
      <w:r w:rsidRPr="001A60E2">
        <w:t xml:space="preserve"> the above options, their impacts and relevant further consideration</w:t>
      </w:r>
      <w:r>
        <w:t>s</w:t>
      </w:r>
      <w:r>
        <w:rPr>
          <w:b/>
        </w:rPr>
        <w:t>.</w:t>
      </w:r>
    </w:p>
    <w:p w14:paraId="132965AC" w14:textId="2E813115" w:rsidR="004415F0" w:rsidRPr="00AB3873" w:rsidRDefault="004415F0" w:rsidP="0024269C"/>
    <w:p w14:paraId="3EA2201A" w14:textId="1117E918" w:rsidR="004415F0" w:rsidRPr="00AB3873" w:rsidRDefault="004415F0" w:rsidP="00B51EE9">
      <w:pPr>
        <w:pStyle w:val="mpcheading2"/>
      </w:pPr>
      <w:bookmarkStart w:id="131" w:name="Fibreandwholegrain"/>
      <w:bookmarkStart w:id="132" w:name="_Toc527112906"/>
      <w:bookmarkEnd w:id="131"/>
      <w:r w:rsidRPr="00AB3873">
        <w:t xml:space="preserve">Fibre and </w:t>
      </w:r>
      <w:r w:rsidRPr="00B51EE9">
        <w:t>wholegrain</w:t>
      </w:r>
      <w:bookmarkEnd w:id="132"/>
    </w:p>
    <w:p w14:paraId="2D44ACB3" w14:textId="77777777" w:rsidR="004415F0" w:rsidRPr="00AB3873" w:rsidRDefault="004415F0" w:rsidP="0024269C"/>
    <w:p w14:paraId="08BED3FE" w14:textId="77777777" w:rsidR="004415F0" w:rsidRPr="00B51EE9" w:rsidRDefault="004415F0" w:rsidP="00B51EE9">
      <w:pPr>
        <w:pStyle w:val="mpcheading3"/>
      </w:pPr>
      <w:bookmarkStart w:id="133" w:name="_Toc524530375"/>
      <w:r w:rsidRPr="00AB3873">
        <w:t>Issue</w:t>
      </w:r>
      <w:bookmarkEnd w:id="133"/>
    </w:p>
    <w:p w14:paraId="0A791677" w14:textId="1D55F21F" w:rsidR="006B5BEE" w:rsidRPr="006B5BEE" w:rsidRDefault="00E00A93" w:rsidP="0024269C">
      <w:r>
        <w:t xml:space="preserve">Dietary Guidelines </w:t>
      </w:r>
      <w:r w:rsidR="006B5BEE">
        <w:t>recommend eating grain foods,</w:t>
      </w:r>
      <w:r w:rsidR="006B5BEE" w:rsidRPr="006B5BEE">
        <w:t xml:space="preserve"> mostly wholegrain and/or high cereal fibre varieties</w:t>
      </w:r>
      <w:r w:rsidR="003C3057">
        <w:t xml:space="preserve">. </w:t>
      </w:r>
      <w:r w:rsidR="006B5BEE" w:rsidRPr="006B5BEE">
        <w:t xml:space="preserve">Wholemeal or wholegrain varieties are preferable because they provide more dietary fibre, vitamins and minerals than refined grain (cereal) foods. </w:t>
      </w:r>
      <w:r w:rsidR="003C3057">
        <w:t xml:space="preserve">The ADG note </w:t>
      </w:r>
      <w:r w:rsidR="007C34E7">
        <w:t>that a</w:t>
      </w:r>
      <w:r w:rsidR="007C34E7" w:rsidRPr="006B5BEE">
        <w:t>t least two-thirds of our choices should be wholegrain varieties</w:t>
      </w:r>
      <w:r w:rsidR="00A32358">
        <w:t>,</w:t>
      </w:r>
      <w:r w:rsidR="007C34E7">
        <w:t xml:space="preserve"> and </w:t>
      </w:r>
      <w:r w:rsidR="003C3057">
        <w:t>that m</w:t>
      </w:r>
      <w:r w:rsidR="006B5BEE" w:rsidRPr="006B5BEE">
        <w:t xml:space="preserve">ost Australians consume less than half the recommended quantity of wholegrain </w:t>
      </w:r>
      <w:r w:rsidR="00AA30AC" w:rsidRPr="006B5BEE">
        <w:t>foods but</w:t>
      </w:r>
      <w:r w:rsidR="006B5BEE" w:rsidRPr="006B5BEE">
        <w:t xml:space="preserve"> eat too m</w:t>
      </w:r>
      <w:r w:rsidR="00A32358">
        <w:t>uch refined grain (cereal) food</w:t>
      </w:r>
      <w:r w:rsidR="006B5BEE" w:rsidRPr="006B5BEE">
        <w:t xml:space="preserve">. </w:t>
      </w:r>
    </w:p>
    <w:p w14:paraId="28289C4F" w14:textId="11AEC1FA" w:rsidR="006B5BEE" w:rsidRDefault="006B5BEE" w:rsidP="0024269C"/>
    <w:p w14:paraId="3C4E9C19" w14:textId="60E47526" w:rsidR="00BF7028" w:rsidRDefault="00AA30AC" w:rsidP="0024269C">
      <w:r>
        <w:t>While the H</w:t>
      </w:r>
      <w:r w:rsidR="007C34E7">
        <w:t xml:space="preserve">SR Calculator </w:t>
      </w:r>
      <w:r>
        <w:t xml:space="preserve">does account for fibre content, it </w:t>
      </w:r>
      <w:r w:rsidR="007C34E7">
        <w:t xml:space="preserve">does </w:t>
      </w:r>
      <w:r>
        <w:t xml:space="preserve">not directly consider wholegrain. This means </w:t>
      </w:r>
      <w:r w:rsidR="00A32358">
        <w:t xml:space="preserve">that </w:t>
      </w:r>
      <w:r w:rsidR="00BF7028">
        <w:t>products</w:t>
      </w:r>
      <w:r>
        <w:t xml:space="preserve"> </w:t>
      </w:r>
      <w:r w:rsidR="00BF7028">
        <w:t>with very different wholegrain content may</w:t>
      </w:r>
      <w:r w:rsidR="00E70099">
        <w:t xml:space="preserve"> receive </w:t>
      </w:r>
      <w:r w:rsidR="00D3266F">
        <w:t xml:space="preserve">a </w:t>
      </w:r>
      <w:r w:rsidR="00E70099">
        <w:t xml:space="preserve">similar, or the same, </w:t>
      </w:r>
      <w:r w:rsidR="00BF7028">
        <w:t xml:space="preserve">HSR. </w:t>
      </w:r>
      <w:r w:rsidR="00A7497A" w:rsidRPr="00AB3873">
        <w:t>For example, white rice</w:t>
      </w:r>
      <w:r w:rsidR="00A7497A">
        <w:t>s</w:t>
      </w:r>
      <w:r w:rsidR="00A7497A" w:rsidRPr="00AB3873">
        <w:t xml:space="preserve"> and brown rice</w:t>
      </w:r>
      <w:r w:rsidR="00A7497A">
        <w:t>s generally receive similar HSRs (basmati, jasmine and brown rice all receive a</w:t>
      </w:r>
      <w:r w:rsidR="007E6515">
        <w:t>n</w:t>
      </w:r>
      <w:r w:rsidR="00A7497A">
        <w:t xml:space="preserve"> HSR of 4).</w:t>
      </w:r>
    </w:p>
    <w:p w14:paraId="2DEE006F" w14:textId="77777777" w:rsidR="00BF7028" w:rsidRDefault="00BF7028" w:rsidP="0024269C"/>
    <w:p w14:paraId="0EDDA70D" w14:textId="00B8AD5F" w:rsidR="00D3266F" w:rsidRDefault="002B7855" w:rsidP="0024269C">
      <w:r>
        <w:t>S</w:t>
      </w:r>
      <w:r w:rsidR="00AA30AC">
        <w:t xml:space="preserve">takeholders have raised concern that the HSR System does not adequately promote </w:t>
      </w:r>
      <w:r w:rsidR="00D3266F">
        <w:t xml:space="preserve">consumption of </w:t>
      </w:r>
      <w:r w:rsidR="00AA30AC">
        <w:t>wholegrain</w:t>
      </w:r>
      <w:r w:rsidR="00D3266F">
        <w:t>s over more refined fibres</w:t>
      </w:r>
      <w:r w:rsidR="00A32358">
        <w:t>,</w:t>
      </w:r>
      <w:r>
        <w:t xml:space="preserve"> and </w:t>
      </w:r>
      <w:r w:rsidR="00D3266F" w:rsidRPr="00AB3873">
        <w:t xml:space="preserve">have suggested that including wholegrain in the HSR Calculator will enable improved differentiation between products with ‘natural’ fibre and those with refined fibre such as </w:t>
      </w:r>
      <w:r w:rsidR="00A32358">
        <w:t>i</w:t>
      </w:r>
      <w:r w:rsidR="00D3266F" w:rsidRPr="00AB3873">
        <w:t>nulin.</w:t>
      </w:r>
      <w:r w:rsidR="00B308E3" w:rsidRPr="00B308E3">
        <w:t xml:space="preserve"> </w:t>
      </w:r>
    </w:p>
    <w:p w14:paraId="465C1A46" w14:textId="3F6D6225" w:rsidR="005E73F7" w:rsidRDefault="005E73F7" w:rsidP="0024269C"/>
    <w:p w14:paraId="106BB307" w14:textId="77777777" w:rsidR="005E73F7" w:rsidRDefault="005E73F7" w:rsidP="0024269C">
      <w:r w:rsidRPr="00E00A93">
        <w:t>In considering technical solutions to this issue, it is noted that</w:t>
      </w:r>
      <w:r>
        <w:t>:</w:t>
      </w:r>
    </w:p>
    <w:p w14:paraId="71C69402" w14:textId="77777777" w:rsidR="005E73F7" w:rsidRDefault="005E73F7" w:rsidP="0024269C"/>
    <w:p w14:paraId="0CE6AC8F" w14:textId="332C6BEB" w:rsidR="005E73F7" w:rsidRDefault="005E73F7" w:rsidP="00B51EE9">
      <w:pPr>
        <w:pStyle w:val="mpcbullets1"/>
      </w:pPr>
      <w:r>
        <w:t>d</w:t>
      </w:r>
      <w:r w:rsidRPr="005E73F7">
        <w:t xml:space="preserve">eclaration of wholegrain content is not required on food packaging, except where wholegrain is a characterising ingredient  </w:t>
      </w:r>
    </w:p>
    <w:p w14:paraId="4A34E7F8" w14:textId="295052E2" w:rsidR="005E73F7" w:rsidRDefault="005E73F7" w:rsidP="00B51EE9">
      <w:pPr>
        <w:pStyle w:val="mpcbullets1"/>
      </w:pPr>
      <w:r>
        <w:t>it is not possible to analytically determine the content of wholegrain in food</w:t>
      </w:r>
    </w:p>
    <w:p w14:paraId="591ECCED" w14:textId="05365B3E" w:rsidR="005E73F7" w:rsidRPr="005E73F7" w:rsidRDefault="005E73F7" w:rsidP="00B51EE9">
      <w:pPr>
        <w:pStyle w:val="mpcbullets1"/>
      </w:pPr>
      <w:r w:rsidRPr="000178E7">
        <w:t xml:space="preserve">the Code does not regulate the use of wholegrain content </w:t>
      </w:r>
      <w:r w:rsidR="000178E7" w:rsidRPr="000178E7">
        <w:t>claims;</w:t>
      </w:r>
      <w:r w:rsidRPr="000178E7">
        <w:t xml:space="preserve"> </w:t>
      </w:r>
      <w:r w:rsidR="00B11DBC" w:rsidRPr="000178E7">
        <w:t>however,</w:t>
      </w:r>
      <w:r w:rsidRPr="000178E7">
        <w:t xml:space="preserve"> the </w:t>
      </w:r>
      <w:r w:rsidR="000178E7" w:rsidRPr="000178E7">
        <w:t xml:space="preserve">Grains &amp; Legumes Nutrition Council’s </w:t>
      </w:r>
      <w:r w:rsidRPr="000178E7">
        <w:t xml:space="preserve">Code of Practice for Whole Grain Ingredient Content Claims </w:t>
      </w:r>
      <w:r w:rsidR="00C516AA">
        <w:t xml:space="preserve">(Industry Code of Practice) </w:t>
      </w:r>
      <w:r w:rsidRPr="000178E7">
        <w:t xml:space="preserve">provides a guide for the use of wholegrain content </w:t>
      </w:r>
      <w:r w:rsidR="000178E7" w:rsidRPr="000178E7">
        <w:t xml:space="preserve">claims </w:t>
      </w:r>
      <w:r w:rsidRPr="005E73F7">
        <w:t>on food</w:t>
      </w:r>
      <w:r w:rsidR="000178E7" w:rsidRPr="000178E7">
        <w:t xml:space="preserve"> label</w:t>
      </w:r>
      <w:r w:rsidRPr="005E73F7">
        <w:t>s</w:t>
      </w:r>
      <w:r w:rsidR="000178E7" w:rsidRPr="000178E7">
        <w:t xml:space="preserve"> in Australia and New Zealand</w:t>
      </w:r>
      <w:r w:rsidR="000178E7">
        <w:rPr>
          <w:rStyle w:val="FootnoteReference"/>
          <w:sz w:val="22"/>
          <w:szCs w:val="22"/>
        </w:rPr>
        <w:footnoteReference w:id="52"/>
      </w:r>
    </w:p>
    <w:p w14:paraId="55B2F957" w14:textId="670301E0" w:rsidR="005E73F7" w:rsidRPr="005E73F7" w:rsidRDefault="005E73F7" w:rsidP="00B51EE9">
      <w:pPr>
        <w:pStyle w:val="mpcbullets1"/>
      </w:pPr>
      <w:r w:rsidRPr="005E73F7">
        <w:t xml:space="preserve">there is a definition of wholegrain in the Code, which is the same as that used in the Industry Code of Practice to regulate wholegrain content claims for food. </w:t>
      </w:r>
    </w:p>
    <w:p w14:paraId="625AEFEB" w14:textId="77777777" w:rsidR="005E73F7" w:rsidRDefault="005E73F7" w:rsidP="0024269C"/>
    <w:p w14:paraId="54335545" w14:textId="79236C50" w:rsidR="00451D34" w:rsidRDefault="00451D34" w:rsidP="0024269C">
      <w:r>
        <w:t xml:space="preserve">The TAG’s technical paper on wholegrain analysed two options (in addition to the status quo) for including wholegrain in the HSR Calculator. </w:t>
      </w:r>
      <w:r w:rsidR="00E3244B">
        <w:t xml:space="preserve">Both of the options modelled by the TAG contain significant disadvantages and complexities, without adequately </w:t>
      </w:r>
      <w:r w:rsidR="00A10A92">
        <w:t>accounting for both fibre content and wholegrain content. Consequently, a</w:t>
      </w:r>
      <w:r>
        <w:t>nother option has been modelled separately</w:t>
      </w:r>
      <w:r w:rsidR="000178E7">
        <w:t xml:space="preserve"> </w:t>
      </w:r>
      <w:r w:rsidR="005C170C">
        <w:t xml:space="preserve">by the TAG </w:t>
      </w:r>
      <w:r w:rsidR="000178E7">
        <w:t>and is described below</w:t>
      </w:r>
      <w:r>
        <w:t>.</w:t>
      </w:r>
    </w:p>
    <w:p w14:paraId="5EFF2E8C" w14:textId="7EA9A9DD" w:rsidR="00330CE4" w:rsidRDefault="00330CE4" w:rsidP="0024269C"/>
    <w:p w14:paraId="1DD7D106" w14:textId="193C4AF6" w:rsidR="00242B46" w:rsidRDefault="00330CE4" w:rsidP="0024269C">
      <w:r w:rsidRPr="00D10721">
        <w:t xml:space="preserve">The TAG also prepared a paper on fibre, which </w:t>
      </w:r>
      <w:r w:rsidR="00D10721" w:rsidRPr="00D10721">
        <w:t xml:space="preserve">assessed whether the HSR Calculator appropriately deals with dietary fibre. While the </w:t>
      </w:r>
      <w:r w:rsidR="00F077F7">
        <w:t>TAG</w:t>
      </w:r>
      <w:r w:rsidR="00D10721" w:rsidRPr="00D10721">
        <w:t xml:space="preserve"> identified that it would be relatively simple to change the fibre content at which </w:t>
      </w:r>
      <w:r w:rsidR="00D10721">
        <w:t xml:space="preserve">modifying </w:t>
      </w:r>
      <w:r w:rsidR="00D10721" w:rsidRPr="00D10721">
        <w:t xml:space="preserve">F points can be </w:t>
      </w:r>
      <w:r w:rsidR="00D10721">
        <w:t>scored, we do not consider there is a strong policy rationale for doing this</w:t>
      </w:r>
      <w:r w:rsidR="009146D6">
        <w:t xml:space="preserve"> (noting the importance of fibre in the diet)</w:t>
      </w:r>
      <w:r w:rsidR="00D10721" w:rsidRPr="00D10721">
        <w:t>.</w:t>
      </w:r>
      <w:r w:rsidR="00D10721">
        <w:t xml:space="preserve"> </w:t>
      </w:r>
      <w:r w:rsidR="009146D6">
        <w:t>On the issue of whether refined fibre could be added to foods to improve a product’s HSR, a</w:t>
      </w:r>
      <w:r w:rsidR="00242B46" w:rsidRPr="00D10721">
        <w:t>nalysis undertaken by the George Institute shows this may occur to some extent, with 5.8% of the products analysed (926/15,767) containing at least one added fibre ingredient. This was most common in cereal and nut bars, protein bars, and breakfast</w:t>
      </w:r>
      <w:r w:rsidR="00A445C9" w:rsidRPr="00D10721">
        <w:t>.</w:t>
      </w:r>
      <w:r w:rsidR="00242B46" w:rsidRPr="00D10721">
        <w:rPr>
          <w:vertAlign w:val="superscript"/>
        </w:rPr>
        <w:footnoteReference w:id="53"/>
      </w:r>
    </w:p>
    <w:p w14:paraId="594EBF31" w14:textId="77777777" w:rsidR="004415F0" w:rsidRPr="00AB3873" w:rsidRDefault="004415F0" w:rsidP="0024269C"/>
    <w:p w14:paraId="31FBA61A" w14:textId="24FED049" w:rsidR="004415F0" w:rsidRPr="00B51EE9" w:rsidRDefault="004415F0" w:rsidP="00B51EE9">
      <w:pPr>
        <w:pStyle w:val="mpcheading3"/>
      </w:pPr>
      <w:bookmarkStart w:id="134" w:name="_Toc524530376"/>
      <w:r w:rsidRPr="00AB3873">
        <w:lastRenderedPageBreak/>
        <w:t>Considerations</w:t>
      </w:r>
      <w:bookmarkEnd w:id="134"/>
    </w:p>
    <w:tbl>
      <w:tblPr>
        <w:tblStyle w:val="TableGrid"/>
        <w:tblW w:w="9781" w:type="dxa"/>
        <w:tblInd w:w="-5" w:type="dxa"/>
        <w:tblLook w:val="04A0" w:firstRow="1" w:lastRow="0" w:firstColumn="1" w:lastColumn="0" w:noHBand="0" w:noVBand="1"/>
        <w:tblCaption w:val="Considerations - fibre and wholegrain"/>
        <w:tblDescription w:val="This table outlines the relevant information to be considered in determining options to address this issue.&#10;"/>
      </w:tblPr>
      <w:tblGrid>
        <w:gridCol w:w="1328"/>
        <w:gridCol w:w="8453"/>
      </w:tblGrid>
      <w:tr w:rsidR="00A5335D" w:rsidRPr="00AB3873" w14:paraId="682BEC40" w14:textId="77777777" w:rsidTr="00D37907">
        <w:trPr>
          <w:tblHeader/>
        </w:trPr>
        <w:tc>
          <w:tcPr>
            <w:tcW w:w="1328" w:type="dxa"/>
            <w:shd w:val="clear" w:color="auto" w:fill="DEEAF6" w:themeFill="accent5" w:themeFillTint="33"/>
          </w:tcPr>
          <w:p w14:paraId="5A055F87" w14:textId="2F95AE35" w:rsidR="00A5335D" w:rsidRPr="00AB3873" w:rsidRDefault="00A5335D" w:rsidP="0024269C">
            <w:bookmarkStart w:id="135" w:name="RowTitle6"/>
            <w:bookmarkEnd w:id="135"/>
            <w:r w:rsidRPr="00AB3873">
              <w:t>Cur</w:t>
            </w:r>
            <w:bookmarkStart w:id="136" w:name="Table_8_fibre_and_wholegrain"/>
            <w:bookmarkEnd w:id="136"/>
            <w:r w:rsidRPr="00AB3873">
              <w:t xml:space="preserve">rent treatment in the HSR </w:t>
            </w:r>
            <w:r w:rsidR="00926B08">
              <w:t>System</w:t>
            </w:r>
          </w:p>
        </w:tc>
        <w:tc>
          <w:tcPr>
            <w:tcW w:w="8453" w:type="dxa"/>
          </w:tcPr>
          <w:p w14:paraId="7E669F35"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Fibre is a positive nutrient in the HSR Calculator.</w:t>
            </w:r>
          </w:p>
          <w:p w14:paraId="41F6BC40" w14:textId="547F90B2"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A product with &gt; 0.9% fibre can score modifying F points (starting from 1).</w:t>
            </w:r>
          </w:p>
          <w:p w14:paraId="31A0B0CD"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A product with &gt; 20% fibre can score a maximum of 15 modifying F points.</w:t>
            </w:r>
          </w:p>
          <w:p w14:paraId="1B2EA991" w14:textId="43CEFA7F"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 xml:space="preserve">Wholegrain is not currently a part of the HSR </w:t>
            </w:r>
            <w:r w:rsidR="00926B08">
              <w:rPr>
                <w:rFonts w:cstheme="minorHAnsi"/>
                <w:szCs w:val="22"/>
              </w:rPr>
              <w:t>System</w:t>
            </w:r>
            <w:r w:rsidRPr="00AB3873">
              <w:rPr>
                <w:rFonts w:cstheme="minorHAnsi"/>
                <w:szCs w:val="22"/>
              </w:rPr>
              <w:t xml:space="preserve"> but is indirectly accounted for by fibre.</w:t>
            </w:r>
          </w:p>
        </w:tc>
      </w:tr>
      <w:tr w:rsidR="00A5335D" w:rsidRPr="00AB3873" w14:paraId="43E90B7B" w14:textId="77777777" w:rsidTr="004415F0">
        <w:tc>
          <w:tcPr>
            <w:tcW w:w="1328" w:type="dxa"/>
            <w:shd w:val="clear" w:color="auto" w:fill="DEEAF6" w:themeFill="accent5" w:themeFillTint="33"/>
          </w:tcPr>
          <w:p w14:paraId="226A3148" w14:textId="77777777" w:rsidR="00A5335D" w:rsidRPr="00AB3873" w:rsidRDefault="00A5335D" w:rsidP="0024269C">
            <w:r w:rsidRPr="00AB3873">
              <w:t>Dietary Guidelines</w:t>
            </w:r>
          </w:p>
        </w:tc>
        <w:tc>
          <w:tcPr>
            <w:tcW w:w="8453" w:type="dxa"/>
          </w:tcPr>
          <w:p w14:paraId="5EF16E25"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 xml:space="preserve">Dietary Guidelines: </w:t>
            </w:r>
          </w:p>
          <w:p w14:paraId="6F1B7D38" w14:textId="44E1934C"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adults eat 25–30</w:t>
            </w:r>
            <w:r w:rsidR="000368A9" w:rsidRPr="00AB3873">
              <w:rPr>
                <w:rFonts w:cstheme="minorHAnsi"/>
                <w:szCs w:val="22"/>
              </w:rPr>
              <w:t>g of dietary fibre every day</w:t>
            </w:r>
          </w:p>
          <w:p w14:paraId="0C9FD03F"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note that grain foods, especially breads, are one of the key sources of dietary fibre</w:t>
            </w:r>
          </w:p>
          <w:p w14:paraId="6A04C0F3"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eating grain (cereal) foods, mostly wholegrain and/or high cereal fibre varieties, such as breads, cereals, rice, pasta, noodles, polenta, couscous, oats, quinoa and barley</w:t>
            </w:r>
          </w:p>
          <w:p w14:paraId="536B0FBB" w14:textId="6292A241"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eating six serves of grain per day</w:t>
            </w:r>
            <w:r w:rsidR="00283874">
              <w:rPr>
                <w:rFonts w:cstheme="minorHAnsi"/>
                <w:szCs w:val="22"/>
              </w:rPr>
              <w:t>.</w:t>
            </w:r>
          </w:p>
          <w:p w14:paraId="4D475086" w14:textId="7B6B75C7"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Wholegrain is defined as ‘products which use every part of the grain including the outer layers, bran and germ even if these parts are separated during processing and regardless of whether the grain is in one piece or milled into smaller pieces’.</w:t>
            </w:r>
          </w:p>
        </w:tc>
      </w:tr>
      <w:tr w:rsidR="00A5335D" w:rsidRPr="00AB3873" w14:paraId="48575918" w14:textId="77777777" w:rsidTr="004415F0">
        <w:tc>
          <w:tcPr>
            <w:tcW w:w="1328" w:type="dxa"/>
            <w:shd w:val="clear" w:color="auto" w:fill="DEEAF6" w:themeFill="accent5" w:themeFillTint="33"/>
          </w:tcPr>
          <w:p w14:paraId="5E6A4F9D" w14:textId="77777777" w:rsidR="00A5335D" w:rsidRPr="00AB3873" w:rsidRDefault="00A5335D" w:rsidP="0024269C">
            <w:r w:rsidRPr="00AB3873">
              <w:t>Intake</w:t>
            </w:r>
          </w:p>
        </w:tc>
        <w:tc>
          <w:tcPr>
            <w:tcW w:w="8453" w:type="dxa"/>
          </w:tcPr>
          <w:p w14:paraId="5A4D4D90" w14:textId="77777777" w:rsidR="00C516AC" w:rsidRDefault="00C516AC" w:rsidP="00B91EBF">
            <w:pPr>
              <w:pStyle w:val="mpcbullets1"/>
              <w:numPr>
                <w:ilvl w:val="0"/>
                <w:numId w:val="9"/>
              </w:numPr>
              <w:spacing w:before="120" w:after="120"/>
              <w:contextualSpacing/>
              <w:rPr>
                <w:rFonts w:cstheme="minorHAnsi"/>
                <w:szCs w:val="22"/>
              </w:rPr>
            </w:pPr>
            <w:r w:rsidRPr="00AB3873">
              <w:rPr>
                <w:rFonts w:cstheme="minorHAnsi"/>
                <w:szCs w:val="22"/>
              </w:rPr>
              <w:t xml:space="preserve">AHS 2011-12 </w:t>
            </w:r>
            <w:r>
              <w:rPr>
                <w:rFonts w:cstheme="minorHAnsi"/>
                <w:szCs w:val="22"/>
              </w:rPr>
              <w:t>found that:</w:t>
            </w:r>
          </w:p>
          <w:p w14:paraId="2F7D2363" w14:textId="62A57FBA" w:rsidR="00A5335D"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average daily intake of dietary fibre for Australian adults is 22.9g.</w:t>
            </w:r>
          </w:p>
          <w:p w14:paraId="4DF1EBE5" w14:textId="1157140C" w:rsidR="00C516AC" w:rsidRPr="00AB3873" w:rsidRDefault="00C516AC"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In Australia, the majority of dietary fibre is sourced from consuming cereal and cereal products (cereals, bread, pasta, barley, quinoa, etc. (29.3%)), cereal</w:t>
            </w:r>
            <w:r w:rsidR="005C170C">
              <w:rPr>
                <w:rFonts w:cstheme="minorHAnsi"/>
                <w:szCs w:val="22"/>
              </w:rPr>
              <w:t>-</w:t>
            </w:r>
            <w:r w:rsidRPr="00AB3873">
              <w:rPr>
                <w:rFonts w:cstheme="minorHAnsi"/>
                <w:szCs w:val="22"/>
              </w:rPr>
              <w:t>based products (biscuits, cakes, pastries, etc (19%)), fruit (17.7%) and vegetables (14.4%).</w:t>
            </w:r>
          </w:p>
          <w:p w14:paraId="0221EA6D" w14:textId="109359FC" w:rsidR="00C516AC" w:rsidRPr="00AB3873" w:rsidRDefault="00C516AC" w:rsidP="00B91EBF">
            <w:pPr>
              <w:pStyle w:val="mpcbullets1"/>
              <w:numPr>
                <w:ilvl w:val="0"/>
                <w:numId w:val="9"/>
              </w:numPr>
              <w:spacing w:before="120" w:after="120"/>
              <w:contextualSpacing/>
              <w:rPr>
                <w:rFonts w:cstheme="minorHAnsi"/>
                <w:szCs w:val="22"/>
              </w:rPr>
            </w:pPr>
            <w:r>
              <w:rPr>
                <w:rFonts w:cstheme="minorHAnsi"/>
                <w:szCs w:val="22"/>
              </w:rPr>
              <w:t>NZEAG 2008/09 found that:</w:t>
            </w:r>
          </w:p>
          <w:p w14:paraId="6EC34F46"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average daily intake of dietary fibre for New Zealand adults is 20g.</w:t>
            </w:r>
          </w:p>
          <w:p w14:paraId="077A78F4" w14:textId="68A1A398"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In New Zealand the majority of dietary fibre is sourced from consuming bread (17.1%), vegetables (16.4%), potatoes, kumara and taro (11.7%), fruit (11.5%), grains and pasta (8.3%), breakfast cereals (7.2%), bread</w:t>
            </w:r>
            <w:r w:rsidR="005C170C">
              <w:rPr>
                <w:rFonts w:cstheme="minorHAnsi"/>
                <w:szCs w:val="22"/>
              </w:rPr>
              <w:t>-</w:t>
            </w:r>
            <w:r w:rsidRPr="00AB3873">
              <w:rPr>
                <w:rFonts w:cstheme="minorHAnsi"/>
                <w:szCs w:val="22"/>
              </w:rPr>
              <w:t>based dishes (5.1%)</w:t>
            </w:r>
            <w:r w:rsidR="005C170C">
              <w:rPr>
                <w:rFonts w:cstheme="minorHAnsi"/>
                <w:szCs w:val="22"/>
              </w:rPr>
              <w:t xml:space="preserve"> and</w:t>
            </w:r>
            <w:r w:rsidRPr="00AB3873">
              <w:rPr>
                <w:rFonts w:cstheme="minorHAnsi"/>
                <w:szCs w:val="22"/>
              </w:rPr>
              <w:t xml:space="preserve"> cakes and muffins (2.3%). </w:t>
            </w:r>
          </w:p>
          <w:p w14:paraId="1BAFF504" w14:textId="5DE167DA"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The ADG note that most Australians consume less than half the recommended quantity of wholegrain foods</w:t>
            </w:r>
            <w:r w:rsidR="00A32358">
              <w:rPr>
                <w:rFonts w:cstheme="minorHAnsi"/>
                <w:szCs w:val="22"/>
              </w:rPr>
              <w:t>,</w:t>
            </w:r>
            <w:r w:rsidRPr="00AB3873">
              <w:rPr>
                <w:rFonts w:cstheme="minorHAnsi"/>
                <w:szCs w:val="22"/>
              </w:rPr>
              <w:t xml:space="preserve"> but eat too m</w:t>
            </w:r>
            <w:r w:rsidR="00A32358">
              <w:rPr>
                <w:rFonts w:cstheme="minorHAnsi"/>
                <w:szCs w:val="22"/>
              </w:rPr>
              <w:t>uch refined grain (cereal) food</w:t>
            </w:r>
            <w:r w:rsidRPr="00AB3873">
              <w:rPr>
                <w:rFonts w:cstheme="minorHAnsi"/>
                <w:szCs w:val="22"/>
              </w:rPr>
              <w:t xml:space="preserve">. </w:t>
            </w:r>
          </w:p>
        </w:tc>
      </w:tr>
      <w:tr w:rsidR="00A5335D" w:rsidRPr="00AB3873" w14:paraId="62924D9C" w14:textId="77777777" w:rsidTr="00B11DBC">
        <w:tc>
          <w:tcPr>
            <w:tcW w:w="1328" w:type="dxa"/>
            <w:shd w:val="clear" w:color="auto" w:fill="DEEAF6" w:themeFill="accent5" w:themeFillTint="33"/>
          </w:tcPr>
          <w:p w14:paraId="5A01CD5D" w14:textId="77777777" w:rsidR="00A5335D" w:rsidRPr="00AB3873" w:rsidRDefault="00A5335D" w:rsidP="0024269C">
            <w:r w:rsidRPr="00AB3873">
              <w:t>HSR statistics</w:t>
            </w:r>
          </w:p>
        </w:tc>
        <w:tc>
          <w:tcPr>
            <w:tcW w:w="8453" w:type="dxa"/>
            <w:tcBorders>
              <w:bottom w:val="single" w:sz="4" w:space="0" w:color="auto"/>
            </w:tcBorders>
          </w:tcPr>
          <w:p w14:paraId="279B711E" w14:textId="77777777" w:rsidR="00CA69BF" w:rsidRPr="00AB3873" w:rsidRDefault="00CA69BF" w:rsidP="00B91EBF">
            <w:pPr>
              <w:pStyle w:val="mpcbullets1"/>
              <w:numPr>
                <w:ilvl w:val="0"/>
                <w:numId w:val="9"/>
              </w:numPr>
              <w:spacing w:before="120" w:after="120"/>
              <w:contextualSpacing/>
              <w:rPr>
                <w:rFonts w:cstheme="minorHAnsi"/>
                <w:szCs w:val="22"/>
              </w:rPr>
            </w:pPr>
            <w:r w:rsidRPr="00AB3873">
              <w:rPr>
                <w:rFonts w:cstheme="minorHAnsi"/>
                <w:szCs w:val="22"/>
              </w:rPr>
              <w:t>Based on the TAG database:</w:t>
            </w:r>
          </w:p>
          <w:p w14:paraId="5E7954F0" w14:textId="6DF56BF4" w:rsidR="00A5335D" w:rsidRPr="00D40450" w:rsidRDefault="00CA69BF" w:rsidP="00B91EBF">
            <w:pPr>
              <w:pStyle w:val="mpcbullets1"/>
              <w:numPr>
                <w:ilvl w:val="2"/>
                <w:numId w:val="5"/>
              </w:numPr>
              <w:spacing w:before="120" w:after="120"/>
              <w:ind w:left="597" w:hanging="283"/>
              <w:contextualSpacing/>
              <w:rPr>
                <w:rFonts w:cstheme="minorHAnsi"/>
                <w:szCs w:val="22"/>
              </w:rPr>
            </w:pPr>
            <w:r w:rsidRPr="00D40450">
              <w:rPr>
                <w:rFonts w:cstheme="minorHAnsi"/>
                <w:szCs w:val="22"/>
              </w:rPr>
              <w:t>fibre content does not necessarily correlate to wholegrain content.</w:t>
            </w:r>
          </w:p>
          <w:p w14:paraId="123050A4" w14:textId="24F1B773" w:rsidR="008A2E98" w:rsidRPr="00977364" w:rsidRDefault="00D40450" w:rsidP="00B91EBF">
            <w:pPr>
              <w:pStyle w:val="mpcbullets1"/>
              <w:numPr>
                <w:ilvl w:val="2"/>
                <w:numId w:val="5"/>
              </w:numPr>
              <w:spacing w:before="120" w:after="120"/>
              <w:ind w:left="597" w:hanging="283"/>
              <w:contextualSpacing/>
              <w:rPr>
                <w:rFonts w:cstheme="minorHAnsi"/>
                <w:szCs w:val="22"/>
              </w:rPr>
            </w:pPr>
            <w:r w:rsidRPr="00D40450">
              <w:rPr>
                <w:rFonts w:cstheme="minorHAnsi"/>
                <w:szCs w:val="22"/>
              </w:rPr>
              <w:t>the mean fibre content for bread is 5%, breakfast cereals is 9.17%, biscuits 3.4%, muesli bars 7.2%, yoghurts 0.31%</w:t>
            </w:r>
          </w:p>
        </w:tc>
      </w:tr>
      <w:tr w:rsidR="00D103D4" w:rsidRPr="00AB3873" w14:paraId="5E2E8640" w14:textId="77777777" w:rsidTr="00B11DBC">
        <w:tc>
          <w:tcPr>
            <w:tcW w:w="1328" w:type="dxa"/>
            <w:shd w:val="clear" w:color="auto" w:fill="DEEAF6" w:themeFill="accent5" w:themeFillTint="33"/>
          </w:tcPr>
          <w:p w14:paraId="7163F154" w14:textId="1C0DEFAA" w:rsidR="00D103D4" w:rsidRPr="00AB3873" w:rsidRDefault="007747D2" w:rsidP="0024269C">
            <w:r>
              <w:t>Relevant</w:t>
            </w:r>
            <w:r w:rsidR="00D103D4" w:rsidRPr="00AB3873">
              <w:t xml:space="preserve"> TAG papers</w:t>
            </w:r>
          </w:p>
        </w:tc>
        <w:tc>
          <w:tcPr>
            <w:tcW w:w="8453" w:type="dxa"/>
            <w:tcBorders>
              <w:bottom w:val="single" w:sz="4" w:space="0" w:color="auto"/>
            </w:tcBorders>
          </w:tcPr>
          <w:p w14:paraId="62A9D2E1" w14:textId="77777777" w:rsidR="00D103D4" w:rsidRPr="00AB3873" w:rsidRDefault="00D103D4" w:rsidP="00B91EBF">
            <w:pPr>
              <w:pStyle w:val="mpcbullets1"/>
              <w:numPr>
                <w:ilvl w:val="0"/>
                <w:numId w:val="9"/>
              </w:numPr>
              <w:spacing w:before="120" w:after="120"/>
              <w:contextualSpacing/>
              <w:rPr>
                <w:rFonts w:cstheme="minorHAnsi"/>
                <w:szCs w:val="22"/>
              </w:rPr>
            </w:pPr>
            <w:r w:rsidRPr="00AB3873">
              <w:rPr>
                <w:rFonts w:cstheme="minorHAnsi"/>
                <w:szCs w:val="22"/>
              </w:rPr>
              <w:t>Fibre</w:t>
            </w:r>
          </w:p>
          <w:p w14:paraId="222E1D80" w14:textId="76E46F31" w:rsidR="00D103D4" w:rsidRPr="00AB3873" w:rsidRDefault="00D103D4" w:rsidP="00B91EBF">
            <w:pPr>
              <w:pStyle w:val="mpcbullets1"/>
              <w:numPr>
                <w:ilvl w:val="0"/>
                <w:numId w:val="9"/>
              </w:numPr>
              <w:spacing w:before="120" w:after="120"/>
              <w:contextualSpacing/>
              <w:rPr>
                <w:rFonts w:cstheme="minorHAnsi"/>
                <w:szCs w:val="22"/>
              </w:rPr>
            </w:pPr>
            <w:r w:rsidRPr="00AB3873">
              <w:rPr>
                <w:rFonts w:cstheme="minorHAnsi"/>
                <w:szCs w:val="22"/>
              </w:rPr>
              <w:t>Wholegrain</w:t>
            </w:r>
          </w:p>
        </w:tc>
      </w:tr>
    </w:tbl>
    <w:p w14:paraId="6F2F9148" w14:textId="1229CCBB" w:rsidR="00F81DF8" w:rsidRPr="00AB3873" w:rsidRDefault="00F81DF8" w:rsidP="0024269C"/>
    <w:p w14:paraId="3B1799C0" w14:textId="77777777" w:rsidR="003A76BF" w:rsidRPr="00AB3873" w:rsidRDefault="003A76BF" w:rsidP="00B51EE9">
      <w:pPr>
        <w:pStyle w:val="mpcheading3"/>
      </w:pPr>
      <w:bookmarkStart w:id="137" w:name="_Toc524530378"/>
      <w:r w:rsidRPr="00AB3873">
        <w:t xml:space="preserve">Options </w:t>
      </w:r>
      <w:r>
        <w:t xml:space="preserve">to </w:t>
      </w:r>
      <w:r w:rsidRPr="00B51EE9">
        <w:t>address</w:t>
      </w:r>
      <w:r>
        <w:t xml:space="preserve"> issue</w:t>
      </w:r>
    </w:p>
    <w:p w14:paraId="4E3D8B3B" w14:textId="29BBD429" w:rsidR="00F81DF8" w:rsidRPr="00AB3873" w:rsidRDefault="00696C33" w:rsidP="00B91EBF">
      <w:pPr>
        <w:pStyle w:val="mpcheading4"/>
        <w:numPr>
          <w:ilvl w:val="0"/>
          <w:numId w:val="11"/>
        </w:numPr>
      </w:pPr>
      <w:r w:rsidRPr="00AB3873">
        <w:t>Status quo for fibre</w:t>
      </w:r>
      <w:bookmarkEnd w:id="137"/>
    </w:p>
    <w:p w14:paraId="7FF1FC13" w14:textId="2B5A0E4F" w:rsidR="00134A28" w:rsidRDefault="00134A28" w:rsidP="0024269C">
      <w:r>
        <w:t>Under this option, the HSR Calculator would continue to award modifying F points for fibre content</w:t>
      </w:r>
      <w:r w:rsidR="00A32358">
        <w:t>,</w:t>
      </w:r>
      <w:r>
        <w:t xml:space="preserve"> </w:t>
      </w:r>
      <w:r w:rsidR="00A31F7C">
        <w:t xml:space="preserve">and </w:t>
      </w:r>
      <w:r>
        <w:t>wholegrain content would not be considered</w:t>
      </w:r>
      <w:r w:rsidR="00A31F7C">
        <w:t xml:space="preserve"> separately</w:t>
      </w:r>
      <w:r>
        <w:t>.</w:t>
      </w:r>
    </w:p>
    <w:p w14:paraId="67141102" w14:textId="77777777" w:rsidR="00134A28" w:rsidRDefault="00134A28" w:rsidP="0024269C"/>
    <w:p w14:paraId="0E1F34F7" w14:textId="38E3A6B2" w:rsidR="00696C33" w:rsidRPr="00AB3873" w:rsidRDefault="000368A9" w:rsidP="0024269C">
      <w:r w:rsidRPr="00AB3873">
        <w:t>Th</w:t>
      </w:r>
      <w:r w:rsidR="00A31F7C">
        <w:t xml:space="preserve">e status quo </w:t>
      </w:r>
      <w:r w:rsidRPr="00AB3873">
        <w:t>retain</w:t>
      </w:r>
      <w:r w:rsidR="00A31F7C">
        <w:t>s</w:t>
      </w:r>
      <w:r w:rsidRPr="00AB3873">
        <w:t xml:space="preserve"> alignment with the NPSC</w:t>
      </w:r>
      <w:r w:rsidR="00134A28">
        <w:t xml:space="preserve"> (on which the HSR Calculator is based)</w:t>
      </w:r>
      <w:r w:rsidRPr="00AB3873">
        <w:t>, which does not consider wholegrain</w:t>
      </w:r>
      <w:r w:rsidR="00134A28">
        <w:t xml:space="preserve">. </w:t>
      </w:r>
      <w:r w:rsidR="008A2E98">
        <w:t>However,</w:t>
      </w:r>
      <w:r w:rsidR="00134A28">
        <w:t xml:space="preserve"> this option would continue to inadequately discriminate between foods with </w:t>
      </w:r>
      <w:r w:rsidR="00134A28">
        <w:lastRenderedPageBreak/>
        <w:t>different wholegrain content</w:t>
      </w:r>
      <w:r w:rsidR="00A32358">
        <w:t>,</w:t>
      </w:r>
      <w:r w:rsidR="00134A28">
        <w:t xml:space="preserve"> </w:t>
      </w:r>
      <w:r w:rsidR="00283874">
        <w:t xml:space="preserve">and fail to promote </w:t>
      </w:r>
      <w:r w:rsidR="00134A28">
        <w:t>products higher in wholegrain, which Dietary Guidelines recommend consuming.</w:t>
      </w:r>
    </w:p>
    <w:p w14:paraId="4788A511" w14:textId="7D6FDEAD" w:rsidR="00696C33" w:rsidRPr="00AB3873" w:rsidRDefault="00696C33" w:rsidP="0024269C"/>
    <w:p w14:paraId="3FAA80F5" w14:textId="314B473A" w:rsidR="001D7397" w:rsidRPr="001D7397" w:rsidRDefault="005C170C" w:rsidP="0024269C">
      <w:r>
        <w:t>O</w:t>
      </w:r>
      <w:r w:rsidR="00C516AC">
        <w:t xml:space="preserve">ther </w:t>
      </w:r>
      <w:r w:rsidR="000D7B4C">
        <w:t xml:space="preserve">labelling </w:t>
      </w:r>
      <w:r w:rsidR="00C516AC">
        <w:t xml:space="preserve">tools are available to industry </w:t>
      </w:r>
      <w:r w:rsidR="002830F1">
        <w:t xml:space="preserve">to promote wholegrain </w:t>
      </w:r>
      <w:r w:rsidR="00C516AC">
        <w:t xml:space="preserve">– </w:t>
      </w:r>
      <w:r w:rsidR="002830F1">
        <w:t xml:space="preserve">for example, </w:t>
      </w:r>
      <w:r w:rsidR="00C516AC">
        <w:t>w</w:t>
      </w:r>
      <w:r w:rsidR="001D7397" w:rsidRPr="00AB3873">
        <w:t>holegrain</w:t>
      </w:r>
      <w:r w:rsidR="00C516AC">
        <w:t xml:space="preserve"> </w:t>
      </w:r>
      <w:r w:rsidR="001D7397" w:rsidRPr="00AB3873">
        <w:t xml:space="preserve">claims can be made in line with the </w:t>
      </w:r>
      <w:r>
        <w:t xml:space="preserve">Industry </w:t>
      </w:r>
      <w:r w:rsidR="001D7397" w:rsidRPr="001D7397">
        <w:t>Code of Practice</w:t>
      </w:r>
      <w:r w:rsidR="001D7397" w:rsidRPr="00AB3873">
        <w:t>.</w:t>
      </w:r>
    </w:p>
    <w:p w14:paraId="5EE191BF" w14:textId="7DC3CB92" w:rsidR="00EA6564" w:rsidRPr="00AB3873" w:rsidRDefault="00EA6564" w:rsidP="0024269C"/>
    <w:p w14:paraId="5B659839" w14:textId="0CD7001F" w:rsidR="00EA6564" w:rsidRPr="00AB3873" w:rsidRDefault="007F0181" w:rsidP="00B91EBF">
      <w:pPr>
        <w:pStyle w:val="mpcheading4"/>
        <w:numPr>
          <w:ilvl w:val="0"/>
          <w:numId w:val="11"/>
        </w:numPr>
      </w:pPr>
      <w:r>
        <w:t>Enable foods to receive more modifying F points where more wholegrains are present in the food</w:t>
      </w:r>
    </w:p>
    <w:p w14:paraId="4E7AD0A9" w14:textId="3DE51B73" w:rsidR="00320F69" w:rsidRDefault="00EA6564" w:rsidP="0024269C">
      <w:r w:rsidRPr="00AB3873">
        <w:t>This option would require changes to the HSR Calculator</w:t>
      </w:r>
      <w:r w:rsidR="003323CE">
        <w:t xml:space="preserve"> so that a</w:t>
      </w:r>
      <w:r w:rsidRPr="00AB3873">
        <w:t xml:space="preserve"> product </w:t>
      </w:r>
      <w:r w:rsidR="00D67CDC">
        <w:t>containing</w:t>
      </w:r>
      <w:r w:rsidRPr="00AB3873">
        <w:t xml:space="preserve"> </w:t>
      </w:r>
      <w:r w:rsidR="00FF280A" w:rsidRPr="00AB3873">
        <w:t>w</w:t>
      </w:r>
      <w:r w:rsidRPr="00AB3873">
        <w:t xml:space="preserve">holegrain </w:t>
      </w:r>
      <w:r w:rsidR="00FF280A" w:rsidRPr="00AB3873">
        <w:t>would</w:t>
      </w:r>
      <w:r w:rsidRPr="00AB3873">
        <w:t xml:space="preserve"> receive a </w:t>
      </w:r>
      <w:r w:rsidR="00FF280A" w:rsidRPr="00AB3873">
        <w:t xml:space="preserve">proportional </w:t>
      </w:r>
      <w:r w:rsidRPr="00AB3873">
        <w:t>loading to its fibre content such that it receives more F points</w:t>
      </w:r>
      <w:r w:rsidR="00FF280A" w:rsidRPr="00AB3873">
        <w:t xml:space="preserve"> </w:t>
      </w:r>
      <w:r w:rsidR="00AC5228">
        <w:t xml:space="preserve">(using the existing fibre table) </w:t>
      </w:r>
      <w:r w:rsidR="00FF280A" w:rsidRPr="00AB3873">
        <w:t>when more wholegrain is present</w:t>
      </w:r>
      <w:r w:rsidR="00A32358">
        <w:t>,</w:t>
      </w:r>
      <w:r w:rsidR="00FF280A" w:rsidRPr="00AB3873">
        <w:t xml:space="preserve"> and may receive a higher HSR</w:t>
      </w:r>
      <w:r w:rsidRPr="00AB3873">
        <w:t>.</w:t>
      </w:r>
      <w:r w:rsidR="00F077F7">
        <w:t xml:space="preserve"> </w:t>
      </w:r>
      <w:r w:rsidR="00D67CDC">
        <w:t xml:space="preserve">For example, </w:t>
      </w:r>
      <w:r w:rsidR="00320F69">
        <w:t xml:space="preserve">if a </w:t>
      </w:r>
      <w:r w:rsidR="00B72FE0">
        <w:t xml:space="preserve">maximum </w:t>
      </w:r>
      <w:r w:rsidR="00320F69">
        <w:t xml:space="preserve">20% </w:t>
      </w:r>
      <w:r w:rsidR="00B72FE0">
        <w:t xml:space="preserve">loading was applied to 100% </w:t>
      </w:r>
      <w:r w:rsidR="00320F69">
        <w:t xml:space="preserve">wholegrain </w:t>
      </w:r>
      <w:r w:rsidR="00B72FE0">
        <w:t>content</w:t>
      </w:r>
      <w:r w:rsidR="00320F69">
        <w:t>:</w:t>
      </w:r>
    </w:p>
    <w:p w14:paraId="1BAE0356" w14:textId="77777777" w:rsidR="00320F69" w:rsidRDefault="00320F69" w:rsidP="0024269C"/>
    <w:p w14:paraId="236D3B69" w14:textId="77777777" w:rsidR="00AA41B8" w:rsidRDefault="00B72FE0" w:rsidP="00B51EE9">
      <w:pPr>
        <w:pStyle w:val="mpcbullets1"/>
      </w:pPr>
      <w:r>
        <w:t>A product with 5.3g</w:t>
      </w:r>
      <w:r w:rsidRPr="00320F69">
        <w:t xml:space="preserve">/100g fibre and </w:t>
      </w:r>
      <w:r>
        <w:t>10</w:t>
      </w:r>
      <w:r w:rsidRPr="00320F69">
        <w:t>0% wholegrain</w:t>
      </w:r>
      <w:r>
        <w:t xml:space="preserve"> would</w:t>
      </w:r>
      <w:r w:rsidR="00AA41B8">
        <w:t>:</w:t>
      </w:r>
    </w:p>
    <w:p w14:paraId="3674D89F" w14:textId="56654733" w:rsidR="00AA41B8" w:rsidRPr="00B51EE9" w:rsidRDefault="00B72FE0" w:rsidP="00B51EE9">
      <w:pPr>
        <w:pStyle w:val="mpcbullets2"/>
      </w:pPr>
      <w:r w:rsidRPr="00B51EE9">
        <w:t xml:space="preserve">receive a 20% loading, </w:t>
      </w:r>
      <w:r w:rsidR="00AA41B8" w:rsidRPr="00B51EE9">
        <w:t>resulting in a</w:t>
      </w:r>
      <w:r w:rsidRPr="00B51EE9">
        <w:t xml:space="preserve"> scaled fibre content of 6.36g</w:t>
      </w:r>
    </w:p>
    <w:p w14:paraId="3EDF0789" w14:textId="066963E5" w:rsidR="00B72FE0" w:rsidRPr="00B51EE9" w:rsidRDefault="00B72FE0" w:rsidP="00B51EE9">
      <w:pPr>
        <w:pStyle w:val="mpcbullets2"/>
      </w:pPr>
      <w:r w:rsidRPr="00B51EE9">
        <w:t xml:space="preserve">receive </w:t>
      </w:r>
      <w:r w:rsidR="00AA41B8" w:rsidRPr="00B51EE9">
        <w:t>7 modifying F points.</w:t>
      </w:r>
    </w:p>
    <w:p w14:paraId="6D511F6C" w14:textId="77777777" w:rsidR="00AA41B8" w:rsidRDefault="00AA41B8" w:rsidP="00B51EE9">
      <w:pPr>
        <w:pStyle w:val="mpcbullets1"/>
      </w:pPr>
      <w:r>
        <w:t>A</w:t>
      </w:r>
      <w:r w:rsidR="00320F69" w:rsidRPr="00320F69">
        <w:t xml:space="preserve"> product with 8g/100g fibre and </w:t>
      </w:r>
      <w:r w:rsidR="00AC5228" w:rsidRPr="00320F69">
        <w:t>50% wholegrain</w:t>
      </w:r>
      <w:r w:rsidR="00320F69">
        <w:t xml:space="preserve"> would</w:t>
      </w:r>
      <w:r>
        <w:t>:</w:t>
      </w:r>
      <w:r w:rsidR="00320F69">
        <w:t xml:space="preserve"> </w:t>
      </w:r>
    </w:p>
    <w:p w14:paraId="5C2F5A15" w14:textId="1429FF0B" w:rsidR="00AA41B8" w:rsidRDefault="00AA41B8" w:rsidP="00B51EE9">
      <w:pPr>
        <w:pStyle w:val="mpcbullets2"/>
      </w:pPr>
      <w:r>
        <w:t>receive a 10% loading, resulting in a scaled fibre content of 8.8g</w:t>
      </w:r>
    </w:p>
    <w:p w14:paraId="1F9FCE8B" w14:textId="2A29FAFA" w:rsidR="00AA41B8" w:rsidRDefault="00AA41B8" w:rsidP="00B51EE9">
      <w:pPr>
        <w:pStyle w:val="mpcbullets2"/>
      </w:pPr>
      <w:r>
        <w:t>receive 9 modifying F points.</w:t>
      </w:r>
    </w:p>
    <w:p w14:paraId="24E40F10" w14:textId="77777777" w:rsidR="0070641E" w:rsidRPr="00AB3873" w:rsidRDefault="0070641E" w:rsidP="0024269C"/>
    <w:p w14:paraId="3C4A86C4" w14:textId="66E452F8" w:rsidR="00AA41B8" w:rsidRDefault="00CB5CD6" w:rsidP="0024269C">
      <w:r>
        <w:t>Noting the limitation on wholegrain data in the TAG database (which result</w:t>
      </w:r>
      <w:r w:rsidR="00A32358">
        <w:t>s</w:t>
      </w:r>
      <w:r>
        <w:t xml:space="preserve"> in a small sample size), the TAG modelling indicates that this option would </w:t>
      </w:r>
      <w:r w:rsidR="00750D55">
        <w:t>affect few products, with a maximum increase in HSR of 0.5</w:t>
      </w:r>
      <w:r w:rsidR="00AA41B8">
        <w:t>.</w:t>
      </w:r>
      <w:r w:rsidR="00596750">
        <w:t xml:space="preserve"> Products </w:t>
      </w:r>
      <w:r w:rsidR="005C170C">
        <w:t xml:space="preserve">affected </w:t>
      </w:r>
      <w:r w:rsidR="00596750">
        <w:t>include breads, breakfast cereals, rices, pastas, extruded snacks and muesli bars.</w:t>
      </w:r>
    </w:p>
    <w:p w14:paraId="1421191A" w14:textId="77777777" w:rsidR="00AA41B8" w:rsidRDefault="00AA41B8" w:rsidP="0024269C"/>
    <w:p w14:paraId="5C22A8E9" w14:textId="13712283" w:rsidR="0070641E" w:rsidRPr="00AF0107" w:rsidRDefault="00AA41B8" w:rsidP="0024269C">
      <w:r w:rsidRPr="00C6743D">
        <w:t xml:space="preserve">The TAG modelling indicates that </w:t>
      </w:r>
      <w:r w:rsidR="0070641E" w:rsidRPr="00C6743D">
        <w:t xml:space="preserve">a 20% loading </w:t>
      </w:r>
      <w:r w:rsidR="00BF270B" w:rsidRPr="00C6743D">
        <w:t xml:space="preserve">for 100% wholegrain </w:t>
      </w:r>
      <w:r w:rsidR="0070641E" w:rsidRPr="00C6743D">
        <w:t>may provide improved differentiation between white and wholegrain breads, breakfast cereals, pastas, rices and other grains</w:t>
      </w:r>
      <w:r w:rsidR="00B12114" w:rsidRPr="00C6743D">
        <w:t>. The 20% loading</w:t>
      </w:r>
      <w:r w:rsidR="001A391F" w:rsidRPr="00C6743D">
        <w:t xml:space="preserve"> </w:t>
      </w:r>
      <w:r w:rsidR="00CB5CD6" w:rsidRPr="00A24AC9">
        <w:t xml:space="preserve">effectively </w:t>
      </w:r>
      <w:r w:rsidR="001A391F" w:rsidRPr="00A24AC9">
        <w:t>targets products</w:t>
      </w:r>
      <w:r w:rsidR="00CB5CD6" w:rsidRPr="00A24AC9">
        <w:t>,</w:t>
      </w:r>
      <w:r w:rsidR="001A391F" w:rsidRPr="00A24AC9">
        <w:t xml:space="preserve"> such that they require a high proportion of wholegrain (</w:t>
      </w:r>
      <w:r w:rsidR="00BE52B6" w:rsidRPr="00A24AC9">
        <w:t xml:space="preserve">generally </w:t>
      </w:r>
      <w:r w:rsidR="001A391F" w:rsidRPr="00A24AC9">
        <w:t>&gt; 40%) to achie</w:t>
      </w:r>
      <w:r w:rsidR="001A391F" w:rsidRPr="00460E06">
        <w:t xml:space="preserve">ve an increase in HSR. It </w:t>
      </w:r>
      <w:r w:rsidR="00BF270B" w:rsidRPr="007E500F">
        <w:t>is</w:t>
      </w:r>
      <w:r w:rsidR="00A37A65" w:rsidRPr="007E288D">
        <w:t xml:space="preserve"> also</w:t>
      </w:r>
      <w:r w:rsidR="00BF270B" w:rsidRPr="007E288D">
        <w:t xml:space="preserve"> targeted enough to ensure the HSR</w:t>
      </w:r>
      <w:r w:rsidR="00BE52B6" w:rsidRPr="007E288D">
        <w:t>s</w:t>
      </w:r>
      <w:r w:rsidR="00BF270B" w:rsidRPr="007E288D">
        <w:t xml:space="preserve"> of products high in risk</w:t>
      </w:r>
      <w:r w:rsidR="00E45731">
        <w:t>-associated</w:t>
      </w:r>
      <w:r w:rsidR="00BF270B" w:rsidRPr="007E288D">
        <w:t xml:space="preserve"> nutrients are not </w:t>
      </w:r>
      <w:r w:rsidR="00363953" w:rsidRPr="00E04821">
        <w:t>unduly increased due to wholegrain content.</w:t>
      </w:r>
    </w:p>
    <w:p w14:paraId="2E02E2BA" w14:textId="77777777" w:rsidR="00AC5228" w:rsidRPr="0093610C" w:rsidRDefault="00AC5228" w:rsidP="0024269C"/>
    <w:p w14:paraId="476C35AC" w14:textId="604FDCD8" w:rsidR="00C6743D" w:rsidRDefault="006B6290" w:rsidP="0024269C">
      <w:r w:rsidRPr="0093610C">
        <w:t>The main advantage</w:t>
      </w:r>
      <w:r w:rsidR="00A24AC9">
        <w:t>s</w:t>
      </w:r>
      <w:r w:rsidRPr="00A24AC9">
        <w:t xml:space="preserve"> of this option </w:t>
      </w:r>
      <w:r w:rsidR="00C6743D">
        <w:t>are:</w:t>
      </w:r>
    </w:p>
    <w:p w14:paraId="35E0FFDC" w14:textId="77777777" w:rsidR="00C6743D" w:rsidRDefault="00C6743D" w:rsidP="0024269C"/>
    <w:p w14:paraId="004D22AA" w14:textId="689400C4" w:rsidR="00A93452" w:rsidRDefault="006B6290" w:rsidP="00B51EE9">
      <w:pPr>
        <w:pStyle w:val="mpcbullets1"/>
      </w:pPr>
      <w:r w:rsidRPr="00C6743D">
        <w:t xml:space="preserve">it </w:t>
      </w:r>
      <w:r w:rsidR="00AC5228" w:rsidRPr="00C6743D">
        <w:t xml:space="preserve">recognises the dietary value of fibre from wholegrain over other sources. This would increase </w:t>
      </w:r>
      <w:r w:rsidR="00CB5CD6" w:rsidRPr="00C6743D">
        <w:t xml:space="preserve">the </w:t>
      </w:r>
      <w:r w:rsidR="00AC5228" w:rsidRPr="00C6743D">
        <w:t>ability to distinguish between foods lower and higher in wholegrain, resulting in improved alignment with Dietary Guideline recommendations to ea</w:t>
      </w:r>
      <w:r w:rsidR="00A37A65" w:rsidRPr="00C6743D">
        <w:t>t</w:t>
      </w:r>
      <w:r w:rsidR="00AC5228" w:rsidRPr="00C6743D">
        <w:t xml:space="preserve"> fibre mainly from wholegrains</w:t>
      </w:r>
    </w:p>
    <w:p w14:paraId="3FC0BF07" w14:textId="10EE519F" w:rsidR="00AC5228" w:rsidRDefault="00A93452" w:rsidP="00B51EE9">
      <w:pPr>
        <w:pStyle w:val="mpcbullets1"/>
      </w:pPr>
      <w:r>
        <w:t>it</w:t>
      </w:r>
      <w:r w:rsidR="00AC5228" w:rsidRPr="00C6743D">
        <w:t xml:space="preserve"> may also encourage positive reformulation to increase wholegrain content in some products.</w:t>
      </w:r>
    </w:p>
    <w:p w14:paraId="17F53362" w14:textId="34C10128" w:rsidR="006B6290" w:rsidRDefault="006B6290" w:rsidP="0024269C"/>
    <w:p w14:paraId="08FBC923" w14:textId="77777777" w:rsidR="00A24AC9" w:rsidRPr="00A24AC9" w:rsidRDefault="006B6290" w:rsidP="0024269C">
      <w:r w:rsidRPr="00A24AC9">
        <w:t>The main disadvantage</w:t>
      </w:r>
      <w:r w:rsidR="00A24AC9" w:rsidRPr="00A24AC9">
        <w:t>s</w:t>
      </w:r>
      <w:r w:rsidRPr="00A24AC9">
        <w:t xml:space="preserve"> of this option</w:t>
      </w:r>
      <w:r w:rsidR="00A24AC9" w:rsidRPr="00A24AC9">
        <w:t xml:space="preserve"> are:</w:t>
      </w:r>
    </w:p>
    <w:p w14:paraId="051907C4" w14:textId="77777777" w:rsidR="00A24AC9" w:rsidRPr="00A24AC9" w:rsidRDefault="00A24AC9" w:rsidP="0024269C"/>
    <w:p w14:paraId="7ABCBD21" w14:textId="137A2C8C" w:rsidR="003323CE" w:rsidRDefault="006B6290" w:rsidP="00B51EE9">
      <w:pPr>
        <w:pStyle w:val="mpcbullets1"/>
      </w:pPr>
      <w:r w:rsidRPr="00A24AC9">
        <w:t>manufacturers would need to determine the wholegrain content of their products to calculate the F points</w:t>
      </w:r>
      <w:r w:rsidR="001A5CCD" w:rsidRPr="00A24AC9">
        <w:t>. Wholegrain is not mandated to be identified on the NIP</w:t>
      </w:r>
      <w:r w:rsidR="00A24AC9" w:rsidRPr="00A24AC9">
        <w:t xml:space="preserve"> and its inclusion in the HSR System may represent a significant change </w:t>
      </w:r>
      <w:r w:rsidR="00A24AC9" w:rsidRPr="00460E06">
        <w:t>and a potential barrier to</w:t>
      </w:r>
      <w:r w:rsidR="00A24AC9" w:rsidRPr="007E500F">
        <w:t xml:space="preserve"> uptake </w:t>
      </w:r>
      <w:r w:rsidR="00A24AC9" w:rsidRPr="007E288D">
        <w:t xml:space="preserve">for industry (in terms of quantifying </w:t>
      </w:r>
      <w:r w:rsidR="00A24AC9" w:rsidRPr="00E04821">
        <w:t>wholegrain</w:t>
      </w:r>
      <w:r w:rsidR="00A24AC9" w:rsidRPr="00AF0107">
        <w:t>)</w:t>
      </w:r>
    </w:p>
    <w:p w14:paraId="34C149EA" w14:textId="47E0136C" w:rsidR="00A37A65" w:rsidRPr="00A24AC9" w:rsidRDefault="003323CE" w:rsidP="00B51EE9">
      <w:pPr>
        <w:pStyle w:val="mpcbullets1"/>
      </w:pPr>
      <w:r>
        <w:t>f</w:t>
      </w:r>
      <w:r w:rsidR="001A5CCD" w:rsidRPr="00A24AC9">
        <w:t>urther consideration would need to be given to the adequacy of the existing definition of wholegrain</w:t>
      </w:r>
    </w:p>
    <w:p w14:paraId="1C9B3209" w14:textId="10A78720" w:rsidR="00C6743D" w:rsidRPr="00A24AC9" w:rsidRDefault="00C6743D" w:rsidP="00B51EE9">
      <w:pPr>
        <w:pStyle w:val="mpcbullets1"/>
      </w:pPr>
      <w:r w:rsidRPr="00B35C49">
        <w:t xml:space="preserve">it would </w:t>
      </w:r>
      <w:r>
        <w:t xml:space="preserve">diminish </w:t>
      </w:r>
      <w:r w:rsidRPr="00B35C49">
        <w:t>align</w:t>
      </w:r>
      <w:r>
        <w:t>ment</w:t>
      </w:r>
      <w:r w:rsidRPr="00B35C49">
        <w:t xml:space="preserve"> with the NPSC </w:t>
      </w:r>
      <w:r>
        <w:t xml:space="preserve">(which </w:t>
      </w:r>
      <w:r w:rsidR="00A24AC9">
        <w:t>does not consider wholegrain</w:t>
      </w:r>
      <w:r>
        <w:t>)</w:t>
      </w:r>
      <w:r w:rsidR="00A24AC9">
        <w:t>.</w:t>
      </w:r>
    </w:p>
    <w:p w14:paraId="5F0375B6" w14:textId="77777777" w:rsidR="00C6743D" w:rsidRDefault="00C6743D" w:rsidP="0024269C"/>
    <w:p w14:paraId="356674FA" w14:textId="40E19B31" w:rsidR="00A37A65" w:rsidRPr="002123F0" w:rsidRDefault="00A37A65" w:rsidP="00B51EE9">
      <w:pPr>
        <w:pStyle w:val="mpcheading3"/>
      </w:pPr>
      <w:r>
        <w:t xml:space="preserve">Summary and </w:t>
      </w:r>
      <w:r w:rsidRPr="00B51EE9">
        <w:t>consultation</w:t>
      </w:r>
    </w:p>
    <w:p w14:paraId="7CF72151" w14:textId="0913D4B9" w:rsidR="00D3266F" w:rsidRPr="00AB3873" w:rsidRDefault="00A37A65" w:rsidP="0024269C">
      <w:r>
        <w:t>As noted above, limitations of the TAG database pose particular challenges in terms of analysing the impact of Option B. While Option B is intuitively attractive (by rewarding wholegrain without disrupting fibre, and better aligning with the Dietary Guidelines) further advice is sought from stakeholders about the likely impacts of this option</w:t>
      </w:r>
      <w:r>
        <w:rPr>
          <w:b/>
        </w:rPr>
        <w:t>.</w:t>
      </w:r>
    </w:p>
    <w:p w14:paraId="0F0BF8EB" w14:textId="5ECF69F3" w:rsidR="00263BC9" w:rsidRPr="00AB3873" w:rsidRDefault="004415F0" w:rsidP="00B51EE9">
      <w:pPr>
        <w:pStyle w:val="mpcheading1"/>
      </w:pPr>
      <w:r w:rsidRPr="00AB3873">
        <w:rPr>
          <w:sz w:val="22"/>
          <w:szCs w:val="22"/>
        </w:rPr>
        <w:br w:type="column"/>
      </w:r>
      <w:bookmarkStart w:id="138" w:name="Chapter6"/>
      <w:bookmarkStart w:id="139" w:name="_Toc527112907"/>
      <w:bookmarkEnd w:id="138"/>
      <w:r w:rsidR="00561741">
        <w:lastRenderedPageBreak/>
        <w:t>Chapter 6</w:t>
      </w:r>
      <w:r w:rsidR="00263BC9" w:rsidRPr="00AB3873">
        <w:t xml:space="preserve"> –</w:t>
      </w:r>
      <w:r w:rsidR="002F0420">
        <w:t xml:space="preserve"> </w:t>
      </w:r>
      <w:r w:rsidR="00263BC9" w:rsidRPr="00B51EE9">
        <w:t>Product</w:t>
      </w:r>
      <w:r w:rsidR="00263BC9" w:rsidRPr="00AB3873">
        <w:t xml:space="preserve"> specific issues</w:t>
      </w:r>
      <w:bookmarkEnd w:id="139"/>
    </w:p>
    <w:p w14:paraId="239F1103" w14:textId="77777777" w:rsidR="005E59EA" w:rsidRPr="00AB3873" w:rsidRDefault="005E59EA" w:rsidP="00B51EE9">
      <w:pPr>
        <w:pStyle w:val="mpcheading2"/>
      </w:pPr>
      <w:bookmarkStart w:id="140" w:name="Ch6Overview"/>
      <w:bookmarkStart w:id="141" w:name="_Toc527112908"/>
      <w:bookmarkEnd w:id="140"/>
      <w:r w:rsidRPr="00AB3873">
        <w:t>Overview</w:t>
      </w:r>
      <w:bookmarkEnd w:id="141"/>
    </w:p>
    <w:p w14:paraId="285C5C69" w14:textId="77777777" w:rsidR="005E59EA" w:rsidRPr="00AB3873" w:rsidRDefault="005E59EA" w:rsidP="0024269C"/>
    <w:p w14:paraId="7A51E415" w14:textId="77777777" w:rsidR="005E59EA" w:rsidRPr="00AB3873" w:rsidRDefault="005E59EA" w:rsidP="0024269C">
      <w:r w:rsidRPr="00AB3873">
        <w:t xml:space="preserve">This Chapter relates to concerns regarding </w:t>
      </w:r>
      <w:r>
        <w:t xml:space="preserve">some </w:t>
      </w:r>
      <w:r w:rsidRPr="00AB3873">
        <w:t>specific product types including:</w:t>
      </w:r>
    </w:p>
    <w:p w14:paraId="32A805D2" w14:textId="77777777" w:rsidR="005E59EA" w:rsidRPr="00AB3873" w:rsidRDefault="005E59EA" w:rsidP="0024269C"/>
    <w:p w14:paraId="72F41D6E" w14:textId="694A9EDA" w:rsidR="005E59EA" w:rsidRPr="005E0CF3" w:rsidRDefault="005E59EA" w:rsidP="00B51EE9">
      <w:pPr>
        <w:pStyle w:val="mpcbullets1"/>
      </w:pPr>
      <w:r w:rsidRPr="005E0CF3">
        <w:t xml:space="preserve">oils and </w:t>
      </w:r>
      <w:r w:rsidR="001402F9">
        <w:t xml:space="preserve">oil-based </w:t>
      </w:r>
      <w:r w:rsidRPr="005E0CF3">
        <w:t>spreads –</w:t>
      </w:r>
      <w:r w:rsidR="001A5CCD">
        <w:t xml:space="preserve"> </w:t>
      </w:r>
      <w:r w:rsidRPr="005E0CF3">
        <w:t xml:space="preserve">there </w:t>
      </w:r>
      <w:r w:rsidR="005C170C">
        <w:t>is</w:t>
      </w:r>
      <w:r w:rsidR="005C170C" w:rsidRPr="005E0CF3">
        <w:t xml:space="preserve"> </w:t>
      </w:r>
      <w:r w:rsidRPr="005E0CF3">
        <w:t xml:space="preserve">a wide range of HSRs for oils and </w:t>
      </w:r>
      <w:r w:rsidR="001402F9">
        <w:t xml:space="preserve">oil-based </w:t>
      </w:r>
      <w:r w:rsidRPr="005E0CF3">
        <w:t>spreads</w:t>
      </w:r>
      <w:r w:rsidR="00A32358">
        <w:t xml:space="preserve"> in cases</w:t>
      </w:r>
      <w:r w:rsidRPr="005E0CF3">
        <w:t xml:space="preserve"> where there is little nutritional differentiation. Furthermore, some healthy oils and spreads obtain HSRs below 3.5, which does not account for their healthy unsaturated fat content</w:t>
      </w:r>
      <w:r w:rsidR="00A32358">
        <w:t>,</w:t>
      </w:r>
      <w:r w:rsidRPr="005E0CF3">
        <w:t xml:space="preserve"> and is inconsistent with Dietary Guidelines recommendations</w:t>
      </w:r>
    </w:p>
    <w:p w14:paraId="1A1A047E" w14:textId="6EBCF333" w:rsidR="005E59EA" w:rsidRPr="005E0CF3" w:rsidRDefault="005E59EA" w:rsidP="00B51EE9">
      <w:pPr>
        <w:pStyle w:val="mpcbullets1"/>
      </w:pPr>
      <w:r w:rsidRPr="005E0CF3">
        <w:t xml:space="preserve">salty snacks – analysis of the HSR System and its alignment with Dietary Guidelines reveals that some salty snacks (such as potato crisps and popcorn) receive </w:t>
      </w:r>
      <w:r>
        <w:t xml:space="preserve">relatively </w:t>
      </w:r>
      <w:r w:rsidRPr="005E0CF3">
        <w:t xml:space="preserve">high HSRs despite their </w:t>
      </w:r>
      <w:r w:rsidR="000D7B4C">
        <w:t xml:space="preserve">status as a discretionary food and sometimes </w:t>
      </w:r>
      <w:r w:rsidRPr="005E0CF3">
        <w:t>high saturated fat and sodium content</w:t>
      </w:r>
      <w:r w:rsidR="00A32358">
        <w:t>,</w:t>
      </w:r>
      <w:r w:rsidRPr="005E0CF3">
        <w:t xml:space="preserve"> due to the modifying effect of their FVNL, fibre and/or protein content</w:t>
      </w:r>
    </w:p>
    <w:p w14:paraId="732B0F3E" w14:textId="0982ED29" w:rsidR="005E59EA" w:rsidRPr="005E0CF3" w:rsidRDefault="005E59EA" w:rsidP="00B51EE9">
      <w:pPr>
        <w:pStyle w:val="mpcbullets1"/>
      </w:pPr>
      <w:r w:rsidRPr="005E0CF3">
        <w:t>dairy desserts – some dairy dessert products (such as custards) in Category 2 receive higher HSRs than some nutritionally similar dairy products that fall into Category 2</w:t>
      </w:r>
      <w:r w:rsidR="009C2EED">
        <w:t>D</w:t>
      </w:r>
      <w:r w:rsidRPr="005E0CF3">
        <w:t xml:space="preserve"> (such as yoghurts). This makes it difficult for consumers to differentiate between similar products</w:t>
      </w:r>
    </w:p>
    <w:p w14:paraId="55F4A393" w14:textId="61B194FD" w:rsidR="005E59EA" w:rsidRPr="005E0CF3" w:rsidRDefault="005E59EA" w:rsidP="00B51EE9">
      <w:pPr>
        <w:pStyle w:val="mpcbullets1"/>
      </w:pPr>
      <w:r w:rsidRPr="005E0CF3">
        <w:t>j</w:t>
      </w:r>
      <w:r w:rsidR="00A32358">
        <w:t>ellies and ice confections</w:t>
      </w:r>
      <w:r w:rsidRPr="005E0CF3">
        <w:t xml:space="preserve"> – jellies and ice confections are similar in nutritional profile to non-dairy beverages</w:t>
      </w:r>
      <w:r w:rsidR="00A32358">
        <w:t>,</w:t>
      </w:r>
      <w:r w:rsidRPr="005E0CF3">
        <w:t xml:space="preserve"> but receive higher HSRs by virtue of being in Category 2</w:t>
      </w:r>
      <w:r w:rsidR="00A32358">
        <w:t>,</w:t>
      </w:r>
      <w:r>
        <w:t xml:space="preserve"> </w:t>
      </w:r>
      <w:r w:rsidRPr="005E0CF3">
        <w:t>despite their high sugars content.</w:t>
      </w:r>
    </w:p>
    <w:p w14:paraId="25342787" w14:textId="77777777" w:rsidR="005E59EA" w:rsidRDefault="005E59EA" w:rsidP="0024269C"/>
    <w:p w14:paraId="5CDD39D0" w14:textId="77777777" w:rsidR="005E59EA" w:rsidRDefault="005E59EA" w:rsidP="0024269C">
      <w:r w:rsidRPr="00CD7A54">
        <w:t xml:space="preserve">This Chapter </w:t>
      </w:r>
      <w:r>
        <w:t>describes the issues and proposed options to address these product specific issues.</w:t>
      </w:r>
    </w:p>
    <w:p w14:paraId="2DFFBD40" w14:textId="77777777" w:rsidR="005E59EA" w:rsidRPr="00AB3873" w:rsidRDefault="005E59EA" w:rsidP="0024269C"/>
    <w:p w14:paraId="470C0E2D" w14:textId="4D0260FD" w:rsidR="005E59EA" w:rsidRPr="00AB3873" w:rsidRDefault="005E59EA" w:rsidP="00B51EE9">
      <w:pPr>
        <w:pStyle w:val="mpcheading2"/>
      </w:pPr>
      <w:bookmarkStart w:id="142" w:name="Oils"/>
      <w:bookmarkStart w:id="143" w:name="_Toc527112909"/>
      <w:bookmarkEnd w:id="142"/>
      <w:r w:rsidRPr="00AB3873">
        <w:t>Oils and</w:t>
      </w:r>
      <w:r w:rsidR="001402F9">
        <w:t xml:space="preserve"> oil-based</w:t>
      </w:r>
      <w:r w:rsidRPr="00AB3873">
        <w:t xml:space="preserve"> spreads</w:t>
      </w:r>
      <w:bookmarkEnd w:id="143"/>
    </w:p>
    <w:p w14:paraId="3488AA97" w14:textId="77777777" w:rsidR="005E59EA" w:rsidRPr="00AB3873" w:rsidRDefault="005E59EA" w:rsidP="0024269C"/>
    <w:p w14:paraId="7A053F50" w14:textId="77777777" w:rsidR="005E59EA" w:rsidRPr="00B51EE9" w:rsidRDefault="005E59EA" w:rsidP="00B51EE9">
      <w:pPr>
        <w:pStyle w:val="mpcheading3"/>
      </w:pPr>
      <w:bookmarkStart w:id="144" w:name="_Toc524530383"/>
      <w:r w:rsidRPr="00AB3873">
        <w:t>Issue</w:t>
      </w:r>
      <w:bookmarkEnd w:id="144"/>
    </w:p>
    <w:p w14:paraId="365AE5CF" w14:textId="7ED0F557" w:rsidR="005E59EA" w:rsidRDefault="005E59EA" w:rsidP="005E59EA">
      <w:pPr>
        <w:pStyle w:val="mpcbullets1"/>
        <w:numPr>
          <w:ilvl w:val="0"/>
          <w:numId w:val="0"/>
        </w:numPr>
        <w:rPr>
          <w:rFonts w:cstheme="minorHAnsi"/>
          <w:szCs w:val="22"/>
        </w:rPr>
      </w:pPr>
      <w:r>
        <w:rPr>
          <w:rFonts w:cstheme="minorHAnsi"/>
          <w:szCs w:val="22"/>
        </w:rPr>
        <w:t>Dietary Guidelines recommend replacing</w:t>
      </w:r>
      <w:r w:rsidRPr="00AB3873">
        <w:rPr>
          <w:rFonts w:cstheme="minorHAnsi"/>
          <w:szCs w:val="22"/>
        </w:rPr>
        <w:t xml:space="preserve"> high fat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saturated fats </w:t>
      </w:r>
      <w:r>
        <w:rPr>
          <w:rFonts w:cstheme="minorHAnsi"/>
          <w:szCs w:val="22"/>
        </w:rPr>
        <w:t>(</w:t>
      </w:r>
      <w:r w:rsidRPr="00AB3873">
        <w:rPr>
          <w:rFonts w:cstheme="minorHAnsi"/>
          <w:szCs w:val="22"/>
        </w:rPr>
        <w:t>such as butter, cream, cooking margarine, coconut and palm oil</w:t>
      </w:r>
      <w:r>
        <w:rPr>
          <w:rFonts w:cstheme="minorHAnsi"/>
          <w:szCs w:val="22"/>
        </w:rPr>
        <w:t>)</w:t>
      </w:r>
      <w:r w:rsidRPr="00AB3873">
        <w:rPr>
          <w:rFonts w:cstheme="minorHAnsi"/>
          <w:szCs w:val="22"/>
        </w:rPr>
        <w:t xml:space="preserve"> with foods which contain predominantly polyunsaturated and monounsaturated fats </w:t>
      </w:r>
      <w:r>
        <w:rPr>
          <w:rFonts w:cstheme="minorHAnsi"/>
          <w:szCs w:val="22"/>
        </w:rPr>
        <w:t>(</w:t>
      </w:r>
      <w:r w:rsidRPr="00AB3873">
        <w:rPr>
          <w:rFonts w:cstheme="minorHAnsi"/>
          <w:szCs w:val="22"/>
        </w:rPr>
        <w:t xml:space="preserve">such as oils, spreads, </w:t>
      </w:r>
      <w:r>
        <w:rPr>
          <w:rFonts w:cstheme="minorHAnsi"/>
          <w:szCs w:val="22"/>
        </w:rPr>
        <w:t>nut butters/pastes and avocado).</w:t>
      </w:r>
    </w:p>
    <w:p w14:paraId="582F18E1" w14:textId="77777777" w:rsidR="005E59EA" w:rsidRDefault="005E59EA" w:rsidP="005E59EA">
      <w:pPr>
        <w:pStyle w:val="mpcbullets1"/>
        <w:numPr>
          <w:ilvl w:val="0"/>
          <w:numId w:val="0"/>
        </w:numPr>
        <w:rPr>
          <w:rFonts w:cstheme="minorHAnsi"/>
          <w:szCs w:val="22"/>
        </w:rPr>
      </w:pPr>
    </w:p>
    <w:p w14:paraId="21DA520C" w14:textId="39E8C466" w:rsidR="005E59EA" w:rsidRDefault="005E59EA" w:rsidP="005E59EA">
      <w:pPr>
        <w:pStyle w:val="mpcbullets1"/>
        <w:numPr>
          <w:ilvl w:val="0"/>
          <w:numId w:val="0"/>
        </w:numPr>
        <w:rPr>
          <w:rFonts w:cstheme="minorHAnsi"/>
          <w:szCs w:val="22"/>
        </w:rPr>
      </w:pPr>
      <w:r>
        <w:rPr>
          <w:rFonts w:cstheme="minorHAnsi"/>
          <w:szCs w:val="22"/>
        </w:rPr>
        <w:t>F</w:t>
      </w:r>
      <w:r w:rsidRPr="00AB3873">
        <w:rPr>
          <w:rFonts w:cstheme="minorHAnsi"/>
          <w:szCs w:val="22"/>
        </w:rPr>
        <w:t xml:space="preserve">ats, oils and </w:t>
      </w:r>
      <w:r>
        <w:rPr>
          <w:rFonts w:cstheme="minorHAnsi"/>
          <w:szCs w:val="22"/>
        </w:rPr>
        <w:t xml:space="preserve">oil-based </w:t>
      </w:r>
      <w:r w:rsidRPr="00AB3873">
        <w:rPr>
          <w:rFonts w:cstheme="minorHAnsi"/>
          <w:szCs w:val="22"/>
        </w:rPr>
        <w:t>spreads</w:t>
      </w:r>
      <w:r>
        <w:rPr>
          <w:rFonts w:cstheme="minorHAnsi"/>
          <w:szCs w:val="22"/>
        </w:rPr>
        <w:t xml:space="preserve"> are in their</w:t>
      </w:r>
      <w:r w:rsidR="005157CA">
        <w:rPr>
          <w:rFonts w:cstheme="minorHAnsi"/>
          <w:szCs w:val="22"/>
        </w:rPr>
        <w:t xml:space="preserve"> own category in the HSR System –</w:t>
      </w:r>
      <w:r>
        <w:rPr>
          <w:rFonts w:cstheme="minorHAnsi"/>
          <w:szCs w:val="22"/>
        </w:rPr>
        <w:t xml:space="preserve"> Category 3</w:t>
      </w:r>
      <w:r w:rsidRPr="00AB3873">
        <w:rPr>
          <w:rFonts w:cstheme="minorHAnsi"/>
          <w:szCs w:val="22"/>
        </w:rPr>
        <w:t>.</w:t>
      </w:r>
      <w:r>
        <w:rPr>
          <w:rFonts w:cstheme="minorHAnsi"/>
          <w:szCs w:val="22"/>
        </w:rPr>
        <w:t xml:space="preserve"> The TAG modelling shows that the HSR Calculator differentiates reasonably well between fats, oils and oil-based spreads high or low in saturated fat, with products high in saturated fat consistently receiving low HSRs (</w:t>
      </w:r>
      <w:r>
        <w:rPr>
          <w:rFonts w:cstheme="minorHAnsi"/>
          <w:szCs w:val="22"/>
        </w:rPr>
        <w:sym w:font="Symbol" w:char="F0A3"/>
      </w:r>
      <w:r>
        <w:rPr>
          <w:rFonts w:cstheme="minorHAnsi"/>
          <w:szCs w:val="22"/>
        </w:rPr>
        <w:t xml:space="preserve"> 2). However, there is a wide spread of HSRs for some healthy oils and spreads with small differences in saturated fats. The HSRs for some healthy oils and spreads are also lower than expected, given that these products are recommended by the Dietary Guidelines.</w:t>
      </w:r>
    </w:p>
    <w:p w14:paraId="4F8A55D3" w14:textId="77777777" w:rsidR="005E59EA" w:rsidRDefault="005E59EA" w:rsidP="005E59EA">
      <w:pPr>
        <w:pStyle w:val="mpcbullets1"/>
        <w:numPr>
          <w:ilvl w:val="0"/>
          <w:numId w:val="0"/>
        </w:numPr>
        <w:rPr>
          <w:rFonts w:cstheme="minorHAnsi"/>
          <w:szCs w:val="22"/>
        </w:rPr>
      </w:pPr>
    </w:p>
    <w:p w14:paraId="090B53BA" w14:textId="3160F455" w:rsidR="005E59EA" w:rsidRDefault="005E59EA" w:rsidP="005E59EA">
      <w:pPr>
        <w:pStyle w:val="mpcbullets1"/>
        <w:numPr>
          <w:ilvl w:val="0"/>
          <w:numId w:val="0"/>
        </w:numPr>
        <w:rPr>
          <w:rFonts w:cstheme="minorHAnsi"/>
          <w:szCs w:val="22"/>
        </w:rPr>
      </w:pPr>
      <w:r>
        <w:rPr>
          <w:rFonts w:cstheme="minorHAnsi"/>
          <w:szCs w:val="22"/>
        </w:rPr>
        <w:t xml:space="preserve">For </w:t>
      </w:r>
      <w:r w:rsidRPr="005E59EA">
        <w:rPr>
          <w:rFonts w:cstheme="minorHAnsi"/>
          <w:szCs w:val="22"/>
        </w:rPr>
        <w:t>example, peanut oil scores a</w:t>
      </w:r>
      <w:r w:rsidR="007E6515">
        <w:rPr>
          <w:rFonts w:cstheme="minorHAnsi"/>
          <w:szCs w:val="22"/>
        </w:rPr>
        <w:t>n</w:t>
      </w:r>
      <w:r w:rsidRPr="005E59EA">
        <w:rPr>
          <w:rFonts w:cstheme="minorHAnsi"/>
          <w:szCs w:val="22"/>
        </w:rPr>
        <w:t xml:space="preserve"> HSR of 2.5, sunflower oil scores a</w:t>
      </w:r>
      <w:r w:rsidR="007E6515">
        <w:rPr>
          <w:rFonts w:cstheme="minorHAnsi"/>
          <w:szCs w:val="22"/>
        </w:rPr>
        <w:t>n</w:t>
      </w:r>
      <w:r w:rsidRPr="005E59EA">
        <w:rPr>
          <w:rFonts w:cstheme="minorHAnsi"/>
          <w:szCs w:val="22"/>
        </w:rPr>
        <w:t xml:space="preserve"> HSR of 3, olive oil scores a</w:t>
      </w:r>
      <w:r w:rsidR="007E6515">
        <w:rPr>
          <w:rFonts w:cstheme="minorHAnsi"/>
          <w:szCs w:val="22"/>
        </w:rPr>
        <w:t>n</w:t>
      </w:r>
      <w:r w:rsidRPr="005E59EA">
        <w:rPr>
          <w:rFonts w:cstheme="minorHAnsi"/>
          <w:szCs w:val="22"/>
        </w:rPr>
        <w:t xml:space="preserve"> HSR of 3-3.5, canola oil scores a</w:t>
      </w:r>
      <w:r w:rsidR="007E6515">
        <w:rPr>
          <w:rFonts w:cstheme="minorHAnsi"/>
          <w:szCs w:val="22"/>
        </w:rPr>
        <w:t>n</w:t>
      </w:r>
      <w:r w:rsidRPr="005E59EA">
        <w:rPr>
          <w:rFonts w:cstheme="minorHAnsi"/>
          <w:szCs w:val="22"/>
        </w:rPr>
        <w:t xml:space="preserve"> HSR of 4, yet these products are not differentiated by Dietary Guidelines. The energy</w:t>
      </w:r>
      <w:r>
        <w:rPr>
          <w:rFonts w:cstheme="minorHAnsi"/>
          <w:szCs w:val="22"/>
        </w:rPr>
        <w:t xml:space="preserve"> and sodium content of these products is the same, so the difference in HSRs are due to differences in saturated fat content: olive oil (16% saturated fat), sunflower (11%) and canola (7.6%).</w:t>
      </w:r>
    </w:p>
    <w:p w14:paraId="1297B268" w14:textId="77777777" w:rsidR="005E59EA" w:rsidRDefault="005E59EA" w:rsidP="005E59EA">
      <w:pPr>
        <w:pStyle w:val="mpcbullets1"/>
        <w:numPr>
          <w:ilvl w:val="0"/>
          <w:numId w:val="0"/>
        </w:numPr>
        <w:rPr>
          <w:rFonts w:cstheme="minorHAnsi"/>
          <w:szCs w:val="22"/>
        </w:rPr>
      </w:pPr>
    </w:p>
    <w:p w14:paraId="06486903" w14:textId="7384978B" w:rsidR="00B51EE9" w:rsidRDefault="005E59EA" w:rsidP="005E59EA">
      <w:pPr>
        <w:pStyle w:val="mpcbullets1"/>
        <w:numPr>
          <w:ilvl w:val="0"/>
          <w:numId w:val="0"/>
        </w:numPr>
        <w:rPr>
          <w:rFonts w:cstheme="minorHAnsi"/>
          <w:szCs w:val="22"/>
        </w:rPr>
      </w:pPr>
      <w:r w:rsidRPr="00AB3873">
        <w:rPr>
          <w:rFonts w:cstheme="minorHAnsi"/>
          <w:szCs w:val="22"/>
        </w:rPr>
        <w:t xml:space="preserve">The </w:t>
      </w:r>
      <w:r>
        <w:rPr>
          <w:rFonts w:cstheme="minorHAnsi"/>
          <w:szCs w:val="22"/>
        </w:rPr>
        <w:t>concern</w:t>
      </w:r>
      <w:r w:rsidR="00293B75">
        <w:rPr>
          <w:rFonts w:cstheme="minorHAnsi"/>
          <w:szCs w:val="22"/>
        </w:rPr>
        <w:t>s are</w:t>
      </w:r>
      <w:r>
        <w:rPr>
          <w:rFonts w:cstheme="minorHAnsi"/>
          <w:szCs w:val="22"/>
        </w:rPr>
        <w:t xml:space="preserve"> that </w:t>
      </w:r>
      <w:r w:rsidRPr="00AB3873">
        <w:rPr>
          <w:rFonts w:cstheme="minorHAnsi"/>
          <w:szCs w:val="22"/>
        </w:rPr>
        <w:t xml:space="preserve">there is a wide range of HSRs for </w:t>
      </w:r>
      <w:r>
        <w:rPr>
          <w:rFonts w:cstheme="minorHAnsi"/>
          <w:szCs w:val="22"/>
        </w:rPr>
        <w:t xml:space="preserve">‘healthy’ oils and spreads </w:t>
      </w:r>
      <w:r w:rsidRPr="00AB3873">
        <w:rPr>
          <w:rFonts w:cstheme="minorHAnsi"/>
          <w:szCs w:val="22"/>
        </w:rPr>
        <w:t>where there is little nutritional differentiation</w:t>
      </w:r>
      <w:r w:rsidR="008725A5">
        <w:rPr>
          <w:rFonts w:cstheme="minorHAnsi"/>
          <w:szCs w:val="22"/>
        </w:rPr>
        <w:t>,</w:t>
      </w:r>
      <w:r>
        <w:rPr>
          <w:rFonts w:cstheme="minorHAnsi"/>
          <w:szCs w:val="22"/>
        </w:rPr>
        <w:t xml:space="preserve"> and that many </w:t>
      </w:r>
      <w:r w:rsidRPr="00AB3873">
        <w:rPr>
          <w:rFonts w:cstheme="minorHAnsi"/>
          <w:szCs w:val="22"/>
        </w:rPr>
        <w:t>healthy oils and spreads obtain HSRs below 3.5</w:t>
      </w:r>
      <w:r w:rsidR="008A7C51">
        <w:rPr>
          <w:rFonts w:cstheme="minorHAnsi"/>
          <w:szCs w:val="22"/>
        </w:rPr>
        <w:t>.</w:t>
      </w:r>
      <w:r w:rsidRPr="00AB3873">
        <w:rPr>
          <w:rFonts w:cstheme="minorHAnsi"/>
          <w:szCs w:val="22"/>
        </w:rPr>
        <w:t xml:space="preserve"> </w:t>
      </w:r>
      <w:r>
        <w:rPr>
          <w:rFonts w:cstheme="minorHAnsi"/>
          <w:szCs w:val="22"/>
        </w:rPr>
        <w:t xml:space="preserve">As oils are a single ingredient product, there is </w:t>
      </w:r>
      <w:r w:rsidR="00C81D0A">
        <w:rPr>
          <w:rFonts w:cstheme="minorHAnsi"/>
          <w:szCs w:val="22"/>
        </w:rPr>
        <w:t xml:space="preserve">also </w:t>
      </w:r>
      <w:r>
        <w:rPr>
          <w:rFonts w:cstheme="minorHAnsi"/>
          <w:szCs w:val="22"/>
        </w:rPr>
        <w:t xml:space="preserve">no opportunity to reformulate these products to improve their HSR. </w:t>
      </w:r>
    </w:p>
    <w:p w14:paraId="40B6A0A3" w14:textId="77777777" w:rsidR="00B51EE9" w:rsidRDefault="00B51EE9" w:rsidP="005E59EA">
      <w:pPr>
        <w:pStyle w:val="mpcbullets1"/>
        <w:numPr>
          <w:ilvl w:val="0"/>
          <w:numId w:val="0"/>
        </w:numPr>
        <w:rPr>
          <w:rFonts w:cstheme="minorHAnsi"/>
          <w:szCs w:val="22"/>
        </w:rPr>
      </w:pPr>
    </w:p>
    <w:p w14:paraId="5A9D6CFD" w14:textId="561532BD" w:rsidR="00C81D0A" w:rsidRPr="00B51EE9" w:rsidRDefault="00C81D0A" w:rsidP="00B51EE9">
      <w:pPr>
        <w:pStyle w:val="mpcbullets1"/>
        <w:widowControl w:val="0"/>
        <w:numPr>
          <w:ilvl w:val="0"/>
          <w:numId w:val="0"/>
        </w:numPr>
        <w:rPr>
          <w:rFonts w:cstheme="minorHAnsi"/>
          <w:szCs w:val="22"/>
        </w:rPr>
      </w:pPr>
      <w:r>
        <w:rPr>
          <w:rFonts w:cstheme="minorHAnsi"/>
        </w:rPr>
        <w:t>A study published in August 2018</w:t>
      </w:r>
      <w:r>
        <w:rPr>
          <w:rStyle w:val="FootnoteReference"/>
          <w:rFonts w:cstheme="minorHAnsi"/>
        </w:rPr>
        <w:footnoteReference w:id="54"/>
      </w:r>
      <w:r>
        <w:rPr>
          <w:rFonts w:cstheme="minorHAnsi"/>
        </w:rPr>
        <w:t xml:space="preserve"> found that oils</w:t>
      </w:r>
      <w:r w:rsidR="00426322">
        <w:rPr>
          <w:rFonts w:cstheme="minorHAnsi"/>
        </w:rPr>
        <w:t xml:space="preserve"> were the category with the worst alignment between the </w:t>
      </w:r>
      <w:r w:rsidR="00426322">
        <w:rPr>
          <w:rFonts w:cstheme="minorHAnsi"/>
        </w:rPr>
        <w:lastRenderedPageBreak/>
        <w:t>HSR System and the NPSC. Most oils had an HSR &lt; 3.5 but most were also eligible to display health claims under the Code</w:t>
      </w:r>
      <w:r w:rsidR="00426322">
        <w:rPr>
          <w:rStyle w:val="FootnoteReference"/>
          <w:rFonts w:cstheme="minorHAnsi"/>
        </w:rPr>
        <w:footnoteReference w:id="55"/>
      </w:r>
      <w:r w:rsidR="00426322">
        <w:rPr>
          <w:rFonts w:cstheme="minorHAnsi"/>
        </w:rPr>
        <w:t>.</w:t>
      </w:r>
    </w:p>
    <w:p w14:paraId="4F8BC07A" w14:textId="3F63F1D2" w:rsidR="00F928A0" w:rsidRDefault="00F928A0" w:rsidP="00B51EE9">
      <w:pPr>
        <w:pStyle w:val="mpcbullets1"/>
        <w:widowControl w:val="0"/>
        <w:numPr>
          <w:ilvl w:val="0"/>
          <w:numId w:val="0"/>
        </w:numPr>
        <w:rPr>
          <w:rFonts w:cstheme="minorHAnsi"/>
        </w:rPr>
      </w:pPr>
    </w:p>
    <w:p w14:paraId="7840D589" w14:textId="6890CEA5" w:rsidR="00F928A0" w:rsidRDefault="00DD7123" w:rsidP="00B51EE9">
      <w:pPr>
        <w:pStyle w:val="mpcbullets1"/>
        <w:widowControl w:val="0"/>
        <w:numPr>
          <w:ilvl w:val="0"/>
          <w:numId w:val="0"/>
        </w:numPr>
        <w:rPr>
          <w:rFonts w:cstheme="minorHAnsi"/>
        </w:rPr>
      </w:pPr>
      <w:r>
        <w:rPr>
          <w:rFonts w:cstheme="minorHAnsi"/>
        </w:rPr>
        <w:t>The TAG modelled four options to address this issue. This Consultation Paper does not explore two of these options (including trans fats in the HSR Calculator and removing edible oils from the HSR System) as these respectively reduce alignment with the NPSC and add complexity to the HSR Calculator, and do not support consumers to select healthier choices in this category.</w:t>
      </w:r>
    </w:p>
    <w:p w14:paraId="5B5490FC" w14:textId="77777777" w:rsidR="00C81D0A" w:rsidRPr="00AB3873" w:rsidRDefault="00C81D0A" w:rsidP="005E59EA">
      <w:pPr>
        <w:pStyle w:val="mpcbullets1"/>
        <w:numPr>
          <w:ilvl w:val="0"/>
          <w:numId w:val="0"/>
        </w:numPr>
        <w:rPr>
          <w:rFonts w:cstheme="minorHAnsi"/>
        </w:rPr>
      </w:pPr>
    </w:p>
    <w:p w14:paraId="27DD59A9" w14:textId="77777777" w:rsidR="005E59EA" w:rsidRPr="00AB3873" w:rsidRDefault="005E59EA" w:rsidP="005E59EA">
      <w:pPr>
        <w:pStyle w:val="mpcheading3"/>
        <w:keepNext/>
        <w:rPr>
          <w:rFonts w:cstheme="minorHAnsi"/>
        </w:rPr>
      </w:pPr>
      <w:bookmarkStart w:id="145" w:name="_Toc524530384"/>
      <w:r w:rsidRPr="00AB3873">
        <w:rPr>
          <w:rFonts w:cstheme="minorHAnsi"/>
        </w:rPr>
        <w:t>Considerations</w:t>
      </w:r>
      <w:bookmarkEnd w:id="145"/>
    </w:p>
    <w:tbl>
      <w:tblPr>
        <w:tblStyle w:val="TableGrid"/>
        <w:tblW w:w="9781" w:type="dxa"/>
        <w:tblInd w:w="-5" w:type="dxa"/>
        <w:tblLook w:val="04A0" w:firstRow="1" w:lastRow="0" w:firstColumn="1" w:lastColumn="0" w:noHBand="0" w:noVBand="1"/>
        <w:tblCaption w:val="Considerations - oils and oil-based spreads"/>
        <w:tblDescription w:val="This table outlines the relevant information to be considered in determining options to address this issue."/>
      </w:tblPr>
      <w:tblGrid>
        <w:gridCol w:w="1328"/>
        <w:gridCol w:w="8453"/>
      </w:tblGrid>
      <w:tr w:rsidR="005E59EA" w:rsidRPr="00AB3873" w14:paraId="1F48EFD4" w14:textId="77777777" w:rsidTr="00D37907">
        <w:trPr>
          <w:tblHeader/>
        </w:trPr>
        <w:tc>
          <w:tcPr>
            <w:tcW w:w="1328" w:type="dxa"/>
            <w:shd w:val="clear" w:color="auto" w:fill="DEEAF6" w:themeFill="accent5" w:themeFillTint="33"/>
          </w:tcPr>
          <w:p w14:paraId="71C563A9" w14:textId="77777777" w:rsidR="005E59EA" w:rsidRPr="00AB3873" w:rsidRDefault="005E59EA" w:rsidP="0024269C">
            <w:bookmarkStart w:id="146" w:name="RowTitle7"/>
            <w:bookmarkEnd w:id="146"/>
            <w:r w:rsidRPr="00AB3873">
              <w:t>Current</w:t>
            </w:r>
            <w:bookmarkStart w:id="147" w:name="Table_9_oils"/>
            <w:bookmarkEnd w:id="147"/>
            <w:r w:rsidRPr="00AB3873">
              <w:t xml:space="preserve"> treatment in the HSR </w:t>
            </w:r>
            <w:r>
              <w:t>System</w:t>
            </w:r>
          </w:p>
        </w:tc>
        <w:tc>
          <w:tcPr>
            <w:tcW w:w="8453" w:type="dxa"/>
          </w:tcPr>
          <w:p w14:paraId="3C8D3E3C" w14:textId="697E6EEA" w:rsidR="005E59EA" w:rsidRPr="00AB3873" w:rsidRDefault="005E59EA" w:rsidP="00B91EBF">
            <w:pPr>
              <w:pStyle w:val="mpcbullets1"/>
              <w:keepNext/>
              <w:numPr>
                <w:ilvl w:val="0"/>
                <w:numId w:val="9"/>
              </w:numPr>
              <w:spacing w:before="120" w:after="120"/>
              <w:contextualSpacing/>
              <w:rPr>
                <w:rFonts w:cstheme="minorHAnsi"/>
                <w:szCs w:val="22"/>
              </w:rPr>
            </w:pPr>
            <w:r>
              <w:rPr>
                <w:rFonts w:cstheme="minorHAnsi"/>
                <w:szCs w:val="22"/>
              </w:rPr>
              <w:t>F</w:t>
            </w:r>
            <w:r w:rsidRPr="00AB3873">
              <w:rPr>
                <w:rFonts w:cstheme="minorHAnsi"/>
                <w:szCs w:val="22"/>
              </w:rPr>
              <w:t>ats, oils and spreads</w:t>
            </w:r>
            <w:r>
              <w:rPr>
                <w:rFonts w:cstheme="minorHAnsi"/>
                <w:szCs w:val="22"/>
              </w:rPr>
              <w:t xml:space="preserve"> are in their </w:t>
            </w:r>
            <w:r w:rsidR="00B8131D">
              <w:rPr>
                <w:rFonts w:cstheme="minorHAnsi"/>
                <w:szCs w:val="22"/>
              </w:rPr>
              <w:t xml:space="preserve">own category in the HSR System – </w:t>
            </w:r>
            <w:r>
              <w:rPr>
                <w:rFonts w:cstheme="minorHAnsi"/>
                <w:szCs w:val="22"/>
              </w:rPr>
              <w:t>Category 3</w:t>
            </w:r>
            <w:r w:rsidRPr="00AB3873">
              <w:rPr>
                <w:rFonts w:cstheme="minorHAnsi"/>
                <w:szCs w:val="22"/>
              </w:rPr>
              <w:t>.</w:t>
            </w:r>
          </w:p>
          <w:p w14:paraId="119956BF" w14:textId="77777777" w:rsidR="005E59EA" w:rsidRPr="00AB3873" w:rsidRDefault="005E59EA" w:rsidP="00B91EBF">
            <w:pPr>
              <w:pStyle w:val="mpcbullets1"/>
              <w:keepNext/>
              <w:numPr>
                <w:ilvl w:val="0"/>
                <w:numId w:val="9"/>
              </w:numPr>
              <w:spacing w:before="120" w:after="120"/>
              <w:contextualSpacing/>
              <w:rPr>
                <w:rFonts w:cstheme="minorHAnsi"/>
                <w:szCs w:val="22"/>
              </w:rPr>
            </w:pPr>
            <w:r w:rsidRPr="00AB3873">
              <w:rPr>
                <w:rFonts w:cstheme="minorHAnsi"/>
                <w:szCs w:val="22"/>
              </w:rPr>
              <w:t>For Categories 3 and 3D:</w:t>
            </w:r>
          </w:p>
          <w:p w14:paraId="42A193C9" w14:textId="77777777"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A product with &gt; 1% saturated fat scores baseline points (starting from 1).</w:t>
            </w:r>
          </w:p>
          <w:p w14:paraId="4BAF5AEA" w14:textId="77777777"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30% saturated fat scores a maximum of 30 baseline points. </w:t>
            </w:r>
          </w:p>
          <w:p w14:paraId="213F9522" w14:textId="77777777" w:rsidR="005E59EA" w:rsidRPr="00977364" w:rsidRDefault="005E59EA" w:rsidP="00B91EBF">
            <w:pPr>
              <w:pStyle w:val="mpcbullets1"/>
              <w:keepNext/>
              <w:numPr>
                <w:ilvl w:val="0"/>
                <w:numId w:val="9"/>
              </w:numPr>
              <w:spacing w:before="120" w:after="120"/>
              <w:contextualSpacing/>
              <w:rPr>
                <w:rFonts w:cstheme="minorHAnsi"/>
                <w:szCs w:val="22"/>
              </w:rPr>
            </w:pPr>
            <w:r w:rsidRPr="00AB3873">
              <w:rPr>
                <w:rFonts w:cstheme="minorHAnsi"/>
                <w:szCs w:val="22"/>
              </w:rPr>
              <w:t>The HSR Calculator does not consider unsaturated fats or trans fats.</w:t>
            </w:r>
          </w:p>
        </w:tc>
      </w:tr>
      <w:tr w:rsidR="005E59EA" w:rsidRPr="00AB3873" w14:paraId="0479CB8A" w14:textId="77777777" w:rsidTr="003F1230">
        <w:tc>
          <w:tcPr>
            <w:tcW w:w="1328" w:type="dxa"/>
            <w:shd w:val="clear" w:color="auto" w:fill="DEEAF6" w:themeFill="accent5" w:themeFillTint="33"/>
          </w:tcPr>
          <w:p w14:paraId="4C254D84" w14:textId="77777777" w:rsidR="005E59EA" w:rsidRPr="00AB3873" w:rsidRDefault="005E59EA" w:rsidP="0024269C">
            <w:r w:rsidRPr="00AB3873">
              <w:t>Dietary Guidelines</w:t>
            </w:r>
          </w:p>
        </w:tc>
        <w:tc>
          <w:tcPr>
            <w:tcW w:w="8453" w:type="dxa"/>
          </w:tcPr>
          <w:p w14:paraId="4E1B8EF4" w14:textId="77777777" w:rsidR="005E59EA" w:rsidRPr="00AB3873"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 xml:space="preserve">Dietary Guidelines recommend: </w:t>
            </w:r>
          </w:p>
          <w:p w14:paraId="124803DB" w14:textId="4B2C3DDC" w:rsidR="005E59EA" w:rsidRPr="002254C5"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replace high fat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saturated fats such as butter, cream, cooking margarine, coconut and palm oil with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polyunsaturated and monounsaturated fats such as oils, spreads, </w:t>
            </w:r>
            <w:r>
              <w:rPr>
                <w:rFonts w:cstheme="minorHAnsi"/>
                <w:szCs w:val="22"/>
              </w:rPr>
              <w:t>nut butters/pastes and avocado.</w:t>
            </w:r>
          </w:p>
          <w:p w14:paraId="6FC89A88" w14:textId="7B4DFB6F" w:rsidR="005E59EA" w:rsidRPr="00AB3873"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WHO</w:t>
            </w:r>
            <w:r>
              <w:rPr>
                <w:rFonts w:cstheme="minorHAnsi"/>
                <w:szCs w:val="22"/>
              </w:rPr>
              <w:t xml:space="preserve"> </w:t>
            </w:r>
            <w:r w:rsidRPr="00AB3873">
              <w:rPr>
                <w:rFonts w:cstheme="minorHAnsi"/>
                <w:szCs w:val="22"/>
              </w:rPr>
              <w:t xml:space="preserve">recommends less than 30% total energy intake from fats, including: </w:t>
            </w:r>
          </w:p>
          <w:p w14:paraId="7DDD5986"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less than 10% from saturated fats (e.g. from fatty meat, butter, palm and coconut oil, cream, cheese, ghee and lard)</w:t>
            </w:r>
            <w:r>
              <w:rPr>
                <w:rFonts w:cstheme="minorHAnsi"/>
                <w:szCs w:val="22"/>
              </w:rPr>
              <w:t>.</w:t>
            </w:r>
          </w:p>
          <w:p w14:paraId="2FC06F47" w14:textId="77777777" w:rsidR="005E59EA" w:rsidRPr="00977364"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more unsaturated fats (e.g. from fish, avocado, nuts, sunflower, canola and olive oils)</w:t>
            </w:r>
            <w:r>
              <w:rPr>
                <w:rFonts w:cstheme="minorHAnsi"/>
                <w:szCs w:val="22"/>
              </w:rPr>
              <w:t>.</w:t>
            </w:r>
            <w:r w:rsidRPr="00AB3873">
              <w:rPr>
                <w:rStyle w:val="FootnoteReference"/>
                <w:rFonts w:cstheme="minorHAnsi"/>
                <w:szCs w:val="22"/>
              </w:rPr>
              <w:footnoteReference w:id="56"/>
            </w:r>
          </w:p>
        </w:tc>
      </w:tr>
      <w:tr w:rsidR="005E59EA" w:rsidRPr="00AB3873" w14:paraId="04514732" w14:textId="77777777" w:rsidTr="003F1230">
        <w:tc>
          <w:tcPr>
            <w:tcW w:w="1328" w:type="dxa"/>
            <w:shd w:val="clear" w:color="auto" w:fill="DEEAF6" w:themeFill="accent5" w:themeFillTint="33"/>
          </w:tcPr>
          <w:p w14:paraId="4F823151" w14:textId="77777777" w:rsidR="005E59EA" w:rsidRPr="00AB3873" w:rsidRDefault="005E59EA" w:rsidP="0024269C">
            <w:r w:rsidRPr="00AB3873">
              <w:t>Intake</w:t>
            </w:r>
          </w:p>
        </w:tc>
        <w:tc>
          <w:tcPr>
            <w:tcW w:w="8453" w:type="dxa"/>
          </w:tcPr>
          <w:p w14:paraId="50AAD581" w14:textId="77777777" w:rsidR="005E59EA" w:rsidRPr="00AB3873"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AHS 2011-12 found the average daily intake in Australian adults of</w:t>
            </w:r>
            <w:r>
              <w:rPr>
                <w:rFonts w:cstheme="minorHAnsi"/>
                <w:szCs w:val="22"/>
              </w:rPr>
              <w:t>:</w:t>
            </w:r>
          </w:p>
          <w:p w14:paraId="44CD90FA" w14:textId="79B3BB58"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saturated fat (including trans fatty acids) contributed an average 12% energy</w:t>
            </w:r>
            <w:r w:rsidR="00C45BBD" w:rsidRPr="00AB3873">
              <w:rPr>
                <w:rFonts w:cstheme="minorHAnsi"/>
                <w:szCs w:val="22"/>
              </w:rPr>
              <w:t>, exceeding the recommended 10% contribution o</w:t>
            </w:r>
            <w:r w:rsidR="00C45BBD">
              <w:rPr>
                <w:rFonts w:cstheme="minorHAnsi"/>
                <w:szCs w:val="22"/>
              </w:rPr>
              <w:t>f saturated fat to total energy</w:t>
            </w:r>
          </w:p>
          <w:p w14:paraId="1D3F9BDE" w14:textId="1B062B2F"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monounsaturated fat contributed </w:t>
            </w:r>
            <w:r>
              <w:rPr>
                <w:rFonts w:cstheme="minorHAnsi"/>
                <w:szCs w:val="22"/>
              </w:rPr>
              <w:t>an average 12% energy</w:t>
            </w:r>
          </w:p>
          <w:p w14:paraId="2C4B4D58" w14:textId="56B3590E"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polyunsaturated fat contributed an average 4.7% energy.</w:t>
            </w:r>
          </w:p>
          <w:p w14:paraId="5FE2FD90" w14:textId="77777777" w:rsidR="005E59EA" w:rsidRPr="00AB3873"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NZANS 2008-09 found the median usual daily intake for New Zealand adults of:</w:t>
            </w:r>
          </w:p>
          <w:p w14:paraId="222659ED" w14:textId="396C43A8"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saturated fat was 13% total energy, exceeding the recommended 10% contribution o</w:t>
            </w:r>
            <w:r>
              <w:rPr>
                <w:rFonts w:cstheme="minorHAnsi"/>
                <w:szCs w:val="22"/>
              </w:rPr>
              <w:t>f saturated fat to total energy</w:t>
            </w:r>
          </w:p>
          <w:p w14:paraId="3454A00E" w14:textId="096C4825"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monounsaturated fat was 29.7g or 12.35% daily total energy intake</w:t>
            </w:r>
          </w:p>
          <w:p w14:paraId="2D8D1373" w14:textId="1A186B31" w:rsidR="005E59EA"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polyunsaturated fat was 11.35g or 4.85% daily total energy intake</w:t>
            </w:r>
            <w:r>
              <w:rPr>
                <w:rFonts w:cstheme="minorHAnsi"/>
                <w:szCs w:val="22"/>
              </w:rPr>
              <w:t>.</w:t>
            </w:r>
          </w:p>
          <w:p w14:paraId="182FFEDE" w14:textId="44FB6E27" w:rsidR="005E59EA" w:rsidRPr="00977364" w:rsidRDefault="005E59EA" w:rsidP="00B91EBF">
            <w:pPr>
              <w:pStyle w:val="mpcbullets1"/>
              <w:numPr>
                <w:ilvl w:val="0"/>
                <w:numId w:val="9"/>
              </w:numPr>
              <w:spacing w:before="120" w:after="120"/>
              <w:contextualSpacing/>
              <w:rPr>
                <w:rFonts w:cstheme="minorHAnsi"/>
                <w:szCs w:val="22"/>
              </w:rPr>
            </w:pPr>
            <w:r>
              <w:rPr>
                <w:rFonts w:cstheme="minorHAnsi"/>
                <w:szCs w:val="22"/>
              </w:rPr>
              <w:t>Th</w:t>
            </w:r>
            <w:r w:rsidR="00CC324F">
              <w:rPr>
                <w:rFonts w:cstheme="minorHAnsi"/>
                <w:szCs w:val="22"/>
              </w:rPr>
              <w:t>e</w:t>
            </w:r>
            <w:r>
              <w:rPr>
                <w:rFonts w:cstheme="minorHAnsi"/>
                <w:szCs w:val="22"/>
              </w:rPr>
              <w:t>s</w:t>
            </w:r>
            <w:r w:rsidR="00CC324F">
              <w:rPr>
                <w:rFonts w:cstheme="minorHAnsi"/>
                <w:szCs w:val="22"/>
              </w:rPr>
              <w:t>e</w:t>
            </w:r>
            <w:r>
              <w:rPr>
                <w:rFonts w:cstheme="minorHAnsi"/>
                <w:szCs w:val="22"/>
              </w:rPr>
              <w:t xml:space="preserve"> suggest that </w:t>
            </w:r>
            <w:r w:rsidRPr="00AB3873">
              <w:rPr>
                <w:rFonts w:cstheme="minorHAnsi"/>
                <w:szCs w:val="22"/>
              </w:rPr>
              <w:t>intake of saturated fat is higher than recommended</w:t>
            </w:r>
            <w:r w:rsidR="00B8131D">
              <w:rPr>
                <w:rFonts w:cstheme="minorHAnsi"/>
                <w:szCs w:val="22"/>
              </w:rPr>
              <w:t>,</w:t>
            </w:r>
            <w:r w:rsidRPr="00AB3873">
              <w:rPr>
                <w:rFonts w:cstheme="minorHAnsi"/>
                <w:szCs w:val="22"/>
              </w:rPr>
              <w:t xml:space="preserve"> and </w:t>
            </w:r>
            <w:r>
              <w:rPr>
                <w:rFonts w:cstheme="minorHAnsi"/>
                <w:szCs w:val="22"/>
              </w:rPr>
              <w:t xml:space="preserve">intake of </w:t>
            </w:r>
            <w:r w:rsidRPr="00AB3873">
              <w:rPr>
                <w:rFonts w:cstheme="minorHAnsi"/>
                <w:szCs w:val="22"/>
              </w:rPr>
              <w:t>unsaturated fat (particularly polyunsaturated fat) is lower than recommended.</w:t>
            </w:r>
          </w:p>
        </w:tc>
      </w:tr>
      <w:tr w:rsidR="005E59EA" w:rsidRPr="00AB3873" w14:paraId="27BE5AC3" w14:textId="77777777" w:rsidTr="003F1230">
        <w:tc>
          <w:tcPr>
            <w:tcW w:w="1328" w:type="dxa"/>
            <w:shd w:val="clear" w:color="auto" w:fill="DEEAF6" w:themeFill="accent5" w:themeFillTint="33"/>
          </w:tcPr>
          <w:p w14:paraId="3D24F3A6" w14:textId="77777777" w:rsidR="005E59EA" w:rsidRPr="00AB3873" w:rsidRDefault="005E59EA" w:rsidP="0024269C">
            <w:r w:rsidRPr="00AB3873">
              <w:t>HSR statistics</w:t>
            </w:r>
          </w:p>
        </w:tc>
        <w:tc>
          <w:tcPr>
            <w:tcW w:w="8453" w:type="dxa"/>
          </w:tcPr>
          <w:p w14:paraId="4DA400C5" w14:textId="06B82FD9" w:rsidR="005E59EA" w:rsidRPr="00977364"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High saturated fat products such as butter and lard generally score a lower HSR, oils and full fat spreads generally score a</w:t>
            </w:r>
            <w:r w:rsidR="007E6515">
              <w:rPr>
                <w:rFonts w:cstheme="minorHAnsi"/>
                <w:szCs w:val="22"/>
              </w:rPr>
              <w:t>n</w:t>
            </w:r>
            <w:r w:rsidRPr="00AB3873">
              <w:rPr>
                <w:rFonts w:cstheme="minorHAnsi"/>
                <w:szCs w:val="22"/>
              </w:rPr>
              <w:t xml:space="preserve"> HSR between 2 and 4</w:t>
            </w:r>
            <w:r w:rsidR="00B8131D">
              <w:rPr>
                <w:rFonts w:cstheme="minorHAnsi"/>
                <w:szCs w:val="22"/>
              </w:rPr>
              <w:t>, and fat-</w:t>
            </w:r>
            <w:r w:rsidRPr="00AB3873">
              <w:rPr>
                <w:rFonts w:cstheme="minorHAnsi"/>
                <w:szCs w:val="22"/>
              </w:rPr>
              <w:t>reduced spreads generally score a</w:t>
            </w:r>
            <w:r w:rsidR="007E6515">
              <w:rPr>
                <w:rFonts w:cstheme="minorHAnsi"/>
                <w:szCs w:val="22"/>
              </w:rPr>
              <w:t>n</w:t>
            </w:r>
            <w:r w:rsidRPr="00AB3873">
              <w:rPr>
                <w:rFonts w:cstheme="minorHAnsi"/>
                <w:szCs w:val="22"/>
              </w:rPr>
              <w:t xml:space="preserve"> HSR of 4-5.</w:t>
            </w:r>
          </w:p>
        </w:tc>
      </w:tr>
      <w:tr w:rsidR="005E59EA" w:rsidRPr="00AB3873" w14:paraId="0DAAEC10" w14:textId="77777777" w:rsidTr="003F1230">
        <w:trPr>
          <w:trHeight w:val="219"/>
        </w:trPr>
        <w:tc>
          <w:tcPr>
            <w:tcW w:w="1328" w:type="dxa"/>
            <w:shd w:val="clear" w:color="auto" w:fill="DEEAF6" w:themeFill="accent5" w:themeFillTint="33"/>
          </w:tcPr>
          <w:p w14:paraId="4CACB279" w14:textId="7CBDB1BF" w:rsidR="005E59EA" w:rsidRPr="00AB3873" w:rsidRDefault="007747D2" w:rsidP="0024269C">
            <w:r>
              <w:t>Relevant</w:t>
            </w:r>
            <w:r w:rsidR="005E59EA" w:rsidRPr="00AB3873">
              <w:t xml:space="preserve"> TAG papers</w:t>
            </w:r>
          </w:p>
        </w:tc>
        <w:tc>
          <w:tcPr>
            <w:tcW w:w="8453" w:type="dxa"/>
          </w:tcPr>
          <w:p w14:paraId="18479850" w14:textId="3298CED4" w:rsidR="005E59EA" w:rsidRPr="00977364" w:rsidRDefault="00B8131D" w:rsidP="00B91EBF">
            <w:pPr>
              <w:pStyle w:val="mpcbullets1"/>
              <w:numPr>
                <w:ilvl w:val="0"/>
                <w:numId w:val="9"/>
              </w:numPr>
              <w:spacing w:before="120" w:after="120"/>
              <w:contextualSpacing/>
              <w:rPr>
                <w:rFonts w:cstheme="minorHAnsi"/>
                <w:szCs w:val="22"/>
              </w:rPr>
            </w:pPr>
            <w:r>
              <w:rPr>
                <w:rFonts w:cstheme="minorHAnsi"/>
                <w:szCs w:val="22"/>
              </w:rPr>
              <w:t>Fats, oils and oil-</w:t>
            </w:r>
            <w:r w:rsidR="005E59EA" w:rsidRPr="00AB3873">
              <w:rPr>
                <w:rFonts w:cstheme="minorHAnsi"/>
                <w:szCs w:val="22"/>
              </w:rPr>
              <w:t>based spreads</w:t>
            </w:r>
          </w:p>
        </w:tc>
      </w:tr>
    </w:tbl>
    <w:p w14:paraId="712EE1B9" w14:textId="77777777" w:rsidR="005E59EA" w:rsidRPr="00AB3873" w:rsidRDefault="005E59EA" w:rsidP="0024269C"/>
    <w:p w14:paraId="2E967417" w14:textId="77777777" w:rsidR="005E59EA" w:rsidRPr="003763CA" w:rsidRDefault="005E59EA" w:rsidP="00D07B6B">
      <w:pPr>
        <w:pStyle w:val="mpcheading3"/>
        <w:keepNext/>
      </w:pPr>
      <w:bookmarkStart w:id="148" w:name="_Toc524530386"/>
      <w:r w:rsidRPr="00AB3873">
        <w:lastRenderedPageBreak/>
        <w:t xml:space="preserve">Options </w:t>
      </w:r>
      <w:r>
        <w:t>to address issue</w:t>
      </w:r>
    </w:p>
    <w:p w14:paraId="5CF04FD3" w14:textId="77777777" w:rsidR="005E59EA" w:rsidRPr="00AB3873" w:rsidRDefault="005E59EA" w:rsidP="00B91EBF">
      <w:pPr>
        <w:pStyle w:val="mpcheading4"/>
        <w:keepNext/>
        <w:numPr>
          <w:ilvl w:val="0"/>
          <w:numId w:val="12"/>
        </w:numPr>
      </w:pPr>
      <w:r w:rsidRPr="00AB3873">
        <w:t>Status quo for</w:t>
      </w:r>
      <w:r>
        <w:t xml:space="preserve"> </w:t>
      </w:r>
      <w:r w:rsidRPr="00AB3873">
        <w:t>oils and oil-based spreads</w:t>
      </w:r>
      <w:bookmarkEnd w:id="148"/>
    </w:p>
    <w:p w14:paraId="0A3337B5" w14:textId="54B0A44D" w:rsidR="005E59EA" w:rsidRPr="00AB3873" w:rsidRDefault="005E59EA" w:rsidP="0024269C">
      <w:r w:rsidRPr="00AB3873">
        <w:t>This option would continue to give a wide spread of HSRs for oils and oil-based spreads, including some HSRs below 3.5 for some ‘healthy’ oils and spreads. The range of HSRs for healthy oils and spreads high in unsaturated fats is wide and overlaps with the HSR of some discretionary products. This is inconsistent with Dietary Guidelines</w:t>
      </w:r>
      <w:r w:rsidR="00192A3F">
        <w:t>,</w:t>
      </w:r>
      <w:r w:rsidRPr="00AB3873">
        <w:t xml:space="preserve"> and may confuse consumers regarding the relative </w:t>
      </w:r>
      <w:r w:rsidR="00C6304C">
        <w:t>nutritional value</w:t>
      </w:r>
      <w:r w:rsidR="00C6304C" w:rsidRPr="00AB3873">
        <w:t xml:space="preserve"> </w:t>
      </w:r>
      <w:r w:rsidRPr="00AB3873">
        <w:t>of some oils.</w:t>
      </w:r>
    </w:p>
    <w:p w14:paraId="69ECDD5D" w14:textId="77777777" w:rsidR="005E59EA" w:rsidRPr="00AB3873" w:rsidRDefault="005E59EA" w:rsidP="0024269C"/>
    <w:p w14:paraId="3EF524FB" w14:textId="2D0FD772" w:rsidR="005E59EA" w:rsidRPr="00AB3873" w:rsidRDefault="00197C06" w:rsidP="0024269C">
      <w:r>
        <w:t xml:space="preserve">As there is limited opportunity to reformulate oils, the status quo may discourage manufacturers from displaying the HSR </w:t>
      </w:r>
      <w:r w:rsidR="00A25EDB">
        <w:t xml:space="preserve">particularly where it may misrepresent the product. </w:t>
      </w:r>
    </w:p>
    <w:p w14:paraId="5D98961C" w14:textId="77777777" w:rsidR="005E59EA" w:rsidRPr="00AB3873" w:rsidRDefault="005E59EA" w:rsidP="0024269C"/>
    <w:p w14:paraId="41C3A3B6" w14:textId="2FE21B79" w:rsidR="005E59EA" w:rsidRPr="00AB3873" w:rsidRDefault="005E59EA" w:rsidP="00B91EBF">
      <w:pPr>
        <w:pStyle w:val="mpcheading4"/>
        <w:numPr>
          <w:ilvl w:val="0"/>
          <w:numId w:val="12"/>
        </w:numPr>
      </w:pPr>
      <w:bookmarkStart w:id="149" w:name="_Toc524530387"/>
      <w:r w:rsidRPr="00AB3873">
        <w:t>Rescale Category 3 upwards</w:t>
      </w:r>
      <w:bookmarkEnd w:id="149"/>
      <w:r w:rsidRPr="00D52B73">
        <w:t xml:space="preserve"> to increase and narrow the range of HSRs</w:t>
      </w:r>
      <w:r>
        <w:t xml:space="preserve"> for oils and oil-based spreads</w:t>
      </w:r>
      <w:r w:rsidR="001402F9">
        <w:t xml:space="preserve"> so that healthy oils receive higher HSRs which </w:t>
      </w:r>
      <w:r w:rsidR="00F42635">
        <w:t>better</w:t>
      </w:r>
      <w:r w:rsidR="001402F9">
        <w:t xml:space="preserve"> represent their relative nutritional value</w:t>
      </w:r>
    </w:p>
    <w:p w14:paraId="096C5A68" w14:textId="75542745" w:rsidR="005E59EA" w:rsidRDefault="005E59EA" w:rsidP="0024269C">
      <w:r w:rsidRPr="00AB3873">
        <w:t xml:space="preserve">This option would require changes to the HSR Calculator to rescale Category 3 upwards. </w:t>
      </w:r>
      <w:r>
        <w:t>This would increase the HSRs of healthy oils and spreads to ensure better discrimination between products, and reduce the range of HSRs for products classified as FFG, to improve consistency with Dietary Guidelines.</w:t>
      </w:r>
    </w:p>
    <w:p w14:paraId="1CD500BB" w14:textId="77777777" w:rsidR="005E59EA" w:rsidRDefault="005E59EA" w:rsidP="0024269C"/>
    <w:p w14:paraId="3289BB35" w14:textId="38737ADA" w:rsidR="005E59EA" w:rsidRDefault="005E59EA" w:rsidP="0024269C">
      <w:r>
        <w:t xml:space="preserve">The TAG modelled the impacts of this option against 94 fats, oils and oil-based spreads in the TAG database: 53 products were </w:t>
      </w:r>
      <w:r w:rsidR="00A25EDB">
        <w:t>affected</w:t>
      </w:r>
      <w:r>
        <w:t>. Modelling shows that, under this option, there is little to no change in the HSRs of unhealthy fats and oil products with a</w:t>
      </w:r>
      <w:r w:rsidR="007E6515">
        <w:t>n</w:t>
      </w:r>
      <w:r>
        <w:t xml:space="preserve"> HSR </w:t>
      </w:r>
      <w:r>
        <w:sym w:font="Symbol" w:char="F0A3"/>
      </w:r>
      <w:r w:rsidR="00192A3F">
        <w:t xml:space="preserve"> 1.5 (including C</w:t>
      </w:r>
      <w:r>
        <w:t>opha, lard, butter, palm, coconut). For products with a</w:t>
      </w:r>
      <w:r w:rsidR="007E6515">
        <w:t>n</w:t>
      </w:r>
      <w:r>
        <w:t xml:space="preserve"> HSR &gt; 1.5, HSRs are generally increased by 0.5. The HSR of macadamia, avocado, sunflower and olive oils would increase from 3-3.5 to 4, and canola oil from 4-4.5 to 5. Broadly, products with saturated fat content &lt; 12% would receive a</w:t>
      </w:r>
      <w:r w:rsidR="007E6515">
        <w:t>n</w:t>
      </w:r>
      <w:r>
        <w:t xml:space="preserve"> HSR of 5,</w:t>
      </w:r>
      <w:r w:rsidR="00192A3F">
        <w:t xml:space="preserve"> while</w:t>
      </w:r>
      <w:r>
        <w:t xml:space="preserve"> products with saturated fat content &gt; 25% would receive a</w:t>
      </w:r>
      <w:r w:rsidR="007E6515">
        <w:t>n</w:t>
      </w:r>
      <w:r>
        <w:t xml:space="preserve"> HSR </w:t>
      </w:r>
      <w:r>
        <w:sym w:font="Symbol" w:char="F0A3"/>
      </w:r>
      <w:r>
        <w:t xml:space="preserve"> 2.</w:t>
      </w:r>
    </w:p>
    <w:p w14:paraId="68DFBFB6" w14:textId="77777777" w:rsidR="005E59EA" w:rsidRPr="00AB3873" w:rsidRDefault="005E59EA" w:rsidP="0024269C"/>
    <w:p w14:paraId="7004D62D" w14:textId="43F4E445" w:rsidR="006E5B57" w:rsidRDefault="009B183C" w:rsidP="0024269C">
      <w:r>
        <w:t>A</w:t>
      </w:r>
      <w:r w:rsidR="004D444F">
        <w:t>dvantages</w:t>
      </w:r>
      <w:r w:rsidR="000F12E3">
        <w:t xml:space="preserve"> of this option </w:t>
      </w:r>
      <w:r w:rsidR="006E5B57">
        <w:t>include:</w:t>
      </w:r>
    </w:p>
    <w:p w14:paraId="0DD36FD7" w14:textId="77777777" w:rsidR="006E5B57" w:rsidRDefault="006E5B57" w:rsidP="0024269C"/>
    <w:p w14:paraId="3B27EFB8" w14:textId="413CCF8B" w:rsidR="006E5B57" w:rsidRDefault="006E5B57" w:rsidP="003763CA">
      <w:pPr>
        <w:pStyle w:val="mpcbullets1"/>
      </w:pPr>
      <w:r w:rsidRPr="006E5B57">
        <w:t>it</w:t>
      </w:r>
      <w:r w:rsidR="005E59EA" w:rsidRPr="006E5B57">
        <w:t xml:space="preserve"> would increase the scores of healthy oils and spreads to provide better discrimination between </w:t>
      </w:r>
      <w:r w:rsidR="00CB6019" w:rsidRPr="006E5B57">
        <w:t>healthier oils and oil-based spreads</w:t>
      </w:r>
      <w:r w:rsidR="005E59EA" w:rsidRPr="006E5B57">
        <w:t>, without impacting on those products</w:t>
      </w:r>
      <w:r>
        <w:t xml:space="preserve"> that already receive a low HSR</w:t>
      </w:r>
    </w:p>
    <w:p w14:paraId="1A93610A" w14:textId="54F2D2DF" w:rsidR="004D444F" w:rsidRDefault="006E5B57" w:rsidP="003763CA">
      <w:pPr>
        <w:pStyle w:val="mpcbullets1"/>
      </w:pPr>
      <w:r>
        <w:t>i</w:t>
      </w:r>
      <w:r w:rsidR="005E59EA" w:rsidRPr="006E5B57">
        <w:t xml:space="preserve">t would decrease the range of HSRs within these products to more appropriately represent the relative </w:t>
      </w:r>
      <w:r w:rsidR="00C6304C" w:rsidRPr="006E5B57">
        <w:t xml:space="preserve">nutritional value </w:t>
      </w:r>
      <w:r w:rsidR="005E59EA" w:rsidRPr="006E5B57">
        <w:t xml:space="preserve">of oils and spreads high in unsaturated fats. </w:t>
      </w:r>
    </w:p>
    <w:p w14:paraId="6ACA92B0" w14:textId="0138C56D" w:rsidR="005E59EA" w:rsidRDefault="00734662" w:rsidP="003763CA">
      <w:pPr>
        <w:pStyle w:val="mpcbullets1"/>
      </w:pPr>
      <w:r>
        <w:t>it</w:t>
      </w:r>
      <w:r w:rsidR="005E59EA" w:rsidRPr="006E5B57">
        <w:t xml:space="preserve"> would</w:t>
      </w:r>
      <w:r>
        <w:t xml:space="preserve"> consequently</w:t>
      </w:r>
      <w:r w:rsidR="005E59EA" w:rsidRPr="006E5B57">
        <w:t xml:space="preserve"> address concerns that some oils are being inappropriately favoured over others, improve consistency with Dietary Guidelines</w:t>
      </w:r>
      <w:r w:rsidR="00192A3F" w:rsidRPr="006E5B57">
        <w:t>,</w:t>
      </w:r>
      <w:r w:rsidR="005E59EA" w:rsidRPr="006E5B57">
        <w:t xml:space="preserve"> </w:t>
      </w:r>
      <w:r w:rsidR="0039558F" w:rsidRPr="006E5B57">
        <w:t xml:space="preserve">improve consistency with the NPSC </w:t>
      </w:r>
      <w:r w:rsidR="00CB6019" w:rsidRPr="006E5B57">
        <w:t>criteria</w:t>
      </w:r>
      <w:r w:rsidR="0039558F" w:rsidRPr="006E5B57">
        <w:t xml:space="preserve"> to display health claims </w:t>
      </w:r>
      <w:r w:rsidR="005E59EA" w:rsidRPr="006E5B57">
        <w:t xml:space="preserve">and provide more consistent messaging to consumers. </w:t>
      </w:r>
    </w:p>
    <w:p w14:paraId="79FA8F5B" w14:textId="1C5A8F12" w:rsidR="003763CA" w:rsidRDefault="003763CA" w:rsidP="003763CA">
      <w:pPr>
        <w:pStyle w:val="mpcbullets1"/>
        <w:numPr>
          <w:ilvl w:val="0"/>
          <w:numId w:val="0"/>
        </w:numPr>
        <w:ind w:left="360" w:hanging="360"/>
      </w:pPr>
    </w:p>
    <w:p w14:paraId="592F720A" w14:textId="7A062D25" w:rsidR="003763CA" w:rsidRPr="006E5B57" w:rsidRDefault="003763CA" w:rsidP="003763CA">
      <w:r>
        <w:t>The main disadvantage of this option is that, in reducing the spread of HSRs, it may remove some discrimination between oils, such that it is less clear which oils are higher in saturated fats.</w:t>
      </w:r>
    </w:p>
    <w:p w14:paraId="40420588" w14:textId="77777777" w:rsidR="009B183C" w:rsidRDefault="009B183C" w:rsidP="0024269C"/>
    <w:p w14:paraId="25121D47" w14:textId="77777777" w:rsidR="005E59EA" w:rsidRPr="002123F0" w:rsidRDefault="005E59EA" w:rsidP="003763CA">
      <w:pPr>
        <w:pStyle w:val="mpcheading3"/>
      </w:pPr>
      <w:r>
        <w:t xml:space="preserve">Summary and </w:t>
      </w:r>
      <w:r w:rsidRPr="003763CA">
        <w:t>consultation</w:t>
      </w:r>
      <w:r>
        <w:t xml:space="preserve"> </w:t>
      </w:r>
    </w:p>
    <w:p w14:paraId="42F9FD0B" w14:textId="77777777" w:rsidR="005E59EA" w:rsidRPr="001452D2" w:rsidRDefault="005E59EA" w:rsidP="0024269C">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Pr="001A60E2">
        <w:t xml:space="preserve">. </w:t>
      </w:r>
      <w:r>
        <w:t xml:space="preserve">This provides a targeted solution to a product-specific concern. </w:t>
      </w:r>
      <w:r w:rsidRPr="001A60E2">
        <w:t xml:space="preserve">We seek </w:t>
      </w:r>
      <w:r>
        <w:t>stakeholder</w:t>
      </w:r>
      <w:r w:rsidRPr="001A60E2">
        <w:t xml:space="preserve"> views </w:t>
      </w:r>
      <w:r>
        <w:t>regarding</w:t>
      </w:r>
      <w:r w:rsidRPr="001A60E2">
        <w:t xml:space="preserve"> the above options, their impacts and relevant further consideration</w:t>
      </w:r>
      <w:r>
        <w:t>s</w:t>
      </w:r>
      <w:r w:rsidRPr="008D624F">
        <w:t>.</w:t>
      </w:r>
    </w:p>
    <w:p w14:paraId="0B6D5715" w14:textId="77777777" w:rsidR="005E59EA" w:rsidRPr="00AB3873" w:rsidRDefault="005E59EA" w:rsidP="0024269C"/>
    <w:p w14:paraId="7CB26A10" w14:textId="77777777" w:rsidR="005E59EA" w:rsidRPr="003763CA" w:rsidRDefault="005E59EA" w:rsidP="003763CA">
      <w:pPr>
        <w:pStyle w:val="mpcheading2"/>
        <w:keepNext/>
      </w:pPr>
      <w:bookmarkStart w:id="150" w:name="Saltysnacks"/>
      <w:bookmarkStart w:id="151" w:name="_Toc527112910"/>
      <w:bookmarkEnd w:id="150"/>
      <w:r w:rsidRPr="00AB3873">
        <w:lastRenderedPageBreak/>
        <w:t>Salty snacks</w:t>
      </w:r>
      <w:bookmarkEnd w:id="151"/>
    </w:p>
    <w:p w14:paraId="639BD2CF" w14:textId="77777777" w:rsidR="005E59EA" w:rsidRPr="00AB3873" w:rsidRDefault="005E59EA" w:rsidP="003763CA">
      <w:pPr>
        <w:keepNext/>
      </w:pPr>
    </w:p>
    <w:p w14:paraId="6BF337B9" w14:textId="77777777" w:rsidR="005E59EA" w:rsidRPr="003763CA" w:rsidRDefault="005E59EA" w:rsidP="003763CA">
      <w:pPr>
        <w:pStyle w:val="mpcheading3"/>
        <w:keepNext/>
      </w:pPr>
      <w:bookmarkStart w:id="152" w:name="_Toc524530389"/>
      <w:r w:rsidRPr="00AB3873">
        <w:t>Issue</w:t>
      </w:r>
      <w:bookmarkEnd w:id="152"/>
    </w:p>
    <w:p w14:paraId="6CAD9CF4" w14:textId="77777777" w:rsidR="005E59EA" w:rsidRDefault="005E59EA" w:rsidP="003763CA">
      <w:pPr>
        <w:keepNext/>
      </w:pPr>
      <w:r>
        <w:t xml:space="preserve">Dietary Guidelines recommend limiting intake of discretionary salty snacks such as potato crisps due to their high energy, saturated fat and sodium content. Based on TAG analysis, as well as other </w:t>
      </w:r>
      <w:r w:rsidRPr="00EC0C51">
        <w:t>studies</w:t>
      </w:r>
      <w:r w:rsidRPr="00EC0C51">
        <w:rPr>
          <w:rStyle w:val="FootnoteReference"/>
          <w:sz w:val="22"/>
          <w:szCs w:val="22"/>
        </w:rPr>
        <w:footnoteReference w:id="57"/>
      </w:r>
      <w:r w:rsidRPr="00EC0C51">
        <w:t xml:space="preserve"> and</w:t>
      </w:r>
      <w:r>
        <w:t xml:space="preserve"> stakeholder submissions, some of these products receive a relatively high HSR due to their content of FVNL, fibre and/or protein and, relative to similar products, lower saturated fat and sodium content.</w:t>
      </w:r>
    </w:p>
    <w:p w14:paraId="5B6B3A72" w14:textId="77777777" w:rsidR="005E59EA" w:rsidRPr="00AB3873" w:rsidRDefault="005E59EA" w:rsidP="0024269C"/>
    <w:p w14:paraId="3BAE005B" w14:textId="487215F8" w:rsidR="005E59EA" w:rsidRDefault="005E59EA" w:rsidP="0024269C">
      <w:r w:rsidRPr="009F5DB9">
        <w:t>For example, some extruded snacks or vegetable crisps receive a</w:t>
      </w:r>
      <w:r w:rsidR="007E6515">
        <w:t>n</w:t>
      </w:r>
      <w:r w:rsidRPr="009F5DB9">
        <w:t xml:space="preserve"> HSR of up to 4.</w:t>
      </w:r>
    </w:p>
    <w:p w14:paraId="57F6C0E1" w14:textId="77777777" w:rsidR="007E6515" w:rsidRDefault="007E6515" w:rsidP="0024269C"/>
    <w:p w14:paraId="1D506DD7" w14:textId="57874964" w:rsidR="005E59EA" w:rsidRPr="00AB3873" w:rsidRDefault="00623425" w:rsidP="0024269C">
      <w:r w:rsidRPr="00095B6E">
        <w:t>T</w:t>
      </w:r>
      <w:r w:rsidR="00A25EDB" w:rsidRPr="00095B6E">
        <w:t>he</w:t>
      </w:r>
      <w:r w:rsidR="005E59EA" w:rsidRPr="00095B6E">
        <w:t xml:space="preserve"> range of HSRs </w:t>
      </w:r>
      <w:r w:rsidR="006D18DF" w:rsidRPr="00095B6E">
        <w:t>of salty snacks</w:t>
      </w:r>
      <w:r w:rsidR="005E59EA" w:rsidRPr="00095B6E">
        <w:t xml:space="preserve"> supports consumers to make healthier choices when comparing similar products, </w:t>
      </w:r>
      <w:r w:rsidRPr="00095B6E">
        <w:t xml:space="preserve">however </w:t>
      </w:r>
      <w:r w:rsidR="005E59EA" w:rsidRPr="00095B6E">
        <w:t xml:space="preserve">the fact that a number of these discretionary products are scoring HSRs </w:t>
      </w:r>
      <w:r w:rsidR="005E59EA" w:rsidRPr="00095B6E">
        <w:sym w:font="Symbol" w:char="F0B3"/>
      </w:r>
      <w:r w:rsidR="005E59EA" w:rsidRPr="00095B6E">
        <w:t xml:space="preserve"> 3.5 does not align well with consumer expectations of the HSR on such foods, nor with Dietary Guidelines.</w:t>
      </w:r>
      <w:r w:rsidRPr="00095B6E">
        <w:t xml:space="preserve"> While</w:t>
      </w:r>
      <w:r>
        <w:t xml:space="preserve"> the role of the HSR System is to provide a measure of a product’s relative healthiness within a category (and comparisons across categories are discouraged), salty snacks have been noted by stakeholders as an area of incongruence and this may impact on confidence in the system. As such, we are exploring options to address this issue in the Review.</w:t>
      </w:r>
    </w:p>
    <w:p w14:paraId="31928F39" w14:textId="324DE532" w:rsidR="005E59EA" w:rsidRPr="00095B6E" w:rsidRDefault="005E59EA" w:rsidP="0024269C"/>
    <w:p w14:paraId="715E8687" w14:textId="5374452A" w:rsidR="008A547B" w:rsidRPr="00095B6E" w:rsidRDefault="008A547B" w:rsidP="0024269C">
      <w:r w:rsidRPr="00095B6E">
        <w:t>The TAG paper also explored whether hot potato products (such as over-baked chips and wedges)</w:t>
      </w:r>
      <w:r>
        <w:t xml:space="preserve"> score appropriate HSRs. It was concluded that, while these products have higher HSRs than expected for discretionary foods, they are relatively low in negative nutrients</w:t>
      </w:r>
      <w:r w:rsidR="003D5E9B">
        <w:t xml:space="preserve"> and have a nutritional profile more similar to potato bakes or mashed potato, which are considered FFG. As such, the TAG paper does not consider options to address this issue and it is not explored in this Consultation Paper.</w:t>
      </w:r>
    </w:p>
    <w:p w14:paraId="29DF3558" w14:textId="77777777" w:rsidR="008A547B" w:rsidRPr="00AB3873" w:rsidRDefault="008A547B" w:rsidP="0024269C"/>
    <w:p w14:paraId="5E8D476F" w14:textId="77777777" w:rsidR="005E59EA" w:rsidRPr="00AB3873" w:rsidRDefault="005E59EA" w:rsidP="003763CA">
      <w:pPr>
        <w:pStyle w:val="mpcheading3"/>
      </w:pPr>
      <w:bookmarkStart w:id="153" w:name="_Toc524530390"/>
      <w:r w:rsidRPr="003763CA">
        <w:t>Considerations</w:t>
      </w:r>
      <w:bookmarkEnd w:id="153"/>
    </w:p>
    <w:tbl>
      <w:tblPr>
        <w:tblStyle w:val="TableGrid"/>
        <w:tblW w:w="9781" w:type="dxa"/>
        <w:tblInd w:w="-5" w:type="dxa"/>
        <w:tblLook w:val="04A0" w:firstRow="1" w:lastRow="0" w:firstColumn="1" w:lastColumn="0" w:noHBand="0" w:noVBand="1"/>
        <w:tblCaption w:val="Considerations - salty snacks"/>
        <w:tblDescription w:val="This table outlines the relevant information to be considered in determining options to address this issue."/>
      </w:tblPr>
      <w:tblGrid>
        <w:gridCol w:w="1328"/>
        <w:gridCol w:w="8453"/>
      </w:tblGrid>
      <w:tr w:rsidR="005E59EA" w:rsidRPr="00AB3873" w14:paraId="6EA6E407" w14:textId="77777777" w:rsidTr="00D37907">
        <w:trPr>
          <w:tblHeader/>
        </w:trPr>
        <w:tc>
          <w:tcPr>
            <w:tcW w:w="1328" w:type="dxa"/>
            <w:shd w:val="clear" w:color="auto" w:fill="DEEAF6" w:themeFill="accent5" w:themeFillTint="33"/>
          </w:tcPr>
          <w:p w14:paraId="6CFA6355" w14:textId="77777777" w:rsidR="005E59EA" w:rsidRPr="00AB3873" w:rsidRDefault="005E59EA" w:rsidP="0024269C">
            <w:bookmarkStart w:id="154" w:name="RowTitle8"/>
            <w:bookmarkEnd w:id="154"/>
            <w:r w:rsidRPr="00AB3873">
              <w:t>Cu</w:t>
            </w:r>
            <w:bookmarkStart w:id="155" w:name="Table_10_salty_snacks"/>
            <w:bookmarkEnd w:id="155"/>
            <w:r w:rsidRPr="00AB3873">
              <w:t xml:space="preserve">rrent treatment in the HSR </w:t>
            </w:r>
            <w:r>
              <w:t>System</w:t>
            </w:r>
          </w:p>
        </w:tc>
        <w:tc>
          <w:tcPr>
            <w:tcW w:w="8453" w:type="dxa"/>
          </w:tcPr>
          <w:p w14:paraId="5CC1B74D"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Sodium</w:t>
            </w:r>
            <w:r>
              <w:rPr>
                <w:rFonts w:cstheme="minorHAnsi"/>
                <w:szCs w:val="22"/>
              </w:rPr>
              <w:t xml:space="preserve"> and saturated fat are</w:t>
            </w:r>
            <w:r w:rsidRPr="00AB3873">
              <w:rPr>
                <w:rFonts w:cstheme="minorHAnsi"/>
                <w:szCs w:val="22"/>
              </w:rPr>
              <w:t xml:space="preserve"> risk nutrient</w:t>
            </w:r>
            <w:r>
              <w:rPr>
                <w:rFonts w:cstheme="minorHAnsi"/>
                <w:szCs w:val="22"/>
              </w:rPr>
              <w:t>s</w:t>
            </w:r>
            <w:r w:rsidRPr="00AB3873">
              <w:rPr>
                <w:rFonts w:cstheme="minorHAnsi"/>
                <w:szCs w:val="22"/>
              </w:rPr>
              <w:t xml:space="preserve"> in the HSR Calculator. </w:t>
            </w:r>
          </w:p>
          <w:p w14:paraId="0EA1F5E5"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Salty snack products are classified as Category 2.</w:t>
            </w:r>
          </w:p>
          <w:p w14:paraId="7662FB66"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For Categories 1, 1D, 2 and 2D:</w:t>
            </w:r>
          </w:p>
          <w:p w14:paraId="4E537483" w14:textId="503FD0F1"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sidR="00C23724">
              <w:rPr>
                <w:rFonts w:cstheme="minorHAnsi"/>
                <w:szCs w:val="22"/>
              </w:rPr>
              <w:t>90mg/100g</w:t>
            </w:r>
            <w:r w:rsidRPr="00AB3873">
              <w:rPr>
                <w:rFonts w:cstheme="minorHAnsi"/>
                <w:szCs w:val="22"/>
              </w:rPr>
              <w:t xml:space="preserve"> sodium scores baseline points (starting from 1).</w:t>
            </w:r>
          </w:p>
          <w:p w14:paraId="72A99430" w14:textId="1774A969" w:rsidR="005E59EA" w:rsidRPr="00FB0DF5"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sidR="003F1230">
              <w:rPr>
                <w:rFonts w:cstheme="minorHAnsi"/>
                <w:szCs w:val="22"/>
              </w:rPr>
              <w:t>8106mg/100g</w:t>
            </w:r>
            <w:r w:rsidRPr="00AB3873">
              <w:rPr>
                <w:rFonts w:cstheme="minorHAnsi"/>
                <w:szCs w:val="22"/>
              </w:rPr>
              <w:t xml:space="preserve"> sodium scores a maximum of 30 baseline points. </w:t>
            </w:r>
          </w:p>
        </w:tc>
      </w:tr>
      <w:tr w:rsidR="005E59EA" w:rsidRPr="00AB3873" w14:paraId="7A7EB854" w14:textId="77777777" w:rsidTr="003F1230">
        <w:tc>
          <w:tcPr>
            <w:tcW w:w="1328" w:type="dxa"/>
            <w:shd w:val="clear" w:color="auto" w:fill="DEEAF6" w:themeFill="accent5" w:themeFillTint="33"/>
          </w:tcPr>
          <w:p w14:paraId="1386E4A5" w14:textId="77777777" w:rsidR="005E59EA" w:rsidRPr="00AB3873" w:rsidRDefault="005E59EA" w:rsidP="0024269C">
            <w:r w:rsidRPr="00AB3873">
              <w:t>Dietary Guidelines</w:t>
            </w:r>
          </w:p>
        </w:tc>
        <w:tc>
          <w:tcPr>
            <w:tcW w:w="8453" w:type="dxa"/>
          </w:tcPr>
          <w:p w14:paraId="38FE4A69" w14:textId="77777777" w:rsidR="005E59EA"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Dietary Guidelines recommend</w:t>
            </w:r>
            <w:r>
              <w:rPr>
                <w:rFonts w:cstheme="minorHAnsi"/>
                <w:szCs w:val="22"/>
              </w:rPr>
              <w:t>:</w:t>
            </w:r>
          </w:p>
          <w:p w14:paraId="0E796807" w14:textId="7C176B59" w:rsidR="005E59EA" w:rsidRDefault="005E59EA" w:rsidP="00B91EBF">
            <w:pPr>
              <w:pStyle w:val="mpcbullets1"/>
              <w:numPr>
                <w:ilvl w:val="2"/>
                <w:numId w:val="5"/>
              </w:numPr>
              <w:spacing w:before="120" w:after="120"/>
              <w:ind w:left="597" w:hanging="283"/>
              <w:contextualSpacing/>
              <w:rPr>
                <w:rFonts w:cstheme="minorHAnsi"/>
                <w:szCs w:val="22"/>
              </w:rPr>
            </w:pPr>
            <w:r w:rsidRPr="00FB0DF5">
              <w:rPr>
                <w:rFonts w:cstheme="minorHAnsi"/>
                <w:szCs w:val="22"/>
              </w:rPr>
              <w:t>limit</w:t>
            </w:r>
            <w:r>
              <w:rPr>
                <w:rFonts w:cstheme="minorHAnsi"/>
                <w:szCs w:val="22"/>
              </w:rPr>
              <w:t>ing</w:t>
            </w:r>
            <w:r w:rsidRPr="00FB0DF5">
              <w:rPr>
                <w:rFonts w:cstheme="minorHAnsi"/>
                <w:szCs w:val="22"/>
              </w:rPr>
              <w:t xml:space="preserve"> intake of foods high in saturated fat such as potato chips, c</w:t>
            </w:r>
            <w:r>
              <w:rPr>
                <w:rFonts w:cstheme="minorHAnsi"/>
                <w:szCs w:val="22"/>
              </w:rPr>
              <w:t>risps and other savoury snacks</w:t>
            </w:r>
          </w:p>
          <w:p w14:paraId="1136B306" w14:textId="3F02BB2C" w:rsidR="005E59EA" w:rsidRPr="00C53C4B" w:rsidRDefault="005E59EA" w:rsidP="00C53C4B">
            <w:pPr>
              <w:pStyle w:val="mpcbullets1"/>
              <w:numPr>
                <w:ilvl w:val="2"/>
                <w:numId w:val="5"/>
              </w:numPr>
              <w:spacing w:before="120" w:after="120"/>
              <w:ind w:left="597" w:hanging="283"/>
              <w:contextualSpacing/>
              <w:rPr>
                <w:rFonts w:cstheme="minorHAnsi"/>
                <w:szCs w:val="22"/>
              </w:rPr>
            </w:pPr>
            <w:r w:rsidRPr="00FB0DF5">
              <w:rPr>
                <w:rFonts w:cstheme="minorHAnsi"/>
                <w:szCs w:val="22"/>
              </w:rPr>
              <w:t>limit</w:t>
            </w:r>
            <w:r>
              <w:rPr>
                <w:rFonts w:cstheme="minorHAnsi"/>
                <w:szCs w:val="22"/>
              </w:rPr>
              <w:t>ing</w:t>
            </w:r>
            <w:r w:rsidRPr="00FB0DF5">
              <w:rPr>
                <w:rFonts w:cstheme="minorHAnsi"/>
                <w:szCs w:val="22"/>
              </w:rPr>
              <w:t xml:space="preserve"> intake of foods containing added salt</w:t>
            </w:r>
            <w:r>
              <w:rPr>
                <w:rFonts w:cstheme="minorHAnsi"/>
                <w:szCs w:val="22"/>
              </w:rPr>
              <w:t xml:space="preserve"> and saturated fat</w:t>
            </w:r>
            <w:r w:rsidRPr="00FB0DF5">
              <w:rPr>
                <w:rFonts w:cstheme="minorHAnsi"/>
                <w:szCs w:val="22"/>
              </w:rPr>
              <w:t xml:space="preserve">. </w:t>
            </w:r>
          </w:p>
        </w:tc>
      </w:tr>
      <w:tr w:rsidR="005E59EA" w:rsidRPr="00AB3873" w14:paraId="12D9BFA6" w14:textId="77777777" w:rsidTr="003F1230">
        <w:tc>
          <w:tcPr>
            <w:tcW w:w="1328" w:type="dxa"/>
            <w:shd w:val="clear" w:color="auto" w:fill="DEEAF6" w:themeFill="accent5" w:themeFillTint="33"/>
          </w:tcPr>
          <w:p w14:paraId="6A7275D5" w14:textId="77777777" w:rsidR="005E59EA" w:rsidRPr="00AB3873" w:rsidRDefault="005E59EA" w:rsidP="0024269C">
            <w:r w:rsidRPr="00AB3873">
              <w:t>Intake</w:t>
            </w:r>
          </w:p>
        </w:tc>
        <w:tc>
          <w:tcPr>
            <w:tcW w:w="8453" w:type="dxa"/>
          </w:tcPr>
          <w:p w14:paraId="441F6E61" w14:textId="77777777" w:rsidR="005E59EA" w:rsidRPr="00AB3873" w:rsidRDefault="005E59EA" w:rsidP="00B91EBF">
            <w:pPr>
              <w:pStyle w:val="mpcbullets1"/>
              <w:numPr>
                <w:ilvl w:val="0"/>
                <w:numId w:val="6"/>
              </w:numPr>
              <w:spacing w:before="120" w:after="120"/>
              <w:contextualSpacing/>
              <w:rPr>
                <w:rFonts w:cstheme="minorHAnsi"/>
                <w:szCs w:val="22"/>
              </w:rPr>
            </w:pPr>
            <w:r w:rsidRPr="00AB3873">
              <w:rPr>
                <w:rFonts w:cstheme="minorHAnsi"/>
                <w:szCs w:val="22"/>
              </w:rPr>
              <w:t>AHS 2011-12 found:</w:t>
            </w:r>
          </w:p>
          <w:p w14:paraId="04DA5EB3" w14:textId="233AE3F6"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35% of total daily energy intake for Australian adults is from discretionary foods</w:t>
            </w:r>
            <w:r w:rsidR="00192A3F">
              <w:rPr>
                <w:rFonts w:cstheme="minorHAnsi"/>
                <w:szCs w:val="22"/>
              </w:rPr>
              <w:t>,</w:t>
            </w:r>
            <w:r w:rsidRPr="00AB3873">
              <w:rPr>
                <w:rFonts w:cstheme="minorHAnsi"/>
                <w:szCs w:val="22"/>
              </w:rPr>
              <w:t xml:space="preserve"> including </w:t>
            </w:r>
            <w:r>
              <w:rPr>
                <w:rFonts w:cstheme="minorHAnsi"/>
                <w:szCs w:val="22"/>
              </w:rPr>
              <w:t xml:space="preserve">1.5% from </w:t>
            </w:r>
            <w:r w:rsidRPr="00AB3873">
              <w:rPr>
                <w:rFonts w:cstheme="minorHAnsi"/>
                <w:szCs w:val="22"/>
              </w:rPr>
              <w:t>snack foods (</w:t>
            </w:r>
            <w:r>
              <w:rPr>
                <w:rFonts w:cstheme="minorHAnsi"/>
                <w:szCs w:val="22"/>
              </w:rPr>
              <w:t>potato snacks, corn snacks, extruded or reformed snacks, etc)</w:t>
            </w:r>
          </w:p>
          <w:p w14:paraId="486FBC3D" w14:textId="297E365C"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2% of daily sodium intake </w:t>
            </w:r>
            <w:r w:rsidRPr="00AB3873">
              <w:rPr>
                <w:rFonts w:cstheme="minorHAnsi"/>
                <w:szCs w:val="22"/>
              </w:rPr>
              <w:t>for Australian adults is from</w:t>
            </w:r>
            <w:r>
              <w:rPr>
                <w:rFonts w:cstheme="minorHAnsi"/>
                <w:szCs w:val="22"/>
              </w:rPr>
              <w:t xml:space="preserve"> snack foods</w:t>
            </w:r>
          </w:p>
          <w:p w14:paraId="01954761"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2.4% of daily fat intake </w:t>
            </w:r>
            <w:r w:rsidRPr="00AB3873">
              <w:rPr>
                <w:rFonts w:cstheme="minorHAnsi"/>
                <w:szCs w:val="22"/>
              </w:rPr>
              <w:t>for Australian adults is from</w:t>
            </w:r>
            <w:r>
              <w:rPr>
                <w:rFonts w:cstheme="minorHAnsi"/>
                <w:szCs w:val="22"/>
              </w:rPr>
              <w:t xml:space="preserve"> snack foods.</w:t>
            </w:r>
          </w:p>
          <w:p w14:paraId="56E01832" w14:textId="77777777" w:rsidR="005E59EA" w:rsidRDefault="005E59EA" w:rsidP="00B91EBF">
            <w:pPr>
              <w:pStyle w:val="mpcbullets1"/>
              <w:numPr>
                <w:ilvl w:val="0"/>
                <w:numId w:val="9"/>
              </w:numPr>
              <w:spacing w:before="120" w:after="120"/>
              <w:contextualSpacing/>
              <w:rPr>
                <w:rFonts w:cstheme="minorHAnsi"/>
                <w:szCs w:val="22"/>
              </w:rPr>
            </w:pPr>
            <w:r>
              <w:rPr>
                <w:rFonts w:cstheme="minorHAnsi"/>
                <w:szCs w:val="22"/>
              </w:rPr>
              <w:t>NZANS 2008/</w:t>
            </w:r>
            <w:r w:rsidRPr="00AB3873">
              <w:rPr>
                <w:rFonts w:cstheme="minorHAnsi"/>
                <w:szCs w:val="22"/>
              </w:rPr>
              <w:t>09 found</w:t>
            </w:r>
            <w:r>
              <w:rPr>
                <w:rFonts w:cstheme="minorHAnsi"/>
                <w:szCs w:val="22"/>
              </w:rPr>
              <w:t>:</w:t>
            </w:r>
          </w:p>
          <w:p w14:paraId="6E0D2CB3" w14:textId="77777777"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0.6% of total energy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snack foods (corn chips, popcorn, extruded snacks, grain crisps)</w:t>
            </w:r>
          </w:p>
          <w:p w14:paraId="0A78C1F9" w14:textId="72B606FA"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6.4% of energy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potato</w:t>
            </w:r>
            <w:r w:rsidR="00A25EDB">
              <w:rPr>
                <w:rFonts w:cstheme="minorHAnsi"/>
                <w:szCs w:val="22"/>
              </w:rPr>
              <w:t xml:space="preserve"> (including potato crisps)</w:t>
            </w:r>
            <w:r>
              <w:rPr>
                <w:rFonts w:cstheme="minorHAnsi"/>
                <w:szCs w:val="22"/>
              </w:rPr>
              <w:t xml:space="preserve">, </w:t>
            </w:r>
            <w:r>
              <w:rPr>
                <w:rFonts w:cstheme="minorHAnsi"/>
                <w:szCs w:val="22"/>
              </w:rPr>
              <w:lastRenderedPageBreak/>
              <w:t xml:space="preserve">kumara and taro </w:t>
            </w:r>
          </w:p>
          <w:p w14:paraId="55B61325" w14:textId="4C36954A"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0.8% of daily saturated fat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snack foods</w:t>
            </w:r>
          </w:p>
          <w:p w14:paraId="45095A4B" w14:textId="77777777" w:rsidR="005E59EA" w:rsidRPr="00F73D46"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6.4% of daily saturated fat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potato, kumara and taro.</w:t>
            </w:r>
          </w:p>
        </w:tc>
      </w:tr>
      <w:tr w:rsidR="005E59EA" w:rsidRPr="00AB3873" w14:paraId="22E600F0" w14:textId="77777777" w:rsidTr="003F1230">
        <w:tc>
          <w:tcPr>
            <w:tcW w:w="1328" w:type="dxa"/>
            <w:shd w:val="clear" w:color="auto" w:fill="DEEAF6" w:themeFill="accent5" w:themeFillTint="33"/>
          </w:tcPr>
          <w:p w14:paraId="4699F2F6" w14:textId="77777777" w:rsidR="005E59EA" w:rsidRPr="00AB3873" w:rsidRDefault="005E59EA" w:rsidP="0024269C">
            <w:r w:rsidRPr="00AB3873">
              <w:lastRenderedPageBreak/>
              <w:t>HSR statistics</w:t>
            </w:r>
          </w:p>
        </w:tc>
        <w:tc>
          <w:tcPr>
            <w:tcW w:w="8453" w:type="dxa"/>
          </w:tcPr>
          <w:p w14:paraId="1B0A8EED" w14:textId="30526CED" w:rsidR="005E59EA" w:rsidRDefault="005E59EA" w:rsidP="00B91EBF">
            <w:pPr>
              <w:pStyle w:val="mpcbullets1"/>
              <w:numPr>
                <w:ilvl w:val="0"/>
                <w:numId w:val="6"/>
              </w:numPr>
              <w:spacing w:before="120" w:after="120"/>
              <w:contextualSpacing/>
              <w:rPr>
                <w:rFonts w:cstheme="minorHAnsi"/>
                <w:szCs w:val="22"/>
              </w:rPr>
            </w:pPr>
            <w:r>
              <w:rPr>
                <w:rFonts w:cstheme="minorHAnsi"/>
                <w:szCs w:val="22"/>
              </w:rPr>
              <w:t>The TAG modelling found the mean HSR of s</w:t>
            </w:r>
            <w:r w:rsidRPr="00AB3873">
              <w:rPr>
                <w:rFonts w:cstheme="minorHAnsi"/>
                <w:szCs w:val="22"/>
              </w:rPr>
              <w:t xml:space="preserve">alty </w:t>
            </w:r>
            <w:r>
              <w:rPr>
                <w:rFonts w:cstheme="minorHAnsi"/>
                <w:szCs w:val="22"/>
              </w:rPr>
              <w:t>snacks is 2, with approximately 20% scoring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w:t>
            </w:r>
          </w:p>
          <w:p w14:paraId="7F19DF7A" w14:textId="65299D3B" w:rsidR="005E59EA" w:rsidRDefault="005E59EA" w:rsidP="00B91EBF">
            <w:pPr>
              <w:pStyle w:val="mpcbullets1"/>
              <w:numPr>
                <w:ilvl w:val="0"/>
                <w:numId w:val="6"/>
              </w:numPr>
              <w:spacing w:before="120" w:after="120"/>
              <w:contextualSpacing/>
              <w:rPr>
                <w:rFonts w:cstheme="minorHAnsi"/>
                <w:szCs w:val="22"/>
              </w:rPr>
            </w:pPr>
            <w:r>
              <w:rPr>
                <w:rFonts w:cstheme="minorHAnsi"/>
                <w:szCs w:val="22"/>
              </w:rPr>
              <w:t>Salty snacks with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 or above have a healthier nutritional profile (lower fat and/or salt and higher protein, fibre and/or FVNL content). </w:t>
            </w:r>
          </w:p>
          <w:p w14:paraId="1E9F532B" w14:textId="784ECD7F"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For salty snacks with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 the mean content per 100g of saturated fat is 2.6g, sodium is 391mg, fibre is 5.2g, protein is 8.9g, FVNL is 29.5%.</w:t>
            </w:r>
          </w:p>
          <w:p w14:paraId="6146583C" w14:textId="0881D82C" w:rsidR="005E59EA" w:rsidRPr="0012242F"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For salty snacks with a</w:t>
            </w:r>
            <w:r w:rsidR="007E6515">
              <w:rPr>
                <w:rFonts w:cstheme="minorHAnsi"/>
                <w:szCs w:val="22"/>
              </w:rPr>
              <w:t>n</w:t>
            </w:r>
            <w:r>
              <w:rPr>
                <w:rFonts w:cstheme="minorHAnsi"/>
                <w:szCs w:val="22"/>
              </w:rPr>
              <w:t xml:space="preserve"> HSR &lt; 3, the mean content per 100g of saturated fat is 7.5g, sodium is 612mg, fibre is 3.6g, protein is 9g, FVNL is 18.6%.</w:t>
            </w:r>
          </w:p>
          <w:p w14:paraId="286AC3CB" w14:textId="022E8637" w:rsidR="005E59EA" w:rsidRPr="00354E25" w:rsidRDefault="005E59EA" w:rsidP="00B91EBF">
            <w:pPr>
              <w:pStyle w:val="mpcbullets1"/>
              <w:numPr>
                <w:ilvl w:val="0"/>
                <w:numId w:val="6"/>
              </w:numPr>
              <w:spacing w:before="120" w:after="120"/>
              <w:contextualSpacing/>
              <w:rPr>
                <w:rFonts w:cstheme="minorHAnsi"/>
                <w:szCs w:val="22"/>
              </w:rPr>
            </w:pPr>
            <w:r>
              <w:rPr>
                <w:rFonts w:cstheme="minorHAnsi"/>
                <w:szCs w:val="22"/>
              </w:rPr>
              <w:t>Research commissioned by the NSW Ministry of Health</w:t>
            </w:r>
            <w:r>
              <w:rPr>
                <w:rStyle w:val="FootnoteReference"/>
                <w:rFonts w:cstheme="minorHAnsi"/>
                <w:szCs w:val="22"/>
              </w:rPr>
              <w:footnoteReference w:id="58"/>
            </w:r>
            <w:r>
              <w:rPr>
                <w:rFonts w:cstheme="minorHAnsi"/>
                <w:szCs w:val="22"/>
              </w:rPr>
              <w:t xml:space="preserve"> found the mean HSR of salty snacks, chips and pretzels is 2.8, with approximately 40% scoring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3.5.</w:t>
            </w:r>
          </w:p>
        </w:tc>
      </w:tr>
      <w:tr w:rsidR="005E59EA" w:rsidRPr="00AB3873" w14:paraId="21A35FB6" w14:textId="77777777" w:rsidTr="003F1230">
        <w:trPr>
          <w:trHeight w:val="219"/>
        </w:trPr>
        <w:tc>
          <w:tcPr>
            <w:tcW w:w="1328" w:type="dxa"/>
            <w:shd w:val="clear" w:color="auto" w:fill="DEEAF6" w:themeFill="accent5" w:themeFillTint="33"/>
          </w:tcPr>
          <w:p w14:paraId="6CBEC7E2" w14:textId="1C721750" w:rsidR="005E59EA" w:rsidRPr="00AB3873" w:rsidRDefault="007747D2" w:rsidP="0024269C">
            <w:r>
              <w:t>Relevant</w:t>
            </w:r>
            <w:r w:rsidR="005E59EA" w:rsidRPr="00AB3873">
              <w:t xml:space="preserve"> TAG papers</w:t>
            </w:r>
          </w:p>
        </w:tc>
        <w:tc>
          <w:tcPr>
            <w:tcW w:w="8453" w:type="dxa"/>
          </w:tcPr>
          <w:p w14:paraId="6E071AFD" w14:textId="77777777" w:rsidR="005E59EA" w:rsidRPr="00D42F80" w:rsidRDefault="005E59EA" w:rsidP="00B91EBF">
            <w:pPr>
              <w:pStyle w:val="mpcbullets1"/>
              <w:numPr>
                <w:ilvl w:val="0"/>
                <w:numId w:val="6"/>
              </w:numPr>
              <w:spacing w:before="120" w:after="120"/>
              <w:contextualSpacing/>
              <w:rPr>
                <w:rFonts w:cstheme="minorHAnsi"/>
                <w:szCs w:val="22"/>
              </w:rPr>
            </w:pPr>
            <w:r w:rsidRPr="00AB3873">
              <w:rPr>
                <w:rFonts w:cstheme="minorHAnsi"/>
                <w:szCs w:val="22"/>
              </w:rPr>
              <w:t>Salty snacks</w:t>
            </w:r>
          </w:p>
        </w:tc>
      </w:tr>
    </w:tbl>
    <w:p w14:paraId="139B9014" w14:textId="77777777" w:rsidR="005E59EA" w:rsidRDefault="005E59EA" w:rsidP="0024269C"/>
    <w:p w14:paraId="51F30344" w14:textId="77777777" w:rsidR="005E59EA" w:rsidRPr="00AB3873" w:rsidRDefault="005E59EA" w:rsidP="003763CA">
      <w:pPr>
        <w:pStyle w:val="mpcheading3"/>
      </w:pPr>
      <w:bookmarkStart w:id="156" w:name="_Toc524530392"/>
      <w:r w:rsidRPr="00AB3873">
        <w:t xml:space="preserve">Options </w:t>
      </w:r>
      <w:r>
        <w:t>to address issue</w:t>
      </w:r>
    </w:p>
    <w:p w14:paraId="72D123CA" w14:textId="77777777" w:rsidR="005E59EA" w:rsidRPr="00AB3873" w:rsidRDefault="005E59EA" w:rsidP="00B91EBF">
      <w:pPr>
        <w:pStyle w:val="mpcheading4"/>
        <w:numPr>
          <w:ilvl w:val="0"/>
          <w:numId w:val="13"/>
        </w:numPr>
      </w:pPr>
      <w:r w:rsidRPr="00AB3873">
        <w:t xml:space="preserve">Status quo for </w:t>
      </w:r>
      <w:r>
        <w:t>salty snacks</w:t>
      </w:r>
      <w:bookmarkEnd w:id="156"/>
    </w:p>
    <w:p w14:paraId="5C56DF49" w14:textId="2494F675" w:rsidR="005E59EA" w:rsidRDefault="005E59EA" w:rsidP="0024269C">
      <w:r w:rsidRPr="00AB3873">
        <w:t xml:space="preserve">This option would continue to </w:t>
      </w:r>
      <w:r>
        <w:t xml:space="preserve">award </w:t>
      </w:r>
      <w:r w:rsidR="00DE2DA2">
        <w:t xml:space="preserve">relatively </w:t>
      </w:r>
      <w:r>
        <w:t xml:space="preserve">high HSRs to some salty snacks despite their poor nutritional profile and status </w:t>
      </w:r>
      <w:r w:rsidR="00C45BBD">
        <w:t xml:space="preserve">(in Australia) </w:t>
      </w:r>
      <w:r>
        <w:t xml:space="preserve">as a discretionary food. </w:t>
      </w:r>
    </w:p>
    <w:p w14:paraId="0BC0EABC" w14:textId="77777777" w:rsidR="005E59EA" w:rsidRDefault="005E59EA" w:rsidP="0024269C"/>
    <w:p w14:paraId="02F9E167" w14:textId="0A1F96A4" w:rsidR="005E59EA" w:rsidRDefault="005E59EA" w:rsidP="0024269C">
      <w:r>
        <w:t xml:space="preserve">The TAG modelling shows that the HSR System currently </w:t>
      </w:r>
      <w:r w:rsidR="00192A3F">
        <w:t xml:space="preserve">discriminates well between more-healthy and less-healthy salty snacks, </w:t>
      </w:r>
      <w:r>
        <w:t>awarding higher HSRs to products with lower fat and/or salt</w:t>
      </w:r>
      <w:r w:rsidR="00192A3F">
        <w:t>,</w:t>
      </w:r>
      <w:r>
        <w:t xml:space="preserve"> and higher protein, fibre and/or FVNL content. The salty snacks receiving a higher HSR (such as corn chips, wasabi peas, pop</w:t>
      </w:r>
      <w:r w:rsidR="00192A3F">
        <w:t>corn and some vegetable crisps)</w:t>
      </w:r>
      <w:r>
        <w:t xml:space="preserve"> represent healthier versions within this category. However, when compared across other categories of food</w:t>
      </w:r>
      <w:r w:rsidR="00192A3F">
        <w:t>,</w:t>
      </w:r>
      <w:r>
        <w:t xml:space="preserve"> the high HSRs of some salty snacks may not appropriately </w:t>
      </w:r>
      <w:r w:rsidRPr="00CC5985">
        <w:t>reflect their</w:t>
      </w:r>
      <w:r>
        <w:t xml:space="preserve"> status as a discretionary food. </w:t>
      </w:r>
    </w:p>
    <w:p w14:paraId="4748DB3F" w14:textId="77777777" w:rsidR="005E59EA" w:rsidRDefault="005E59EA" w:rsidP="0024269C"/>
    <w:p w14:paraId="510FEDE2" w14:textId="78FECF1A" w:rsidR="005E59EA" w:rsidRDefault="005E59EA" w:rsidP="0024269C">
      <w:r>
        <w:t>If no changes were made to address salty snacks in particular, but changes proposed in relation to other aspects of the HSR Calculator were adopted, t</w:t>
      </w:r>
      <w:r w:rsidR="00E00D3E">
        <w:t>his would</w:t>
      </w:r>
      <w:r>
        <w:t xml:space="preserve"> reduce the high HSRs of some salty snacks. For example:</w:t>
      </w:r>
    </w:p>
    <w:p w14:paraId="625C0FCE" w14:textId="77777777" w:rsidR="00067DF7" w:rsidRDefault="00067DF7" w:rsidP="0024269C"/>
    <w:p w14:paraId="6B25DA74" w14:textId="5FF51893" w:rsidR="005E59EA" w:rsidRPr="008D3072" w:rsidRDefault="00E00D3E" w:rsidP="003763CA">
      <w:pPr>
        <w:pStyle w:val="mpcbullets1"/>
      </w:pPr>
      <w:r>
        <w:t xml:space="preserve">some </w:t>
      </w:r>
      <w:r w:rsidR="005E59EA" w:rsidRPr="008D624F">
        <w:t>snacks high in sodium (i.e. tho</w:t>
      </w:r>
      <w:r>
        <w:t>se with sodium &gt; 900mg/100g) would</w:t>
      </w:r>
      <w:r w:rsidR="005E59EA" w:rsidRPr="008D624F">
        <w:t xml:space="preserve"> be addressed through changes to how baseline points for sodium are </w:t>
      </w:r>
      <w:r w:rsidR="005E59EA" w:rsidRPr="008D3072">
        <w:t xml:space="preserve">calculated (discussed in Chapter </w:t>
      </w:r>
      <w:r w:rsidR="008D3072" w:rsidRPr="008D3072">
        <w:t>4</w:t>
      </w:r>
      <w:r w:rsidR="005E59EA" w:rsidRPr="008D3072">
        <w:t>),</w:t>
      </w:r>
    </w:p>
    <w:p w14:paraId="263A8ECD" w14:textId="4A05C56F" w:rsidR="005E59EA" w:rsidRPr="008D3072" w:rsidRDefault="00E00D3E" w:rsidP="003763CA">
      <w:pPr>
        <w:pStyle w:val="mpcbullets1"/>
      </w:pPr>
      <w:r>
        <w:t xml:space="preserve">some </w:t>
      </w:r>
      <w:r w:rsidR="005E59EA" w:rsidRPr="008D3072">
        <w:t>snacks be</w:t>
      </w:r>
      <w:r w:rsidR="00192A3F">
        <w:t>nefit</w:t>
      </w:r>
      <w:r w:rsidR="005E59EA" w:rsidRPr="008D3072">
        <w:t>ing f</w:t>
      </w:r>
      <w:r>
        <w:t xml:space="preserve">rom modifying P points would </w:t>
      </w:r>
      <w:r w:rsidR="005E59EA" w:rsidRPr="008D3072">
        <w:t xml:space="preserve">be addressed through changes to how P points are scored (discussed in Chapter </w:t>
      </w:r>
      <w:r w:rsidR="008D3072" w:rsidRPr="008D3072">
        <w:t>5</w:t>
      </w:r>
      <w:r w:rsidR="005E59EA" w:rsidRPr="008D3072">
        <w:t xml:space="preserve">). </w:t>
      </w:r>
    </w:p>
    <w:p w14:paraId="2F850F49" w14:textId="77777777" w:rsidR="005E59EA" w:rsidRPr="008D624F" w:rsidRDefault="005E59EA" w:rsidP="0024269C">
      <w:pPr>
        <w:pStyle w:val="ListParagraph"/>
      </w:pPr>
    </w:p>
    <w:p w14:paraId="1EA841EE" w14:textId="77777777" w:rsidR="005E59EA" w:rsidRDefault="005E59EA" w:rsidP="0024269C">
      <w:r>
        <w:t xml:space="preserve">Based on TAG modelling, these changes would impact some, but not the majority of salty snacks that receive HSRs of </w:t>
      </w:r>
      <w:r>
        <w:sym w:font="Symbol" w:char="F0B3"/>
      </w:r>
      <w:r>
        <w:t xml:space="preserve"> 3.5.</w:t>
      </w:r>
    </w:p>
    <w:p w14:paraId="37F61C35" w14:textId="77777777" w:rsidR="005E59EA" w:rsidRDefault="005E59EA" w:rsidP="0024269C"/>
    <w:p w14:paraId="77A4E170" w14:textId="58917733" w:rsidR="005E59EA" w:rsidRPr="00721228" w:rsidRDefault="005E59EA" w:rsidP="0024269C">
      <w:r>
        <w:t>If the status quo were retained, t</w:t>
      </w:r>
      <w:r w:rsidRPr="00F13EA7">
        <w:t xml:space="preserve">here </w:t>
      </w:r>
      <w:r>
        <w:t xml:space="preserve">are </w:t>
      </w:r>
      <w:r w:rsidRPr="00F13EA7">
        <w:t xml:space="preserve">initiatives outside of the HSR System that may impact on </w:t>
      </w:r>
      <w:r>
        <w:t>the high sodium content of salty snacks. For example, t</w:t>
      </w:r>
      <w:r w:rsidRPr="00721228">
        <w:t xml:space="preserve">he </w:t>
      </w:r>
      <w:hyperlink r:id="rId36" w:history="1">
        <w:r w:rsidRPr="00721228">
          <w:rPr>
            <w:rStyle w:val="Hyperlink"/>
            <w:szCs w:val="22"/>
          </w:rPr>
          <w:t>Healthy Food Partnership’s Reformulation Working Group </w:t>
        </w:r>
      </w:hyperlink>
      <w:r w:rsidRPr="00721228">
        <w:t xml:space="preserve">has developed draft reformulation targets for sodium across foods that represent the highest contributors of sodium to Australian population level intakes. </w:t>
      </w:r>
      <w:r w:rsidR="0039558F">
        <w:t>Draft r</w:t>
      </w:r>
      <w:r w:rsidRPr="00721228">
        <w:t>eformulation targets are specifically proposed for potato snacks, extruded snacks, corn snacks, vegetable, grain and other snacks</w:t>
      </w:r>
      <w:r>
        <w:t xml:space="preserve"> (as well as a number of other products including </w:t>
      </w:r>
      <w:r w:rsidRPr="00721228">
        <w:t>ready meals and pizzas, bread and pastries, processed meats (including ham, bacon, frankfurts, saveloys, sausages), gravies and sauces, cheddar and processed cheeses, crumbed and battered meats and seafoods, cakes, muffins and slices, breakfast cereals, savoury biscuits, crackers, corn and rice cakes and soups</w:t>
      </w:r>
      <w:r>
        <w:t>)</w:t>
      </w:r>
      <w:r w:rsidRPr="00721228">
        <w:t>.</w:t>
      </w:r>
      <w:r w:rsidR="0039558F">
        <w:t xml:space="preserve"> However, it should be noted that this is an Australian initiative, with no equivalent in New Zealand.</w:t>
      </w:r>
    </w:p>
    <w:p w14:paraId="0B696AC5" w14:textId="77777777" w:rsidR="005E59EA" w:rsidRDefault="005E59EA" w:rsidP="0024269C"/>
    <w:p w14:paraId="6631BC64" w14:textId="3EFE757C" w:rsidR="005E59EA" w:rsidRPr="00442DA2" w:rsidRDefault="005E59EA" w:rsidP="00B91EBF">
      <w:pPr>
        <w:pStyle w:val="mpcheading4"/>
        <w:numPr>
          <w:ilvl w:val="0"/>
          <w:numId w:val="13"/>
        </w:numPr>
      </w:pPr>
      <w:r>
        <w:t xml:space="preserve">Remove modifying points or restrict the HSR for </w:t>
      </w:r>
      <w:r w:rsidR="00A751C7">
        <w:t>salty snacks</w:t>
      </w:r>
      <w:r>
        <w:t xml:space="preserve"> </w:t>
      </w:r>
      <w:r w:rsidR="00A751C7">
        <w:t>to reduce their</w:t>
      </w:r>
      <w:r w:rsidR="001402F9">
        <w:t xml:space="preserve"> HSRs in line with their status as discretionary foods</w:t>
      </w:r>
    </w:p>
    <w:p w14:paraId="1D152458" w14:textId="77777777" w:rsidR="005E59EA" w:rsidRDefault="005E59EA" w:rsidP="0024269C">
      <w:r>
        <w:t>Two possible ways to address concerns regarding the HSRs of salty snacks include providing that salty snacks:</w:t>
      </w:r>
    </w:p>
    <w:p w14:paraId="4F1FF98B" w14:textId="77777777" w:rsidR="005E59EA" w:rsidRDefault="005E59EA" w:rsidP="0024269C"/>
    <w:p w14:paraId="18B51E78" w14:textId="42EDE399" w:rsidR="005E59EA" w:rsidRPr="0018523D" w:rsidRDefault="005E59EA" w:rsidP="00B91EBF">
      <w:pPr>
        <w:pStyle w:val="ListParagraph"/>
        <w:numPr>
          <w:ilvl w:val="0"/>
          <w:numId w:val="24"/>
        </w:numPr>
      </w:pPr>
      <w:r w:rsidRPr="0018523D">
        <w:t>cannot receive modifying points for protein, fibre and/or FVNL</w:t>
      </w:r>
      <w:r>
        <w:t xml:space="preserve"> content</w:t>
      </w:r>
    </w:p>
    <w:p w14:paraId="775E9451" w14:textId="149F3815" w:rsidR="005E59EA" w:rsidRDefault="005E59EA" w:rsidP="00B91EBF">
      <w:pPr>
        <w:pStyle w:val="ListParagraph"/>
        <w:numPr>
          <w:ilvl w:val="0"/>
          <w:numId w:val="24"/>
        </w:numPr>
      </w:pPr>
      <w:r>
        <w:t>cannot receive a</w:t>
      </w:r>
      <w:r w:rsidR="007E6515">
        <w:t>n</w:t>
      </w:r>
      <w:r>
        <w:t xml:space="preserve"> HSR of 3.5 or higher.</w:t>
      </w:r>
    </w:p>
    <w:p w14:paraId="026CE682" w14:textId="77777777" w:rsidR="005E59EA" w:rsidRDefault="005E59EA" w:rsidP="0024269C"/>
    <w:p w14:paraId="26D3BF1A" w14:textId="3B413E59" w:rsidR="005E59EA" w:rsidRDefault="005E59EA" w:rsidP="0024269C">
      <w:r>
        <w:t xml:space="preserve">Both of these options would require a threshold for high sodium to be determined. Depending on the threshold, this may impact on a significant proportion of products, not just salty snacks. Using the UK Traffic Light System threshold of </w:t>
      </w:r>
      <w:r w:rsidRPr="00AB3873">
        <w:t>600mg/100g</w:t>
      </w:r>
      <w:r w:rsidR="00725A37">
        <w:t xml:space="preserve">, 986 (17%) </w:t>
      </w:r>
      <w:r>
        <w:t xml:space="preserve">products in the TAG database would be </w:t>
      </w:r>
      <w:r w:rsidR="00B41081">
        <w:t>affected</w:t>
      </w:r>
      <w:r>
        <w:t>, including ready meals, sauces and condiments, processed vegetables, processed meats, FFG cheeses, savoury biscuits and breakfast cereals, bakery products, nuts and meat substitutes. Only 67 of these 986 products are discretionary snack products.</w:t>
      </w:r>
    </w:p>
    <w:p w14:paraId="245712EE" w14:textId="77777777" w:rsidR="005E59EA" w:rsidRDefault="005E59EA" w:rsidP="0024269C"/>
    <w:p w14:paraId="3B7DEDB5" w14:textId="77777777" w:rsidR="005E59EA" w:rsidRDefault="005E59EA" w:rsidP="0024269C">
      <w:r>
        <w:t>These options are not preferred because:</w:t>
      </w:r>
    </w:p>
    <w:p w14:paraId="691509E6" w14:textId="77777777" w:rsidR="005E59EA" w:rsidRDefault="005E59EA" w:rsidP="0024269C"/>
    <w:p w14:paraId="6729B1E4" w14:textId="77777777" w:rsidR="005E59EA" w:rsidRDefault="005E59EA" w:rsidP="00B91EBF">
      <w:pPr>
        <w:pStyle w:val="ListParagraph"/>
        <w:numPr>
          <w:ilvl w:val="0"/>
          <w:numId w:val="18"/>
        </w:numPr>
      </w:pPr>
      <w:r>
        <w:t xml:space="preserve">they remove a significant degree of differentiation between high sodium products </w:t>
      </w:r>
    </w:p>
    <w:p w14:paraId="459A62E7" w14:textId="4771E1C8" w:rsidR="005E59EA" w:rsidRDefault="005E59EA" w:rsidP="003763CA">
      <w:pPr>
        <w:pStyle w:val="mpcbullets1"/>
      </w:pPr>
      <w:r>
        <w:t xml:space="preserve">they </w:t>
      </w:r>
      <w:r w:rsidR="00623425">
        <w:t xml:space="preserve">disadvantage </w:t>
      </w:r>
      <w:r>
        <w:t xml:space="preserve">products that may have nutritional value from </w:t>
      </w:r>
      <w:r w:rsidRPr="0018523D">
        <w:t>protein, fibre and/or FVNL</w:t>
      </w:r>
      <w:r>
        <w:t xml:space="preserve">, providing limited differentiation between like products </w:t>
      </w:r>
    </w:p>
    <w:p w14:paraId="4ED1010C" w14:textId="76EF8381" w:rsidR="005E59EA" w:rsidRPr="00C100C5" w:rsidRDefault="005E59EA" w:rsidP="003763CA">
      <w:pPr>
        <w:pStyle w:val="mpcbullets1"/>
      </w:pPr>
      <w:r>
        <w:t xml:space="preserve">they impact on the logic of the HSR System, which aims to provide an overall </w:t>
      </w:r>
      <w:r w:rsidRPr="00E6379D">
        <w:t xml:space="preserve">view of a product based on a combination of </w:t>
      </w:r>
      <w:r>
        <w:t>components</w:t>
      </w:r>
    </w:p>
    <w:p w14:paraId="43220DFD" w14:textId="2F805251" w:rsidR="005E59EA" w:rsidRPr="00413428" w:rsidRDefault="005E59EA" w:rsidP="003763CA">
      <w:pPr>
        <w:pStyle w:val="mpcbullets1"/>
      </w:pPr>
      <w:r w:rsidRPr="00413428">
        <w:t xml:space="preserve">while it may encourage reformulation to decrease sodium content for products close to the threshold, </w:t>
      </w:r>
      <w:r>
        <w:t>where products are not close to this threshold, there is no incentive. This option therefore</w:t>
      </w:r>
      <w:r w:rsidRPr="00413428">
        <w:t xml:space="preserve"> limits the ability </w:t>
      </w:r>
      <w:r>
        <w:t>of</w:t>
      </w:r>
      <w:r w:rsidRPr="00413428">
        <w:t xml:space="preserve"> industry to reformulate </w:t>
      </w:r>
      <w:r>
        <w:t>to reduce negative nutrients</w:t>
      </w:r>
      <w:r w:rsidR="00192A3F">
        <w:t>,</w:t>
      </w:r>
      <w:r>
        <w:t xml:space="preserve"> or increase positive components</w:t>
      </w:r>
      <w:r w:rsidR="00192A3F">
        <w:t>,</w:t>
      </w:r>
      <w:r>
        <w:t xml:space="preserve"> to receive a higher HSR</w:t>
      </w:r>
      <w:r w:rsidRPr="00413428">
        <w:t>.</w:t>
      </w:r>
    </w:p>
    <w:p w14:paraId="0C7F7A94" w14:textId="77777777" w:rsidR="005E59EA" w:rsidRDefault="005E59EA" w:rsidP="0024269C"/>
    <w:p w14:paraId="118E472D" w14:textId="77777777" w:rsidR="005E59EA" w:rsidRPr="00A00709" w:rsidRDefault="005E59EA" w:rsidP="003763CA">
      <w:pPr>
        <w:pStyle w:val="mpcheading3"/>
      </w:pPr>
      <w:bookmarkStart w:id="157" w:name="_Toc524530395"/>
      <w:r w:rsidRPr="00A00709">
        <w:t>Summary</w:t>
      </w:r>
      <w:bookmarkEnd w:id="157"/>
      <w:r>
        <w:t xml:space="preserve"> and </w:t>
      </w:r>
      <w:r w:rsidRPr="003763CA">
        <w:t>consultation</w:t>
      </w:r>
      <w:r>
        <w:t xml:space="preserve"> </w:t>
      </w:r>
    </w:p>
    <w:p w14:paraId="1A4D40CC" w14:textId="7C83F019" w:rsidR="005E59EA" w:rsidRDefault="005E59EA" w:rsidP="0024269C">
      <w:r>
        <w:t>While the separation</w:t>
      </w:r>
      <w:r w:rsidR="00192A3F">
        <w:t xml:space="preserve"> of salty snacks into their own</w:t>
      </w:r>
      <w:r>
        <w:t xml:space="preserve"> category (such that Option B could be applied only to salty snacks) has been considered, it is not desirable to create more categories or subcategories within the HSR System. This would add further complexity to the HSR Calculator and disrupt the logic of the HSR System in supporting consumers to compare like products. It would also require agreement upon a definition of salty snacks.</w:t>
      </w:r>
    </w:p>
    <w:p w14:paraId="20BB9579" w14:textId="77777777" w:rsidR="005E59EA" w:rsidRDefault="005E59EA" w:rsidP="0024269C"/>
    <w:p w14:paraId="576201BF" w14:textId="6C0AC71F" w:rsidR="005E59EA" w:rsidRDefault="005E59EA" w:rsidP="0024269C">
      <w:r>
        <w:t xml:space="preserve">Option </w:t>
      </w:r>
      <w:r w:rsidR="00655BEA">
        <w:t xml:space="preserve">B </w:t>
      </w:r>
      <w:r>
        <w:t>has significant disadvantages, breaking the logic of the HSR System by singling out one nutrient of concern</w:t>
      </w:r>
      <w:r w:rsidR="00192A3F">
        <w:t>,</w:t>
      </w:r>
      <w:r>
        <w:t xml:space="preserve"> and </w:t>
      </w:r>
      <w:r w:rsidR="003F1230">
        <w:t>will have</w:t>
      </w:r>
      <w:r>
        <w:t xml:space="preserve"> a widespread impact on other products high in sodium. </w:t>
      </w:r>
    </w:p>
    <w:p w14:paraId="65E9DE77" w14:textId="77777777" w:rsidR="005E59EA" w:rsidRDefault="005E59EA" w:rsidP="0024269C"/>
    <w:p w14:paraId="1BD340EB" w14:textId="7AF6E060" w:rsidR="00E00D3E" w:rsidRDefault="00E00D3E" w:rsidP="00E00D3E">
      <w:pPr>
        <w:pStyle w:val="mpcbullets1"/>
        <w:numPr>
          <w:ilvl w:val="0"/>
          <w:numId w:val="0"/>
        </w:numPr>
        <w:rPr>
          <w:rFonts w:cstheme="minorHAnsi"/>
          <w:szCs w:val="22"/>
        </w:rPr>
      </w:pPr>
      <w:r>
        <w:rPr>
          <w:szCs w:val="22"/>
        </w:rPr>
        <w:lastRenderedPageBreak/>
        <w:t>We</w:t>
      </w:r>
      <w:r w:rsidR="005E59EA">
        <w:rPr>
          <w:szCs w:val="22"/>
        </w:rPr>
        <w:t xml:space="preserve"> therefore prefer</w:t>
      </w:r>
      <w:r>
        <w:rPr>
          <w:szCs w:val="22"/>
        </w:rPr>
        <w:t xml:space="preserve"> Option </w:t>
      </w:r>
      <w:r w:rsidR="00655BEA">
        <w:rPr>
          <w:szCs w:val="22"/>
        </w:rPr>
        <w:t>A</w:t>
      </w:r>
      <w:r>
        <w:rPr>
          <w:szCs w:val="22"/>
        </w:rPr>
        <w:t xml:space="preserve"> noting that </w:t>
      </w:r>
      <w:r>
        <w:rPr>
          <w:rFonts w:cstheme="minorHAnsi"/>
          <w:szCs w:val="22"/>
        </w:rPr>
        <w:t xml:space="preserve">the HSRs for </w:t>
      </w:r>
      <w:r w:rsidR="00A751C7">
        <w:rPr>
          <w:rFonts w:cstheme="minorHAnsi"/>
          <w:szCs w:val="22"/>
        </w:rPr>
        <w:t xml:space="preserve">20% of the salty snacks in the TAG database </w:t>
      </w:r>
      <w:r>
        <w:t xml:space="preserve">would be decreased by 0.5 to 1.5 stars due to the stronger penalisation of high sodium content and the </w:t>
      </w:r>
      <w:r>
        <w:rPr>
          <w:rFonts w:cstheme="minorHAnsi"/>
          <w:szCs w:val="22"/>
        </w:rPr>
        <w:t xml:space="preserve">change to the threshold at which products can score </w:t>
      </w:r>
      <w:r w:rsidRPr="00162A4C">
        <w:rPr>
          <w:rFonts w:cstheme="minorHAnsi"/>
          <w:szCs w:val="22"/>
        </w:rPr>
        <w:t>modifying protein points</w:t>
      </w:r>
      <w:r>
        <w:rPr>
          <w:rFonts w:cstheme="minorHAnsi"/>
          <w:szCs w:val="22"/>
        </w:rPr>
        <w:t xml:space="preserve"> (as discussed in Chapters 4 and 5).</w:t>
      </w:r>
    </w:p>
    <w:p w14:paraId="1A9B2EA3" w14:textId="77777777" w:rsidR="00E00D3E" w:rsidRDefault="00E00D3E" w:rsidP="00E00D3E">
      <w:pPr>
        <w:pStyle w:val="mpcbullets1"/>
        <w:numPr>
          <w:ilvl w:val="0"/>
          <w:numId w:val="0"/>
        </w:numPr>
      </w:pPr>
    </w:p>
    <w:p w14:paraId="58087284" w14:textId="28FDED4E" w:rsidR="005E59EA" w:rsidRDefault="00E00D3E" w:rsidP="0024269C">
      <w:r>
        <w:t>W</w:t>
      </w:r>
      <w:r w:rsidR="005E59EA">
        <w:t>e seek stakeholder views regarding the significance of this product specific issue relative to others, the impacts of the above options</w:t>
      </w:r>
      <w:r w:rsidR="00192A3F">
        <w:t>,</w:t>
      </w:r>
      <w:r w:rsidR="005E59EA">
        <w:t xml:space="preserve"> and</w:t>
      </w:r>
      <w:r w:rsidR="005E59EA" w:rsidRPr="001A60E2">
        <w:t xml:space="preserve"> </w:t>
      </w:r>
      <w:r w:rsidR="005E59EA">
        <w:t>any other possible options for addressing the identified issues.</w:t>
      </w:r>
    </w:p>
    <w:p w14:paraId="571E1262" w14:textId="77777777" w:rsidR="005E59EA" w:rsidRDefault="005E59EA" w:rsidP="0024269C"/>
    <w:p w14:paraId="37B4310A" w14:textId="77777777" w:rsidR="005E59EA" w:rsidRPr="00AB3873" w:rsidRDefault="005E59EA" w:rsidP="003763CA">
      <w:pPr>
        <w:pStyle w:val="mpcheading2"/>
      </w:pPr>
      <w:bookmarkStart w:id="158" w:name="Dairydesserts"/>
      <w:bookmarkStart w:id="159" w:name="_Toc527112911"/>
      <w:bookmarkEnd w:id="158"/>
      <w:r>
        <w:t xml:space="preserve">Dairy </w:t>
      </w:r>
      <w:r w:rsidRPr="003763CA">
        <w:t>desserts</w:t>
      </w:r>
      <w:bookmarkEnd w:id="159"/>
    </w:p>
    <w:p w14:paraId="16CA14A4" w14:textId="77777777" w:rsidR="005E59EA" w:rsidRPr="00AB3873" w:rsidRDefault="005E59EA" w:rsidP="0024269C"/>
    <w:p w14:paraId="6186A068" w14:textId="77777777" w:rsidR="005E59EA" w:rsidRPr="003763CA" w:rsidRDefault="005E59EA" w:rsidP="003763CA">
      <w:pPr>
        <w:pStyle w:val="mpcheading3"/>
      </w:pPr>
      <w:bookmarkStart w:id="160" w:name="_Toc524530397"/>
      <w:r w:rsidRPr="00AB3873">
        <w:t>Issue</w:t>
      </w:r>
      <w:bookmarkEnd w:id="160"/>
    </w:p>
    <w:p w14:paraId="04C4A4E7" w14:textId="33F2ECEE" w:rsidR="005E59EA" w:rsidRPr="00AB3873" w:rsidRDefault="005E59EA" w:rsidP="0024269C">
      <w:r>
        <w:t xml:space="preserve">The six categories within the </w:t>
      </w:r>
      <w:r w:rsidRPr="00AB3873">
        <w:t xml:space="preserve">HSR </w:t>
      </w:r>
      <w:r>
        <w:t>Calculator</w:t>
      </w:r>
      <w:r w:rsidRPr="00AB3873">
        <w:t xml:space="preserve"> </w:t>
      </w:r>
      <w:r>
        <w:t>were created to allow different scaling within each category</w:t>
      </w:r>
      <w:r w:rsidR="00192A3F">
        <w:t>,</w:t>
      </w:r>
      <w:r>
        <w:t xml:space="preserve"> to ensure appropriate discrimination between FFG and discretionary products. </w:t>
      </w:r>
      <w:r w:rsidRPr="00AB3873">
        <w:t xml:space="preserve">Dairy categories were created </w:t>
      </w:r>
      <w:r>
        <w:t>so</w:t>
      </w:r>
      <w:r w:rsidRPr="00AB3873">
        <w:t xml:space="preserve"> that dairy products (which are a valuable source of calcium in the diet and</w:t>
      </w:r>
      <w:r w:rsidR="00192A3F">
        <w:t xml:space="preserve"> are</w:t>
      </w:r>
      <w:r w:rsidRPr="00AB3873">
        <w:t xml:space="preserve"> recommended by Dietary Guidelines) were not penalised for their </w:t>
      </w:r>
      <w:r>
        <w:t>intrinsic</w:t>
      </w:r>
      <w:r w:rsidRPr="00AB3873">
        <w:t xml:space="preserve"> sugars and </w:t>
      </w:r>
      <w:r>
        <w:t>natura</w:t>
      </w:r>
      <w:r w:rsidR="00192A3F">
        <w:t xml:space="preserve">l fat content, </w:t>
      </w:r>
      <w:r>
        <w:t>so that FFG dairy products receive HSRs &gt; 3.</w:t>
      </w:r>
    </w:p>
    <w:p w14:paraId="06F6F3B5" w14:textId="77777777" w:rsidR="005E59EA" w:rsidRDefault="005E59EA" w:rsidP="0024269C"/>
    <w:p w14:paraId="4AF02CA9" w14:textId="666FAE52" w:rsidR="005E59EA" w:rsidRDefault="005E59EA" w:rsidP="0024269C">
      <w:r w:rsidRPr="00AB3873">
        <w:t xml:space="preserve">Category 2D includes </w:t>
      </w:r>
      <w:r>
        <w:t xml:space="preserve">all </w:t>
      </w:r>
      <w:r w:rsidRPr="00AB3873">
        <w:t>c</w:t>
      </w:r>
      <w:r>
        <w:t xml:space="preserve">heeses with calcium content </w:t>
      </w:r>
      <w:r w:rsidR="007C7A7F">
        <w:sym w:font="Symbol" w:char="F0A3"/>
      </w:r>
      <w:r>
        <w:t xml:space="preserve"> </w:t>
      </w:r>
      <w:r w:rsidRPr="00AB3873">
        <w:t>32</w:t>
      </w:r>
      <w:r>
        <w:t>0mg/100g</w:t>
      </w:r>
      <w:r w:rsidRPr="00AB3873">
        <w:t>, yogh</w:t>
      </w:r>
      <w:r>
        <w:t xml:space="preserve">urt and fermented milk products. </w:t>
      </w:r>
      <w:r w:rsidRPr="00AB3873">
        <w:t>‘Dairy desserts’ such as custards, desserts, cream cheese</w:t>
      </w:r>
      <w:r>
        <w:t>s</w:t>
      </w:r>
      <w:r w:rsidRPr="00AB3873">
        <w:t>, ice-cream</w:t>
      </w:r>
      <w:r>
        <w:t>s</w:t>
      </w:r>
      <w:r w:rsidRPr="00AB3873">
        <w:t xml:space="preserve"> and cream</w:t>
      </w:r>
      <w:r>
        <w:t>s</w:t>
      </w:r>
      <w:r w:rsidRPr="00AB3873">
        <w:t xml:space="preserve"> are not considered dairy foods by the HSR Calculator</w:t>
      </w:r>
      <w:r w:rsidR="00192A3F">
        <w:t>,</w:t>
      </w:r>
      <w:r w:rsidRPr="00AB3873">
        <w:t xml:space="preserve"> </w:t>
      </w:r>
      <w:r w:rsidR="002C697B">
        <w:t>and as such</w:t>
      </w:r>
      <w:r w:rsidR="002C697B" w:rsidRPr="00AB3873">
        <w:t xml:space="preserve"> </w:t>
      </w:r>
      <w:r w:rsidRPr="00AB3873">
        <w:t>are classified as Category 2 foods.</w:t>
      </w:r>
    </w:p>
    <w:p w14:paraId="7AEE3B4A" w14:textId="77777777" w:rsidR="005E59EA" w:rsidRDefault="005E59EA" w:rsidP="0024269C"/>
    <w:p w14:paraId="2065754E" w14:textId="657F7D11" w:rsidR="005E59EA" w:rsidRDefault="005E59EA" w:rsidP="0024269C">
      <w:r>
        <w:t xml:space="preserve">Due to the way the HSR Calculator deals with different categories, products in Category 2 receive higher HSRs than nutritionally similar products in Category 2D. Stakeholders have suggested that </w:t>
      </w:r>
      <w:r w:rsidRPr="00F8142E">
        <w:t xml:space="preserve">some </w:t>
      </w:r>
      <w:r>
        <w:t xml:space="preserve">Category </w:t>
      </w:r>
      <w:r w:rsidRPr="00F8142E">
        <w:t>2D products</w:t>
      </w:r>
      <w:r>
        <w:t xml:space="preserve"> (such as yoghurts) </w:t>
      </w:r>
      <w:r w:rsidRPr="00F8142E">
        <w:t>receive a</w:t>
      </w:r>
      <w:r w:rsidR="007E6515">
        <w:t>n</w:t>
      </w:r>
      <w:r w:rsidRPr="00F8142E">
        <w:t xml:space="preserve"> HSR </w:t>
      </w:r>
      <w:r>
        <w:t xml:space="preserve">that </w:t>
      </w:r>
      <w:r w:rsidRPr="00F8142E">
        <w:t>is too low</w:t>
      </w:r>
      <w:r>
        <w:t xml:space="preserve"> for a</w:t>
      </w:r>
      <w:r w:rsidR="00192A3F">
        <w:t>n</w:t>
      </w:r>
      <w:r>
        <w:t xml:space="preserve"> FFG food</w:t>
      </w:r>
      <w:r w:rsidR="00192A3F">
        <w:t>,</w:t>
      </w:r>
      <w:r>
        <w:t xml:space="preserve"> and </w:t>
      </w:r>
      <w:r w:rsidR="00192A3F">
        <w:t xml:space="preserve">this </w:t>
      </w:r>
      <w:r>
        <w:t xml:space="preserve">does not </w:t>
      </w:r>
      <w:r w:rsidR="00623425">
        <w:t xml:space="preserve">appropriately </w:t>
      </w:r>
      <w:r w:rsidRPr="000C274E">
        <w:t>rate</w:t>
      </w:r>
      <w:r>
        <w:t xml:space="preserve"> these products</w:t>
      </w:r>
      <w:r w:rsidRPr="00F8142E">
        <w:t xml:space="preserve"> wh</w:t>
      </w:r>
      <w:r>
        <w:t>en compared to similar products in Category 2 (such as custards)</w:t>
      </w:r>
      <w:r w:rsidRPr="00F8142E">
        <w:t>.</w:t>
      </w:r>
    </w:p>
    <w:p w14:paraId="6F51E8B5" w14:textId="77777777" w:rsidR="005E59EA" w:rsidRDefault="005E59EA" w:rsidP="0024269C"/>
    <w:p w14:paraId="34594A83" w14:textId="162A2FAD" w:rsidR="005E59EA" w:rsidRDefault="005E59EA" w:rsidP="0024269C">
      <w:r>
        <w:t>Since the implementation of the HSR System, yoghurts have undergone innovation such that there is a wide range of relative healthiness and nutrient profiles, rang</w:t>
      </w:r>
      <w:r w:rsidR="00192A3F">
        <w:t>ing from ‘pure’ yoghurts through to</w:t>
      </w:r>
      <w:r>
        <w:t xml:space="preserve"> those that are more similar to dairy desserts. Yoghurts are also usually found in the same location of the supermarket as custards and other dairy desserts. While the HSR System is intended to provide a measure of a product’s </w:t>
      </w:r>
      <w:r w:rsidR="00C72F6C">
        <w:t xml:space="preserve">nutritional value </w:t>
      </w:r>
      <w:r>
        <w:t>relative to other products in its category, it is likely these products would be compared by consumers.</w:t>
      </w:r>
    </w:p>
    <w:p w14:paraId="11799474" w14:textId="0040ED7A" w:rsidR="00592AB7" w:rsidRDefault="00592AB7" w:rsidP="0024269C"/>
    <w:p w14:paraId="032EACF6" w14:textId="2665725B" w:rsidR="00592AB7" w:rsidRDefault="00592AB7" w:rsidP="00592AB7">
      <w:pPr>
        <w:pStyle w:val="mpcbullets1"/>
        <w:numPr>
          <w:ilvl w:val="0"/>
          <w:numId w:val="0"/>
        </w:numPr>
        <w:rPr>
          <w:rFonts w:cstheme="minorHAnsi"/>
        </w:rPr>
      </w:pPr>
      <w:r>
        <w:rPr>
          <w:rFonts w:cstheme="minorHAnsi"/>
        </w:rPr>
        <w:t>A study published in August 2018</w:t>
      </w:r>
      <w:r>
        <w:rPr>
          <w:rStyle w:val="FootnoteReference"/>
          <w:rFonts w:cstheme="minorHAnsi"/>
        </w:rPr>
        <w:footnoteReference w:id="59"/>
      </w:r>
      <w:r>
        <w:rPr>
          <w:rFonts w:cstheme="minorHAnsi"/>
        </w:rPr>
        <w:t xml:space="preserve"> found that yoghurts were an area of misalignment between the HSR System and the NPSC. 335 yoghurts had an HSR &lt; 3.5 but were eligible to display health claims under the Code</w:t>
      </w:r>
      <w:r>
        <w:rPr>
          <w:rStyle w:val="FootnoteReference"/>
          <w:rFonts w:cstheme="minorHAnsi"/>
        </w:rPr>
        <w:footnoteReference w:id="60"/>
      </w:r>
      <w:r>
        <w:rPr>
          <w:rFonts w:cstheme="minorHAnsi"/>
        </w:rPr>
        <w:t>.</w:t>
      </w:r>
    </w:p>
    <w:p w14:paraId="1CE0C9AE" w14:textId="76A5C9A9" w:rsidR="0024166E" w:rsidRDefault="0024166E" w:rsidP="00592AB7">
      <w:pPr>
        <w:pStyle w:val="mpcbullets1"/>
        <w:numPr>
          <w:ilvl w:val="0"/>
          <w:numId w:val="0"/>
        </w:numPr>
        <w:rPr>
          <w:rFonts w:cstheme="minorHAnsi"/>
        </w:rPr>
      </w:pPr>
    </w:p>
    <w:p w14:paraId="5136541A" w14:textId="63D950F0" w:rsidR="0024166E" w:rsidRDefault="0024166E" w:rsidP="00592AB7">
      <w:pPr>
        <w:pStyle w:val="mpcbullets1"/>
        <w:numPr>
          <w:ilvl w:val="0"/>
          <w:numId w:val="0"/>
        </w:numPr>
        <w:rPr>
          <w:rFonts w:cstheme="minorHAnsi"/>
        </w:rPr>
      </w:pPr>
      <w:r>
        <w:rPr>
          <w:rFonts w:cstheme="minorHAnsi"/>
        </w:rPr>
        <w:t>The TAG has not developed a paper exploring this issue, however information regarding</w:t>
      </w:r>
      <w:r w:rsidR="00095B6E">
        <w:rPr>
          <w:rFonts w:cstheme="minorHAnsi"/>
        </w:rPr>
        <w:t xml:space="preserve"> this</w:t>
      </w:r>
      <w:r>
        <w:rPr>
          <w:rFonts w:cstheme="minorHAnsi"/>
        </w:rPr>
        <w:t xml:space="preserve"> is available in the </w:t>
      </w:r>
      <w:hyperlink r:id="rId37" w:history="1">
        <w:r w:rsidRPr="0024166E">
          <w:rPr>
            <w:rStyle w:val="Hyperlink"/>
            <w:rFonts w:cstheme="minorHAnsi"/>
          </w:rPr>
          <w:t>HSRAC register of potential anomalies</w:t>
        </w:r>
      </w:hyperlink>
      <w:r>
        <w:rPr>
          <w:rFonts w:cstheme="minorHAnsi"/>
        </w:rPr>
        <w:t xml:space="preserve"> (application number 2016-5).</w:t>
      </w:r>
    </w:p>
    <w:p w14:paraId="608C46A6" w14:textId="77777777" w:rsidR="005E59EA" w:rsidRPr="00AB3873" w:rsidRDefault="005E59EA" w:rsidP="0024269C"/>
    <w:p w14:paraId="007F3DF4" w14:textId="77777777" w:rsidR="005E59EA" w:rsidRPr="00AB3873" w:rsidRDefault="005E59EA" w:rsidP="003763CA">
      <w:pPr>
        <w:pStyle w:val="mpcheading3"/>
      </w:pPr>
      <w:bookmarkStart w:id="161" w:name="_Toc524530398"/>
      <w:r w:rsidRPr="003763CA">
        <w:t>Considerations</w:t>
      </w:r>
      <w:bookmarkEnd w:id="161"/>
    </w:p>
    <w:tbl>
      <w:tblPr>
        <w:tblStyle w:val="TableGrid"/>
        <w:tblW w:w="9781" w:type="dxa"/>
        <w:tblInd w:w="-5" w:type="dxa"/>
        <w:tblLook w:val="04A0" w:firstRow="1" w:lastRow="0" w:firstColumn="1" w:lastColumn="0" w:noHBand="0" w:noVBand="1"/>
        <w:tblCaption w:val="Considerations - dairy desserts"/>
        <w:tblDescription w:val="This table outlines the relevant information to be considered in determining options to address this issue."/>
      </w:tblPr>
      <w:tblGrid>
        <w:gridCol w:w="1328"/>
        <w:gridCol w:w="8453"/>
      </w:tblGrid>
      <w:tr w:rsidR="005E59EA" w:rsidRPr="00AB3873" w14:paraId="36616243" w14:textId="77777777" w:rsidTr="00D37907">
        <w:trPr>
          <w:tblHeader/>
        </w:trPr>
        <w:tc>
          <w:tcPr>
            <w:tcW w:w="1328" w:type="dxa"/>
            <w:shd w:val="clear" w:color="auto" w:fill="DEEAF6" w:themeFill="accent5" w:themeFillTint="33"/>
          </w:tcPr>
          <w:p w14:paraId="2C785F7B" w14:textId="77777777" w:rsidR="005E59EA" w:rsidRPr="00AB3873" w:rsidRDefault="005E59EA" w:rsidP="0024269C">
            <w:bookmarkStart w:id="162" w:name="RowTitle9"/>
            <w:bookmarkEnd w:id="162"/>
            <w:r w:rsidRPr="00AB3873">
              <w:lastRenderedPageBreak/>
              <w:t>Cur</w:t>
            </w:r>
            <w:bookmarkStart w:id="163" w:name="Table_11_dairy_desserts"/>
            <w:bookmarkEnd w:id="163"/>
            <w:r w:rsidRPr="00AB3873">
              <w:t xml:space="preserve">rent treatment in the HSR </w:t>
            </w:r>
            <w:r>
              <w:t>System</w:t>
            </w:r>
          </w:p>
        </w:tc>
        <w:tc>
          <w:tcPr>
            <w:tcW w:w="8453" w:type="dxa"/>
          </w:tcPr>
          <w:p w14:paraId="20F3C11C" w14:textId="0467874C" w:rsidR="005E59EA" w:rsidRPr="00AB3873" w:rsidRDefault="005E59EA" w:rsidP="003F1230">
            <w:pPr>
              <w:pStyle w:val="mpcbullets1"/>
              <w:spacing w:before="120" w:after="120"/>
              <w:contextualSpacing/>
              <w:rPr>
                <w:rFonts w:cstheme="minorHAnsi"/>
                <w:szCs w:val="22"/>
              </w:rPr>
            </w:pPr>
            <w:r w:rsidRPr="00AB3873">
              <w:rPr>
                <w:rFonts w:cstheme="minorHAnsi"/>
                <w:szCs w:val="22"/>
              </w:rPr>
              <w:t xml:space="preserve">Category 1D includes dairy beverages (with calcium content &gt; </w:t>
            </w:r>
            <w:r>
              <w:rPr>
                <w:rFonts w:cstheme="minorHAnsi"/>
                <w:szCs w:val="22"/>
              </w:rPr>
              <w:t>80mg/100g)</w:t>
            </w:r>
            <w:r w:rsidR="00C23724">
              <w:rPr>
                <w:rFonts w:cstheme="minorHAnsi"/>
                <w:szCs w:val="22"/>
              </w:rPr>
              <w:t>.</w:t>
            </w:r>
          </w:p>
          <w:p w14:paraId="424422D4" w14:textId="2302F52F" w:rsidR="005E59EA" w:rsidRPr="00AB3873" w:rsidRDefault="005E59EA" w:rsidP="003F1230">
            <w:pPr>
              <w:pStyle w:val="mpcbullets1"/>
              <w:spacing w:before="120" w:after="120"/>
              <w:contextualSpacing/>
              <w:rPr>
                <w:rFonts w:cstheme="minorHAnsi"/>
                <w:szCs w:val="22"/>
              </w:rPr>
            </w:pPr>
            <w:r w:rsidRPr="00AB3873">
              <w:rPr>
                <w:rFonts w:cstheme="minorHAnsi"/>
                <w:szCs w:val="22"/>
              </w:rPr>
              <w:t>Category 3D includes cheese and processed cheese (with calcium content &gt; 32</w:t>
            </w:r>
            <w:r>
              <w:rPr>
                <w:rFonts w:cstheme="minorHAnsi"/>
                <w:szCs w:val="22"/>
              </w:rPr>
              <w:t>0mg/100g</w:t>
            </w:r>
            <w:r w:rsidRPr="00AB3873">
              <w:rPr>
                <w:rFonts w:cstheme="minorHAnsi"/>
                <w:szCs w:val="22"/>
              </w:rPr>
              <w:t>)</w:t>
            </w:r>
          </w:p>
          <w:p w14:paraId="4AF9046E" w14:textId="4384D86D" w:rsidR="005E59EA" w:rsidRPr="00AB3873" w:rsidRDefault="005E59EA" w:rsidP="003F1230">
            <w:pPr>
              <w:pStyle w:val="mpcbullets1"/>
              <w:spacing w:before="120" w:after="120"/>
              <w:contextualSpacing/>
              <w:rPr>
                <w:rFonts w:cstheme="minorHAnsi"/>
                <w:szCs w:val="22"/>
              </w:rPr>
            </w:pPr>
            <w:r w:rsidRPr="00AB3873">
              <w:rPr>
                <w:rFonts w:cstheme="minorHAnsi"/>
                <w:szCs w:val="22"/>
              </w:rPr>
              <w:t xml:space="preserve">Category 2D includes dairy foods other than those included in 1D and 3D (cheeses with calcium content </w:t>
            </w:r>
            <w:r w:rsidR="007C7A7F">
              <w:rPr>
                <w:rFonts w:cstheme="minorHAnsi"/>
                <w:szCs w:val="22"/>
              </w:rPr>
              <w:sym w:font="Symbol" w:char="F0A3"/>
            </w:r>
            <w:r w:rsidRPr="00AB3873">
              <w:rPr>
                <w:rFonts w:cstheme="minorHAnsi"/>
                <w:szCs w:val="22"/>
              </w:rPr>
              <w:t xml:space="preserve"> </w:t>
            </w:r>
            <w:r>
              <w:rPr>
                <w:rFonts w:cstheme="minorHAnsi"/>
                <w:szCs w:val="22"/>
              </w:rPr>
              <w:t>3</w:t>
            </w:r>
            <w:r w:rsidRPr="00AB3873">
              <w:rPr>
                <w:rFonts w:cstheme="minorHAnsi"/>
                <w:szCs w:val="22"/>
              </w:rPr>
              <w:t>2</w:t>
            </w:r>
            <w:r>
              <w:rPr>
                <w:rFonts w:cstheme="minorHAnsi"/>
                <w:szCs w:val="22"/>
              </w:rPr>
              <w:t>0mg/100g</w:t>
            </w:r>
            <w:r w:rsidRPr="00AB3873">
              <w:rPr>
                <w:rFonts w:cstheme="minorHAnsi"/>
                <w:szCs w:val="22"/>
              </w:rPr>
              <w:t>, yoghurt and fermented milk products)</w:t>
            </w:r>
          </w:p>
          <w:p w14:paraId="4E2BD736" w14:textId="08FE5F49" w:rsidR="005E59EA" w:rsidRPr="00AB3873" w:rsidRDefault="005E59EA" w:rsidP="003F1230">
            <w:pPr>
              <w:pStyle w:val="mpcbullets1"/>
              <w:spacing w:before="120" w:after="120"/>
              <w:contextualSpacing/>
              <w:rPr>
                <w:rFonts w:cstheme="minorHAnsi"/>
                <w:szCs w:val="22"/>
              </w:rPr>
            </w:pPr>
            <w:r w:rsidRPr="00AB3873">
              <w:rPr>
                <w:rFonts w:cstheme="minorHAnsi"/>
                <w:szCs w:val="22"/>
              </w:rPr>
              <w:t>‘Dairy desserts’ such as custards, desserts, cream cheese, ice-cream and cream are not considered as dairy foods by the HSR Calculator</w:t>
            </w:r>
            <w:r w:rsidR="002A6909">
              <w:rPr>
                <w:rFonts w:cstheme="minorHAnsi"/>
                <w:szCs w:val="22"/>
              </w:rPr>
              <w:t>,</w:t>
            </w:r>
            <w:r w:rsidRPr="00AB3873">
              <w:rPr>
                <w:rFonts w:cstheme="minorHAnsi"/>
                <w:szCs w:val="22"/>
              </w:rPr>
              <w:t xml:space="preserve"> </w:t>
            </w:r>
            <w:r w:rsidR="002C697B">
              <w:rPr>
                <w:rFonts w:cstheme="minorHAnsi"/>
                <w:szCs w:val="22"/>
              </w:rPr>
              <w:t>and</w:t>
            </w:r>
            <w:r w:rsidR="002C697B" w:rsidRPr="00AB3873">
              <w:rPr>
                <w:rFonts w:cstheme="minorHAnsi"/>
                <w:szCs w:val="22"/>
              </w:rPr>
              <w:t xml:space="preserve"> </w:t>
            </w:r>
            <w:r w:rsidRPr="00AB3873">
              <w:rPr>
                <w:rFonts w:cstheme="minorHAnsi"/>
                <w:szCs w:val="22"/>
              </w:rPr>
              <w:t xml:space="preserve">are </w:t>
            </w:r>
            <w:r w:rsidR="009C2EED">
              <w:rPr>
                <w:rFonts w:cstheme="minorHAnsi"/>
                <w:szCs w:val="22"/>
              </w:rPr>
              <w:t xml:space="preserve">currently </w:t>
            </w:r>
            <w:r w:rsidRPr="00AB3873">
              <w:rPr>
                <w:rFonts w:cstheme="minorHAnsi"/>
                <w:szCs w:val="22"/>
              </w:rPr>
              <w:t>classified as Category</w:t>
            </w:r>
            <w:r w:rsidR="009C2EED">
              <w:rPr>
                <w:rFonts w:cstheme="minorHAnsi"/>
                <w:szCs w:val="22"/>
              </w:rPr>
              <w:t> </w:t>
            </w:r>
            <w:r w:rsidRPr="00AB3873">
              <w:rPr>
                <w:rFonts w:cstheme="minorHAnsi"/>
                <w:szCs w:val="22"/>
              </w:rPr>
              <w:t>2 foods.</w:t>
            </w:r>
          </w:p>
          <w:p w14:paraId="02EC1800" w14:textId="54BD8285" w:rsidR="005E59EA" w:rsidRPr="00AB3873" w:rsidRDefault="005E59EA" w:rsidP="003F1230">
            <w:pPr>
              <w:pStyle w:val="mpcbullets1"/>
              <w:spacing w:before="120" w:after="120"/>
              <w:contextualSpacing/>
              <w:rPr>
                <w:rFonts w:cstheme="minorHAnsi"/>
                <w:szCs w:val="22"/>
              </w:rPr>
            </w:pPr>
            <w:r w:rsidRPr="00AB3873">
              <w:rPr>
                <w:rFonts w:cstheme="minorHAnsi"/>
                <w:szCs w:val="22"/>
              </w:rPr>
              <w:t>The HSR Calculator does not account specifically for calcium as a positive nutrient</w:t>
            </w:r>
            <w:r w:rsidR="002A6909">
              <w:rPr>
                <w:rFonts w:cstheme="minorHAnsi"/>
                <w:szCs w:val="22"/>
              </w:rPr>
              <w:t>,</w:t>
            </w:r>
            <w:r w:rsidRPr="00AB3873">
              <w:rPr>
                <w:rFonts w:cstheme="minorHAnsi"/>
                <w:szCs w:val="22"/>
              </w:rPr>
              <w:t xml:space="preserve"> but uses protein as a proxy.</w:t>
            </w:r>
          </w:p>
        </w:tc>
      </w:tr>
      <w:tr w:rsidR="005E59EA" w:rsidRPr="00AB3873" w14:paraId="00F59A72" w14:textId="77777777" w:rsidTr="003F1230">
        <w:tc>
          <w:tcPr>
            <w:tcW w:w="1328" w:type="dxa"/>
            <w:shd w:val="clear" w:color="auto" w:fill="DEEAF6" w:themeFill="accent5" w:themeFillTint="33"/>
          </w:tcPr>
          <w:p w14:paraId="510368E7" w14:textId="77777777" w:rsidR="005E59EA" w:rsidRPr="00985F15" w:rsidRDefault="005E59EA" w:rsidP="0024269C">
            <w:r w:rsidRPr="00985F15">
              <w:t>Dietary Guidelines</w:t>
            </w:r>
          </w:p>
        </w:tc>
        <w:tc>
          <w:tcPr>
            <w:tcW w:w="8453" w:type="dxa"/>
          </w:tcPr>
          <w:p w14:paraId="0ADC381E" w14:textId="14723AA8" w:rsidR="005E59EA" w:rsidRPr="00AB3873" w:rsidRDefault="005E59EA" w:rsidP="003F1230">
            <w:pPr>
              <w:pStyle w:val="mpcbullets1"/>
              <w:spacing w:before="120" w:after="120"/>
              <w:contextualSpacing/>
              <w:rPr>
                <w:rFonts w:cstheme="minorHAnsi"/>
                <w:szCs w:val="22"/>
              </w:rPr>
            </w:pPr>
            <w:r w:rsidRPr="00AB3873">
              <w:rPr>
                <w:rFonts w:cstheme="minorHAnsi"/>
                <w:szCs w:val="22"/>
              </w:rPr>
              <w:t>Dietary Guideli</w:t>
            </w:r>
            <w:r w:rsidR="002A6909">
              <w:rPr>
                <w:rFonts w:cstheme="minorHAnsi"/>
                <w:szCs w:val="22"/>
              </w:rPr>
              <w:t>nes recommend consuming reduced-</w:t>
            </w:r>
            <w:r w:rsidRPr="00AB3873">
              <w:rPr>
                <w:rFonts w:cstheme="minorHAnsi"/>
                <w:szCs w:val="22"/>
              </w:rPr>
              <w:t>fat dairy products.</w:t>
            </w:r>
          </w:p>
          <w:p w14:paraId="3D619457" w14:textId="3B09DFDB"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ADG recommend co</w:t>
            </w:r>
            <w:r w:rsidR="002A6909">
              <w:rPr>
                <w:rFonts w:cstheme="minorHAnsi"/>
                <w:szCs w:val="22"/>
              </w:rPr>
              <w:t>nsuming two servings of reduced-</w:t>
            </w:r>
            <w:r w:rsidRPr="00AB3873">
              <w:rPr>
                <w:rFonts w:cstheme="minorHAnsi"/>
                <w:szCs w:val="22"/>
              </w:rPr>
              <w:t>fat milk, yog</w:t>
            </w:r>
            <w:r>
              <w:rPr>
                <w:rFonts w:cstheme="minorHAnsi"/>
                <w:szCs w:val="22"/>
              </w:rPr>
              <w:t>h</w:t>
            </w:r>
            <w:r w:rsidRPr="00AB3873">
              <w:rPr>
                <w:rFonts w:cstheme="minorHAnsi"/>
                <w:szCs w:val="22"/>
              </w:rPr>
              <w:t>urt, cheese or alternatives every day.</w:t>
            </w:r>
          </w:p>
          <w:p w14:paraId="6384A558" w14:textId="79C0A698" w:rsidR="005E59EA"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NZEAG recommend consuming two servings of milk products (milk, yoghurt, cheese) and alternat</w:t>
            </w:r>
            <w:r w:rsidR="002A6909">
              <w:rPr>
                <w:rFonts w:cstheme="minorHAnsi"/>
                <w:szCs w:val="22"/>
              </w:rPr>
              <w:t>ives (choose low-fat or reduced-</w:t>
            </w:r>
            <w:r w:rsidRPr="00AB3873">
              <w:rPr>
                <w:rFonts w:cstheme="minorHAnsi"/>
                <w:szCs w:val="22"/>
              </w:rPr>
              <w:t>fat options).</w:t>
            </w:r>
          </w:p>
          <w:p w14:paraId="72C815B4"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‘Dairy desserts’ such as custards, desserts, cream cheese, ice-cream and cream</w:t>
            </w:r>
            <w:r>
              <w:rPr>
                <w:rFonts w:cstheme="minorHAnsi"/>
                <w:szCs w:val="22"/>
              </w:rPr>
              <w:t xml:space="preserve"> are considered discretionary.</w:t>
            </w:r>
          </w:p>
        </w:tc>
      </w:tr>
      <w:tr w:rsidR="005E59EA" w:rsidRPr="00AB3873" w14:paraId="2EB5D585" w14:textId="77777777" w:rsidTr="003F1230">
        <w:tc>
          <w:tcPr>
            <w:tcW w:w="1328" w:type="dxa"/>
            <w:shd w:val="clear" w:color="auto" w:fill="DEEAF6" w:themeFill="accent5" w:themeFillTint="33"/>
          </w:tcPr>
          <w:p w14:paraId="6932CB39" w14:textId="77777777" w:rsidR="005E59EA" w:rsidRPr="00985F15" w:rsidRDefault="005E59EA" w:rsidP="0024269C">
            <w:r>
              <w:t>HSR statistics</w:t>
            </w:r>
          </w:p>
        </w:tc>
        <w:tc>
          <w:tcPr>
            <w:tcW w:w="8453" w:type="dxa"/>
          </w:tcPr>
          <w:p w14:paraId="5CAB324F" w14:textId="78A50A21" w:rsidR="005E59EA" w:rsidRPr="00AB3873" w:rsidRDefault="005E59EA" w:rsidP="003F1230">
            <w:pPr>
              <w:pStyle w:val="mpcbullets1"/>
              <w:spacing w:before="120" w:after="120"/>
              <w:contextualSpacing/>
              <w:rPr>
                <w:rFonts w:cstheme="minorHAnsi"/>
                <w:szCs w:val="22"/>
              </w:rPr>
            </w:pPr>
            <w:r w:rsidRPr="003F1230">
              <w:rPr>
                <w:rFonts w:cstheme="minorHAnsi"/>
                <w:szCs w:val="22"/>
              </w:rPr>
              <w:t xml:space="preserve">Dairy desserts </w:t>
            </w:r>
            <w:r w:rsidR="003F1230" w:rsidRPr="003F1230">
              <w:rPr>
                <w:rFonts w:cstheme="minorHAnsi"/>
                <w:szCs w:val="22"/>
              </w:rPr>
              <w:t xml:space="preserve">generally score HSRs </w:t>
            </w:r>
            <w:r w:rsidRPr="003F1230">
              <w:rPr>
                <w:rFonts w:cstheme="minorHAnsi"/>
                <w:szCs w:val="22"/>
              </w:rPr>
              <w:t xml:space="preserve">between </w:t>
            </w:r>
            <w:r w:rsidR="003F1230" w:rsidRPr="003F1230">
              <w:rPr>
                <w:rFonts w:cstheme="minorHAnsi"/>
                <w:szCs w:val="22"/>
              </w:rPr>
              <w:t xml:space="preserve">0.5 </w:t>
            </w:r>
            <w:r w:rsidR="003F1230">
              <w:rPr>
                <w:rFonts w:cstheme="minorHAnsi"/>
                <w:szCs w:val="22"/>
              </w:rPr>
              <w:t>and</w:t>
            </w:r>
            <w:r w:rsidRPr="003F1230">
              <w:rPr>
                <w:rFonts w:cstheme="minorHAnsi"/>
                <w:szCs w:val="22"/>
              </w:rPr>
              <w:t xml:space="preserve"> 3.5</w:t>
            </w:r>
            <w:r w:rsidR="003F1230">
              <w:rPr>
                <w:rFonts w:cstheme="minorHAnsi"/>
                <w:szCs w:val="22"/>
              </w:rPr>
              <w:t>.</w:t>
            </w:r>
          </w:p>
        </w:tc>
      </w:tr>
    </w:tbl>
    <w:p w14:paraId="10CD1A79" w14:textId="77777777" w:rsidR="005E59EA" w:rsidRDefault="005E59EA" w:rsidP="0024269C"/>
    <w:p w14:paraId="277D4E8E" w14:textId="77777777" w:rsidR="005E59EA" w:rsidRPr="00AB3873" w:rsidRDefault="005E59EA" w:rsidP="003763CA">
      <w:pPr>
        <w:pStyle w:val="mpcheading3"/>
      </w:pPr>
      <w:bookmarkStart w:id="164" w:name="_Toc524530399"/>
      <w:r w:rsidRPr="00AB3873">
        <w:t xml:space="preserve">Options </w:t>
      </w:r>
      <w:bookmarkEnd w:id="164"/>
      <w:r>
        <w:t>to address issue</w:t>
      </w:r>
    </w:p>
    <w:p w14:paraId="0D3B52B7" w14:textId="77777777" w:rsidR="005E59EA" w:rsidRPr="00AB3873" w:rsidRDefault="005E59EA" w:rsidP="00B91EBF">
      <w:pPr>
        <w:pStyle w:val="mpcheading4"/>
        <w:numPr>
          <w:ilvl w:val="0"/>
          <w:numId w:val="16"/>
        </w:numPr>
      </w:pPr>
      <w:bookmarkStart w:id="165" w:name="_Toc524530400"/>
      <w:r w:rsidRPr="00AB3873">
        <w:t xml:space="preserve">Status quo for </w:t>
      </w:r>
      <w:r>
        <w:t>dairy desserts</w:t>
      </w:r>
      <w:bookmarkEnd w:id="165"/>
    </w:p>
    <w:p w14:paraId="37E0E1A4" w14:textId="219A24AD" w:rsidR="005E59EA" w:rsidRDefault="005E59EA" w:rsidP="0024269C">
      <w:r w:rsidRPr="00AB3873">
        <w:t xml:space="preserve">This option would continue to </w:t>
      </w:r>
      <w:r>
        <w:t xml:space="preserve">award some discretionary dairy desserts (that are high in sugars and saturated fats) with HSRs that are higher than some yoghurts with similar or better nutritional profile. This would result in continued confusion regarding the relative </w:t>
      </w:r>
      <w:r w:rsidR="00C72F6C">
        <w:t xml:space="preserve">nutritional value </w:t>
      </w:r>
      <w:r>
        <w:t xml:space="preserve">of dairy desserts and FFG </w:t>
      </w:r>
      <w:r w:rsidR="00FD30D1">
        <w:t>dairy products such as yoghurts</w:t>
      </w:r>
      <w:r>
        <w:t xml:space="preserve">. </w:t>
      </w:r>
    </w:p>
    <w:p w14:paraId="493D1C08" w14:textId="77777777" w:rsidR="005E59EA" w:rsidRDefault="005E59EA" w:rsidP="0024269C"/>
    <w:p w14:paraId="48693560" w14:textId="3726D17F" w:rsidR="005E59EA" w:rsidRPr="00E44EE3" w:rsidRDefault="005E59EA" w:rsidP="00B91EBF">
      <w:pPr>
        <w:pStyle w:val="mpcheading4"/>
        <w:numPr>
          <w:ilvl w:val="0"/>
          <w:numId w:val="16"/>
        </w:numPr>
      </w:pPr>
      <w:bookmarkStart w:id="166" w:name="_Toc524530401"/>
      <w:r>
        <w:t>Redefine</w:t>
      </w:r>
      <w:r w:rsidRPr="00E44EE3">
        <w:t xml:space="preserve"> Category 2D </w:t>
      </w:r>
      <w:r>
        <w:t>to include dairy desserts</w:t>
      </w:r>
      <w:r w:rsidR="002A6909">
        <w:t>,</w:t>
      </w:r>
      <w:r>
        <w:t xml:space="preserve"> </w:t>
      </w:r>
      <w:r w:rsidRPr="00E44EE3">
        <w:t>and rescale</w:t>
      </w:r>
      <w:bookmarkEnd w:id="166"/>
      <w:r w:rsidR="009B3EB4">
        <w:t xml:space="preserve"> to ensure that healthier options receive higher HSR</w:t>
      </w:r>
      <w:r w:rsidR="00F42635">
        <w:t>s</w:t>
      </w:r>
      <w:r w:rsidR="009B3EB4">
        <w:t xml:space="preserve"> and comparability</w:t>
      </w:r>
      <w:r w:rsidR="00F42635">
        <w:t xml:space="preserve"> is</w:t>
      </w:r>
      <w:r w:rsidR="009B3EB4">
        <w:t xml:space="preserve"> </w:t>
      </w:r>
      <w:r w:rsidR="00F42635">
        <w:t xml:space="preserve">improved </w:t>
      </w:r>
      <w:r w:rsidR="009B3EB4">
        <w:t>between similar dairy products</w:t>
      </w:r>
    </w:p>
    <w:p w14:paraId="07316EE2" w14:textId="17948809" w:rsidR="005E59EA" w:rsidRPr="00CB2FFA" w:rsidRDefault="005E59EA" w:rsidP="0024269C">
      <w:r w:rsidRPr="00CB2FFA">
        <w:t>Under this option</w:t>
      </w:r>
      <w:r w:rsidR="00C23724" w:rsidRPr="00CB2FFA">
        <w:t>,</w:t>
      </w:r>
      <w:r w:rsidRPr="00CB2FFA">
        <w:t xml:space="preserve"> the Category 2D definition would be amended such that it captures dairy desserts. The Category would also be rescaled to maintain a spread of </w:t>
      </w:r>
      <w:r w:rsidR="00CB2FFA" w:rsidRPr="00CB2FFA">
        <w:t>HSRs across products</w:t>
      </w:r>
      <w:r w:rsidRPr="00CB2FFA">
        <w:t>. This option would require a definition of dairy dessert, but this could be linked to the proportion of dairy in the product against other ingredients (such as added sugars and flavours).</w:t>
      </w:r>
    </w:p>
    <w:p w14:paraId="5CC3C8F8" w14:textId="5E01AFFA" w:rsidR="00D565CB" w:rsidRDefault="00D565CB" w:rsidP="005E59EA">
      <w:pPr>
        <w:pStyle w:val="mpcbullets1"/>
        <w:numPr>
          <w:ilvl w:val="0"/>
          <w:numId w:val="0"/>
        </w:numPr>
        <w:rPr>
          <w:rFonts w:cstheme="minorHAnsi"/>
          <w:szCs w:val="22"/>
        </w:rPr>
      </w:pPr>
    </w:p>
    <w:p w14:paraId="483C2AD3" w14:textId="3F619B7A" w:rsidR="00D565CB" w:rsidRDefault="00D565CB" w:rsidP="0024269C">
      <w:r>
        <w:t xml:space="preserve">Including additional </w:t>
      </w:r>
      <w:r w:rsidR="004A136F">
        <w:t xml:space="preserve">discretionary </w:t>
      </w:r>
      <w:r>
        <w:t>products in C</w:t>
      </w:r>
      <w:r w:rsidRPr="00D565CB">
        <w:t>ategory</w:t>
      </w:r>
      <w:r>
        <w:t xml:space="preserve"> 2D</w:t>
      </w:r>
      <w:r w:rsidR="00CB2FFA">
        <w:t>, without rescaling,</w:t>
      </w:r>
      <w:r w:rsidRPr="00D565CB">
        <w:t xml:space="preserve"> </w:t>
      </w:r>
      <w:r w:rsidR="001019E5">
        <w:t>would see a large cluster of products at the lower end of the scale, which would not support consumers to</w:t>
      </w:r>
      <w:r w:rsidR="00CB2FFA">
        <w:t xml:space="preserve"> choose between such products. </w:t>
      </w:r>
      <w:r w:rsidR="007C7A7F">
        <w:t>R</w:t>
      </w:r>
      <w:r w:rsidRPr="00D565CB">
        <w:t xml:space="preserve">escaling </w:t>
      </w:r>
      <w:r w:rsidR="001019E5">
        <w:t xml:space="preserve">will </w:t>
      </w:r>
      <w:r w:rsidRPr="00D565CB">
        <w:t xml:space="preserve">redistribute the entire </w:t>
      </w:r>
      <w:r w:rsidR="001019E5">
        <w:t>C</w:t>
      </w:r>
      <w:r w:rsidRPr="00D565CB">
        <w:t>ategory</w:t>
      </w:r>
      <w:r w:rsidR="007C7A7F">
        <w:t>:</w:t>
      </w:r>
      <w:r w:rsidR="00CB2FFA">
        <w:t xml:space="preserve"> the addition of </w:t>
      </w:r>
      <w:r w:rsidRPr="00D565CB">
        <w:t>m</w:t>
      </w:r>
      <w:r w:rsidR="00E93CC4">
        <w:t xml:space="preserve">ore </w:t>
      </w:r>
      <w:r w:rsidR="004A136F">
        <w:t>‘</w:t>
      </w:r>
      <w:r w:rsidR="00E93CC4">
        <w:t>unhealthy</w:t>
      </w:r>
      <w:r w:rsidR="004A136F">
        <w:t>’</w:t>
      </w:r>
      <w:r w:rsidR="00E93CC4">
        <w:t xml:space="preserve"> products </w:t>
      </w:r>
      <w:r w:rsidR="001019E5">
        <w:t xml:space="preserve">would </w:t>
      </w:r>
      <w:r w:rsidRPr="00D565CB">
        <w:t>condense</w:t>
      </w:r>
      <w:r w:rsidR="00CB2FFA">
        <w:t xml:space="preserve"> </w:t>
      </w:r>
      <w:r w:rsidR="00CB2FFA" w:rsidRPr="00D565CB">
        <w:t xml:space="preserve">the top end of the </w:t>
      </w:r>
      <w:r w:rsidR="00CB2FFA">
        <w:t>C</w:t>
      </w:r>
      <w:r w:rsidR="00CB2FFA" w:rsidRPr="00D565CB">
        <w:t>ategory</w:t>
      </w:r>
      <w:r w:rsidR="00CB2FFA">
        <w:t xml:space="preserve"> </w:t>
      </w:r>
      <w:r w:rsidRPr="00D565CB">
        <w:t>(</w:t>
      </w:r>
      <w:r w:rsidR="001019E5">
        <w:t xml:space="preserve">i.e. </w:t>
      </w:r>
      <w:r w:rsidR="00E93CC4">
        <w:t xml:space="preserve">the HSRs </w:t>
      </w:r>
      <w:r w:rsidR="004A136F">
        <w:t xml:space="preserve">would </w:t>
      </w:r>
      <w:r w:rsidR="00E93CC4" w:rsidRPr="00D565CB">
        <w:t>increase</w:t>
      </w:r>
      <w:r w:rsidR="00E93CC4">
        <w:t xml:space="preserve"> for some </w:t>
      </w:r>
      <w:r w:rsidRPr="00D565CB">
        <w:t>yoghurts</w:t>
      </w:r>
      <w:r w:rsidR="004A136F">
        <w:t xml:space="preserve">, </w:t>
      </w:r>
      <w:r w:rsidRPr="00D565CB">
        <w:t>soft cheeses</w:t>
      </w:r>
      <w:r w:rsidR="00E93CC4">
        <w:t xml:space="preserve"> </w:t>
      </w:r>
      <w:r w:rsidR="004A136F">
        <w:t xml:space="preserve">and </w:t>
      </w:r>
      <w:r w:rsidR="00E93CC4">
        <w:t>healthier dairy desserts</w:t>
      </w:r>
      <w:r w:rsidR="006B3901">
        <w:t xml:space="preserve"> – those lower in total sugars and saturated fat and/or higher in protein and fibre</w:t>
      </w:r>
      <w:r w:rsidRPr="00D565CB">
        <w:t>)</w:t>
      </w:r>
      <w:r w:rsidR="00CB2FFA">
        <w:t>,</w:t>
      </w:r>
      <w:r w:rsidRPr="00D565CB">
        <w:t xml:space="preserve"> and the middle </w:t>
      </w:r>
      <w:r w:rsidR="00E93CC4">
        <w:t>to</w:t>
      </w:r>
      <w:r w:rsidRPr="00D565CB">
        <w:t xml:space="preserve"> lower end </w:t>
      </w:r>
      <w:r w:rsidR="00E93CC4">
        <w:t xml:space="preserve">of the Category </w:t>
      </w:r>
      <w:r w:rsidR="006B3901">
        <w:t>would</w:t>
      </w:r>
      <w:r w:rsidRPr="00D565CB">
        <w:t xml:space="preserve"> </w:t>
      </w:r>
      <w:r w:rsidR="006B3901">
        <w:t>expand</w:t>
      </w:r>
      <w:r w:rsidRPr="00D565CB">
        <w:t xml:space="preserve"> (</w:t>
      </w:r>
      <w:r w:rsidR="00E93CC4">
        <w:t xml:space="preserve">i.e. the HSRs </w:t>
      </w:r>
      <w:r w:rsidR="006B3901">
        <w:t xml:space="preserve">would </w:t>
      </w:r>
      <w:r w:rsidR="00E93CC4">
        <w:t xml:space="preserve">decrease for </w:t>
      </w:r>
      <w:r w:rsidRPr="00D565CB">
        <w:t xml:space="preserve">some dairy desserts) to accommodate the new range of </w:t>
      </w:r>
      <w:r w:rsidR="00E93CC4">
        <w:t>products</w:t>
      </w:r>
      <w:r w:rsidRPr="00D565CB">
        <w:t>.</w:t>
      </w:r>
    </w:p>
    <w:p w14:paraId="3C45927F" w14:textId="77777777" w:rsidR="00AF5A1D" w:rsidRDefault="00AF5A1D" w:rsidP="0024269C"/>
    <w:p w14:paraId="0349FF0B" w14:textId="29A538FB" w:rsidR="005E59EA" w:rsidRDefault="005E59EA" w:rsidP="0024269C">
      <w:r>
        <w:t xml:space="preserve">Based on the TAG modelling, this option would impact on </w:t>
      </w:r>
      <w:r w:rsidR="00AF5A1D">
        <w:t>404</w:t>
      </w:r>
      <w:r>
        <w:t xml:space="preserve"> (</w:t>
      </w:r>
      <w:r w:rsidR="00AF5A1D">
        <w:t>6.9</w:t>
      </w:r>
      <w:r w:rsidR="00725A37">
        <w:t xml:space="preserve">%) </w:t>
      </w:r>
      <w:r>
        <w:t xml:space="preserve">products in the TAG database. It would reduce the HSRs of </w:t>
      </w:r>
      <w:r w:rsidR="00AF5A1D">
        <w:t>32 products (</w:t>
      </w:r>
      <w:r>
        <w:t>dairy desserts</w:t>
      </w:r>
      <w:r w:rsidR="009720A2">
        <w:t xml:space="preserve"> </w:t>
      </w:r>
      <w:r>
        <w:t>and custards</w:t>
      </w:r>
      <w:r w:rsidR="00AF5A1D">
        <w:t>)</w:t>
      </w:r>
      <w:r w:rsidR="00CB2FFA">
        <w:t xml:space="preserve"> by between 0.5 and 2 stars. H</w:t>
      </w:r>
      <w:r>
        <w:t>owever</w:t>
      </w:r>
      <w:r w:rsidR="00CB2FFA">
        <w:t>,</w:t>
      </w:r>
      <w:r>
        <w:t xml:space="preserve"> </w:t>
      </w:r>
      <w:r w:rsidR="00AF5A1D">
        <w:t>372 products (yoghurts, soft cheeses and some of the healthier dairy desserts i.e. those lower in sugars and higher in protein)</w:t>
      </w:r>
      <w:r>
        <w:t xml:space="preserve"> would see an increase of</w:t>
      </w:r>
      <w:r w:rsidR="00CB2FFA">
        <w:t xml:space="preserve"> between 0.5 and</w:t>
      </w:r>
      <w:r>
        <w:t xml:space="preserve"> </w:t>
      </w:r>
      <w:r w:rsidR="00AF5A1D">
        <w:t>2</w:t>
      </w:r>
      <w:r>
        <w:t xml:space="preserve"> star</w:t>
      </w:r>
      <w:r w:rsidR="00AF5A1D">
        <w:t>s</w:t>
      </w:r>
      <w:r>
        <w:t>.</w:t>
      </w:r>
    </w:p>
    <w:p w14:paraId="043603C2" w14:textId="77777777" w:rsidR="004A136F" w:rsidRDefault="004A136F" w:rsidP="0024269C"/>
    <w:p w14:paraId="07D3608A" w14:textId="735C1E9F" w:rsidR="005E59EA" w:rsidRDefault="005E59EA" w:rsidP="005E59EA">
      <w:pPr>
        <w:pStyle w:val="mpcbullets1"/>
        <w:numPr>
          <w:ilvl w:val="0"/>
          <w:numId w:val="0"/>
        </w:numPr>
        <w:rPr>
          <w:rFonts w:cstheme="minorHAnsi"/>
          <w:szCs w:val="22"/>
        </w:rPr>
      </w:pPr>
      <w:r>
        <w:rPr>
          <w:rFonts w:cstheme="minorHAnsi"/>
          <w:szCs w:val="22"/>
        </w:rPr>
        <w:lastRenderedPageBreak/>
        <w:t>This option would improve comparability and discernment betw</w:t>
      </w:r>
      <w:r w:rsidR="00CB2FFA">
        <w:rPr>
          <w:rFonts w:cstheme="minorHAnsi"/>
          <w:szCs w:val="22"/>
        </w:rPr>
        <w:t>een yoghurts and dairy desserts</w:t>
      </w:r>
      <w:r>
        <w:rPr>
          <w:rFonts w:cstheme="minorHAnsi"/>
          <w:szCs w:val="22"/>
        </w:rPr>
        <w:t xml:space="preserve"> </w:t>
      </w:r>
      <w:r w:rsidR="00CB2FFA">
        <w:rPr>
          <w:rFonts w:cstheme="minorHAnsi"/>
          <w:szCs w:val="22"/>
        </w:rPr>
        <w:t>(</w:t>
      </w:r>
      <w:r>
        <w:rPr>
          <w:rFonts w:cstheme="minorHAnsi"/>
          <w:szCs w:val="22"/>
        </w:rPr>
        <w:t>which are likely to be considered in the same category and consumed in a similar way by consumers</w:t>
      </w:r>
      <w:r w:rsidR="00CB2FFA">
        <w:rPr>
          <w:rFonts w:cstheme="minorHAnsi"/>
          <w:szCs w:val="22"/>
        </w:rPr>
        <w:t>)</w:t>
      </w:r>
      <w:r>
        <w:rPr>
          <w:rFonts w:cstheme="minorHAnsi"/>
          <w:szCs w:val="22"/>
        </w:rPr>
        <w:t>. It would ensure that less healthy options score lower HSRs than healthier alternatives</w:t>
      </w:r>
      <w:r w:rsidR="00CB2FFA">
        <w:rPr>
          <w:rFonts w:cstheme="minorHAnsi"/>
          <w:szCs w:val="22"/>
        </w:rPr>
        <w:t>,</w:t>
      </w:r>
      <w:r>
        <w:rPr>
          <w:rFonts w:cstheme="minorHAnsi"/>
          <w:szCs w:val="22"/>
        </w:rPr>
        <w:t xml:space="preserve"> and improve alignment with Dietary Guidelines in supporting consumers to discern between </w:t>
      </w:r>
      <w:r w:rsidR="007C5D5D">
        <w:rPr>
          <w:rFonts w:cstheme="minorHAnsi"/>
          <w:szCs w:val="22"/>
        </w:rPr>
        <w:t>FFG</w:t>
      </w:r>
      <w:r>
        <w:rPr>
          <w:rFonts w:cstheme="minorHAnsi"/>
          <w:szCs w:val="22"/>
        </w:rPr>
        <w:t xml:space="preserve"> and discretionary products.</w:t>
      </w:r>
    </w:p>
    <w:p w14:paraId="532B4EA5" w14:textId="77777777" w:rsidR="005E59EA" w:rsidRDefault="005E59EA" w:rsidP="0024269C"/>
    <w:p w14:paraId="4D700C88" w14:textId="7E4A8710" w:rsidR="00F3303A" w:rsidRPr="00A00709" w:rsidRDefault="00F3303A" w:rsidP="003763CA">
      <w:pPr>
        <w:pStyle w:val="mpcheading3"/>
        <w:keepNext/>
      </w:pPr>
      <w:r w:rsidRPr="00A00709">
        <w:t>Summary</w:t>
      </w:r>
      <w:r>
        <w:t xml:space="preserve"> and </w:t>
      </w:r>
      <w:r w:rsidRPr="003763CA">
        <w:t>consultation</w:t>
      </w:r>
    </w:p>
    <w:p w14:paraId="7790C6F1" w14:textId="572FEB30" w:rsidR="00D520DF" w:rsidRDefault="003C3010" w:rsidP="003763CA">
      <w:pPr>
        <w:keepNext/>
      </w:pPr>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003D584B">
        <w:t>, as it ensures that less healthy dairy dessert products do not receive higher HSRs than those with greater nutritional value, such as yoghurts</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sidR="00BE78FC">
        <w:t>.</w:t>
      </w:r>
    </w:p>
    <w:p w14:paraId="108DEF6F" w14:textId="79E58DB5" w:rsidR="00BE78FC" w:rsidRDefault="00BE78FC" w:rsidP="0024269C"/>
    <w:p w14:paraId="4EC1E007" w14:textId="2FFABD23" w:rsidR="00BE78FC" w:rsidRPr="00AB3873" w:rsidRDefault="005D5D06" w:rsidP="003763CA">
      <w:pPr>
        <w:pStyle w:val="mpcheading2"/>
      </w:pPr>
      <w:bookmarkStart w:id="167" w:name="iceconfectionsjellies"/>
      <w:bookmarkStart w:id="168" w:name="_Toc527112912"/>
      <w:bookmarkEnd w:id="167"/>
      <w:r>
        <w:t>I</w:t>
      </w:r>
      <w:r w:rsidR="00BE78FC">
        <w:t>ce confections</w:t>
      </w:r>
      <w:r>
        <w:t xml:space="preserve"> and jellies</w:t>
      </w:r>
      <w:bookmarkEnd w:id="168"/>
    </w:p>
    <w:p w14:paraId="7EBC57C3" w14:textId="77777777" w:rsidR="00BE78FC" w:rsidRPr="00AB3873" w:rsidRDefault="00BE78FC" w:rsidP="0024269C"/>
    <w:p w14:paraId="1A7FD146" w14:textId="77777777" w:rsidR="00BE78FC" w:rsidRPr="003763CA" w:rsidRDefault="00BE78FC" w:rsidP="003763CA">
      <w:pPr>
        <w:pStyle w:val="mpcheading3"/>
      </w:pPr>
      <w:r w:rsidRPr="00AB3873">
        <w:t>Issue</w:t>
      </w:r>
    </w:p>
    <w:p w14:paraId="5BE9E876" w14:textId="79220472" w:rsidR="00DF1F22" w:rsidRDefault="00DF1F22" w:rsidP="0024269C">
      <w:r>
        <w:t xml:space="preserve">Stakeholders have raised the issue of ice </w:t>
      </w:r>
      <w:r w:rsidRPr="0031354B">
        <w:t>confections</w:t>
      </w:r>
      <w:r>
        <w:t xml:space="preserve"> (</w:t>
      </w:r>
      <w:r w:rsidR="00EB50A5">
        <w:t xml:space="preserve">e.g. ice blocks, </w:t>
      </w:r>
      <w:r>
        <w:t>consisting primarily of water, flavouring and sugar) and jellies</w:t>
      </w:r>
      <w:r w:rsidRPr="0031354B">
        <w:t xml:space="preserve"> </w:t>
      </w:r>
      <w:r>
        <w:t xml:space="preserve">receiving </w:t>
      </w:r>
      <w:r w:rsidR="00350C74">
        <w:t xml:space="preserve">relatively </w:t>
      </w:r>
      <w:r>
        <w:t xml:space="preserve">high HSRs, </w:t>
      </w:r>
      <w:r w:rsidRPr="0031354B">
        <w:t>despite their high total sugars</w:t>
      </w:r>
      <w:r>
        <w:t xml:space="preserve"> and the recommendations of Dietary Guidelines </w:t>
      </w:r>
      <w:r w:rsidR="009924EA">
        <w:t>to limit the intake of foods and drinks with added sugar</w:t>
      </w:r>
      <w:r w:rsidRPr="0031354B">
        <w:t>.</w:t>
      </w:r>
    </w:p>
    <w:p w14:paraId="7C52B959" w14:textId="77777777" w:rsidR="00DF1F22" w:rsidRPr="00C53C4B" w:rsidRDefault="00DF1F22" w:rsidP="0024269C">
      <w:pPr>
        <w:rPr>
          <w:sz w:val="21"/>
        </w:rPr>
      </w:pPr>
    </w:p>
    <w:p w14:paraId="53E28D6B" w14:textId="3BD9DDD2" w:rsidR="00337B2A" w:rsidRDefault="00067DF7" w:rsidP="0024269C">
      <w:r>
        <w:t xml:space="preserve">Water-based ice confection and </w:t>
      </w:r>
      <w:r w:rsidR="0052679D">
        <w:t>jellies are</w:t>
      </w:r>
      <w:r w:rsidR="00DF1F22">
        <w:t xml:space="preserve"> currently</w:t>
      </w:r>
      <w:r w:rsidR="0052679D">
        <w:t xml:space="preserve"> classified as</w:t>
      </w:r>
      <w:r>
        <w:t xml:space="preserve"> Category 2</w:t>
      </w:r>
      <w:r w:rsidR="0052679D">
        <w:t xml:space="preserve">, </w:t>
      </w:r>
      <w:r w:rsidR="003561AB">
        <w:t>despite</w:t>
      </w:r>
      <w:r w:rsidR="0052679D">
        <w:t xml:space="preserve"> </w:t>
      </w:r>
      <w:r>
        <w:t>an ingredient</w:t>
      </w:r>
      <w:r w:rsidR="001C74F7">
        <w:t xml:space="preserve"> and nutrient</w:t>
      </w:r>
      <w:r>
        <w:t xml:space="preserve"> </w:t>
      </w:r>
      <w:r w:rsidR="0052679D">
        <w:t>profile closer</w:t>
      </w:r>
      <w:r>
        <w:t xml:space="preserve"> to non-dairy beverages (Category 1). </w:t>
      </w:r>
    </w:p>
    <w:p w14:paraId="301FA29F" w14:textId="48AE85BA" w:rsidR="00DF767C" w:rsidRPr="00C53C4B" w:rsidRDefault="00DF767C" w:rsidP="0024269C">
      <w:pPr>
        <w:rPr>
          <w:sz w:val="21"/>
        </w:rPr>
      </w:pPr>
    </w:p>
    <w:p w14:paraId="6A4D13D9" w14:textId="18BC0579" w:rsidR="00DF767C" w:rsidRPr="009D0BF8" w:rsidRDefault="00DF767C" w:rsidP="0024269C">
      <w:r>
        <w:t>In modelling options to address t</w:t>
      </w:r>
      <w:r w:rsidR="009D0BF8">
        <w:t xml:space="preserve">hese issues, the TAG considered four options – </w:t>
      </w:r>
      <w:r w:rsidR="009D0BF8" w:rsidRPr="009D0BF8">
        <w:t>two of whic</w:t>
      </w:r>
      <w:r w:rsidR="009D0BF8">
        <w:t>h are identified below as options to be considered in the Review (refer options 1 and 2 in the TAG technical paper)</w:t>
      </w:r>
      <w:r w:rsidR="008D4A1D">
        <w:t>. The other two options identified</w:t>
      </w:r>
      <w:r w:rsidR="009D0BF8">
        <w:t xml:space="preserve"> </w:t>
      </w:r>
      <w:r w:rsidR="008D4A1D">
        <w:t>in the TAG technical paper</w:t>
      </w:r>
      <w:r w:rsidR="00E2649F">
        <w:t xml:space="preserve"> </w:t>
      </w:r>
      <w:r w:rsidR="009D0BF8">
        <w:t xml:space="preserve">have not been </w:t>
      </w:r>
      <w:r w:rsidR="008D4A1D">
        <w:t xml:space="preserve">included in </w:t>
      </w:r>
      <w:r w:rsidR="00E2649F">
        <w:t>this paper as</w:t>
      </w:r>
      <w:r w:rsidR="002C697B">
        <w:t xml:space="preserve"> they would have broader impacts across the HSR System. Op</w:t>
      </w:r>
      <w:r w:rsidR="00E2649F">
        <w:t>tion 3</w:t>
      </w:r>
      <w:r w:rsidR="008D4A1D">
        <w:t xml:space="preserve"> </w:t>
      </w:r>
      <w:r w:rsidR="00292F25">
        <w:t xml:space="preserve">(a change across all of Category 2) </w:t>
      </w:r>
      <w:r w:rsidR="008D4A1D">
        <w:t xml:space="preserve">would require rescaling all Category 2 products in order to address </w:t>
      </w:r>
      <w:r w:rsidR="006878C4">
        <w:t xml:space="preserve">the </w:t>
      </w:r>
      <w:r w:rsidR="008D4A1D">
        <w:t>limited products of concern</w:t>
      </w:r>
      <w:r w:rsidR="00292F25">
        <w:t xml:space="preserve"> (with impacts for a wide range of products). TAG did not model</w:t>
      </w:r>
      <w:r w:rsidR="009D0BF8">
        <w:t xml:space="preserve"> </w:t>
      </w:r>
      <w:r w:rsidR="00E2649F">
        <w:t>option 4</w:t>
      </w:r>
      <w:r w:rsidR="00292F25">
        <w:t xml:space="preserve"> which involves breaking Category 2 into </w:t>
      </w:r>
      <w:r w:rsidR="006878C4">
        <w:t xml:space="preserve">FFG </w:t>
      </w:r>
      <w:r w:rsidR="00292F25">
        <w:t xml:space="preserve">and </w:t>
      </w:r>
      <w:r w:rsidR="006878C4">
        <w:t>discretionary</w:t>
      </w:r>
      <w:r w:rsidR="00292F25">
        <w:t xml:space="preserve"> food categories and rescaling. </w:t>
      </w:r>
    </w:p>
    <w:p w14:paraId="177E620A" w14:textId="0C9D7728" w:rsidR="00BE78FC" w:rsidRPr="00AB3873" w:rsidRDefault="00BE78FC" w:rsidP="0024269C"/>
    <w:p w14:paraId="6683E6F5" w14:textId="77777777" w:rsidR="00BE78FC" w:rsidRPr="00AB3873" w:rsidRDefault="00BE78FC" w:rsidP="00BE78FC">
      <w:pPr>
        <w:pStyle w:val="mpcheading3"/>
        <w:rPr>
          <w:rFonts w:cstheme="minorHAnsi"/>
        </w:rPr>
      </w:pPr>
      <w:r w:rsidRPr="00AB3873">
        <w:rPr>
          <w:rFonts w:cstheme="minorHAnsi"/>
        </w:rPr>
        <w:t>Considerations</w:t>
      </w:r>
    </w:p>
    <w:tbl>
      <w:tblPr>
        <w:tblStyle w:val="TableGrid"/>
        <w:tblW w:w="9781" w:type="dxa"/>
        <w:tblInd w:w="-5" w:type="dxa"/>
        <w:tblLook w:val="04A0" w:firstRow="1" w:lastRow="0" w:firstColumn="1" w:lastColumn="0" w:noHBand="0" w:noVBand="1"/>
        <w:tblCaption w:val="Considerations - ice confections and jellies"/>
        <w:tblDescription w:val="This table outlines the relevant information to be considered in determining options to address this issue."/>
      </w:tblPr>
      <w:tblGrid>
        <w:gridCol w:w="1328"/>
        <w:gridCol w:w="8453"/>
      </w:tblGrid>
      <w:tr w:rsidR="00BE78FC" w:rsidRPr="00AB3873" w14:paraId="2E6D5DEA" w14:textId="77777777" w:rsidTr="00D37907">
        <w:trPr>
          <w:tblHeader/>
        </w:trPr>
        <w:tc>
          <w:tcPr>
            <w:tcW w:w="1328" w:type="dxa"/>
            <w:shd w:val="clear" w:color="auto" w:fill="DEEAF6" w:themeFill="accent5" w:themeFillTint="33"/>
          </w:tcPr>
          <w:p w14:paraId="6D403039" w14:textId="77777777" w:rsidR="00BE78FC" w:rsidRPr="00AB3873" w:rsidRDefault="00BE78FC" w:rsidP="0024269C">
            <w:bookmarkStart w:id="169" w:name="RowTitle10"/>
            <w:bookmarkEnd w:id="169"/>
            <w:r w:rsidRPr="00AB3873">
              <w:t>Current</w:t>
            </w:r>
            <w:bookmarkStart w:id="170" w:name="Table_12_ice_confections_jellies"/>
            <w:bookmarkEnd w:id="170"/>
            <w:r w:rsidRPr="00AB3873">
              <w:t xml:space="preserve"> treatment in the HSR </w:t>
            </w:r>
            <w:r>
              <w:t>System</w:t>
            </w:r>
          </w:p>
        </w:tc>
        <w:tc>
          <w:tcPr>
            <w:tcW w:w="8453" w:type="dxa"/>
          </w:tcPr>
          <w:p w14:paraId="074EC73C" w14:textId="77777777" w:rsidR="00BE78FC" w:rsidRDefault="0062450D" w:rsidP="00B91EBF">
            <w:pPr>
              <w:pStyle w:val="mpcbullets1"/>
              <w:numPr>
                <w:ilvl w:val="0"/>
                <w:numId w:val="6"/>
              </w:numPr>
              <w:spacing w:before="120" w:after="120"/>
              <w:contextualSpacing/>
            </w:pPr>
            <w:r>
              <w:t>Water-</w:t>
            </w:r>
            <w:r w:rsidRPr="00715444">
              <w:rPr>
                <w:rFonts w:cstheme="minorHAnsi"/>
                <w:szCs w:val="22"/>
              </w:rPr>
              <w:t>based</w:t>
            </w:r>
            <w:r>
              <w:t xml:space="preserve"> i</w:t>
            </w:r>
            <w:r w:rsidR="0031354B">
              <w:t>ce confection</w:t>
            </w:r>
            <w:r w:rsidR="005D5D06">
              <w:t>s and jellies</w:t>
            </w:r>
            <w:r w:rsidR="0057170C" w:rsidRPr="00AB3873">
              <w:t xml:space="preserve"> are classified as Category 2.</w:t>
            </w:r>
          </w:p>
          <w:p w14:paraId="3E8DEBB0" w14:textId="77777777" w:rsidR="00E67624" w:rsidRPr="00E67624" w:rsidRDefault="00E67624" w:rsidP="00B91EBF">
            <w:pPr>
              <w:pStyle w:val="mpcbullets1"/>
              <w:numPr>
                <w:ilvl w:val="0"/>
                <w:numId w:val="6"/>
              </w:numPr>
              <w:spacing w:before="120" w:after="120"/>
              <w:contextualSpacing/>
            </w:pPr>
            <w:r>
              <w:rPr>
                <w:rFonts w:cstheme="minorHAnsi"/>
                <w:szCs w:val="22"/>
              </w:rPr>
              <w:t>The HSRAC has made two</w:t>
            </w:r>
            <w:r w:rsidRPr="00337B2A">
              <w:rPr>
                <w:rFonts w:cstheme="minorHAnsi"/>
                <w:szCs w:val="22"/>
              </w:rPr>
              <w:t xml:space="preserve"> determin</w:t>
            </w:r>
            <w:r>
              <w:rPr>
                <w:rFonts w:cstheme="minorHAnsi"/>
                <w:szCs w:val="22"/>
              </w:rPr>
              <w:t>ations regarding these products:</w:t>
            </w:r>
          </w:p>
          <w:p w14:paraId="48628947" w14:textId="002AAEAE" w:rsidR="004F3D6B" w:rsidRPr="004F3D6B" w:rsidRDefault="004F3D6B" w:rsidP="00B91EBF">
            <w:pPr>
              <w:pStyle w:val="mpcbullets1"/>
              <w:numPr>
                <w:ilvl w:val="2"/>
                <w:numId w:val="5"/>
              </w:numPr>
              <w:spacing w:before="120" w:after="120"/>
              <w:ind w:left="597" w:hanging="283"/>
              <w:contextualSpacing/>
            </w:pPr>
            <w:r>
              <w:t>for a</w:t>
            </w:r>
            <w:r w:rsidR="00E67624" w:rsidRPr="00337B2A">
              <w:t xml:space="preserve"> </w:t>
            </w:r>
            <w:r w:rsidR="00E67624">
              <w:rPr>
                <w:rFonts w:cstheme="minorHAnsi"/>
                <w:szCs w:val="22"/>
              </w:rPr>
              <w:t>product sol</w:t>
            </w:r>
            <w:r w:rsidR="00292F25">
              <w:rPr>
                <w:rFonts w:cstheme="minorHAnsi"/>
                <w:szCs w:val="22"/>
              </w:rPr>
              <w:t>d liquid, to be consumed frozen,</w:t>
            </w:r>
            <w:r w:rsidR="00E67624">
              <w:rPr>
                <w:rFonts w:cstheme="minorHAnsi"/>
                <w:szCs w:val="22"/>
              </w:rPr>
              <w:t xml:space="preserve"> </w:t>
            </w:r>
            <w:r w:rsidR="00E67624" w:rsidRPr="00E67624">
              <w:rPr>
                <w:rFonts w:cstheme="minorHAnsi"/>
                <w:szCs w:val="22"/>
              </w:rPr>
              <w:t>manufacturers may choose which category to apply to their products</w:t>
            </w:r>
          </w:p>
          <w:p w14:paraId="0A7465AD" w14:textId="21A68BD0" w:rsidR="00E67624" w:rsidRPr="0057170C" w:rsidRDefault="004F3D6B" w:rsidP="00B91EBF">
            <w:pPr>
              <w:pStyle w:val="mpcbullets1"/>
              <w:numPr>
                <w:ilvl w:val="2"/>
                <w:numId w:val="5"/>
              </w:numPr>
              <w:spacing w:before="120" w:after="120"/>
              <w:ind w:left="597" w:hanging="283"/>
              <w:contextualSpacing/>
            </w:pPr>
            <w:r>
              <w:rPr>
                <w:rFonts w:cstheme="minorHAnsi"/>
                <w:szCs w:val="22"/>
              </w:rPr>
              <w:t xml:space="preserve">for a </w:t>
            </w:r>
            <w:r w:rsidR="00E67624" w:rsidRPr="00E67624">
              <w:rPr>
                <w:rFonts w:cstheme="minorHAnsi"/>
                <w:szCs w:val="22"/>
              </w:rPr>
              <w:t>product with a similar nutrient profil</w:t>
            </w:r>
            <w:r w:rsidR="006E503C">
              <w:rPr>
                <w:rFonts w:cstheme="minorHAnsi"/>
                <w:szCs w:val="22"/>
              </w:rPr>
              <w:t xml:space="preserve">e to protein beverages/yoghurts, </w:t>
            </w:r>
            <w:r w:rsidR="00E67624" w:rsidRPr="00E67624">
              <w:rPr>
                <w:rFonts w:cstheme="minorHAnsi"/>
                <w:szCs w:val="22"/>
              </w:rPr>
              <w:t>frozen product should be classified as a food not a beverage</w:t>
            </w:r>
            <w:r>
              <w:rPr>
                <w:rFonts w:cstheme="minorHAnsi"/>
                <w:szCs w:val="22"/>
              </w:rPr>
              <w:t>.</w:t>
            </w:r>
          </w:p>
        </w:tc>
      </w:tr>
      <w:tr w:rsidR="00BE78FC" w:rsidRPr="00AB3873" w14:paraId="30508373" w14:textId="77777777" w:rsidTr="009D0BF8">
        <w:tc>
          <w:tcPr>
            <w:tcW w:w="1328" w:type="dxa"/>
            <w:shd w:val="clear" w:color="auto" w:fill="DEEAF6" w:themeFill="accent5" w:themeFillTint="33"/>
          </w:tcPr>
          <w:p w14:paraId="34B89919" w14:textId="77777777" w:rsidR="00BE78FC" w:rsidRPr="00985F15" w:rsidRDefault="00BE78FC" w:rsidP="0024269C">
            <w:r w:rsidRPr="00985F15">
              <w:t>Dietary Guidelines</w:t>
            </w:r>
          </w:p>
        </w:tc>
        <w:tc>
          <w:tcPr>
            <w:tcW w:w="8453" w:type="dxa"/>
          </w:tcPr>
          <w:p w14:paraId="3B564C49" w14:textId="41132453" w:rsidR="00BE78FC" w:rsidRPr="00AB3873" w:rsidRDefault="00BE78FC" w:rsidP="00B91EBF">
            <w:pPr>
              <w:pStyle w:val="mpcbullets1"/>
              <w:numPr>
                <w:ilvl w:val="0"/>
                <w:numId w:val="6"/>
              </w:numPr>
              <w:spacing w:before="120" w:after="120"/>
              <w:contextualSpacing/>
              <w:rPr>
                <w:rFonts w:cstheme="minorHAnsi"/>
                <w:szCs w:val="22"/>
              </w:rPr>
            </w:pPr>
            <w:r w:rsidRPr="00715444">
              <w:rPr>
                <w:rFonts w:cstheme="minorHAnsi"/>
                <w:szCs w:val="22"/>
              </w:rPr>
              <w:t>ADG</w:t>
            </w:r>
            <w:r w:rsidRPr="00AB3873">
              <w:rPr>
                <w:rFonts w:cstheme="minorHAnsi"/>
                <w:szCs w:val="22"/>
              </w:rPr>
              <w:t xml:space="preserve"> </w:t>
            </w:r>
            <w:r w:rsidR="00337B2A" w:rsidRPr="004154C0">
              <w:t>recommend</w:t>
            </w:r>
            <w:r w:rsidR="00715444">
              <w:rPr>
                <w:rFonts w:cstheme="minorHAnsi"/>
                <w:szCs w:val="22"/>
              </w:rPr>
              <w:t xml:space="preserve"> limiting intake of foods and drinks containing </w:t>
            </w:r>
            <w:r w:rsidR="00DF1F22">
              <w:rPr>
                <w:rFonts w:cstheme="minorHAnsi"/>
                <w:szCs w:val="22"/>
              </w:rPr>
              <w:t>added sugars such as confectione</w:t>
            </w:r>
            <w:r w:rsidR="00715444">
              <w:rPr>
                <w:rFonts w:cstheme="minorHAnsi"/>
                <w:szCs w:val="22"/>
              </w:rPr>
              <w:t>ry, sugar-sweetened soft drink and cordials, fruit drinks, vitamin waters, energy and sports drinks.</w:t>
            </w:r>
          </w:p>
          <w:p w14:paraId="3A7080B4" w14:textId="77777777" w:rsidR="00337B2A" w:rsidRDefault="00BE78FC" w:rsidP="00B91EBF">
            <w:pPr>
              <w:pStyle w:val="mpcbullets1"/>
              <w:numPr>
                <w:ilvl w:val="0"/>
                <w:numId w:val="6"/>
              </w:numPr>
              <w:spacing w:before="120" w:after="120"/>
              <w:contextualSpacing/>
              <w:rPr>
                <w:rFonts w:cstheme="minorHAnsi"/>
                <w:szCs w:val="22"/>
              </w:rPr>
            </w:pPr>
            <w:r w:rsidRPr="00715444">
              <w:rPr>
                <w:rFonts w:cstheme="minorHAnsi"/>
                <w:szCs w:val="22"/>
              </w:rPr>
              <w:t>NZEAG</w:t>
            </w:r>
            <w:r w:rsidRPr="00AB3873">
              <w:rPr>
                <w:rFonts w:cstheme="minorHAnsi"/>
                <w:szCs w:val="22"/>
              </w:rPr>
              <w:t xml:space="preserve"> recommend </w:t>
            </w:r>
            <w:r w:rsidR="00715444">
              <w:rPr>
                <w:rFonts w:cstheme="minorHAnsi"/>
                <w:szCs w:val="22"/>
              </w:rPr>
              <w:t xml:space="preserve">choosing and preparing foods and drinks with little or no added sugar. </w:t>
            </w:r>
          </w:p>
          <w:p w14:paraId="7CCF1B20" w14:textId="4135CE97" w:rsidR="00EE6284" w:rsidRPr="006E503C" w:rsidRDefault="004154C0" w:rsidP="00B91EBF">
            <w:pPr>
              <w:pStyle w:val="mpcbullets1"/>
              <w:numPr>
                <w:ilvl w:val="0"/>
                <w:numId w:val="6"/>
              </w:numPr>
              <w:spacing w:before="120" w:after="120"/>
              <w:contextualSpacing/>
              <w:rPr>
                <w:rFonts w:cstheme="minorHAnsi"/>
                <w:szCs w:val="22"/>
              </w:rPr>
            </w:pPr>
            <w:r w:rsidRPr="00AB3873">
              <w:rPr>
                <w:rFonts w:cstheme="minorHAnsi"/>
                <w:szCs w:val="22"/>
              </w:rPr>
              <w:t>WHO Guidelines recommend reducing free sugars intake to less than 10% of total daily energy intake.</w:t>
            </w:r>
          </w:p>
        </w:tc>
      </w:tr>
      <w:tr w:rsidR="004154C0" w:rsidRPr="00AB3873" w14:paraId="4AB4D15F" w14:textId="77777777" w:rsidTr="009D0BF8">
        <w:tc>
          <w:tcPr>
            <w:tcW w:w="1328" w:type="dxa"/>
            <w:shd w:val="clear" w:color="auto" w:fill="DEEAF6" w:themeFill="accent5" w:themeFillTint="33"/>
          </w:tcPr>
          <w:p w14:paraId="71A7D0B7" w14:textId="62B5DF20" w:rsidR="004154C0" w:rsidRPr="00985F15" w:rsidRDefault="004154C0" w:rsidP="0024269C">
            <w:r>
              <w:t>Intake</w:t>
            </w:r>
          </w:p>
        </w:tc>
        <w:tc>
          <w:tcPr>
            <w:tcW w:w="8453" w:type="dxa"/>
          </w:tcPr>
          <w:p w14:paraId="4DFF0021" w14:textId="2E43AD01" w:rsidR="004154C0" w:rsidRPr="004154C0" w:rsidRDefault="004154C0" w:rsidP="00B91EBF">
            <w:pPr>
              <w:pStyle w:val="mpcbullets1"/>
              <w:numPr>
                <w:ilvl w:val="0"/>
                <w:numId w:val="6"/>
              </w:numPr>
              <w:spacing w:before="120" w:after="120"/>
              <w:contextualSpacing/>
              <w:rPr>
                <w:rFonts w:cstheme="minorHAnsi"/>
                <w:szCs w:val="22"/>
              </w:rPr>
            </w:pPr>
            <w:r w:rsidRPr="00095B6E">
              <w:rPr>
                <w:rFonts w:cstheme="minorHAnsi"/>
                <w:szCs w:val="22"/>
              </w:rPr>
              <w:t>Over half of Australians and New Zealanders exceed WHO recommendations on sugar intake.</w:t>
            </w:r>
          </w:p>
        </w:tc>
      </w:tr>
      <w:tr w:rsidR="001C74F7" w:rsidRPr="00AB3873" w14:paraId="4371B2A8" w14:textId="77777777" w:rsidTr="003763CA">
        <w:tc>
          <w:tcPr>
            <w:tcW w:w="1328" w:type="dxa"/>
            <w:shd w:val="clear" w:color="auto" w:fill="DEEAF6"/>
          </w:tcPr>
          <w:p w14:paraId="5D4F0695" w14:textId="26CFF119" w:rsidR="001C74F7" w:rsidRPr="00985F15" w:rsidRDefault="001C74F7" w:rsidP="0024269C">
            <w:r w:rsidRPr="00AB3873">
              <w:lastRenderedPageBreak/>
              <w:t>AHS List</w:t>
            </w:r>
          </w:p>
        </w:tc>
        <w:tc>
          <w:tcPr>
            <w:tcW w:w="8453" w:type="dxa"/>
          </w:tcPr>
          <w:p w14:paraId="3BBC5766" w14:textId="3FEC175A" w:rsidR="001C74F7" w:rsidRPr="001C74F7" w:rsidRDefault="001C74F7" w:rsidP="00B91EBF">
            <w:pPr>
              <w:pStyle w:val="mpcbullets1"/>
              <w:numPr>
                <w:ilvl w:val="0"/>
                <w:numId w:val="6"/>
              </w:numPr>
              <w:spacing w:before="120" w:after="120"/>
              <w:contextualSpacing/>
              <w:rPr>
                <w:rFonts w:cstheme="minorHAnsi"/>
                <w:szCs w:val="22"/>
              </w:rPr>
            </w:pPr>
            <w:r>
              <w:rPr>
                <w:rFonts w:cstheme="minorHAnsi"/>
                <w:szCs w:val="22"/>
              </w:rPr>
              <w:t xml:space="preserve">Noting the challenges inherent in the AHS classifications (discussed </w:t>
            </w:r>
            <w:r w:rsidRPr="008D3072">
              <w:rPr>
                <w:rFonts w:cstheme="minorHAnsi"/>
                <w:szCs w:val="22"/>
              </w:rPr>
              <w:t>in Chapter 2), the</w:t>
            </w:r>
            <w:r w:rsidRPr="00AB3873">
              <w:rPr>
                <w:rFonts w:cstheme="minorHAnsi"/>
                <w:szCs w:val="22"/>
              </w:rPr>
              <w:t xml:space="preserve"> AHS </w:t>
            </w:r>
            <w:r>
              <w:rPr>
                <w:rFonts w:cstheme="minorHAnsi"/>
                <w:szCs w:val="22"/>
              </w:rPr>
              <w:t>Discretionary Foods List categorises j</w:t>
            </w:r>
            <w:r w:rsidRPr="00337B2A">
              <w:rPr>
                <w:rFonts w:cstheme="minorHAnsi"/>
                <w:szCs w:val="22"/>
              </w:rPr>
              <w:t>elly</w:t>
            </w:r>
            <w:r w:rsidRPr="00BD7B1F">
              <w:t>, frozen milk products, soy-based ice confections and water ice confecti</w:t>
            </w:r>
            <w:r>
              <w:t xml:space="preserve">on, including gelato and sorbet </w:t>
            </w:r>
            <w:r w:rsidRPr="00BD7B1F">
              <w:t>as discretionary</w:t>
            </w:r>
            <w:r>
              <w:t>.</w:t>
            </w:r>
          </w:p>
        </w:tc>
      </w:tr>
      <w:tr w:rsidR="001C74F7" w:rsidRPr="00AB3873" w14:paraId="36B68C5F" w14:textId="77777777" w:rsidTr="009D0BF8">
        <w:tc>
          <w:tcPr>
            <w:tcW w:w="1328" w:type="dxa"/>
            <w:shd w:val="clear" w:color="auto" w:fill="DEEAF6" w:themeFill="accent5" w:themeFillTint="33"/>
          </w:tcPr>
          <w:p w14:paraId="1BCFB11D" w14:textId="77777777" w:rsidR="001C74F7" w:rsidRPr="00985F15" w:rsidRDefault="001C74F7" w:rsidP="0024269C">
            <w:r>
              <w:t>HSR statistics</w:t>
            </w:r>
          </w:p>
        </w:tc>
        <w:tc>
          <w:tcPr>
            <w:tcW w:w="8453" w:type="dxa"/>
          </w:tcPr>
          <w:p w14:paraId="09CA7350" w14:textId="6D955E60" w:rsidR="001C74F7" w:rsidRPr="001C74F7" w:rsidRDefault="001C74F7" w:rsidP="00B91EBF">
            <w:pPr>
              <w:pStyle w:val="mpcbullets1"/>
              <w:numPr>
                <w:ilvl w:val="0"/>
                <w:numId w:val="6"/>
              </w:numPr>
              <w:spacing w:before="120" w:after="120"/>
              <w:contextualSpacing/>
              <w:rPr>
                <w:rFonts w:cstheme="minorHAnsi"/>
                <w:szCs w:val="22"/>
              </w:rPr>
            </w:pPr>
            <w:r>
              <w:rPr>
                <w:rFonts w:cstheme="minorHAnsi"/>
                <w:szCs w:val="22"/>
              </w:rPr>
              <w:t xml:space="preserve">Based on the TAG database, </w:t>
            </w:r>
            <w:r w:rsidRPr="0052679D">
              <w:rPr>
                <w:rFonts w:cstheme="minorHAnsi"/>
                <w:szCs w:val="22"/>
              </w:rPr>
              <w:t>most water-based ice confections</w:t>
            </w:r>
            <w:r>
              <w:rPr>
                <w:rFonts w:cstheme="minorHAnsi"/>
                <w:szCs w:val="22"/>
              </w:rPr>
              <w:t xml:space="preserve"> and jelly products </w:t>
            </w:r>
            <w:r w:rsidRPr="0052679D">
              <w:rPr>
                <w:rFonts w:cstheme="minorHAnsi"/>
                <w:szCs w:val="22"/>
              </w:rPr>
              <w:t>receive an HSR of 3-3.5</w:t>
            </w:r>
            <w:r>
              <w:rPr>
                <w:rFonts w:cstheme="minorHAnsi"/>
                <w:szCs w:val="22"/>
              </w:rPr>
              <w:t>.</w:t>
            </w:r>
          </w:p>
        </w:tc>
      </w:tr>
      <w:tr w:rsidR="001C74F7" w:rsidRPr="00AB3873" w14:paraId="643A7F3C" w14:textId="77777777" w:rsidTr="009D0BF8">
        <w:tc>
          <w:tcPr>
            <w:tcW w:w="1328" w:type="dxa"/>
            <w:shd w:val="clear" w:color="auto" w:fill="DEEAF6" w:themeFill="accent5" w:themeFillTint="33"/>
          </w:tcPr>
          <w:p w14:paraId="231E8AB1" w14:textId="7550B871" w:rsidR="001C74F7" w:rsidRDefault="00DE2DA2" w:rsidP="0024269C">
            <w:r>
              <w:t>Relevant</w:t>
            </w:r>
            <w:r w:rsidR="001C74F7" w:rsidRPr="00AB3873">
              <w:t xml:space="preserve"> TAG papers</w:t>
            </w:r>
          </w:p>
        </w:tc>
        <w:tc>
          <w:tcPr>
            <w:tcW w:w="8453" w:type="dxa"/>
          </w:tcPr>
          <w:p w14:paraId="5BE59288" w14:textId="77777777" w:rsidR="001C74F7" w:rsidRDefault="001C74F7" w:rsidP="001C74F7">
            <w:pPr>
              <w:pStyle w:val="mpcbullets1"/>
              <w:spacing w:before="120" w:after="120"/>
              <w:contextualSpacing/>
              <w:rPr>
                <w:rFonts w:cstheme="minorHAnsi"/>
                <w:szCs w:val="22"/>
              </w:rPr>
            </w:pPr>
            <w:r>
              <w:rPr>
                <w:rFonts w:cstheme="minorHAnsi"/>
                <w:szCs w:val="22"/>
              </w:rPr>
              <w:t>Ice confection, jelly and frozen milk products</w:t>
            </w:r>
          </w:p>
          <w:p w14:paraId="65BB79BF" w14:textId="7EC1D96F" w:rsidR="006E503C" w:rsidRPr="00AB3873" w:rsidRDefault="006E503C" w:rsidP="00C53C4B">
            <w:pPr>
              <w:pStyle w:val="mpcbullets1"/>
              <w:spacing w:before="120"/>
              <w:ind w:left="357" w:hanging="357"/>
              <w:contextualSpacing/>
              <w:rPr>
                <w:rFonts w:cstheme="minorHAnsi"/>
                <w:szCs w:val="22"/>
              </w:rPr>
            </w:pPr>
            <w:r>
              <w:rPr>
                <w:rFonts w:cstheme="minorHAnsi"/>
                <w:szCs w:val="22"/>
              </w:rPr>
              <w:t xml:space="preserve">Sugars (added and total) </w:t>
            </w:r>
          </w:p>
        </w:tc>
      </w:tr>
    </w:tbl>
    <w:p w14:paraId="1433D6DB" w14:textId="77777777" w:rsidR="00BE78FC" w:rsidRDefault="00BE78FC" w:rsidP="0024269C"/>
    <w:p w14:paraId="23C647D5" w14:textId="77777777" w:rsidR="00BE78FC" w:rsidRPr="00AB3873" w:rsidRDefault="00BE78FC" w:rsidP="00095B6E">
      <w:pPr>
        <w:pStyle w:val="mpcheading3"/>
        <w:keepNext/>
        <w:rPr>
          <w:rFonts w:cstheme="minorHAnsi"/>
        </w:rPr>
      </w:pPr>
      <w:r w:rsidRPr="00AB3873">
        <w:rPr>
          <w:rFonts w:cstheme="minorHAnsi"/>
        </w:rPr>
        <w:t xml:space="preserve">Options </w:t>
      </w:r>
      <w:r>
        <w:rPr>
          <w:rFonts w:cstheme="minorHAnsi"/>
        </w:rPr>
        <w:t>to address issue</w:t>
      </w:r>
    </w:p>
    <w:p w14:paraId="08BE79AB" w14:textId="756A9DFB" w:rsidR="00BE78FC" w:rsidRPr="00AB3873" w:rsidRDefault="005D5D06" w:rsidP="00B91EBF">
      <w:pPr>
        <w:pStyle w:val="mpcheading4"/>
        <w:numPr>
          <w:ilvl w:val="0"/>
          <w:numId w:val="26"/>
        </w:numPr>
      </w:pPr>
      <w:r>
        <w:t>Status quo for</w:t>
      </w:r>
      <w:r w:rsidR="00323E85">
        <w:t xml:space="preserve"> ice confections</w:t>
      </w:r>
      <w:r>
        <w:t xml:space="preserve"> and jellies</w:t>
      </w:r>
    </w:p>
    <w:p w14:paraId="7C12FBE2" w14:textId="634F92DB" w:rsidR="00067DF7" w:rsidRPr="005D5D06" w:rsidRDefault="005D5D06" w:rsidP="0024269C">
      <w:r w:rsidRPr="005D5D06">
        <w:t>This option would continue to</w:t>
      </w:r>
      <w:r w:rsidR="002C2712">
        <w:t xml:space="preserve"> classify ice confection and jellies as Category 2</w:t>
      </w:r>
      <w:r w:rsidRPr="005D5D06">
        <w:t xml:space="preserve">. </w:t>
      </w:r>
      <w:r w:rsidR="002C2712">
        <w:t>T</w:t>
      </w:r>
      <w:r w:rsidR="00EF64EB">
        <w:t>AG modelling indicates that t</w:t>
      </w:r>
      <w:r w:rsidR="002C2712">
        <w:t>his would not resolve stakeholder concern</w:t>
      </w:r>
      <w:r w:rsidR="006E503C">
        <w:t xml:space="preserve">s </w:t>
      </w:r>
      <w:r w:rsidR="002C2712">
        <w:t xml:space="preserve">regarding the </w:t>
      </w:r>
      <w:r w:rsidR="006E503C">
        <w:t xml:space="preserve">relatively </w:t>
      </w:r>
      <w:r w:rsidR="002C2712">
        <w:t>high HSRs awarded to ice confection and jellies</w:t>
      </w:r>
      <w:r w:rsidR="002C2712" w:rsidRPr="005D5D06">
        <w:t xml:space="preserve"> despite their poor nutritional profile</w:t>
      </w:r>
      <w:r w:rsidR="002C2712">
        <w:t xml:space="preserve"> and status as </w:t>
      </w:r>
      <w:r w:rsidR="002C2712" w:rsidRPr="005D5D06">
        <w:t>discretionary food</w:t>
      </w:r>
      <w:r w:rsidR="002C2712">
        <w:t>s.</w:t>
      </w:r>
    </w:p>
    <w:p w14:paraId="53F5A778" w14:textId="071F8E5E" w:rsidR="000870CC" w:rsidRDefault="000870CC" w:rsidP="0024269C"/>
    <w:p w14:paraId="22C790FE" w14:textId="22E6ABEB" w:rsidR="005D5D06" w:rsidRPr="0062450D" w:rsidRDefault="000870CC" w:rsidP="00B91EBF">
      <w:pPr>
        <w:pStyle w:val="mpcheading4"/>
        <w:numPr>
          <w:ilvl w:val="0"/>
          <w:numId w:val="26"/>
        </w:numPr>
      </w:pPr>
      <w:r>
        <w:t>Redefine Category 1 to include jellies and water-based ice confections</w:t>
      </w:r>
      <w:r w:rsidR="009B3EB4">
        <w:t xml:space="preserve"> to align</w:t>
      </w:r>
      <w:r w:rsidR="006878C4">
        <w:t xml:space="preserve"> their HSRs with nutritionally similar non-dairy beverages</w:t>
      </w:r>
    </w:p>
    <w:p w14:paraId="7F2D6343" w14:textId="663F3D71" w:rsidR="00EE6284" w:rsidRDefault="002C2712" w:rsidP="0024269C">
      <w:r>
        <w:t>This optio</w:t>
      </w:r>
      <w:r w:rsidR="001B40DD">
        <w:t>n would involve</w:t>
      </w:r>
      <w:r>
        <w:t xml:space="preserve"> changes to definitions</w:t>
      </w:r>
      <w:r w:rsidR="009924EA">
        <w:t xml:space="preserve"> in HSR guidance materials</w:t>
      </w:r>
      <w:r>
        <w:t xml:space="preserve"> to include water-based ice confection and jelly as Category 1.</w:t>
      </w:r>
      <w:r w:rsidR="00067DF7">
        <w:t xml:space="preserve"> </w:t>
      </w:r>
      <w:r w:rsidR="005D5D06">
        <w:t>T</w:t>
      </w:r>
      <w:r w:rsidR="00D1016A">
        <w:t xml:space="preserve">his </w:t>
      </w:r>
      <w:r w:rsidR="005D5D06">
        <w:t>would lower the HSR</w:t>
      </w:r>
      <w:r w:rsidR="00EF64EB">
        <w:t>s</w:t>
      </w:r>
      <w:r w:rsidR="005D5D06">
        <w:t xml:space="preserve"> for ice confectionery and jelly</w:t>
      </w:r>
      <w:r w:rsidR="00D1016A">
        <w:t xml:space="preserve"> products, and improve </w:t>
      </w:r>
      <w:r w:rsidR="005D5D06">
        <w:t>dis</w:t>
      </w:r>
      <w:r w:rsidR="009924EA">
        <w:t>crimination between high and low</w:t>
      </w:r>
      <w:r w:rsidR="005D5D06">
        <w:t xml:space="preserve"> sugar products</w:t>
      </w:r>
      <w:r w:rsidR="00D1016A">
        <w:t xml:space="preserve"> (better align</w:t>
      </w:r>
      <w:r w:rsidR="00EF64EB">
        <w:t>ing</w:t>
      </w:r>
      <w:r w:rsidR="00D1016A">
        <w:t xml:space="preserve"> with Dietary Guidelines)</w:t>
      </w:r>
      <w:r w:rsidR="005D5D06">
        <w:t>.</w:t>
      </w:r>
      <w:r w:rsidR="0062450D">
        <w:t xml:space="preserve"> </w:t>
      </w:r>
    </w:p>
    <w:p w14:paraId="196DCF62" w14:textId="77777777" w:rsidR="00EE6284" w:rsidRDefault="00EE6284" w:rsidP="0024269C"/>
    <w:p w14:paraId="6CE7EDD3" w14:textId="23250812" w:rsidR="006C4C24" w:rsidRDefault="0062450D" w:rsidP="0024269C">
      <w:r>
        <w:t>Based on the TAG</w:t>
      </w:r>
      <w:r w:rsidR="006C4C24">
        <w:t xml:space="preserve"> modelling</w:t>
      </w:r>
      <w:r w:rsidR="00067DF7">
        <w:t>, water-based ice</w:t>
      </w:r>
      <w:r w:rsidR="00EF64EB">
        <w:t xml:space="preserve"> </w:t>
      </w:r>
      <w:r w:rsidR="00067DF7">
        <w:t>confection would decrease from an HSR of 3-3.5 to an HSR of 0.5-1, and jellies would decrease from an HSR of 3-4 to an HSR of 0.5-1.</w:t>
      </w:r>
    </w:p>
    <w:p w14:paraId="01ECCA58" w14:textId="63F6732F" w:rsidR="00EE6284" w:rsidRDefault="00EE6284" w:rsidP="0024269C"/>
    <w:p w14:paraId="3BA76D6F" w14:textId="4CC7D179" w:rsidR="00A5545A" w:rsidRPr="00921A7C" w:rsidRDefault="00921A7C" w:rsidP="00921A7C">
      <w:r>
        <w:t xml:space="preserve">The </w:t>
      </w:r>
      <w:r w:rsidRPr="00921A7C">
        <w:t>key advantage</w:t>
      </w:r>
      <w:r w:rsidR="00A5545A" w:rsidRPr="00921A7C">
        <w:t xml:space="preserve"> of this option </w:t>
      </w:r>
      <w:r w:rsidRPr="00921A7C">
        <w:t xml:space="preserve">is </w:t>
      </w:r>
      <w:r w:rsidR="00A5545A" w:rsidRPr="00921A7C">
        <w:t>improved alignment with Dietary Guidelines</w:t>
      </w:r>
      <w:r w:rsidRPr="00921A7C">
        <w:t>,</w:t>
      </w:r>
      <w:r w:rsidR="00A5545A" w:rsidRPr="00921A7C">
        <w:t xml:space="preserve"> as high sugar products </w:t>
      </w:r>
      <w:r>
        <w:t xml:space="preserve">with little other nutritional value </w:t>
      </w:r>
      <w:r w:rsidR="00A5545A" w:rsidRPr="00921A7C">
        <w:t>would receive a lower HSR.</w:t>
      </w:r>
    </w:p>
    <w:p w14:paraId="2CA5BBA3" w14:textId="77777777" w:rsidR="00A5545A" w:rsidRDefault="00A5545A" w:rsidP="0024269C"/>
    <w:p w14:paraId="6553681B" w14:textId="22F23C87" w:rsidR="009720A2" w:rsidRDefault="009720A2" w:rsidP="0024269C">
      <w:r>
        <w:t>D</w:t>
      </w:r>
      <w:r w:rsidR="00D1016A">
        <w:t>isadvantage</w:t>
      </w:r>
      <w:r>
        <w:t>s</w:t>
      </w:r>
      <w:r w:rsidR="00D1016A">
        <w:t xml:space="preserve"> of this option </w:t>
      </w:r>
      <w:r>
        <w:t>include:</w:t>
      </w:r>
    </w:p>
    <w:p w14:paraId="3073DDF9" w14:textId="77777777" w:rsidR="009720A2" w:rsidRDefault="009720A2" w:rsidP="0024269C"/>
    <w:p w14:paraId="174101E8" w14:textId="341D2ACA" w:rsidR="009720A2" w:rsidRPr="003763CA" w:rsidRDefault="009720A2" w:rsidP="003763CA">
      <w:pPr>
        <w:pStyle w:val="mpcbullets1"/>
      </w:pPr>
      <w:r w:rsidRPr="003763CA">
        <w:t>reduced</w:t>
      </w:r>
      <w:r w:rsidR="00D1016A" w:rsidRPr="003763CA">
        <w:t xml:space="preserve"> alignment with the NPSC, which treats ice confection and jelly as foods</w:t>
      </w:r>
    </w:p>
    <w:p w14:paraId="52E57360" w14:textId="31173FC7" w:rsidR="00EE6284" w:rsidRPr="00FE2802" w:rsidRDefault="009720A2" w:rsidP="003763CA">
      <w:pPr>
        <w:pStyle w:val="mpcbullets1"/>
      </w:pPr>
      <w:r w:rsidRPr="003763CA">
        <w:t>the</w:t>
      </w:r>
      <w:r>
        <w:t xml:space="preserve"> counter intuitive classification of </w:t>
      </w:r>
      <w:r w:rsidR="00A5545A">
        <w:t>solid foods as beverages may confuse some consumers</w:t>
      </w:r>
      <w:r w:rsidR="00D1016A" w:rsidRPr="00FE2802">
        <w:t>.</w:t>
      </w:r>
    </w:p>
    <w:p w14:paraId="54E013FF" w14:textId="200F543E" w:rsidR="000870CC" w:rsidRPr="00BE78FC" w:rsidRDefault="000870CC" w:rsidP="0024269C"/>
    <w:p w14:paraId="59A69B96" w14:textId="77777777" w:rsidR="00BE78FC" w:rsidRPr="00A00709" w:rsidRDefault="00BE78FC" w:rsidP="003763CA">
      <w:pPr>
        <w:pStyle w:val="mpcheading3"/>
      </w:pPr>
      <w:r w:rsidRPr="00A00709">
        <w:t>Summary</w:t>
      </w:r>
      <w:r>
        <w:t xml:space="preserve"> and </w:t>
      </w:r>
      <w:r w:rsidRPr="003763CA">
        <w:t>consultation</w:t>
      </w:r>
    </w:p>
    <w:p w14:paraId="1DE9AA57" w14:textId="7585C405" w:rsidR="005D5D06" w:rsidRDefault="005D5D06" w:rsidP="0024269C">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Pr="001A60E2">
        <w:t xml:space="preserve">. We seek </w:t>
      </w:r>
      <w:r>
        <w:t>stakeholder</w:t>
      </w:r>
      <w:r w:rsidRPr="001A60E2">
        <w:t xml:space="preserve"> views </w:t>
      </w:r>
      <w:r>
        <w:t xml:space="preserve">regarding the above options </w:t>
      </w:r>
      <w:r w:rsidRPr="001A60E2">
        <w:t>and relevant further consideration</w:t>
      </w:r>
      <w:r>
        <w:t>s.</w:t>
      </w:r>
    </w:p>
    <w:p w14:paraId="6988CFD0" w14:textId="77777777" w:rsidR="00BE78FC" w:rsidRDefault="00BE78FC" w:rsidP="0024269C"/>
    <w:p w14:paraId="63641158" w14:textId="30272A26" w:rsidR="00BE78FC" w:rsidRDefault="00BE78FC" w:rsidP="0024269C">
      <w:pPr>
        <w:sectPr w:rsidR="00BE78FC" w:rsidSect="00E50026">
          <w:footerReference w:type="default" r:id="rId38"/>
          <w:pgSz w:w="11900" w:h="16840"/>
          <w:pgMar w:top="1304" w:right="1077" w:bottom="1304" w:left="1077" w:header="709" w:footer="709" w:gutter="0"/>
          <w:cols w:space="708"/>
          <w:docGrid w:linePitch="360"/>
        </w:sectPr>
      </w:pPr>
    </w:p>
    <w:p w14:paraId="724983EF" w14:textId="1F0C3B3D" w:rsidR="002F0420" w:rsidRPr="00AB3873" w:rsidRDefault="002F0420" w:rsidP="003763CA">
      <w:pPr>
        <w:pStyle w:val="mpcheading1"/>
      </w:pPr>
      <w:bookmarkStart w:id="171" w:name="Chapter7"/>
      <w:bookmarkStart w:id="172" w:name="_Toc527112913"/>
      <w:bookmarkEnd w:id="171"/>
      <w:r w:rsidRPr="00AB3873">
        <w:lastRenderedPageBreak/>
        <w:t xml:space="preserve">Chapter 7 – </w:t>
      </w:r>
      <w:r>
        <w:t xml:space="preserve">Impact of </w:t>
      </w:r>
      <w:r w:rsidRPr="003763CA">
        <w:t>proposed</w:t>
      </w:r>
      <w:r>
        <w:t xml:space="preserve"> changes</w:t>
      </w:r>
      <w:bookmarkEnd w:id="172"/>
    </w:p>
    <w:p w14:paraId="36D0FFA0" w14:textId="77777777" w:rsidR="00D520DF" w:rsidRPr="00AB3873" w:rsidRDefault="00D520DF" w:rsidP="003763CA">
      <w:pPr>
        <w:pStyle w:val="mpcheading2"/>
      </w:pPr>
      <w:bookmarkStart w:id="173" w:name="Summaryofoptions"/>
      <w:bookmarkStart w:id="174" w:name="_Toc527112914"/>
      <w:bookmarkEnd w:id="173"/>
      <w:r>
        <w:t>Summary of preferred options</w:t>
      </w:r>
      <w:bookmarkEnd w:id="174"/>
    </w:p>
    <w:p w14:paraId="112CA3B8" w14:textId="77777777" w:rsidR="00D520DF" w:rsidRDefault="00D520DF" w:rsidP="0024269C"/>
    <w:p w14:paraId="3A9903D6" w14:textId="1002E336" w:rsidR="00D520DF" w:rsidRDefault="00D520DF" w:rsidP="0024269C">
      <w:r>
        <w:t>T</w:t>
      </w:r>
      <w:r w:rsidR="00655BEA">
        <w:t xml:space="preserve">he table below </w:t>
      </w:r>
      <w:r>
        <w:t>outlines each of the issues</w:t>
      </w:r>
      <w:r w:rsidR="00655BEA">
        <w:t xml:space="preserve"> and the options for addressing these. O</w:t>
      </w:r>
      <w:r>
        <w:t xml:space="preserve">ur preferred options for addressing these </w:t>
      </w:r>
      <w:r w:rsidR="00655BEA">
        <w:t xml:space="preserve">are highlighted in green </w:t>
      </w:r>
      <w:r>
        <w:t>(where applicable).</w:t>
      </w:r>
    </w:p>
    <w:p w14:paraId="59F633B7" w14:textId="73D49958" w:rsidR="00D520DF" w:rsidRDefault="00D520DF" w:rsidP="0024269C"/>
    <w:tbl>
      <w:tblPr>
        <w:tblStyle w:val="TableGrid"/>
        <w:tblW w:w="14459" w:type="dxa"/>
        <w:tblInd w:w="-147" w:type="dxa"/>
        <w:tblLayout w:type="fixed"/>
        <w:tblLook w:val="04A0" w:firstRow="1" w:lastRow="0" w:firstColumn="1" w:lastColumn="0" w:noHBand="0" w:noVBand="1"/>
        <w:tblCaption w:val="Summary of preferred options"/>
        <w:tblDescription w:val="This table summarises the preferred options for enhancements to the HSR System."/>
      </w:tblPr>
      <w:tblGrid>
        <w:gridCol w:w="993"/>
        <w:gridCol w:w="4111"/>
        <w:gridCol w:w="1559"/>
        <w:gridCol w:w="1984"/>
        <w:gridCol w:w="1985"/>
        <w:gridCol w:w="1956"/>
        <w:gridCol w:w="1871"/>
      </w:tblGrid>
      <w:tr w:rsidR="00A619C8" w:rsidRPr="003763CA" w14:paraId="7F8DD2C3" w14:textId="77777777" w:rsidTr="009D621A">
        <w:trPr>
          <w:tblHeader/>
        </w:trPr>
        <w:tc>
          <w:tcPr>
            <w:tcW w:w="993" w:type="dxa"/>
            <w:shd w:val="clear" w:color="auto" w:fill="44546A"/>
          </w:tcPr>
          <w:p w14:paraId="7BBC87CE" w14:textId="77777777" w:rsidR="00A619C8" w:rsidRPr="004811EF" w:rsidRDefault="00A619C8" w:rsidP="003763CA">
            <w:pPr>
              <w:spacing w:before="120" w:after="120"/>
              <w:rPr>
                <w:b/>
                <w:color w:val="FFFFFF" w:themeColor="background1"/>
                <w:sz w:val="20"/>
                <w:szCs w:val="20"/>
              </w:rPr>
            </w:pPr>
            <w:bookmarkStart w:id="175" w:name="ColumnTitle3"/>
            <w:bookmarkEnd w:id="175"/>
            <w:r w:rsidRPr="004811EF">
              <w:rPr>
                <w:b/>
                <w:color w:val="FFFFFF" w:themeColor="background1"/>
                <w:sz w:val="20"/>
                <w:szCs w:val="20"/>
              </w:rPr>
              <w:t>Issu</w:t>
            </w:r>
            <w:bookmarkStart w:id="176" w:name="Table_13_summary_preferred_options"/>
            <w:bookmarkEnd w:id="176"/>
            <w:r w:rsidRPr="004811EF">
              <w:rPr>
                <w:b/>
                <w:color w:val="FFFFFF" w:themeColor="background1"/>
                <w:sz w:val="20"/>
                <w:szCs w:val="20"/>
              </w:rPr>
              <w:t>e</w:t>
            </w:r>
          </w:p>
        </w:tc>
        <w:tc>
          <w:tcPr>
            <w:tcW w:w="4111" w:type="dxa"/>
            <w:shd w:val="clear" w:color="auto" w:fill="44546A"/>
          </w:tcPr>
          <w:p w14:paraId="0AB2EEC3"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Topics</w:t>
            </w:r>
          </w:p>
        </w:tc>
        <w:tc>
          <w:tcPr>
            <w:tcW w:w="1559" w:type="dxa"/>
            <w:shd w:val="clear" w:color="auto" w:fill="44546A"/>
          </w:tcPr>
          <w:p w14:paraId="0D7E6B4F"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A</w:t>
            </w:r>
          </w:p>
        </w:tc>
        <w:tc>
          <w:tcPr>
            <w:tcW w:w="1984" w:type="dxa"/>
            <w:shd w:val="clear" w:color="auto" w:fill="44546A"/>
          </w:tcPr>
          <w:p w14:paraId="45E77F94"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B</w:t>
            </w:r>
          </w:p>
        </w:tc>
        <w:tc>
          <w:tcPr>
            <w:tcW w:w="1985" w:type="dxa"/>
            <w:shd w:val="clear" w:color="auto" w:fill="44546A"/>
          </w:tcPr>
          <w:p w14:paraId="5D162E5A"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C</w:t>
            </w:r>
          </w:p>
        </w:tc>
        <w:tc>
          <w:tcPr>
            <w:tcW w:w="1956" w:type="dxa"/>
            <w:shd w:val="clear" w:color="auto" w:fill="44546A"/>
          </w:tcPr>
          <w:p w14:paraId="36FD0784"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D</w:t>
            </w:r>
          </w:p>
        </w:tc>
        <w:tc>
          <w:tcPr>
            <w:tcW w:w="1871" w:type="dxa"/>
            <w:shd w:val="clear" w:color="auto" w:fill="44546A"/>
          </w:tcPr>
          <w:p w14:paraId="24161E1C"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E</w:t>
            </w:r>
          </w:p>
        </w:tc>
      </w:tr>
      <w:tr w:rsidR="00A619C8" w:rsidRPr="003763CA" w14:paraId="0B2976C2" w14:textId="77777777" w:rsidTr="009D621A">
        <w:tc>
          <w:tcPr>
            <w:tcW w:w="993" w:type="dxa"/>
            <w:vMerge w:val="restart"/>
            <w:shd w:val="clear" w:color="auto" w:fill="auto"/>
          </w:tcPr>
          <w:p w14:paraId="7EDB84B0" w14:textId="77777777" w:rsidR="00A619C8" w:rsidRPr="004811EF" w:rsidRDefault="00A619C8" w:rsidP="0024269C">
            <w:pPr>
              <w:rPr>
                <w:b/>
                <w:sz w:val="20"/>
                <w:szCs w:val="20"/>
              </w:rPr>
            </w:pPr>
            <w:r w:rsidRPr="004811EF">
              <w:rPr>
                <w:b/>
                <w:sz w:val="20"/>
                <w:szCs w:val="20"/>
              </w:rPr>
              <w:t>Scope of the System</w:t>
            </w:r>
          </w:p>
        </w:tc>
        <w:tc>
          <w:tcPr>
            <w:tcW w:w="4111" w:type="dxa"/>
            <w:shd w:val="clear" w:color="auto" w:fill="auto"/>
          </w:tcPr>
          <w:p w14:paraId="467E4BE6" w14:textId="77777777" w:rsidR="00A619C8" w:rsidRPr="004811EF" w:rsidRDefault="00A619C8" w:rsidP="0024269C">
            <w:pPr>
              <w:rPr>
                <w:b/>
                <w:sz w:val="20"/>
                <w:szCs w:val="20"/>
              </w:rPr>
            </w:pPr>
            <w:r w:rsidRPr="004811EF">
              <w:rPr>
                <w:b/>
                <w:sz w:val="20"/>
                <w:szCs w:val="20"/>
              </w:rPr>
              <w:t>Fruit and vegetables</w:t>
            </w:r>
          </w:p>
          <w:p w14:paraId="7632890C" w14:textId="77777777" w:rsidR="00A619C8" w:rsidRPr="003763CA" w:rsidRDefault="00A619C8" w:rsidP="0024269C">
            <w:pPr>
              <w:rPr>
                <w:sz w:val="20"/>
                <w:szCs w:val="20"/>
              </w:rPr>
            </w:pPr>
            <w:r w:rsidRPr="003763CA">
              <w:rPr>
                <w:sz w:val="20"/>
                <w:szCs w:val="20"/>
              </w:rPr>
              <w:t>Whether the HSR System should apply to packaged fresh or minimally processed fruits and vegetables and if so, whether all fresh and minimally processed fruits and vegetables should automatically receive an HSR of 5 given the important role they play in the diet.</w:t>
            </w:r>
          </w:p>
        </w:tc>
        <w:tc>
          <w:tcPr>
            <w:tcW w:w="1559" w:type="dxa"/>
          </w:tcPr>
          <w:p w14:paraId="0BC0910A" w14:textId="77777777" w:rsidR="00A619C8" w:rsidRPr="003763CA" w:rsidRDefault="00A619C8" w:rsidP="0024269C">
            <w:pPr>
              <w:rPr>
                <w:sz w:val="20"/>
                <w:szCs w:val="20"/>
              </w:rPr>
            </w:pPr>
            <w:r w:rsidRPr="003763CA">
              <w:rPr>
                <w:sz w:val="20"/>
                <w:szCs w:val="20"/>
              </w:rPr>
              <w:t>Status quo for fruits and vegetables</w:t>
            </w:r>
          </w:p>
        </w:tc>
        <w:tc>
          <w:tcPr>
            <w:tcW w:w="1984" w:type="dxa"/>
            <w:shd w:val="clear" w:color="auto" w:fill="E2EFD9" w:themeFill="accent6" w:themeFillTint="33"/>
          </w:tcPr>
          <w:p w14:paraId="7588F3E3" w14:textId="59D33B46" w:rsidR="00A619C8" w:rsidRPr="003763CA" w:rsidRDefault="00A619C8" w:rsidP="0024269C">
            <w:pPr>
              <w:rPr>
                <w:sz w:val="20"/>
                <w:szCs w:val="20"/>
              </w:rPr>
            </w:pPr>
            <w:r w:rsidRPr="003763CA">
              <w:rPr>
                <w:sz w:val="20"/>
                <w:szCs w:val="20"/>
              </w:rPr>
              <w:t>All fresh and minimally processed fruits and vegetables automatically receive an HSR of 5</w:t>
            </w:r>
          </w:p>
        </w:tc>
        <w:tc>
          <w:tcPr>
            <w:tcW w:w="1985" w:type="dxa"/>
          </w:tcPr>
          <w:p w14:paraId="220141B4" w14:textId="77777777" w:rsidR="00A619C8" w:rsidRPr="003763CA" w:rsidRDefault="00A619C8" w:rsidP="0024269C">
            <w:pPr>
              <w:rPr>
                <w:sz w:val="20"/>
                <w:szCs w:val="20"/>
              </w:rPr>
            </w:pPr>
          </w:p>
        </w:tc>
        <w:tc>
          <w:tcPr>
            <w:tcW w:w="1956" w:type="dxa"/>
          </w:tcPr>
          <w:p w14:paraId="25426225" w14:textId="77777777" w:rsidR="00A619C8" w:rsidRPr="003763CA" w:rsidRDefault="00A619C8" w:rsidP="0024269C">
            <w:pPr>
              <w:rPr>
                <w:sz w:val="20"/>
                <w:szCs w:val="20"/>
              </w:rPr>
            </w:pPr>
          </w:p>
        </w:tc>
        <w:tc>
          <w:tcPr>
            <w:tcW w:w="1871" w:type="dxa"/>
          </w:tcPr>
          <w:p w14:paraId="7EBBF16A" w14:textId="77777777" w:rsidR="00A619C8" w:rsidRPr="003763CA" w:rsidRDefault="00A619C8" w:rsidP="0024269C">
            <w:pPr>
              <w:rPr>
                <w:sz w:val="20"/>
                <w:szCs w:val="20"/>
              </w:rPr>
            </w:pPr>
          </w:p>
        </w:tc>
      </w:tr>
      <w:tr w:rsidR="00A619C8" w:rsidRPr="003763CA" w14:paraId="1A14CAE7" w14:textId="77777777" w:rsidTr="009D621A">
        <w:tc>
          <w:tcPr>
            <w:tcW w:w="993" w:type="dxa"/>
            <w:vMerge/>
            <w:shd w:val="clear" w:color="auto" w:fill="auto"/>
          </w:tcPr>
          <w:p w14:paraId="50BD9EB5" w14:textId="77777777" w:rsidR="00A619C8" w:rsidRPr="004811EF" w:rsidRDefault="00A619C8" w:rsidP="0024269C">
            <w:pPr>
              <w:rPr>
                <w:b/>
                <w:sz w:val="20"/>
                <w:szCs w:val="20"/>
              </w:rPr>
            </w:pPr>
          </w:p>
        </w:tc>
        <w:tc>
          <w:tcPr>
            <w:tcW w:w="4111" w:type="dxa"/>
            <w:shd w:val="clear" w:color="auto" w:fill="auto"/>
          </w:tcPr>
          <w:p w14:paraId="157E625E" w14:textId="77777777" w:rsidR="00A619C8" w:rsidRPr="004811EF" w:rsidRDefault="00A619C8" w:rsidP="0024269C">
            <w:pPr>
              <w:rPr>
                <w:b/>
                <w:sz w:val="20"/>
                <w:szCs w:val="20"/>
              </w:rPr>
            </w:pPr>
            <w:r w:rsidRPr="004811EF">
              <w:rPr>
                <w:b/>
                <w:sz w:val="20"/>
                <w:szCs w:val="20"/>
              </w:rPr>
              <w:t>Non-dairy beverages</w:t>
            </w:r>
          </w:p>
          <w:p w14:paraId="2C90771B" w14:textId="77777777" w:rsidR="00A619C8" w:rsidRPr="003763CA" w:rsidRDefault="00A619C8" w:rsidP="0024269C">
            <w:pPr>
              <w:rPr>
                <w:sz w:val="20"/>
                <w:szCs w:val="20"/>
              </w:rPr>
            </w:pPr>
            <w:r w:rsidRPr="003763CA">
              <w:rPr>
                <w:sz w:val="20"/>
                <w:szCs w:val="20"/>
              </w:rPr>
              <w:t>Whether the HSR System can better encourage consumption of non-dairy beverages closest in nutritional profile to water and better support consumers to compare non-dairy beverages.</w:t>
            </w:r>
          </w:p>
        </w:tc>
        <w:tc>
          <w:tcPr>
            <w:tcW w:w="1559" w:type="dxa"/>
          </w:tcPr>
          <w:p w14:paraId="3D36212C" w14:textId="77777777" w:rsidR="00A619C8" w:rsidRPr="003763CA" w:rsidRDefault="00A619C8" w:rsidP="0024269C">
            <w:pPr>
              <w:rPr>
                <w:sz w:val="20"/>
                <w:szCs w:val="20"/>
              </w:rPr>
            </w:pPr>
            <w:r w:rsidRPr="003763CA">
              <w:rPr>
                <w:sz w:val="20"/>
                <w:szCs w:val="20"/>
              </w:rPr>
              <w:t>Status quo for non</w:t>
            </w:r>
            <w:r w:rsidRPr="003763CA">
              <w:rPr>
                <w:sz w:val="20"/>
                <w:szCs w:val="20"/>
              </w:rPr>
              <w:noBreakHyphen/>
              <w:t>dairy beverages</w:t>
            </w:r>
          </w:p>
        </w:tc>
        <w:tc>
          <w:tcPr>
            <w:tcW w:w="1984" w:type="dxa"/>
          </w:tcPr>
          <w:p w14:paraId="60A37112" w14:textId="77777777" w:rsidR="00A619C8" w:rsidRPr="003763CA" w:rsidRDefault="00A619C8" w:rsidP="0024269C">
            <w:pPr>
              <w:rPr>
                <w:sz w:val="20"/>
                <w:szCs w:val="20"/>
              </w:rPr>
            </w:pPr>
            <w:r w:rsidRPr="003763CA">
              <w:rPr>
                <w:sz w:val="20"/>
                <w:szCs w:val="20"/>
              </w:rPr>
              <w:t>Non-dairy beverages (other than water) may only display the energy icon</w:t>
            </w:r>
          </w:p>
        </w:tc>
        <w:tc>
          <w:tcPr>
            <w:tcW w:w="1985" w:type="dxa"/>
          </w:tcPr>
          <w:p w14:paraId="7935A271" w14:textId="77777777" w:rsidR="00A619C8" w:rsidRPr="003763CA" w:rsidRDefault="00A619C8" w:rsidP="0024269C">
            <w:pPr>
              <w:rPr>
                <w:sz w:val="20"/>
                <w:szCs w:val="20"/>
              </w:rPr>
            </w:pPr>
            <w:r w:rsidRPr="003763CA">
              <w:rPr>
                <w:sz w:val="20"/>
                <w:szCs w:val="20"/>
              </w:rPr>
              <w:t>Non-dairy beverages may only display the stars</w:t>
            </w:r>
          </w:p>
        </w:tc>
        <w:tc>
          <w:tcPr>
            <w:tcW w:w="1956" w:type="dxa"/>
          </w:tcPr>
          <w:p w14:paraId="19A5C044" w14:textId="77777777" w:rsidR="00A619C8" w:rsidRPr="003763CA" w:rsidRDefault="00A619C8" w:rsidP="0024269C">
            <w:pPr>
              <w:rPr>
                <w:sz w:val="20"/>
                <w:szCs w:val="20"/>
              </w:rPr>
            </w:pPr>
            <w:r w:rsidRPr="003763CA">
              <w:rPr>
                <w:sz w:val="20"/>
                <w:szCs w:val="20"/>
              </w:rPr>
              <w:t xml:space="preserve">Non-dairy beverages are ineligible to score modifying points for their FVNL content </w:t>
            </w:r>
          </w:p>
        </w:tc>
        <w:tc>
          <w:tcPr>
            <w:tcW w:w="1871" w:type="dxa"/>
            <w:shd w:val="clear" w:color="auto" w:fill="auto"/>
          </w:tcPr>
          <w:p w14:paraId="06CDA3E2" w14:textId="77777777" w:rsidR="00A619C8" w:rsidRPr="003763CA" w:rsidRDefault="00A619C8" w:rsidP="0024269C">
            <w:pPr>
              <w:rPr>
                <w:sz w:val="20"/>
                <w:szCs w:val="20"/>
              </w:rPr>
            </w:pPr>
            <w:r w:rsidRPr="003763CA">
              <w:rPr>
                <w:sz w:val="20"/>
                <w:szCs w:val="20"/>
              </w:rPr>
              <w:t>Plain packaged water is the only non-dairy beverage to score an HSR of 5, combinations of juice and water with no other additives score an HSR of 4.5, and all other non</w:t>
            </w:r>
            <w:r w:rsidRPr="003763CA">
              <w:rPr>
                <w:sz w:val="20"/>
                <w:szCs w:val="20"/>
              </w:rPr>
              <w:noBreakHyphen/>
              <w:t>dairy beverages calculate their HSR using the HSR Calculator</w:t>
            </w:r>
          </w:p>
        </w:tc>
      </w:tr>
      <w:tr w:rsidR="00A619C8" w:rsidRPr="003763CA" w14:paraId="1A55E7D5" w14:textId="77777777" w:rsidTr="009D621A">
        <w:tc>
          <w:tcPr>
            <w:tcW w:w="993" w:type="dxa"/>
            <w:vMerge w:val="restart"/>
            <w:shd w:val="clear" w:color="auto" w:fill="auto"/>
          </w:tcPr>
          <w:p w14:paraId="2AB8C36E" w14:textId="77777777" w:rsidR="00A619C8" w:rsidRPr="004811EF" w:rsidRDefault="00A619C8" w:rsidP="0024269C">
            <w:pPr>
              <w:rPr>
                <w:b/>
                <w:sz w:val="20"/>
                <w:szCs w:val="20"/>
              </w:rPr>
            </w:pPr>
            <w:r w:rsidRPr="004811EF">
              <w:rPr>
                <w:b/>
                <w:sz w:val="20"/>
                <w:szCs w:val="20"/>
              </w:rPr>
              <w:t>Negative nutrients</w:t>
            </w:r>
          </w:p>
        </w:tc>
        <w:tc>
          <w:tcPr>
            <w:tcW w:w="4111" w:type="dxa"/>
            <w:shd w:val="clear" w:color="auto" w:fill="auto"/>
          </w:tcPr>
          <w:p w14:paraId="0D2E1FB1" w14:textId="77777777" w:rsidR="00A619C8" w:rsidRPr="004811EF" w:rsidRDefault="00A619C8" w:rsidP="0024269C">
            <w:pPr>
              <w:rPr>
                <w:b/>
                <w:sz w:val="20"/>
                <w:szCs w:val="20"/>
              </w:rPr>
            </w:pPr>
            <w:r w:rsidRPr="004811EF">
              <w:rPr>
                <w:b/>
                <w:sz w:val="20"/>
                <w:szCs w:val="20"/>
              </w:rPr>
              <w:t>Sugars</w:t>
            </w:r>
          </w:p>
          <w:p w14:paraId="3D827CC7" w14:textId="77777777" w:rsidR="00A619C8" w:rsidRPr="003763CA" w:rsidRDefault="00A619C8" w:rsidP="0024269C">
            <w:pPr>
              <w:rPr>
                <w:sz w:val="20"/>
                <w:szCs w:val="20"/>
              </w:rPr>
            </w:pPr>
            <w:r w:rsidRPr="003763CA">
              <w:rPr>
                <w:sz w:val="20"/>
                <w:szCs w:val="20"/>
              </w:rPr>
              <w:t>Whether the HSR System appropriately deals with sugars, specifically added sugars, particularly in areas of high consumer interest such as breakfast cereals, muesli bars and yoghurts.</w:t>
            </w:r>
          </w:p>
        </w:tc>
        <w:tc>
          <w:tcPr>
            <w:tcW w:w="1559" w:type="dxa"/>
          </w:tcPr>
          <w:p w14:paraId="51F9AFF7" w14:textId="77777777" w:rsidR="00A619C8" w:rsidRPr="003763CA" w:rsidRDefault="00A619C8" w:rsidP="0024269C">
            <w:pPr>
              <w:rPr>
                <w:sz w:val="20"/>
                <w:szCs w:val="20"/>
              </w:rPr>
            </w:pPr>
            <w:r w:rsidRPr="003763CA">
              <w:rPr>
                <w:sz w:val="20"/>
                <w:szCs w:val="20"/>
              </w:rPr>
              <w:t>Status quo for sugars</w:t>
            </w:r>
          </w:p>
        </w:tc>
        <w:tc>
          <w:tcPr>
            <w:tcW w:w="1984" w:type="dxa"/>
          </w:tcPr>
          <w:p w14:paraId="72E0701E" w14:textId="77777777" w:rsidR="00A619C8" w:rsidRPr="003763CA" w:rsidRDefault="00A619C8" w:rsidP="0024269C">
            <w:pPr>
              <w:rPr>
                <w:sz w:val="20"/>
                <w:szCs w:val="20"/>
              </w:rPr>
            </w:pPr>
            <w:r w:rsidRPr="003763CA">
              <w:rPr>
                <w:sz w:val="20"/>
                <w:szCs w:val="20"/>
              </w:rPr>
              <w:t>Replace total sugars with added sugars</w:t>
            </w:r>
          </w:p>
        </w:tc>
        <w:tc>
          <w:tcPr>
            <w:tcW w:w="1985" w:type="dxa"/>
            <w:shd w:val="clear" w:color="auto" w:fill="E2EFD9" w:themeFill="accent6" w:themeFillTint="33"/>
          </w:tcPr>
          <w:p w14:paraId="273A237D" w14:textId="1C842ED9" w:rsidR="00A619C8" w:rsidRPr="003763CA" w:rsidRDefault="00A619C8" w:rsidP="0024269C">
            <w:pPr>
              <w:rPr>
                <w:sz w:val="20"/>
                <w:szCs w:val="20"/>
              </w:rPr>
            </w:pPr>
            <w:r w:rsidRPr="003763CA">
              <w:rPr>
                <w:sz w:val="20"/>
                <w:szCs w:val="20"/>
              </w:rPr>
              <w:t xml:space="preserve">Increase the baseline points awarded for total sugars to reduce the HSRs for products </w:t>
            </w:r>
            <w:r w:rsidR="0078238C" w:rsidRPr="003763CA">
              <w:rPr>
                <w:sz w:val="20"/>
                <w:szCs w:val="20"/>
              </w:rPr>
              <w:t xml:space="preserve">relatively </w:t>
            </w:r>
            <w:r w:rsidRPr="003763CA">
              <w:rPr>
                <w:sz w:val="20"/>
                <w:szCs w:val="20"/>
              </w:rPr>
              <w:t>high in total sugars</w:t>
            </w:r>
          </w:p>
        </w:tc>
        <w:tc>
          <w:tcPr>
            <w:tcW w:w="1956" w:type="dxa"/>
          </w:tcPr>
          <w:p w14:paraId="7C703E29" w14:textId="4B91FD6B" w:rsidR="00A619C8" w:rsidRPr="003763CA" w:rsidRDefault="00A619C8" w:rsidP="0024269C">
            <w:pPr>
              <w:rPr>
                <w:sz w:val="20"/>
                <w:szCs w:val="20"/>
              </w:rPr>
            </w:pPr>
            <w:r w:rsidRPr="003763CA">
              <w:rPr>
                <w:sz w:val="20"/>
                <w:szCs w:val="20"/>
              </w:rPr>
              <w:t xml:space="preserve">Remove modifying points or restrict the HSR for products </w:t>
            </w:r>
            <w:r w:rsidR="0078238C" w:rsidRPr="003763CA">
              <w:rPr>
                <w:sz w:val="20"/>
                <w:szCs w:val="20"/>
              </w:rPr>
              <w:t xml:space="preserve">relatively </w:t>
            </w:r>
            <w:r w:rsidRPr="003763CA">
              <w:rPr>
                <w:sz w:val="20"/>
                <w:szCs w:val="20"/>
              </w:rPr>
              <w:t>high in total sugars to reduce their HSRs</w:t>
            </w:r>
          </w:p>
        </w:tc>
        <w:tc>
          <w:tcPr>
            <w:tcW w:w="1871" w:type="dxa"/>
          </w:tcPr>
          <w:p w14:paraId="790D9D3B" w14:textId="77777777" w:rsidR="00A619C8" w:rsidRPr="003763CA" w:rsidRDefault="00A619C8" w:rsidP="0024269C">
            <w:pPr>
              <w:rPr>
                <w:sz w:val="20"/>
                <w:szCs w:val="20"/>
              </w:rPr>
            </w:pPr>
          </w:p>
        </w:tc>
      </w:tr>
      <w:tr w:rsidR="00A619C8" w:rsidRPr="003763CA" w14:paraId="74A1E002" w14:textId="77777777" w:rsidTr="009D621A">
        <w:tc>
          <w:tcPr>
            <w:tcW w:w="993" w:type="dxa"/>
            <w:vMerge/>
            <w:shd w:val="clear" w:color="auto" w:fill="auto"/>
          </w:tcPr>
          <w:p w14:paraId="6CAB928B" w14:textId="77777777" w:rsidR="00A619C8" w:rsidRPr="004811EF" w:rsidRDefault="00A619C8" w:rsidP="0024269C">
            <w:pPr>
              <w:rPr>
                <w:b/>
                <w:sz w:val="20"/>
                <w:szCs w:val="20"/>
              </w:rPr>
            </w:pPr>
          </w:p>
        </w:tc>
        <w:tc>
          <w:tcPr>
            <w:tcW w:w="4111" w:type="dxa"/>
            <w:shd w:val="clear" w:color="auto" w:fill="auto"/>
          </w:tcPr>
          <w:p w14:paraId="0D21D93B" w14:textId="77777777" w:rsidR="00A619C8" w:rsidRPr="004811EF" w:rsidRDefault="00A619C8" w:rsidP="0024269C">
            <w:pPr>
              <w:rPr>
                <w:b/>
                <w:sz w:val="20"/>
                <w:szCs w:val="20"/>
              </w:rPr>
            </w:pPr>
            <w:r w:rsidRPr="004811EF">
              <w:rPr>
                <w:b/>
                <w:sz w:val="20"/>
                <w:szCs w:val="20"/>
              </w:rPr>
              <w:t>Sodium</w:t>
            </w:r>
          </w:p>
          <w:p w14:paraId="6697744A" w14:textId="77777777" w:rsidR="00A619C8" w:rsidRPr="003763CA" w:rsidRDefault="00A619C8" w:rsidP="0024269C">
            <w:pPr>
              <w:rPr>
                <w:sz w:val="20"/>
                <w:szCs w:val="20"/>
              </w:rPr>
            </w:pPr>
            <w:r w:rsidRPr="003763CA">
              <w:rPr>
                <w:sz w:val="20"/>
                <w:szCs w:val="20"/>
              </w:rPr>
              <w:t>Whether the HSR System could more effectively discriminate between products that have significantly different sodium levels.</w:t>
            </w:r>
          </w:p>
        </w:tc>
        <w:tc>
          <w:tcPr>
            <w:tcW w:w="1559" w:type="dxa"/>
          </w:tcPr>
          <w:p w14:paraId="5B551C23" w14:textId="77777777" w:rsidR="00A619C8" w:rsidRPr="003763CA" w:rsidRDefault="00A619C8" w:rsidP="0024269C">
            <w:pPr>
              <w:rPr>
                <w:sz w:val="20"/>
                <w:szCs w:val="20"/>
              </w:rPr>
            </w:pPr>
            <w:r w:rsidRPr="003763CA">
              <w:rPr>
                <w:sz w:val="20"/>
                <w:szCs w:val="20"/>
              </w:rPr>
              <w:t>Status quo for sodium</w:t>
            </w:r>
          </w:p>
        </w:tc>
        <w:tc>
          <w:tcPr>
            <w:tcW w:w="1984" w:type="dxa"/>
            <w:shd w:val="clear" w:color="auto" w:fill="E2EFD9" w:themeFill="accent6" w:themeFillTint="33"/>
          </w:tcPr>
          <w:p w14:paraId="6B256213" w14:textId="1097C39F" w:rsidR="00A619C8" w:rsidRPr="003763CA" w:rsidRDefault="00A619C8" w:rsidP="0024269C">
            <w:pPr>
              <w:rPr>
                <w:sz w:val="20"/>
                <w:szCs w:val="20"/>
              </w:rPr>
            </w:pPr>
            <w:r w:rsidRPr="003763CA">
              <w:rPr>
                <w:sz w:val="20"/>
                <w:szCs w:val="20"/>
              </w:rPr>
              <w:t xml:space="preserve">Increase the </w:t>
            </w:r>
            <w:r w:rsidR="00E54211" w:rsidRPr="003763CA">
              <w:rPr>
                <w:sz w:val="20"/>
                <w:szCs w:val="20"/>
              </w:rPr>
              <w:t>maximum sodium levels used to determine baseline points for sodium to better reflect the range of sodium levels in the food supply</w:t>
            </w:r>
            <w:r w:rsidRPr="003763CA">
              <w:rPr>
                <w:sz w:val="20"/>
                <w:szCs w:val="20"/>
              </w:rPr>
              <w:t xml:space="preserve"> </w:t>
            </w:r>
          </w:p>
        </w:tc>
        <w:tc>
          <w:tcPr>
            <w:tcW w:w="1985" w:type="dxa"/>
          </w:tcPr>
          <w:p w14:paraId="14305A4E" w14:textId="77777777" w:rsidR="00A619C8" w:rsidRPr="003763CA" w:rsidRDefault="00A619C8" w:rsidP="0024269C">
            <w:pPr>
              <w:rPr>
                <w:sz w:val="20"/>
                <w:szCs w:val="20"/>
              </w:rPr>
            </w:pPr>
          </w:p>
        </w:tc>
        <w:tc>
          <w:tcPr>
            <w:tcW w:w="1956" w:type="dxa"/>
          </w:tcPr>
          <w:p w14:paraId="1E052F4A" w14:textId="77777777" w:rsidR="00A619C8" w:rsidRPr="003763CA" w:rsidRDefault="00A619C8" w:rsidP="0024269C">
            <w:pPr>
              <w:rPr>
                <w:sz w:val="20"/>
                <w:szCs w:val="20"/>
              </w:rPr>
            </w:pPr>
          </w:p>
        </w:tc>
        <w:tc>
          <w:tcPr>
            <w:tcW w:w="1871" w:type="dxa"/>
          </w:tcPr>
          <w:p w14:paraId="47F3F243" w14:textId="77777777" w:rsidR="00A619C8" w:rsidRPr="003763CA" w:rsidRDefault="00A619C8" w:rsidP="0024269C">
            <w:pPr>
              <w:rPr>
                <w:sz w:val="20"/>
                <w:szCs w:val="20"/>
              </w:rPr>
            </w:pPr>
          </w:p>
        </w:tc>
      </w:tr>
      <w:tr w:rsidR="00A619C8" w:rsidRPr="003763CA" w14:paraId="6E086052" w14:textId="77777777" w:rsidTr="009D621A">
        <w:tc>
          <w:tcPr>
            <w:tcW w:w="993" w:type="dxa"/>
            <w:vMerge w:val="restart"/>
            <w:shd w:val="clear" w:color="auto" w:fill="auto"/>
          </w:tcPr>
          <w:p w14:paraId="011BAD9B" w14:textId="77777777" w:rsidR="00A619C8" w:rsidRPr="004811EF" w:rsidRDefault="00A619C8" w:rsidP="0024269C">
            <w:pPr>
              <w:rPr>
                <w:b/>
                <w:sz w:val="20"/>
                <w:szCs w:val="20"/>
              </w:rPr>
            </w:pPr>
            <w:r w:rsidRPr="004811EF">
              <w:rPr>
                <w:b/>
                <w:sz w:val="20"/>
                <w:szCs w:val="20"/>
              </w:rPr>
              <w:t>Positive nutrients</w:t>
            </w:r>
          </w:p>
        </w:tc>
        <w:tc>
          <w:tcPr>
            <w:tcW w:w="4111" w:type="dxa"/>
            <w:shd w:val="clear" w:color="auto" w:fill="auto"/>
          </w:tcPr>
          <w:p w14:paraId="1DDFD6F9" w14:textId="77777777" w:rsidR="00A619C8" w:rsidRPr="004811EF" w:rsidRDefault="00A619C8" w:rsidP="0024269C">
            <w:pPr>
              <w:rPr>
                <w:b/>
                <w:sz w:val="20"/>
                <w:szCs w:val="20"/>
              </w:rPr>
            </w:pPr>
            <w:r w:rsidRPr="004811EF">
              <w:rPr>
                <w:b/>
                <w:sz w:val="20"/>
                <w:szCs w:val="20"/>
              </w:rPr>
              <w:t>Protein</w:t>
            </w:r>
          </w:p>
          <w:p w14:paraId="2F46C2C2" w14:textId="77777777" w:rsidR="00A619C8" w:rsidRPr="003763CA" w:rsidRDefault="00A619C8" w:rsidP="0024269C">
            <w:pPr>
              <w:rPr>
                <w:sz w:val="20"/>
                <w:szCs w:val="20"/>
              </w:rPr>
            </w:pPr>
            <w:r w:rsidRPr="003763CA">
              <w:rPr>
                <w:sz w:val="20"/>
                <w:szCs w:val="20"/>
              </w:rPr>
              <w:t>Whether protein should be included in the HSR Calculator given the majority of Australians and New Zealanders meet or exceed recommended intakes for protein. If so, whether less healthy products should be able to benefit from the presence of protein.</w:t>
            </w:r>
          </w:p>
        </w:tc>
        <w:tc>
          <w:tcPr>
            <w:tcW w:w="1559" w:type="dxa"/>
          </w:tcPr>
          <w:p w14:paraId="48AA6993" w14:textId="77777777" w:rsidR="00A619C8" w:rsidRPr="003763CA" w:rsidRDefault="00A619C8" w:rsidP="0024269C">
            <w:pPr>
              <w:rPr>
                <w:sz w:val="20"/>
                <w:szCs w:val="20"/>
              </w:rPr>
            </w:pPr>
            <w:r w:rsidRPr="003763CA">
              <w:rPr>
                <w:sz w:val="20"/>
                <w:szCs w:val="20"/>
              </w:rPr>
              <w:t>Status quo for protein</w:t>
            </w:r>
          </w:p>
        </w:tc>
        <w:tc>
          <w:tcPr>
            <w:tcW w:w="1984" w:type="dxa"/>
            <w:shd w:val="clear" w:color="auto" w:fill="E2EFD9" w:themeFill="accent6" w:themeFillTint="33"/>
          </w:tcPr>
          <w:p w14:paraId="4CA10D79" w14:textId="77777777" w:rsidR="00A619C8" w:rsidRPr="003763CA" w:rsidRDefault="00A619C8" w:rsidP="0024269C">
            <w:pPr>
              <w:rPr>
                <w:sz w:val="20"/>
                <w:szCs w:val="20"/>
              </w:rPr>
            </w:pPr>
            <w:r w:rsidRPr="003763CA">
              <w:rPr>
                <w:sz w:val="20"/>
                <w:szCs w:val="20"/>
              </w:rPr>
              <w:t>Adjust the threshold at which products can claim modifying protein points to reduce the ability for less healthy products to increase their HSR through protein</w:t>
            </w:r>
          </w:p>
        </w:tc>
        <w:tc>
          <w:tcPr>
            <w:tcW w:w="1985" w:type="dxa"/>
          </w:tcPr>
          <w:p w14:paraId="598EADAD" w14:textId="77777777" w:rsidR="00A619C8" w:rsidRPr="003763CA" w:rsidRDefault="00A619C8" w:rsidP="0024269C">
            <w:pPr>
              <w:rPr>
                <w:sz w:val="20"/>
                <w:szCs w:val="20"/>
              </w:rPr>
            </w:pPr>
            <w:r w:rsidRPr="003763CA">
              <w:rPr>
                <w:sz w:val="20"/>
                <w:szCs w:val="20"/>
              </w:rPr>
              <w:t>Remove protein from the HSR Calculator</w:t>
            </w:r>
          </w:p>
        </w:tc>
        <w:tc>
          <w:tcPr>
            <w:tcW w:w="1956" w:type="dxa"/>
          </w:tcPr>
          <w:p w14:paraId="51A9B411" w14:textId="77777777" w:rsidR="00A619C8" w:rsidRPr="003763CA" w:rsidRDefault="00A619C8" w:rsidP="0024269C">
            <w:pPr>
              <w:rPr>
                <w:sz w:val="20"/>
                <w:szCs w:val="20"/>
              </w:rPr>
            </w:pPr>
          </w:p>
        </w:tc>
        <w:tc>
          <w:tcPr>
            <w:tcW w:w="1871" w:type="dxa"/>
          </w:tcPr>
          <w:p w14:paraId="766DD16E" w14:textId="77777777" w:rsidR="00A619C8" w:rsidRPr="003763CA" w:rsidRDefault="00A619C8" w:rsidP="0024269C">
            <w:pPr>
              <w:rPr>
                <w:sz w:val="20"/>
                <w:szCs w:val="20"/>
              </w:rPr>
            </w:pPr>
          </w:p>
        </w:tc>
      </w:tr>
      <w:tr w:rsidR="00A619C8" w:rsidRPr="003763CA" w14:paraId="0114F0E3" w14:textId="77777777" w:rsidTr="009D621A">
        <w:tc>
          <w:tcPr>
            <w:tcW w:w="993" w:type="dxa"/>
            <w:vMerge/>
            <w:tcBorders>
              <w:bottom w:val="single" w:sz="4" w:space="0" w:color="auto"/>
            </w:tcBorders>
            <w:shd w:val="clear" w:color="auto" w:fill="auto"/>
          </w:tcPr>
          <w:p w14:paraId="52641144" w14:textId="77777777" w:rsidR="00A619C8" w:rsidRPr="004811EF" w:rsidRDefault="00A619C8" w:rsidP="0024269C">
            <w:pPr>
              <w:rPr>
                <w:b/>
                <w:sz w:val="20"/>
                <w:szCs w:val="20"/>
              </w:rPr>
            </w:pPr>
          </w:p>
        </w:tc>
        <w:tc>
          <w:tcPr>
            <w:tcW w:w="4111" w:type="dxa"/>
            <w:tcBorders>
              <w:bottom w:val="single" w:sz="4" w:space="0" w:color="auto"/>
            </w:tcBorders>
            <w:shd w:val="clear" w:color="auto" w:fill="auto"/>
          </w:tcPr>
          <w:p w14:paraId="63F731B2" w14:textId="77777777" w:rsidR="00A619C8" w:rsidRPr="004811EF" w:rsidRDefault="00A619C8" w:rsidP="0024269C">
            <w:pPr>
              <w:rPr>
                <w:b/>
                <w:sz w:val="20"/>
                <w:szCs w:val="20"/>
              </w:rPr>
            </w:pPr>
            <w:r w:rsidRPr="004811EF">
              <w:rPr>
                <w:b/>
                <w:sz w:val="20"/>
                <w:szCs w:val="20"/>
              </w:rPr>
              <w:t>Fibre and wholegrain</w:t>
            </w:r>
          </w:p>
          <w:p w14:paraId="1D3A6B42" w14:textId="77777777" w:rsidR="00A619C8" w:rsidRPr="003763CA" w:rsidRDefault="00A619C8" w:rsidP="0024269C">
            <w:pPr>
              <w:rPr>
                <w:sz w:val="20"/>
                <w:szCs w:val="20"/>
              </w:rPr>
            </w:pPr>
            <w:r w:rsidRPr="003763CA">
              <w:rPr>
                <w:sz w:val="20"/>
                <w:szCs w:val="20"/>
              </w:rPr>
              <w:t>Whether the HSR System should better enable consideration of the wholegrain content of products.</w:t>
            </w:r>
          </w:p>
        </w:tc>
        <w:tc>
          <w:tcPr>
            <w:tcW w:w="1559" w:type="dxa"/>
            <w:tcBorders>
              <w:bottom w:val="single" w:sz="4" w:space="0" w:color="auto"/>
            </w:tcBorders>
          </w:tcPr>
          <w:p w14:paraId="65318489" w14:textId="77777777" w:rsidR="00A619C8" w:rsidRPr="003763CA" w:rsidRDefault="00A619C8" w:rsidP="0024269C">
            <w:pPr>
              <w:rPr>
                <w:sz w:val="20"/>
                <w:szCs w:val="20"/>
              </w:rPr>
            </w:pPr>
            <w:r w:rsidRPr="003763CA">
              <w:rPr>
                <w:sz w:val="20"/>
                <w:szCs w:val="20"/>
              </w:rPr>
              <w:t>Status quo for fibre</w:t>
            </w:r>
          </w:p>
        </w:tc>
        <w:tc>
          <w:tcPr>
            <w:tcW w:w="1984" w:type="dxa"/>
            <w:tcBorders>
              <w:bottom w:val="single" w:sz="4" w:space="0" w:color="auto"/>
            </w:tcBorders>
            <w:shd w:val="clear" w:color="auto" w:fill="E2EFD9" w:themeFill="accent6" w:themeFillTint="33"/>
          </w:tcPr>
          <w:p w14:paraId="37B67980" w14:textId="4D3FAE89" w:rsidR="00A619C8" w:rsidRPr="003763CA" w:rsidRDefault="00E54211" w:rsidP="0024269C">
            <w:pPr>
              <w:rPr>
                <w:sz w:val="20"/>
                <w:szCs w:val="20"/>
              </w:rPr>
            </w:pPr>
            <w:r w:rsidRPr="003763CA">
              <w:rPr>
                <w:sz w:val="20"/>
                <w:szCs w:val="20"/>
              </w:rPr>
              <w:t>Enable foods to receive more modifying F points where more wholegrains are present in the food</w:t>
            </w:r>
            <w:r w:rsidR="00A619C8" w:rsidRPr="003763CA">
              <w:rPr>
                <w:sz w:val="20"/>
                <w:szCs w:val="20"/>
              </w:rPr>
              <w:t xml:space="preserve"> </w:t>
            </w:r>
          </w:p>
        </w:tc>
        <w:tc>
          <w:tcPr>
            <w:tcW w:w="1985" w:type="dxa"/>
            <w:tcBorders>
              <w:bottom w:val="single" w:sz="4" w:space="0" w:color="auto"/>
            </w:tcBorders>
          </w:tcPr>
          <w:p w14:paraId="6E5FF565" w14:textId="77777777" w:rsidR="00A619C8" w:rsidRPr="003763CA" w:rsidRDefault="00A619C8" w:rsidP="0024269C">
            <w:pPr>
              <w:rPr>
                <w:sz w:val="20"/>
                <w:szCs w:val="20"/>
              </w:rPr>
            </w:pPr>
          </w:p>
        </w:tc>
        <w:tc>
          <w:tcPr>
            <w:tcW w:w="1956" w:type="dxa"/>
            <w:tcBorders>
              <w:bottom w:val="single" w:sz="4" w:space="0" w:color="auto"/>
            </w:tcBorders>
          </w:tcPr>
          <w:p w14:paraId="725611FC" w14:textId="77777777" w:rsidR="00A619C8" w:rsidRPr="003763CA" w:rsidRDefault="00A619C8" w:rsidP="0024269C">
            <w:pPr>
              <w:rPr>
                <w:sz w:val="20"/>
                <w:szCs w:val="20"/>
              </w:rPr>
            </w:pPr>
          </w:p>
        </w:tc>
        <w:tc>
          <w:tcPr>
            <w:tcW w:w="1871" w:type="dxa"/>
            <w:tcBorders>
              <w:bottom w:val="single" w:sz="4" w:space="0" w:color="auto"/>
            </w:tcBorders>
          </w:tcPr>
          <w:p w14:paraId="6AFCD8C5" w14:textId="77777777" w:rsidR="00A619C8" w:rsidRPr="003763CA" w:rsidRDefault="00A619C8" w:rsidP="0024269C">
            <w:pPr>
              <w:rPr>
                <w:sz w:val="20"/>
                <w:szCs w:val="20"/>
              </w:rPr>
            </w:pPr>
          </w:p>
        </w:tc>
      </w:tr>
      <w:tr w:rsidR="00A619C8" w:rsidRPr="003763CA" w14:paraId="07E5EED5" w14:textId="77777777" w:rsidTr="009D621A">
        <w:tc>
          <w:tcPr>
            <w:tcW w:w="993" w:type="dxa"/>
            <w:vMerge w:val="restart"/>
            <w:shd w:val="clear" w:color="auto" w:fill="auto"/>
          </w:tcPr>
          <w:p w14:paraId="1B69D68F" w14:textId="77777777" w:rsidR="00A619C8" w:rsidRPr="004811EF" w:rsidRDefault="00A619C8" w:rsidP="0024269C">
            <w:pPr>
              <w:rPr>
                <w:b/>
                <w:sz w:val="20"/>
                <w:szCs w:val="20"/>
              </w:rPr>
            </w:pPr>
            <w:r w:rsidRPr="004811EF">
              <w:rPr>
                <w:b/>
                <w:sz w:val="20"/>
                <w:szCs w:val="20"/>
              </w:rPr>
              <w:t>Specific product issues</w:t>
            </w:r>
          </w:p>
          <w:p w14:paraId="4658F83A" w14:textId="77777777" w:rsidR="00A619C8" w:rsidRPr="004811EF" w:rsidRDefault="00A619C8" w:rsidP="0024269C">
            <w:pPr>
              <w:rPr>
                <w:b/>
                <w:sz w:val="20"/>
                <w:szCs w:val="20"/>
              </w:rPr>
            </w:pPr>
            <w:r w:rsidRPr="004811EF">
              <w:rPr>
                <w:b/>
                <w:sz w:val="20"/>
                <w:szCs w:val="20"/>
              </w:rPr>
              <w:t xml:space="preserve"> </w:t>
            </w:r>
          </w:p>
        </w:tc>
        <w:tc>
          <w:tcPr>
            <w:tcW w:w="4111" w:type="dxa"/>
            <w:shd w:val="clear" w:color="auto" w:fill="auto"/>
          </w:tcPr>
          <w:p w14:paraId="5E37AAF6" w14:textId="77777777" w:rsidR="00A619C8" w:rsidRPr="004811EF" w:rsidRDefault="00A619C8" w:rsidP="0024269C">
            <w:pPr>
              <w:rPr>
                <w:b/>
                <w:sz w:val="20"/>
                <w:szCs w:val="20"/>
              </w:rPr>
            </w:pPr>
            <w:r w:rsidRPr="004811EF">
              <w:rPr>
                <w:b/>
                <w:sz w:val="20"/>
                <w:szCs w:val="20"/>
              </w:rPr>
              <w:t>Oils and oil-based spreads</w:t>
            </w:r>
          </w:p>
          <w:p w14:paraId="18A69874" w14:textId="77777777" w:rsidR="00A619C8" w:rsidRPr="003763CA" w:rsidRDefault="00A619C8" w:rsidP="0024269C">
            <w:pPr>
              <w:rPr>
                <w:sz w:val="20"/>
                <w:szCs w:val="20"/>
              </w:rPr>
            </w:pPr>
            <w:r w:rsidRPr="003763CA">
              <w:rPr>
                <w:sz w:val="20"/>
                <w:szCs w:val="20"/>
              </w:rPr>
              <w:t>Whether healthy oils and spreads should receive similar, higher HSRs.</w:t>
            </w:r>
          </w:p>
        </w:tc>
        <w:tc>
          <w:tcPr>
            <w:tcW w:w="1559" w:type="dxa"/>
            <w:tcBorders>
              <w:bottom w:val="single" w:sz="4" w:space="0" w:color="auto"/>
            </w:tcBorders>
          </w:tcPr>
          <w:p w14:paraId="4A3361FF" w14:textId="24280B72" w:rsidR="00A619C8" w:rsidRPr="003763CA" w:rsidRDefault="004811EF" w:rsidP="0024269C">
            <w:pPr>
              <w:rPr>
                <w:sz w:val="20"/>
                <w:szCs w:val="20"/>
              </w:rPr>
            </w:pPr>
            <w:r>
              <w:rPr>
                <w:sz w:val="20"/>
                <w:szCs w:val="20"/>
              </w:rPr>
              <w:t>Status quo for oils and oil</w:t>
            </w:r>
            <w:r>
              <w:rPr>
                <w:sz w:val="20"/>
                <w:szCs w:val="20"/>
              </w:rPr>
              <w:noBreakHyphen/>
            </w:r>
            <w:r w:rsidR="00A619C8" w:rsidRPr="003763CA">
              <w:rPr>
                <w:sz w:val="20"/>
                <w:szCs w:val="20"/>
              </w:rPr>
              <w:t>based spreads</w:t>
            </w:r>
          </w:p>
        </w:tc>
        <w:tc>
          <w:tcPr>
            <w:tcW w:w="1984" w:type="dxa"/>
            <w:shd w:val="clear" w:color="auto" w:fill="E2EFD9" w:themeFill="accent6" w:themeFillTint="33"/>
          </w:tcPr>
          <w:p w14:paraId="304354E5" w14:textId="1F178986" w:rsidR="00A619C8" w:rsidRPr="003763CA" w:rsidRDefault="00A619C8" w:rsidP="0024269C">
            <w:pPr>
              <w:rPr>
                <w:sz w:val="20"/>
                <w:szCs w:val="20"/>
              </w:rPr>
            </w:pPr>
            <w:r w:rsidRPr="003763CA">
              <w:rPr>
                <w:sz w:val="20"/>
                <w:szCs w:val="20"/>
              </w:rPr>
              <w:t>Rescale Category 3 upwards to increase and narrow the range of HSRs for oils and oil</w:t>
            </w:r>
            <w:r w:rsidR="0078238C" w:rsidRPr="003763CA">
              <w:rPr>
                <w:sz w:val="20"/>
                <w:szCs w:val="20"/>
              </w:rPr>
              <w:noBreakHyphen/>
            </w:r>
            <w:r w:rsidRPr="003763CA">
              <w:rPr>
                <w:sz w:val="20"/>
                <w:szCs w:val="20"/>
              </w:rPr>
              <w:t>based spreads so that healthy oils receive higher HSRs which better represent their relative nutritional value</w:t>
            </w:r>
          </w:p>
        </w:tc>
        <w:tc>
          <w:tcPr>
            <w:tcW w:w="1985" w:type="dxa"/>
          </w:tcPr>
          <w:p w14:paraId="221CA631" w14:textId="77777777" w:rsidR="00A619C8" w:rsidRPr="003763CA" w:rsidRDefault="00A619C8" w:rsidP="0024269C">
            <w:pPr>
              <w:rPr>
                <w:sz w:val="20"/>
                <w:szCs w:val="20"/>
              </w:rPr>
            </w:pPr>
          </w:p>
        </w:tc>
        <w:tc>
          <w:tcPr>
            <w:tcW w:w="1956" w:type="dxa"/>
          </w:tcPr>
          <w:p w14:paraId="402066D7" w14:textId="77777777" w:rsidR="00A619C8" w:rsidRPr="003763CA" w:rsidRDefault="00A619C8" w:rsidP="0024269C">
            <w:pPr>
              <w:rPr>
                <w:sz w:val="20"/>
                <w:szCs w:val="20"/>
              </w:rPr>
            </w:pPr>
          </w:p>
        </w:tc>
        <w:tc>
          <w:tcPr>
            <w:tcW w:w="1871" w:type="dxa"/>
          </w:tcPr>
          <w:p w14:paraId="3616130F" w14:textId="77777777" w:rsidR="00A619C8" w:rsidRPr="003763CA" w:rsidRDefault="00A619C8" w:rsidP="0024269C">
            <w:pPr>
              <w:rPr>
                <w:sz w:val="20"/>
                <w:szCs w:val="20"/>
              </w:rPr>
            </w:pPr>
          </w:p>
        </w:tc>
      </w:tr>
      <w:tr w:rsidR="00A619C8" w:rsidRPr="003763CA" w14:paraId="2B394E0A" w14:textId="77777777" w:rsidTr="009D621A">
        <w:tc>
          <w:tcPr>
            <w:tcW w:w="993" w:type="dxa"/>
            <w:vMerge/>
            <w:shd w:val="clear" w:color="auto" w:fill="auto"/>
          </w:tcPr>
          <w:p w14:paraId="1B0826B1" w14:textId="77777777" w:rsidR="00A619C8" w:rsidRPr="004811EF" w:rsidRDefault="00A619C8" w:rsidP="0024269C">
            <w:pPr>
              <w:rPr>
                <w:b/>
                <w:sz w:val="20"/>
                <w:szCs w:val="20"/>
              </w:rPr>
            </w:pPr>
          </w:p>
        </w:tc>
        <w:tc>
          <w:tcPr>
            <w:tcW w:w="4111" w:type="dxa"/>
            <w:shd w:val="clear" w:color="auto" w:fill="auto"/>
          </w:tcPr>
          <w:p w14:paraId="22C10874" w14:textId="77777777" w:rsidR="00A619C8" w:rsidRPr="004811EF" w:rsidRDefault="00A619C8" w:rsidP="0024269C">
            <w:pPr>
              <w:rPr>
                <w:b/>
                <w:sz w:val="20"/>
                <w:szCs w:val="20"/>
              </w:rPr>
            </w:pPr>
            <w:r w:rsidRPr="004811EF">
              <w:rPr>
                <w:b/>
                <w:sz w:val="20"/>
                <w:szCs w:val="20"/>
              </w:rPr>
              <w:t>Salty snacks</w:t>
            </w:r>
          </w:p>
          <w:p w14:paraId="626E0DCD" w14:textId="77777777" w:rsidR="00A619C8" w:rsidRPr="003763CA" w:rsidRDefault="00A619C8" w:rsidP="0024269C">
            <w:pPr>
              <w:rPr>
                <w:sz w:val="20"/>
                <w:szCs w:val="20"/>
              </w:rPr>
            </w:pPr>
            <w:r w:rsidRPr="003763CA">
              <w:rPr>
                <w:sz w:val="20"/>
                <w:szCs w:val="20"/>
              </w:rPr>
              <w:lastRenderedPageBreak/>
              <w:t>Whether discretionary salty snacks should receive lower HSRs to better align with their status as discretionary foods</w:t>
            </w:r>
          </w:p>
        </w:tc>
        <w:tc>
          <w:tcPr>
            <w:tcW w:w="1559" w:type="dxa"/>
            <w:shd w:val="clear" w:color="auto" w:fill="E2EFD9" w:themeFill="accent6" w:themeFillTint="33"/>
          </w:tcPr>
          <w:p w14:paraId="33144C23" w14:textId="399E2B87" w:rsidR="00A619C8" w:rsidRPr="003763CA" w:rsidRDefault="00A619C8" w:rsidP="0024269C">
            <w:pPr>
              <w:rPr>
                <w:sz w:val="20"/>
                <w:szCs w:val="20"/>
              </w:rPr>
            </w:pPr>
            <w:r w:rsidRPr="003763CA">
              <w:rPr>
                <w:sz w:val="20"/>
                <w:szCs w:val="20"/>
              </w:rPr>
              <w:lastRenderedPageBreak/>
              <w:t xml:space="preserve">Status quo for </w:t>
            </w:r>
            <w:r w:rsidRPr="003763CA">
              <w:rPr>
                <w:sz w:val="20"/>
                <w:szCs w:val="20"/>
              </w:rPr>
              <w:lastRenderedPageBreak/>
              <w:t xml:space="preserve">salty snacks </w:t>
            </w:r>
          </w:p>
        </w:tc>
        <w:tc>
          <w:tcPr>
            <w:tcW w:w="1984" w:type="dxa"/>
            <w:shd w:val="clear" w:color="auto" w:fill="auto"/>
          </w:tcPr>
          <w:p w14:paraId="2CB9AC50" w14:textId="7678BE03" w:rsidR="00A619C8" w:rsidRPr="003763CA" w:rsidRDefault="00A619C8" w:rsidP="0024269C">
            <w:pPr>
              <w:rPr>
                <w:sz w:val="20"/>
                <w:szCs w:val="20"/>
              </w:rPr>
            </w:pPr>
            <w:r w:rsidRPr="003763CA">
              <w:rPr>
                <w:sz w:val="20"/>
                <w:szCs w:val="20"/>
              </w:rPr>
              <w:lastRenderedPageBreak/>
              <w:t xml:space="preserve">Remove modifying </w:t>
            </w:r>
            <w:r w:rsidRPr="003763CA">
              <w:rPr>
                <w:sz w:val="20"/>
                <w:szCs w:val="20"/>
              </w:rPr>
              <w:lastRenderedPageBreak/>
              <w:t xml:space="preserve">points or restrict the HSR for </w:t>
            </w:r>
            <w:r w:rsidR="0078238C" w:rsidRPr="003763CA">
              <w:rPr>
                <w:sz w:val="20"/>
                <w:szCs w:val="20"/>
              </w:rPr>
              <w:t>salty snack</w:t>
            </w:r>
            <w:r w:rsidRPr="003763CA">
              <w:rPr>
                <w:sz w:val="20"/>
                <w:szCs w:val="20"/>
              </w:rPr>
              <w:t xml:space="preserve"> products </w:t>
            </w:r>
            <w:r w:rsidR="0078238C" w:rsidRPr="003763CA">
              <w:rPr>
                <w:sz w:val="20"/>
                <w:szCs w:val="20"/>
              </w:rPr>
              <w:t>to reduce their</w:t>
            </w:r>
            <w:r w:rsidRPr="003763CA">
              <w:rPr>
                <w:sz w:val="20"/>
                <w:szCs w:val="20"/>
              </w:rPr>
              <w:t xml:space="preserve"> HSRs in line with their status as discretionary foods</w:t>
            </w:r>
          </w:p>
        </w:tc>
        <w:tc>
          <w:tcPr>
            <w:tcW w:w="1985" w:type="dxa"/>
          </w:tcPr>
          <w:p w14:paraId="6A144B7B" w14:textId="77777777" w:rsidR="00A619C8" w:rsidRPr="003763CA" w:rsidRDefault="00A619C8" w:rsidP="0024269C">
            <w:pPr>
              <w:rPr>
                <w:sz w:val="20"/>
                <w:szCs w:val="20"/>
              </w:rPr>
            </w:pPr>
          </w:p>
        </w:tc>
        <w:tc>
          <w:tcPr>
            <w:tcW w:w="1956" w:type="dxa"/>
          </w:tcPr>
          <w:p w14:paraId="27A0A665" w14:textId="77777777" w:rsidR="00A619C8" w:rsidRPr="003763CA" w:rsidRDefault="00A619C8" w:rsidP="0024269C">
            <w:pPr>
              <w:rPr>
                <w:sz w:val="20"/>
                <w:szCs w:val="20"/>
              </w:rPr>
            </w:pPr>
          </w:p>
        </w:tc>
        <w:tc>
          <w:tcPr>
            <w:tcW w:w="1871" w:type="dxa"/>
          </w:tcPr>
          <w:p w14:paraId="591C3C11" w14:textId="77777777" w:rsidR="00A619C8" w:rsidRPr="003763CA" w:rsidRDefault="00A619C8" w:rsidP="0024269C">
            <w:pPr>
              <w:rPr>
                <w:sz w:val="20"/>
                <w:szCs w:val="20"/>
              </w:rPr>
            </w:pPr>
          </w:p>
        </w:tc>
      </w:tr>
      <w:tr w:rsidR="00A619C8" w:rsidRPr="003763CA" w14:paraId="3FD3603F" w14:textId="77777777" w:rsidTr="009D621A">
        <w:tc>
          <w:tcPr>
            <w:tcW w:w="993" w:type="dxa"/>
            <w:vMerge/>
            <w:shd w:val="clear" w:color="auto" w:fill="auto"/>
          </w:tcPr>
          <w:p w14:paraId="5073A4C2" w14:textId="77777777" w:rsidR="00A619C8" w:rsidRPr="004811EF" w:rsidRDefault="00A619C8" w:rsidP="0024269C">
            <w:pPr>
              <w:rPr>
                <w:b/>
                <w:sz w:val="20"/>
                <w:szCs w:val="20"/>
              </w:rPr>
            </w:pPr>
          </w:p>
        </w:tc>
        <w:tc>
          <w:tcPr>
            <w:tcW w:w="4111" w:type="dxa"/>
            <w:shd w:val="clear" w:color="auto" w:fill="auto"/>
          </w:tcPr>
          <w:p w14:paraId="7F84791E" w14:textId="77777777" w:rsidR="00A619C8" w:rsidRPr="004811EF" w:rsidRDefault="00A619C8" w:rsidP="0024269C">
            <w:pPr>
              <w:rPr>
                <w:b/>
                <w:sz w:val="20"/>
                <w:szCs w:val="20"/>
              </w:rPr>
            </w:pPr>
            <w:r w:rsidRPr="004811EF">
              <w:rPr>
                <w:b/>
                <w:sz w:val="20"/>
                <w:szCs w:val="20"/>
              </w:rPr>
              <w:t>Dairy desserts</w:t>
            </w:r>
          </w:p>
          <w:p w14:paraId="18278184" w14:textId="77777777" w:rsidR="00A619C8" w:rsidRPr="003763CA" w:rsidRDefault="00A619C8" w:rsidP="0024269C">
            <w:pPr>
              <w:rPr>
                <w:sz w:val="20"/>
                <w:szCs w:val="20"/>
              </w:rPr>
            </w:pPr>
            <w:r w:rsidRPr="003763CA">
              <w:rPr>
                <w:sz w:val="20"/>
                <w:szCs w:val="20"/>
              </w:rPr>
              <w:t xml:space="preserve">Whether the HSR System appropriately rates products like yoghurts against dairy desserts when they are presented similarly to consumers </w:t>
            </w:r>
          </w:p>
        </w:tc>
        <w:tc>
          <w:tcPr>
            <w:tcW w:w="1559" w:type="dxa"/>
          </w:tcPr>
          <w:p w14:paraId="3EA0641E" w14:textId="77777777" w:rsidR="00A619C8" w:rsidRPr="003763CA" w:rsidRDefault="00A619C8" w:rsidP="0024269C">
            <w:pPr>
              <w:rPr>
                <w:sz w:val="20"/>
                <w:szCs w:val="20"/>
              </w:rPr>
            </w:pPr>
            <w:r w:rsidRPr="003763CA">
              <w:rPr>
                <w:sz w:val="20"/>
                <w:szCs w:val="20"/>
              </w:rPr>
              <w:t>Status quo for dairy desserts</w:t>
            </w:r>
          </w:p>
        </w:tc>
        <w:tc>
          <w:tcPr>
            <w:tcW w:w="1984" w:type="dxa"/>
            <w:shd w:val="clear" w:color="auto" w:fill="E2EFD9" w:themeFill="accent6" w:themeFillTint="33"/>
          </w:tcPr>
          <w:p w14:paraId="2A2DB176" w14:textId="77777777" w:rsidR="00A619C8" w:rsidRPr="003763CA" w:rsidRDefault="00A619C8" w:rsidP="0024269C">
            <w:pPr>
              <w:rPr>
                <w:rFonts w:eastAsiaTheme="minorHAnsi"/>
                <w:sz w:val="20"/>
                <w:szCs w:val="20"/>
              </w:rPr>
            </w:pPr>
            <w:r w:rsidRPr="003763CA">
              <w:rPr>
                <w:sz w:val="20"/>
                <w:szCs w:val="20"/>
              </w:rPr>
              <w:t>Redefine Category 2D to include dairy desserts, and rescale to ensure that healthier options receive higher HSRs and comparability is improved between similar dairy products</w:t>
            </w:r>
          </w:p>
        </w:tc>
        <w:tc>
          <w:tcPr>
            <w:tcW w:w="1985" w:type="dxa"/>
          </w:tcPr>
          <w:p w14:paraId="35FDB82F" w14:textId="77777777" w:rsidR="00A619C8" w:rsidRPr="003763CA" w:rsidRDefault="00A619C8" w:rsidP="0024269C">
            <w:pPr>
              <w:rPr>
                <w:sz w:val="20"/>
                <w:szCs w:val="20"/>
              </w:rPr>
            </w:pPr>
          </w:p>
        </w:tc>
        <w:tc>
          <w:tcPr>
            <w:tcW w:w="1956" w:type="dxa"/>
          </w:tcPr>
          <w:p w14:paraId="618FC561" w14:textId="77777777" w:rsidR="00A619C8" w:rsidRPr="003763CA" w:rsidRDefault="00A619C8" w:rsidP="0024269C">
            <w:pPr>
              <w:rPr>
                <w:sz w:val="20"/>
                <w:szCs w:val="20"/>
              </w:rPr>
            </w:pPr>
          </w:p>
        </w:tc>
        <w:tc>
          <w:tcPr>
            <w:tcW w:w="1871" w:type="dxa"/>
          </w:tcPr>
          <w:p w14:paraId="63940010" w14:textId="77777777" w:rsidR="00A619C8" w:rsidRPr="003763CA" w:rsidRDefault="00A619C8" w:rsidP="0024269C">
            <w:pPr>
              <w:rPr>
                <w:sz w:val="20"/>
                <w:szCs w:val="20"/>
              </w:rPr>
            </w:pPr>
          </w:p>
        </w:tc>
      </w:tr>
      <w:tr w:rsidR="00A619C8" w:rsidRPr="003763CA" w14:paraId="60455439" w14:textId="77777777" w:rsidTr="009D621A">
        <w:tc>
          <w:tcPr>
            <w:tcW w:w="993" w:type="dxa"/>
            <w:vMerge/>
            <w:tcBorders>
              <w:bottom w:val="single" w:sz="4" w:space="0" w:color="auto"/>
            </w:tcBorders>
            <w:shd w:val="clear" w:color="auto" w:fill="auto"/>
          </w:tcPr>
          <w:p w14:paraId="2B202316" w14:textId="77777777" w:rsidR="00A619C8" w:rsidRPr="004811EF" w:rsidRDefault="00A619C8" w:rsidP="0024269C">
            <w:pPr>
              <w:rPr>
                <w:b/>
                <w:sz w:val="20"/>
                <w:szCs w:val="20"/>
              </w:rPr>
            </w:pPr>
          </w:p>
        </w:tc>
        <w:tc>
          <w:tcPr>
            <w:tcW w:w="4111" w:type="dxa"/>
            <w:tcBorders>
              <w:bottom w:val="single" w:sz="4" w:space="0" w:color="auto"/>
            </w:tcBorders>
            <w:shd w:val="clear" w:color="auto" w:fill="auto"/>
          </w:tcPr>
          <w:p w14:paraId="0AEEC070" w14:textId="77777777" w:rsidR="00A619C8" w:rsidRPr="004811EF" w:rsidRDefault="00A619C8" w:rsidP="0024269C">
            <w:pPr>
              <w:rPr>
                <w:b/>
                <w:sz w:val="20"/>
                <w:szCs w:val="20"/>
              </w:rPr>
            </w:pPr>
            <w:r w:rsidRPr="004811EF">
              <w:rPr>
                <w:b/>
                <w:sz w:val="20"/>
                <w:szCs w:val="20"/>
              </w:rPr>
              <w:t>Ice confections and jellies</w:t>
            </w:r>
          </w:p>
          <w:p w14:paraId="04593A12" w14:textId="77777777" w:rsidR="00A619C8" w:rsidRPr="003763CA" w:rsidRDefault="00A619C8" w:rsidP="0024269C">
            <w:pPr>
              <w:rPr>
                <w:sz w:val="20"/>
                <w:szCs w:val="20"/>
              </w:rPr>
            </w:pPr>
            <w:r w:rsidRPr="003763CA">
              <w:rPr>
                <w:sz w:val="20"/>
                <w:szCs w:val="20"/>
              </w:rPr>
              <w:t>Whether ice confections and jellies should receive lower HSRs in line with non-dairy beverages, given their similar ingredient and nutritional profile and high total sugars content</w:t>
            </w:r>
          </w:p>
        </w:tc>
        <w:tc>
          <w:tcPr>
            <w:tcW w:w="1559" w:type="dxa"/>
            <w:tcBorders>
              <w:bottom w:val="single" w:sz="4" w:space="0" w:color="auto"/>
            </w:tcBorders>
          </w:tcPr>
          <w:p w14:paraId="6E156C8C" w14:textId="77777777" w:rsidR="00A619C8" w:rsidRPr="003763CA" w:rsidRDefault="00A619C8" w:rsidP="0024269C">
            <w:pPr>
              <w:rPr>
                <w:sz w:val="20"/>
                <w:szCs w:val="20"/>
              </w:rPr>
            </w:pPr>
            <w:r w:rsidRPr="003763CA">
              <w:rPr>
                <w:sz w:val="20"/>
                <w:szCs w:val="20"/>
              </w:rPr>
              <w:t>Status quo for ice confections and jellies</w:t>
            </w:r>
          </w:p>
        </w:tc>
        <w:tc>
          <w:tcPr>
            <w:tcW w:w="1984" w:type="dxa"/>
            <w:tcBorders>
              <w:bottom w:val="single" w:sz="4" w:space="0" w:color="auto"/>
            </w:tcBorders>
            <w:shd w:val="clear" w:color="auto" w:fill="E2EFD9" w:themeFill="accent6" w:themeFillTint="33"/>
          </w:tcPr>
          <w:p w14:paraId="46F236E9" w14:textId="22D56C68" w:rsidR="00A619C8" w:rsidRPr="003763CA" w:rsidRDefault="00A619C8" w:rsidP="0024269C">
            <w:pPr>
              <w:rPr>
                <w:rFonts w:eastAsiaTheme="minorHAnsi"/>
                <w:sz w:val="20"/>
                <w:szCs w:val="20"/>
              </w:rPr>
            </w:pPr>
            <w:r w:rsidRPr="003763CA">
              <w:rPr>
                <w:rFonts w:eastAsiaTheme="minorHAnsi"/>
                <w:sz w:val="20"/>
                <w:szCs w:val="20"/>
              </w:rPr>
              <w:t>Redef</w:t>
            </w:r>
            <w:r w:rsidR="004811EF">
              <w:rPr>
                <w:rFonts w:eastAsiaTheme="minorHAnsi"/>
                <w:sz w:val="20"/>
                <w:szCs w:val="20"/>
              </w:rPr>
              <w:t>ine Category 1 to include water</w:t>
            </w:r>
            <w:r w:rsidR="004811EF">
              <w:rPr>
                <w:rFonts w:eastAsiaTheme="minorHAnsi"/>
                <w:sz w:val="20"/>
                <w:szCs w:val="20"/>
              </w:rPr>
              <w:noBreakHyphen/>
            </w:r>
            <w:r w:rsidRPr="003763CA">
              <w:rPr>
                <w:rFonts w:eastAsiaTheme="minorHAnsi"/>
                <w:sz w:val="20"/>
                <w:szCs w:val="20"/>
              </w:rPr>
              <w:t>based ice confections and jellies to align their HSRs with nutritionally similar non-dairy beverages</w:t>
            </w:r>
          </w:p>
        </w:tc>
        <w:tc>
          <w:tcPr>
            <w:tcW w:w="1985" w:type="dxa"/>
            <w:tcBorders>
              <w:bottom w:val="single" w:sz="4" w:space="0" w:color="auto"/>
            </w:tcBorders>
          </w:tcPr>
          <w:p w14:paraId="553172D1" w14:textId="77777777" w:rsidR="00A619C8" w:rsidRPr="003763CA" w:rsidRDefault="00A619C8" w:rsidP="0024269C">
            <w:pPr>
              <w:rPr>
                <w:sz w:val="20"/>
                <w:szCs w:val="20"/>
              </w:rPr>
            </w:pPr>
          </w:p>
        </w:tc>
        <w:tc>
          <w:tcPr>
            <w:tcW w:w="1956" w:type="dxa"/>
            <w:tcBorders>
              <w:bottom w:val="single" w:sz="4" w:space="0" w:color="auto"/>
            </w:tcBorders>
          </w:tcPr>
          <w:p w14:paraId="650EA486" w14:textId="77777777" w:rsidR="00A619C8" w:rsidRPr="003763CA" w:rsidRDefault="00A619C8" w:rsidP="0024269C">
            <w:pPr>
              <w:rPr>
                <w:sz w:val="20"/>
                <w:szCs w:val="20"/>
              </w:rPr>
            </w:pPr>
          </w:p>
        </w:tc>
        <w:tc>
          <w:tcPr>
            <w:tcW w:w="1871" w:type="dxa"/>
            <w:tcBorders>
              <w:bottom w:val="single" w:sz="4" w:space="0" w:color="auto"/>
            </w:tcBorders>
          </w:tcPr>
          <w:p w14:paraId="7DCA9865" w14:textId="77777777" w:rsidR="00A619C8" w:rsidRPr="003763CA" w:rsidRDefault="00A619C8" w:rsidP="0024269C">
            <w:pPr>
              <w:rPr>
                <w:sz w:val="20"/>
                <w:szCs w:val="20"/>
              </w:rPr>
            </w:pPr>
          </w:p>
        </w:tc>
      </w:tr>
    </w:tbl>
    <w:p w14:paraId="3E0BBE47" w14:textId="56DF07AB" w:rsidR="00D520DF" w:rsidRDefault="00D520DF" w:rsidP="0024269C"/>
    <w:p w14:paraId="607D8575" w14:textId="269CCF51" w:rsidR="00CE1A28" w:rsidRDefault="00CE1A28" w:rsidP="0024269C">
      <w:pPr>
        <w:sectPr w:rsidR="00CE1A28" w:rsidSect="00D520DF">
          <w:pgSz w:w="16840" w:h="11900" w:orient="landscape"/>
          <w:pgMar w:top="1077" w:right="1304" w:bottom="1077" w:left="1304" w:header="709" w:footer="709" w:gutter="0"/>
          <w:cols w:space="708"/>
          <w:docGrid w:linePitch="360"/>
        </w:sectPr>
      </w:pPr>
    </w:p>
    <w:p w14:paraId="4A75BFA1" w14:textId="77777777" w:rsidR="00C23724" w:rsidRPr="00AB3873" w:rsidRDefault="00C23724" w:rsidP="003763CA">
      <w:pPr>
        <w:pStyle w:val="mpcheading2"/>
      </w:pPr>
      <w:bookmarkStart w:id="177" w:name="Combinedimpact"/>
      <w:bookmarkStart w:id="178" w:name="_Toc527112915"/>
      <w:bookmarkEnd w:id="177"/>
      <w:r>
        <w:lastRenderedPageBreak/>
        <w:t xml:space="preserve">Combined impact of </w:t>
      </w:r>
      <w:r w:rsidRPr="003763CA">
        <w:t>changes</w:t>
      </w:r>
      <w:r>
        <w:t xml:space="preserve"> on specific product types</w:t>
      </w:r>
      <w:bookmarkEnd w:id="178"/>
    </w:p>
    <w:p w14:paraId="2245736F" w14:textId="77777777" w:rsidR="00C23724" w:rsidRPr="00FB3434" w:rsidRDefault="00C23724" w:rsidP="0024269C">
      <w:pPr>
        <w:rPr>
          <w:sz w:val="20"/>
        </w:rPr>
      </w:pPr>
    </w:p>
    <w:p w14:paraId="106DF394" w14:textId="65146F46" w:rsidR="00A02105" w:rsidRDefault="00A02105" w:rsidP="0024269C">
      <w:r>
        <w:t xml:space="preserve">To provide stakeholders with an indication of the potential impact of the combined changes, the TAG undertook modelling of the preferred options using the TAG database. Based on best estimates, the TAG database represents approximately 37% of the reported 15,767 products eligible to display the HSR </w:t>
      </w:r>
      <w:r w:rsidR="002611EC">
        <w:t>i</w:t>
      </w:r>
      <w:r>
        <w:t>n the market</w:t>
      </w:r>
      <w:r w:rsidR="00FB3434">
        <w:rPr>
          <w:rStyle w:val="FootnoteReference"/>
        </w:rPr>
        <w:footnoteReference w:id="61"/>
      </w:r>
      <w:r>
        <w:t>.</w:t>
      </w:r>
      <w:r w:rsidR="00596873">
        <w:t xml:space="preserve"> It is acknowledged that the TAG database has limitations and that, following consultation on the options, further modelling will be undertaken on larger databases (see Chapter 8). </w:t>
      </w:r>
      <w:r w:rsidR="00F152F8">
        <w:t>It should be noted that the modelled impacts of the combination of preferred options will differ to the data based on modelling of a single change throughout Chapters 3 to 6 of this Consultation Paper.</w:t>
      </w:r>
    </w:p>
    <w:p w14:paraId="06527F23" w14:textId="77777777" w:rsidR="00A02105" w:rsidRPr="00FB3434" w:rsidRDefault="00A02105" w:rsidP="0024269C">
      <w:pPr>
        <w:rPr>
          <w:sz w:val="20"/>
        </w:rPr>
      </w:pPr>
    </w:p>
    <w:p w14:paraId="2A00353A" w14:textId="41DF0A9F" w:rsidR="00A50525" w:rsidRDefault="00C23724" w:rsidP="0024269C">
      <w:r>
        <w:t xml:space="preserve">The </w:t>
      </w:r>
      <w:r w:rsidR="00596873">
        <w:t xml:space="preserve">modelling shows that the </w:t>
      </w:r>
      <w:r>
        <w:t>combined impact of preferred options resulted in changed HSRs (up or down) to 991 (16.8%) products in the TAG database</w:t>
      </w:r>
      <w:r w:rsidR="007467EE">
        <w:t>, with</w:t>
      </w:r>
      <w:r w:rsidR="007467EE" w:rsidRPr="007467EE">
        <w:t xml:space="preserve"> </w:t>
      </w:r>
      <w:r w:rsidR="007467EE">
        <w:t>HSRs changed by between 0.5 to 2.5 stars.</w:t>
      </w:r>
      <w:r w:rsidR="0048458B">
        <w:t xml:space="preserve"> Of these 991 products:</w:t>
      </w:r>
    </w:p>
    <w:p w14:paraId="4BAAB64A" w14:textId="77777777" w:rsidR="00A50525" w:rsidRPr="00FB3434" w:rsidRDefault="00A50525" w:rsidP="0024269C">
      <w:pPr>
        <w:rPr>
          <w:sz w:val="18"/>
        </w:rPr>
      </w:pPr>
    </w:p>
    <w:p w14:paraId="6EA97454" w14:textId="3A67F306" w:rsidR="00A50525" w:rsidRDefault="00843410" w:rsidP="003763CA">
      <w:pPr>
        <w:pStyle w:val="mpcbullets1"/>
      </w:pPr>
      <w:r w:rsidRPr="00BA1074">
        <w:rPr>
          <w:b/>
        </w:rPr>
        <w:t>509</w:t>
      </w:r>
      <w:r w:rsidR="00A50525" w:rsidRPr="00BA1074">
        <w:rPr>
          <w:b/>
        </w:rPr>
        <w:t xml:space="preserve"> </w:t>
      </w:r>
      <w:r w:rsidR="008B349F" w:rsidRPr="00BA1074">
        <w:rPr>
          <w:b/>
        </w:rPr>
        <w:t xml:space="preserve">(8.6%) </w:t>
      </w:r>
      <w:r w:rsidR="00A50525" w:rsidRPr="00BA1074">
        <w:rPr>
          <w:b/>
        </w:rPr>
        <w:t>products</w:t>
      </w:r>
      <w:r w:rsidR="00A50525">
        <w:t xml:space="preserve"> see a </w:t>
      </w:r>
      <w:r w:rsidR="00A50525" w:rsidRPr="007467EE">
        <w:rPr>
          <w:i/>
        </w:rPr>
        <w:t>decrease</w:t>
      </w:r>
      <w:r w:rsidR="00A50525">
        <w:t xml:space="preserve"> in their HSRs:</w:t>
      </w:r>
    </w:p>
    <w:p w14:paraId="6683533E" w14:textId="7C295E1C" w:rsidR="00A50525" w:rsidRDefault="00A50525" w:rsidP="003763CA">
      <w:pPr>
        <w:pStyle w:val="mpcbullets2"/>
      </w:pPr>
      <w:r w:rsidRPr="00A50525">
        <w:t xml:space="preserve">45 </w:t>
      </w:r>
      <w:r w:rsidR="008B349F">
        <w:t xml:space="preserve">(0.7%) </w:t>
      </w:r>
      <w:r w:rsidRPr="00A50525">
        <w:t xml:space="preserve">decrease by 2.5 stars – these products are all ice confections </w:t>
      </w:r>
      <w:r w:rsidR="00FB3434">
        <w:t xml:space="preserve">(e.g. </w:t>
      </w:r>
      <w:r w:rsidR="002D1235">
        <w:t>ice blocks and sorbets</w:t>
      </w:r>
      <w:r w:rsidR="00FB3434">
        <w:t>)</w:t>
      </w:r>
      <w:r w:rsidRPr="00A50525">
        <w:t>.</w:t>
      </w:r>
    </w:p>
    <w:p w14:paraId="0BF2534E" w14:textId="18D2DB6A" w:rsidR="0048458B" w:rsidRDefault="0048458B" w:rsidP="003763CA">
      <w:pPr>
        <w:pStyle w:val="mpcbullets2"/>
      </w:pPr>
      <w:r>
        <w:t xml:space="preserve">2 </w:t>
      </w:r>
      <w:r w:rsidR="008B349F">
        <w:t xml:space="preserve">(0.03%) </w:t>
      </w:r>
      <w:r>
        <w:t xml:space="preserve">decrease by 2 stars – one dairy dessert and one </w:t>
      </w:r>
      <w:r w:rsidR="002D1235">
        <w:t>ice confection</w:t>
      </w:r>
      <w:r>
        <w:t>.</w:t>
      </w:r>
    </w:p>
    <w:p w14:paraId="6FB14175" w14:textId="310B9288" w:rsidR="0048458B" w:rsidRDefault="0048458B" w:rsidP="003763CA">
      <w:pPr>
        <w:pStyle w:val="mpcbullets2"/>
      </w:pPr>
      <w:r>
        <w:t xml:space="preserve">10 </w:t>
      </w:r>
      <w:r w:rsidR="007467EE">
        <w:t xml:space="preserve">(0.2%) </w:t>
      </w:r>
      <w:r>
        <w:t>decrease by 1.5 stars – these are mostly dairy desserts, two breakfast cereals and one confectionery product</w:t>
      </w:r>
      <w:r w:rsidR="008B349F">
        <w:t>.</w:t>
      </w:r>
    </w:p>
    <w:p w14:paraId="36C720B3" w14:textId="7B8FC6FD" w:rsidR="0048458B" w:rsidRDefault="0048458B" w:rsidP="003763CA">
      <w:pPr>
        <w:pStyle w:val="mpcbullets2"/>
      </w:pPr>
      <w:r>
        <w:t xml:space="preserve">92 </w:t>
      </w:r>
      <w:r w:rsidR="007467EE">
        <w:t xml:space="preserve">(1.6%) </w:t>
      </w:r>
      <w:r>
        <w:t xml:space="preserve">decrease by 1 star </w:t>
      </w:r>
      <w:r w:rsidR="00843410">
        <w:t>–</w:t>
      </w:r>
      <w:r>
        <w:t xml:space="preserve"> </w:t>
      </w:r>
      <w:r w:rsidR="00843410">
        <w:t>these products are mostly breakfast cereals, savoury biscuits, muesli bars and processed meats</w:t>
      </w:r>
      <w:r w:rsidR="008B349F">
        <w:t>.</w:t>
      </w:r>
    </w:p>
    <w:p w14:paraId="662D6D97" w14:textId="21ADFC9A" w:rsidR="00843410" w:rsidRDefault="00843410" w:rsidP="003763CA">
      <w:pPr>
        <w:pStyle w:val="mpcbullets2"/>
      </w:pPr>
      <w:r>
        <w:t xml:space="preserve">360 </w:t>
      </w:r>
      <w:r w:rsidR="007467EE">
        <w:t xml:space="preserve">(6.1%) </w:t>
      </w:r>
      <w:r>
        <w:t>decrease by 0.5 stars – these products are mostly breakfast cereals, flavoured milks, dairy desserts, muesli bars, sugar-based desserts, sweet and savoury biscuits, confectionery, dips, ice creams, savoury sauces, salty snacks, non-dairy beverages and processed meats</w:t>
      </w:r>
      <w:r w:rsidR="008B349F">
        <w:t>.</w:t>
      </w:r>
    </w:p>
    <w:p w14:paraId="2AC06063" w14:textId="77777777" w:rsidR="007467EE" w:rsidRPr="00FB3434" w:rsidRDefault="007467EE" w:rsidP="007467EE">
      <w:pPr>
        <w:pStyle w:val="mpcbullets1"/>
        <w:numPr>
          <w:ilvl w:val="0"/>
          <w:numId w:val="0"/>
        </w:numPr>
        <w:ind w:left="360"/>
        <w:contextualSpacing/>
        <w:rPr>
          <w:rFonts w:cstheme="minorHAnsi"/>
          <w:sz w:val="18"/>
          <w:szCs w:val="22"/>
        </w:rPr>
      </w:pPr>
    </w:p>
    <w:p w14:paraId="46A54F10" w14:textId="6D28DE6A" w:rsidR="00843410" w:rsidRDefault="00843410" w:rsidP="003763CA">
      <w:pPr>
        <w:pStyle w:val="mpcbullets1"/>
      </w:pPr>
      <w:r w:rsidRPr="00BA1074">
        <w:rPr>
          <w:b/>
        </w:rPr>
        <w:t xml:space="preserve">482 </w:t>
      </w:r>
      <w:r w:rsidR="007467EE" w:rsidRPr="00BA1074">
        <w:rPr>
          <w:b/>
        </w:rPr>
        <w:t xml:space="preserve">(8.2%) </w:t>
      </w:r>
      <w:r w:rsidRPr="00BA1074">
        <w:rPr>
          <w:b/>
        </w:rPr>
        <w:t>products</w:t>
      </w:r>
      <w:r>
        <w:t xml:space="preserve"> see an </w:t>
      </w:r>
      <w:r w:rsidRPr="007467EE">
        <w:rPr>
          <w:i/>
        </w:rPr>
        <w:t>increase</w:t>
      </w:r>
      <w:r>
        <w:t xml:space="preserve"> in their HSRs:</w:t>
      </w:r>
    </w:p>
    <w:p w14:paraId="4A4A681C" w14:textId="2EFFD5B1" w:rsidR="008B349F" w:rsidRDefault="008B349F" w:rsidP="003763CA">
      <w:pPr>
        <w:pStyle w:val="mpcbullets2"/>
      </w:pPr>
      <w:r>
        <w:t>6</w:t>
      </w:r>
      <w:r w:rsidRPr="00A50525">
        <w:t xml:space="preserve"> </w:t>
      </w:r>
      <w:r w:rsidR="007467EE">
        <w:t xml:space="preserve">(0.1%) </w:t>
      </w:r>
      <w:r>
        <w:t>increase</w:t>
      </w:r>
      <w:r w:rsidRPr="00A50525">
        <w:t xml:space="preserve"> by 2 stars – these products are all </w:t>
      </w:r>
      <w:r>
        <w:t>yoghurts</w:t>
      </w:r>
      <w:r w:rsidRPr="00A50525">
        <w:t>.</w:t>
      </w:r>
    </w:p>
    <w:p w14:paraId="62AA4621" w14:textId="6E2FE885" w:rsidR="008B349F" w:rsidRPr="002E690E" w:rsidRDefault="008B349F" w:rsidP="003763CA">
      <w:pPr>
        <w:pStyle w:val="mpcbullets2"/>
      </w:pPr>
      <w:r>
        <w:t>39</w:t>
      </w:r>
      <w:r w:rsidRPr="00A50525">
        <w:t xml:space="preserve"> </w:t>
      </w:r>
      <w:r w:rsidR="007467EE" w:rsidRPr="002E690E">
        <w:t xml:space="preserve">(0.7%) </w:t>
      </w:r>
      <w:r w:rsidRPr="002E690E">
        <w:t>increase by 1.5 stars – these products are mostly yoghurts and some cheeses.</w:t>
      </w:r>
    </w:p>
    <w:p w14:paraId="51C55F0A" w14:textId="582C8298" w:rsidR="00843410" w:rsidRPr="002E690E" w:rsidRDefault="008B349F" w:rsidP="003763CA">
      <w:pPr>
        <w:pStyle w:val="mpcbullets2"/>
      </w:pPr>
      <w:r w:rsidRPr="002E690E">
        <w:t xml:space="preserve">178 </w:t>
      </w:r>
      <w:r w:rsidR="007467EE" w:rsidRPr="002E690E">
        <w:t xml:space="preserve">(3%) </w:t>
      </w:r>
      <w:r w:rsidRPr="002E690E">
        <w:t>increase by 1 star – these products include yoghurts, oils and oil-based spreads and some custards.</w:t>
      </w:r>
    </w:p>
    <w:p w14:paraId="584EBFDC" w14:textId="0E6D9E50" w:rsidR="008B349F" w:rsidRDefault="008B349F" w:rsidP="003763CA">
      <w:pPr>
        <w:pStyle w:val="mpcbullets2"/>
      </w:pPr>
      <w:r w:rsidRPr="002E690E">
        <w:t>259</w:t>
      </w:r>
      <w:r w:rsidR="007467EE" w:rsidRPr="002E690E">
        <w:t xml:space="preserve"> (4.4%)</w:t>
      </w:r>
      <w:r w:rsidRPr="002E690E">
        <w:t xml:space="preserve"> increase by 0.5 stars – these products include yoghurts, cheeses, some dairy desserts and</w:t>
      </w:r>
      <w:r>
        <w:t xml:space="preserve"> custards, oils and oil-based spreads</w:t>
      </w:r>
      <w:r w:rsidR="007467EE">
        <w:t>, rices, porridges, breads</w:t>
      </w:r>
      <w:r>
        <w:t xml:space="preserve"> and fruits.</w:t>
      </w:r>
    </w:p>
    <w:p w14:paraId="4DC78C28" w14:textId="77777777" w:rsidR="00596873" w:rsidRPr="00F152F8" w:rsidRDefault="00596873" w:rsidP="0024269C">
      <w:pPr>
        <w:rPr>
          <w:sz w:val="15"/>
        </w:rPr>
      </w:pPr>
    </w:p>
    <w:p w14:paraId="7446E408" w14:textId="753D5F0F" w:rsidR="00A3782D" w:rsidRDefault="00A3782D" w:rsidP="003763CA">
      <w:pPr>
        <w:jc w:val="center"/>
        <w:rPr>
          <w:szCs w:val="22"/>
        </w:rPr>
      </w:pPr>
      <w:r>
        <w:rPr>
          <w:noProof/>
          <w:lang w:eastAsia="en-AU"/>
        </w:rPr>
        <w:drawing>
          <wp:inline distT="0" distB="0" distL="0" distR="0" wp14:anchorId="4E74CAE5" wp14:editId="12471A9B">
            <wp:extent cx="4552750" cy="2791326"/>
            <wp:effectExtent l="0" t="0" r="6985" b="15875"/>
            <wp:docPr id="2" name="Chart 2" descr="Figure 1. Proportion of products in the TAG database impacted by proposed changes to the HSR System. 83% of products are unchanged, 9% have an increased HSR, 8% have a decreased HS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481343C-BF26-6641-B8FF-E95722686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4CEFCB3" w14:textId="4DF44D02" w:rsidR="00A3782D" w:rsidRPr="00FB3434" w:rsidRDefault="00A70F42" w:rsidP="00163505">
      <w:pPr>
        <w:spacing w:before="120"/>
        <w:rPr>
          <w:sz w:val="21"/>
        </w:rPr>
      </w:pPr>
      <w:r w:rsidRPr="00FB3434">
        <w:rPr>
          <w:b/>
          <w:sz w:val="21"/>
        </w:rPr>
        <w:t>Figure 1.</w:t>
      </w:r>
      <w:r w:rsidRPr="00FB3434">
        <w:rPr>
          <w:sz w:val="21"/>
        </w:rPr>
        <w:t xml:space="preserve"> Proportion of products in the TAG database impacted by proposed changes to the HSR System.</w:t>
      </w:r>
    </w:p>
    <w:p w14:paraId="75D6370C" w14:textId="77777777" w:rsidR="00EE0968" w:rsidRDefault="00EE0968" w:rsidP="0024269C"/>
    <w:p w14:paraId="360AAD56" w14:textId="77777777" w:rsidR="00EE0968" w:rsidRDefault="00EE0968" w:rsidP="0024269C">
      <w:r>
        <w:t xml:space="preserve">These impacts are outlined in more detail below. </w:t>
      </w:r>
    </w:p>
    <w:p w14:paraId="7DA81E5C" w14:textId="77777777" w:rsidR="00A70F42" w:rsidRDefault="00A70F42" w:rsidP="0024269C"/>
    <w:p w14:paraId="3CD904A7" w14:textId="642D4323" w:rsidR="00340695" w:rsidRDefault="00D96E71" w:rsidP="0024269C">
      <w:r>
        <w:t>W</w:t>
      </w:r>
      <w:r w:rsidR="00340695" w:rsidRPr="00EE0968">
        <w:t>hile this information represents changes across the products in the TAG database, not all of these products</w:t>
      </w:r>
      <w:r w:rsidR="00340695" w:rsidRPr="00AB5CEF">
        <w:t xml:space="preserve"> currently display the HSR. </w:t>
      </w:r>
      <w:r w:rsidR="00B3038C" w:rsidRPr="00AB5CEF">
        <w:t>The actual labelling changes required as a result of any changes to the HSR S</w:t>
      </w:r>
      <w:r w:rsidR="00EE0968" w:rsidRPr="00AB5CEF">
        <w:t>ystem would be a subset of the</w:t>
      </w:r>
      <w:r w:rsidR="00EE0968">
        <w:t xml:space="preserve"> products affected</w:t>
      </w:r>
      <w:r w:rsidR="00B3038C" w:rsidRPr="00EE0968">
        <w:t xml:space="preserve">. </w:t>
      </w:r>
    </w:p>
    <w:p w14:paraId="5B5A7A21" w14:textId="77777777" w:rsidR="00C23724" w:rsidRDefault="00C23724" w:rsidP="0024269C"/>
    <w:p w14:paraId="390C252C" w14:textId="42C7DCEC" w:rsidR="00C23724" w:rsidRPr="003E019B" w:rsidRDefault="00A70F42" w:rsidP="00163505">
      <w:pPr>
        <w:pStyle w:val="mpcheading3"/>
      </w:pPr>
      <w:r>
        <w:t>Increased</w:t>
      </w:r>
      <w:r w:rsidR="00C23724" w:rsidRPr="003E019B">
        <w:t xml:space="preserve"> HSR</w:t>
      </w:r>
      <w:r w:rsidR="00676E45">
        <w:t>s</w:t>
      </w:r>
    </w:p>
    <w:p w14:paraId="2E7E059D" w14:textId="6C383C5C" w:rsidR="00C23724" w:rsidRPr="00411EE3" w:rsidRDefault="00C23724" w:rsidP="00163505">
      <w:pPr>
        <w:pStyle w:val="mpcbullets1"/>
      </w:pPr>
      <w:r w:rsidRPr="00411EE3">
        <w:t>All fresh and minimally processed packaged fruits and vegetables would automatically score a</w:t>
      </w:r>
      <w:r w:rsidR="007E6515">
        <w:t>n</w:t>
      </w:r>
      <w:r w:rsidRPr="00411EE3">
        <w:t xml:space="preserve"> HSR of 5</w:t>
      </w:r>
      <w:r>
        <w:t>, increasing the</w:t>
      </w:r>
      <w:r w:rsidR="00EF64EB">
        <w:t xml:space="preserve"> HSRs for some fruits and vegetables</w:t>
      </w:r>
      <w:r>
        <w:t xml:space="preserve"> HSRs by 0.5 to 1 star.</w:t>
      </w:r>
    </w:p>
    <w:p w14:paraId="6211B9DB" w14:textId="644E0123" w:rsidR="00ED297A" w:rsidRDefault="00ED297A" w:rsidP="00163505">
      <w:pPr>
        <w:pStyle w:val="mpcbullets2"/>
      </w:pPr>
      <w:r>
        <w:t xml:space="preserve">This would affect </w:t>
      </w:r>
      <w:r w:rsidR="00DB3B17">
        <w:t>5</w:t>
      </w:r>
      <w:r w:rsidR="00C41D3C">
        <w:t>0</w:t>
      </w:r>
      <w:r w:rsidR="00DB3B17">
        <w:t xml:space="preserve"> products (</w:t>
      </w:r>
      <w:r w:rsidR="00C41D3C">
        <w:t>53</w:t>
      </w:r>
      <w:r w:rsidR="00DB3B17">
        <w:t xml:space="preserve">% of the </w:t>
      </w:r>
      <w:r w:rsidR="002C6D5D">
        <w:t xml:space="preserve">unprocessed </w:t>
      </w:r>
      <w:r w:rsidR="00DB3B17">
        <w:t>fruits</w:t>
      </w:r>
      <w:r w:rsidR="002C6D5D">
        <w:t xml:space="preserve"> and vegetables</w:t>
      </w:r>
      <w:r w:rsidR="00384B76">
        <w:t>)</w:t>
      </w:r>
      <w:r w:rsidR="00DB3B17">
        <w:t xml:space="preserve"> in the TAG database.</w:t>
      </w:r>
    </w:p>
    <w:p w14:paraId="33AA249D" w14:textId="4F754CD7" w:rsidR="00C23724" w:rsidRDefault="00C23724" w:rsidP="00163505">
      <w:pPr>
        <w:pStyle w:val="mpcbullets2"/>
      </w:pPr>
      <w:r w:rsidRPr="00411EE3">
        <w:t xml:space="preserve">This acknowledges the important role that fruits and vegetables play in the diet and means that no product </w:t>
      </w:r>
      <w:r>
        <w:t xml:space="preserve">(including juice) </w:t>
      </w:r>
      <w:r w:rsidRPr="00411EE3">
        <w:t>would score higher than fresh or minimally processed fruits and vegetables.</w:t>
      </w:r>
    </w:p>
    <w:p w14:paraId="214B66F1" w14:textId="77777777" w:rsidR="00C23724" w:rsidRDefault="00C23724" w:rsidP="0024269C"/>
    <w:p w14:paraId="64B8DF19" w14:textId="7D3931A0" w:rsidR="00C23724" w:rsidRPr="0005293E" w:rsidRDefault="00C23724" w:rsidP="00163505">
      <w:pPr>
        <w:pStyle w:val="mpcbullets1"/>
      </w:pPr>
      <w:r w:rsidRPr="0005293E">
        <w:t>The HSRs for oils and oil-based spreads would be i</w:t>
      </w:r>
      <w:r w:rsidR="007510F0" w:rsidRPr="0005293E">
        <w:t xml:space="preserve">ncreased by 0.5 to 1 star </w:t>
      </w:r>
      <w:r w:rsidRPr="0005293E">
        <w:t xml:space="preserve">due to changes to rescale </w:t>
      </w:r>
      <w:r w:rsidRPr="00163505">
        <w:t>Category</w:t>
      </w:r>
      <w:r w:rsidRPr="0005293E">
        <w:t xml:space="preserve"> 3. </w:t>
      </w:r>
    </w:p>
    <w:p w14:paraId="102C0779" w14:textId="3EBC548D" w:rsidR="00A3782D" w:rsidRDefault="00C23724" w:rsidP="00B91EBF">
      <w:pPr>
        <w:pStyle w:val="mpcbullets1"/>
        <w:numPr>
          <w:ilvl w:val="0"/>
          <w:numId w:val="22"/>
        </w:numPr>
        <w:contextualSpacing/>
        <w:rPr>
          <w:rFonts w:cstheme="minorHAnsi"/>
          <w:szCs w:val="22"/>
        </w:rPr>
      </w:pPr>
      <w:r w:rsidRPr="00494516">
        <w:rPr>
          <w:rFonts w:cstheme="minorHAnsi"/>
          <w:szCs w:val="22"/>
        </w:rPr>
        <w:t xml:space="preserve">This would </w:t>
      </w:r>
      <w:r w:rsidR="00EF64EB">
        <w:rPr>
          <w:rFonts w:cstheme="minorHAnsi"/>
          <w:szCs w:val="22"/>
        </w:rPr>
        <w:t>affect</w:t>
      </w:r>
      <w:r w:rsidRPr="00494516">
        <w:rPr>
          <w:rFonts w:cstheme="minorHAnsi"/>
          <w:szCs w:val="22"/>
        </w:rPr>
        <w:t xml:space="preserve"> 53 products </w:t>
      </w:r>
      <w:r w:rsidR="00FB7473">
        <w:rPr>
          <w:rFonts w:cstheme="minorHAnsi"/>
          <w:szCs w:val="22"/>
        </w:rPr>
        <w:t>(56% of the fats, oils and oil-based spreads</w:t>
      </w:r>
      <w:r w:rsidR="00384B76">
        <w:rPr>
          <w:rFonts w:cstheme="minorHAnsi"/>
          <w:szCs w:val="22"/>
        </w:rPr>
        <w:t>) in the TAG database</w:t>
      </w:r>
      <w:r w:rsidRPr="00494516">
        <w:rPr>
          <w:rFonts w:cstheme="minorHAnsi"/>
          <w:szCs w:val="22"/>
        </w:rPr>
        <w:t xml:space="preserve">, </w:t>
      </w:r>
      <w:r w:rsidR="009C2EED">
        <w:rPr>
          <w:rFonts w:cstheme="minorHAnsi"/>
          <w:szCs w:val="22"/>
        </w:rPr>
        <w:t xml:space="preserve">with </w:t>
      </w:r>
      <w:r>
        <w:rPr>
          <w:rFonts w:cstheme="minorHAnsi"/>
          <w:szCs w:val="22"/>
        </w:rPr>
        <w:t xml:space="preserve">the range of HSRs between </w:t>
      </w:r>
      <w:r w:rsidR="00AB1B2E">
        <w:rPr>
          <w:rFonts w:cstheme="minorHAnsi"/>
          <w:szCs w:val="22"/>
        </w:rPr>
        <w:t>0</w:t>
      </w:r>
      <w:r>
        <w:rPr>
          <w:rFonts w:cstheme="minorHAnsi"/>
          <w:szCs w:val="22"/>
        </w:rPr>
        <w:t xml:space="preserve">.5 </w:t>
      </w:r>
      <w:r w:rsidR="00EF64EB">
        <w:rPr>
          <w:rFonts w:cstheme="minorHAnsi"/>
          <w:szCs w:val="22"/>
        </w:rPr>
        <w:t xml:space="preserve">and </w:t>
      </w:r>
      <w:r>
        <w:rPr>
          <w:rFonts w:cstheme="minorHAnsi"/>
          <w:szCs w:val="22"/>
        </w:rPr>
        <w:t>5</w:t>
      </w:r>
      <w:r w:rsidR="00A3782D">
        <w:rPr>
          <w:rFonts w:cstheme="minorHAnsi"/>
          <w:szCs w:val="22"/>
        </w:rPr>
        <w:t xml:space="preserve">. </w:t>
      </w:r>
    </w:p>
    <w:p w14:paraId="2353C116" w14:textId="638C384A" w:rsidR="00C23724" w:rsidRDefault="00A3782D" w:rsidP="00B91EBF">
      <w:pPr>
        <w:pStyle w:val="mpcbullets1"/>
        <w:numPr>
          <w:ilvl w:val="0"/>
          <w:numId w:val="22"/>
        </w:numPr>
        <w:contextualSpacing/>
        <w:rPr>
          <w:rFonts w:cstheme="minorHAnsi"/>
          <w:szCs w:val="22"/>
        </w:rPr>
      </w:pPr>
      <w:r>
        <w:rPr>
          <w:rFonts w:cstheme="minorHAnsi"/>
          <w:szCs w:val="22"/>
        </w:rPr>
        <w:t>P</w:t>
      </w:r>
      <w:r w:rsidR="00AB1B2E">
        <w:rPr>
          <w:rFonts w:cstheme="minorHAnsi"/>
          <w:szCs w:val="22"/>
        </w:rPr>
        <w:t xml:space="preserve">roducts high in saturated fats (such as butter) </w:t>
      </w:r>
      <w:r>
        <w:rPr>
          <w:rFonts w:cstheme="minorHAnsi"/>
          <w:szCs w:val="22"/>
        </w:rPr>
        <w:t xml:space="preserve">would </w:t>
      </w:r>
      <w:r w:rsidR="00AB1B2E">
        <w:rPr>
          <w:rFonts w:cstheme="minorHAnsi"/>
          <w:szCs w:val="22"/>
        </w:rPr>
        <w:t>receiv</w:t>
      </w:r>
      <w:r>
        <w:rPr>
          <w:rFonts w:cstheme="minorHAnsi"/>
          <w:szCs w:val="22"/>
        </w:rPr>
        <w:t>e</w:t>
      </w:r>
      <w:r w:rsidR="00AB1B2E">
        <w:rPr>
          <w:rFonts w:cstheme="minorHAnsi"/>
          <w:szCs w:val="22"/>
        </w:rPr>
        <w:t xml:space="preserve"> HSR </w:t>
      </w:r>
      <w:r>
        <w:rPr>
          <w:rFonts w:cstheme="minorHAnsi"/>
          <w:szCs w:val="22"/>
        </w:rPr>
        <w:t>between</w:t>
      </w:r>
      <w:r w:rsidR="00AB1B2E">
        <w:rPr>
          <w:rFonts w:cstheme="minorHAnsi"/>
          <w:szCs w:val="22"/>
        </w:rPr>
        <w:t xml:space="preserve"> 0.5 </w:t>
      </w:r>
      <w:r w:rsidR="00EF64EB">
        <w:rPr>
          <w:rFonts w:cstheme="minorHAnsi"/>
          <w:szCs w:val="22"/>
        </w:rPr>
        <w:t xml:space="preserve">and </w:t>
      </w:r>
      <w:r>
        <w:rPr>
          <w:rFonts w:cstheme="minorHAnsi"/>
          <w:szCs w:val="22"/>
        </w:rPr>
        <w:t xml:space="preserve">2 </w:t>
      </w:r>
      <w:r w:rsidR="00AB1B2E">
        <w:rPr>
          <w:rFonts w:cstheme="minorHAnsi"/>
          <w:szCs w:val="22"/>
        </w:rPr>
        <w:t xml:space="preserve">and oils </w:t>
      </w:r>
      <w:r>
        <w:rPr>
          <w:rFonts w:cstheme="minorHAnsi"/>
          <w:szCs w:val="22"/>
        </w:rPr>
        <w:t>and oil</w:t>
      </w:r>
      <w:r>
        <w:rPr>
          <w:rFonts w:cstheme="minorHAnsi"/>
          <w:szCs w:val="22"/>
        </w:rPr>
        <w:noBreakHyphen/>
      </w:r>
      <w:r w:rsidR="00AB1B2E">
        <w:rPr>
          <w:rFonts w:cstheme="minorHAnsi"/>
          <w:szCs w:val="22"/>
        </w:rPr>
        <w:t>based spreads</w:t>
      </w:r>
      <w:r>
        <w:rPr>
          <w:rFonts w:cstheme="minorHAnsi"/>
          <w:szCs w:val="22"/>
        </w:rPr>
        <w:t xml:space="preserve"> would</w:t>
      </w:r>
      <w:r w:rsidR="00AB1B2E">
        <w:rPr>
          <w:rFonts w:cstheme="minorHAnsi"/>
          <w:szCs w:val="22"/>
        </w:rPr>
        <w:t xml:space="preserve"> </w:t>
      </w:r>
      <w:r>
        <w:rPr>
          <w:rFonts w:cstheme="minorHAnsi"/>
          <w:szCs w:val="22"/>
        </w:rPr>
        <w:t xml:space="preserve">receive </w:t>
      </w:r>
      <w:r w:rsidR="00AB1B2E">
        <w:rPr>
          <w:rFonts w:cstheme="minorHAnsi"/>
          <w:szCs w:val="22"/>
        </w:rPr>
        <w:t xml:space="preserve">HSRs between 3 </w:t>
      </w:r>
      <w:r w:rsidR="00EF64EB">
        <w:rPr>
          <w:rFonts w:cstheme="minorHAnsi"/>
          <w:szCs w:val="22"/>
        </w:rPr>
        <w:t xml:space="preserve">and </w:t>
      </w:r>
      <w:r w:rsidR="00AB1B2E">
        <w:rPr>
          <w:rFonts w:cstheme="minorHAnsi"/>
          <w:szCs w:val="22"/>
        </w:rPr>
        <w:t>5</w:t>
      </w:r>
      <w:r w:rsidR="00C23724" w:rsidRPr="00B9683C">
        <w:rPr>
          <w:rFonts w:cstheme="minorHAnsi"/>
          <w:szCs w:val="22"/>
        </w:rPr>
        <w:t>.</w:t>
      </w:r>
    </w:p>
    <w:p w14:paraId="5F233E42" w14:textId="155851B7" w:rsidR="00C23724" w:rsidRDefault="00C23724" w:rsidP="00163505">
      <w:pPr>
        <w:pStyle w:val="mpcbullets2"/>
      </w:pPr>
      <w:r>
        <w:t xml:space="preserve">The increase in </w:t>
      </w:r>
      <w:r w:rsidRPr="00AB3873">
        <w:t xml:space="preserve">scores of healthy oils and spreads </w:t>
      </w:r>
      <w:r w:rsidR="00EF64EB">
        <w:t xml:space="preserve">would </w:t>
      </w:r>
      <w:r>
        <w:t xml:space="preserve">enable consumers to </w:t>
      </w:r>
      <w:r w:rsidRPr="00AB3873">
        <w:t xml:space="preserve">better </w:t>
      </w:r>
      <w:r>
        <w:t>discriminate</w:t>
      </w:r>
      <w:r w:rsidRPr="00AB3873">
        <w:t xml:space="preserve"> between FFG and discretionary products</w:t>
      </w:r>
      <w:r>
        <w:t>, without impacting on those products that already receive low HSR</w:t>
      </w:r>
      <w:r w:rsidR="00AB1B2E">
        <w:t>s</w:t>
      </w:r>
      <w:r>
        <w:t>.</w:t>
      </w:r>
    </w:p>
    <w:p w14:paraId="66185EF0" w14:textId="77777777" w:rsidR="00C23724" w:rsidRDefault="00C23724" w:rsidP="0024269C"/>
    <w:p w14:paraId="3D48D5A0" w14:textId="61F7C79E" w:rsidR="00C23724" w:rsidRDefault="00ED5B6F" w:rsidP="00163505">
      <w:pPr>
        <w:pStyle w:val="mpcbullets1"/>
      </w:pPr>
      <w:r>
        <w:t xml:space="preserve">The HSRs for some </w:t>
      </w:r>
      <w:r w:rsidR="00FB7473">
        <w:t xml:space="preserve">soft </w:t>
      </w:r>
      <w:r>
        <w:t>cheeses</w:t>
      </w:r>
      <w:r w:rsidR="00FB7473">
        <w:t xml:space="preserve"> and</w:t>
      </w:r>
      <w:r w:rsidR="00C23724">
        <w:t xml:space="preserve"> yoghurts would be increased by 0.5 to 2 stars due to the redefining and </w:t>
      </w:r>
      <w:r w:rsidR="00C23724" w:rsidRPr="00163505">
        <w:t>rescaling</w:t>
      </w:r>
      <w:r w:rsidR="00C23724">
        <w:t xml:space="preserve"> of Category 2D to account for dairy desserts.</w:t>
      </w:r>
    </w:p>
    <w:p w14:paraId="2E382F92" w14:textId="7B5D0588" w:rsidR="00C23724" w:rsidRDefault="00C23724" w:rsidP="00163505">
      <w:pPr>
        <w:pStyle w:val="mpcbullets2"/>
      </w:pPr>
      <w:r>
        <w:t xml:space="preserve">This would </w:t>
      </w:r>
      <w:r w:rsidR="00EF64EB">
        <w:t>affect</w:t>
      </w:r>
      <w:r>
        <w:t xml:space="preserve"> </w:t>
      </w:r>
      <w:r w:rsidR="00FB7473">
        <w:t>336</w:t>
      </w:r>
      <w:r w:rsidR="004F5E9F">
        <w:t xml:space="preserve"> products</w:t>
      </w:r>
      <w:r w:rsidR="00FB7473">
        <w:t xml:space="preserve"> </w:t>
      </w:r>
      <w:r w:rsidR="00D762E9">
        <w:t>(</w:t>
      </w:r>
      <w:r w:rsidR="00FB7473">
        <w:t>81</w:t>
      </w:r>
      <w:r w:rsidR="00D762E9">
        <w:t>%</w:t>
      </w:r>
      <w:r w:rsidR="00FB7473">
        <w:t xml:space="preserve"> of the soft cheeses and yoghurts</w:t>
      </w:r>
      <w:r w:rsidR="00384B76">
        <w:t>)</w:t>
      </w:r>
      <w:r w:rsidR="00FB7473">
        <w:t xml:space="preserve"> in </w:t>
      </w:r>
      <w:r>
        <w:t xml:space="preserve">the TAG database, </w:t>
      </w:r>
      <w:r w:rsidR="00852E73">
        <w:t xml:space="preserve">with </w:t>
      </w:r>
      <w:r>
        <w:t xml:space="preserve">the range of </w:t>
      </w:r>
      <w:r w:rsidRPr="00852E73">
        <w:t xml:space="preserve">HSRs between </w:t>
      </w:r>
      <w:r w:rsidR="00BE36E5" w:rsidRPr="00325139">
        <w:t xml:space="preserve">0.5 </w:t>
      </w:r>
      <w:r w:rsidR="00EF64EB" w:rsidRPr="00325139">
        <w:t xml:space="preserve">and </w:t>
      </w:r>
      <w:r w:rsidR="00BE36E5" w:rsidRPr="00325139">
        <w:t>5.</w:t>
      </w:r>
    </w:p>
    <w:p w14:paraId="3C85C2B7" w14:textId="706BA557" w:rsidR="00C23724" w:rsidRDefault="00C23724" w:rsidP="00163505">
      <w:pPr>
        <w:pStyle w:val="mpcbullets2"/>
      </w:pPr>
      <w:r>
        <w:t xml:space="preserve">This would deliver higher </w:t>
      </w:r>
      <w:r w:rsidR="00A70F42">
        <w:t>HSRs</w:t>
      </w:r>
      <w:r>
        <w:t xml:space="preserve"> for FFG dairy products</w:t>
      </w:r>
      <w:r w:rsidR="00A70F42">
        <w:t xml:space="preserve"> and provide a better spread </w:t>
      </w:r>
      <w:r w:rsidR="00BE36E5">
        <w:t>of</w:t>
      </w:r>
      <w:r w:rsidR="00A70F42">
        <w:t xml:space="preserve"> relative ratings across similar produc</w:t>
      </w:r>
      <w:r w:rsidR="00BE36E5">
        <w:t>t</w:t>
      </w:r>
      <w:r w:rsidR="00ED5B6F">
        <w:t>s</w:t>
      </w:r>
      <w:r w:rsidR="00BE36E5">
        <w:t>, with those lower in saturated fat and total sugars receiving higher HSRs</w:t>
      </w:r>
      <w:r w:rsidR="00A70F42">
        <w:t>.</w:t>
      </w:r>
    </w:p>
    <w:p w14:paraId="6CB2DEC8" w14:textId="1D1C6DEB" w:rsidR="002D1235" w:rsidRDefault="002D1235" w:rsidP="00163505">
      <w:pPr>
        <w:pStyle w:val="mpcbullets2"/>
      </w:pPr>
      <w:r>
        <w:t>This would also ensure that less healthy, similar products do not score equal to or better than their healthier counterparts.</w:t>
      </w:r>
    </w:p>
    <w:p w14:paraId="66B190F5" w14:textId="4512F6DF" w:rsidR="00AB5CEF" w:rsidRDefault="00AB5CEF" w:rsidP="00325139">
      <w:pPr>
        <w:pStyle w:val="mpcbullets1"/>
        <w:numPr>
          <w:ilvl w:val="0"/>
          <w:numId w:val="0"/>
        </w:numPr>
        <w:ind w:left="360" w:hanging="360"/>
        <w:contextualSpacing/>
      </w:pPr>
    </w:p>
    <w:p w14:paraId="0395AA1F" w14:textId="42A044FE" w:rsidR="00AB5CEF" w:rsidRDefault="00AB5CEF" w:rsidP="00163505">
      <w:pPr>
        <w:pStyle w:val="mpcbullets1"/>
      </w:pPr>
      <w:r>
        <w:t>The HSRs for some dairy desserts would also increase by 0.5 to 1 star</w:t>
      </w:r>
      <w:r w:rsidRPr="00AB5CEF">
        <w:t xml:space="preserve"> </w:t>
      </w:r>
      <w:r>
        <w:t>due to the redefining and rescaling of Category 2D to account for dairy desserts.</w:t>
      </w:r>
    </w:p>
    <w:p w14:paraId="1983984F" w14:textId="2C02F7D6" w:rsidR="00AB5CEF" w:rsidRDefault="00AB5CEF" w:rsidP="00163505">
      <w:pPr>
        <w:pStyle w:val="mpcbullets2"/>
      </w:pPr>
      <w:r>
        <w:t>This would affect 36 products (</w:t>
      </w:r>
      <w:r w:rsidR="00ED297A">
        <w:t>44</w:t>
      </w:r>
      <w:r>
        <w:t xml:space="preserve">% of the </w:t>
      </w:r>
      <w:r w:rsidR="00ED297A">
        <w:t>custards/desserts</w:t>
      </w:r>
      <w:r w:rsidR="00384B76">
        <w:t>)</w:t>
      </w:r>
      <w:r>
        <w:t xml:space="preserve"> in the TAG database, </w:t>
      </w:r>
      <w:r w:rsidR="00852E73">
        <w:t>with</w:t>
      </w:r>
      <w:r>
        <w:t xml:space="preserve"> the range of HSRs betw</w:t>
      </w:r>
      <w:r w:rsidRPr="00325139">
        <w:t xml:space="preserve">een 0.5 and </w:t>
      </w:r>
      <w:r w:rsidR="00325139" w:rsidRPr="00325139">
        <w:t>4.</w:t>
      </w:r>
      <w:r w:rsidRPr="00325139">
        <w:t>5.</w:t>
      </w:r>
    </w:p>
    <w:p w14:paraId="3CBE3593" w14:textId="77777777" w:rsidR="00D762E9" w:rsidRDefault="00D762E9" w:rsidP="00433267">
      <w:pPr>
        <w:pStyle w:val="mpcbullets1"/>
        <w:numPr>
          <w:ilvl w:val="0"/>
          <w:numId w:val="0"/>
        </w:numPr>
        <w:ind w:left="360" w:hanging="360"/>
        <w:contextualSpacing/>
      </w:pPr>
    </w:p>
    <w:p w14:paraId="24F10367" w14:textId="020C8259" w:rsidR="00433267" w:rsidRPr="00433267" w:rsidRDefault="00433267" w:rsidP="00433267">
      <w:pPr>
        <w:pStyle w:val="mpcbullets1"/>
      </w:pPr>
      <w:r>
        <w:t xml:space="preserve">The HSRs for some </w:t>
      </w:r>
      <w:r>
        <w:rPr>
          <w:rFonts w:cstheme="minorHAnsi"/>
          <w:szCs w:val="22"/>
        </w:rPr>
        <w:t xml:space="preserve">wholegrain rices, breads and breakfast cereals would be increased by 0.5 stars due to the </w:t>
      </w:r>
      <w:r w:rsidR="002E725C">
        <w:rPr>
          <w:rFonts w:cstheme="minorHAnsi"/>
          <w:szCs w:val="22"/>
        </w:rPr>
        <w:t>proportional loading added to fibre when wholegrain is present.</w:t>
      </w:r>
    </w:p>
    <w:p w14:paraId="7B48C554" w14:textId="29E7E468" w:rsidR="00433267" w:rsidRPr="009E5342" w:rsidRDefault="00433267" w:rsidP="00163505">
      <w:pPr>
        <w:pStyle w:val="mpcbullets2"/>
      </w:pPr>
      <w:r>
        <w:t xml:space="preserve">This would </w:t>
      </w:r>
      <w:r w:rsidR="00EF64EB">
        <w:t>affect</w:t>
      </w:r>
      <w:r>
        <w:t xml:space="preserve"> 25 products in the TAG database (</w:t>
      </w:r>
      <w:r w:rsidR="002D1235">
        <w:t>less than 5%</w:t>
      </w:r>
      <w:r>
        <w:t xml:space="preserve"> of the products for which wholegrain content is known)</w:t>
      </w:r>
      <w:r w:rsidR="00676E45">
        <w:t xml:space="preserve">, </w:t>
      </w:r>
      <w:r w:rsidR="00ED297A">
        <w:t>targeting</w:t>
      </w:r>
      <w:r w:rsidR="00676E45">
        <w:t xml:space="preserve"> those with </w:t>
      </w:r>
      <w:r w:rsidR="00676E45">
        <w:sym w:font="Symbol" w:char="F0B3"/>
      </w:r>
      <w:r w:rsidR="00676E45">
        <w:t xml:space="preserve"> 40% wholegrain.</w:t>
      </w:r>
    </w:p>
    <w:p w14:paraId="728BB5AD" w14:textId="77777777" w:rsidR="00C23724" w:rsidRDefault="00C23724" w:rsidP="0024269C"/>
    <w:p w14:paraId="74C5ADD3" w14:textId="5FE3D74F" w:rsidR="00C23724" w:rsidRPr="00163505" w:rsidRDefault="00C23724" w:rsidP="00163505">
      <w:pPr>
        <w:pStyle w:val="mpcheading3"/>
      </w:pPr>
      <w:r w:rsidRPr="006C15AF">
        <w:t>Decrease</w:t>
      </w:r>
      <w:r w:rsidR="006C15AF">
        <w:t>d</w:t>
      </w:r>
      <w:r w:rsidRPr="006C15AF">
        <w:t xml:space="preserve"> HSR</w:t>
      </w:r>
      <w:r w:rsidR="00676E45">
        <w:t>s</w:t>
      </w:r>
    </w:p>
    <w:p w14:paraId="4869907C" w14:textId="58C65ADD" w:rsidR="00C23724" w:rsidRDefault="00C23724" w:rsidP="00163505">
      <w:pPr>
        <w:pStyle w:val="mpcbullets1"/>
      </w:pPr>
      <w:r>
        <w:t>The HSRs for a number of breakfast cereals, particularly those higher in total sugars</w:t>
      </w:r>
      <w:r w:rsidR="00D23510">
        <w:t>,</w:t>
      </w:r>
      <w:r>
        <w:t xml:space="preserve"> would decrease by 0.5 </w:t>
      </w:r>
      <w:r w:rsidRPr="00163505">
        <w:t>to</w:t>
      </w:r>
      <w:r>
        <w:t xml:space="preserve"> 1.5 stars.</w:t>
      </w:r>
    </w:p>
    <w:p w14:paraId="14D8B91F" w14:textId="2CB2178D" w:rsidR="00C23724" w:rsidRDefault="00C23724" w:rsidP="00163505">
      <w:pPr>
        <w:pStyle w:val="mpcbullets2"/>
      </w:pPr>
      <w:r>
        <w:t xml:space="preserve">This would </w:t>
      </w:r>
      <w:r w:rsidR="00EF64EB">
        <w:t>affect</w:t>
      </w:r>
      <w:r>
        <w:t xml:space="preserve"> 100</w:t>
      </w:r>
      <w:r w:rsidRPr="00D23510">
        <w:t xml:space="preserve"> products </w:t>
      </w:r>
      <w:r w:rsidR="00DB3B17">
        <w:t>(33% of the breakfast cereals</w:t>
      </w:r>
      <w:r w:rsidR="00384B76">
        <w:t>)</w:t>
      </w:r>
      <w:r w:rsidR="00DB3B17">
        <w:t xml:space="preserve"> in the TAG database</w:t>
      </w:r>
      <w:r w:rsidRPr="00D23510">
        <w:t xml:space="preserve">, </w:t>
      </w:r>
      <w:r w:rsidR="00852E73">
        <w:t>with</w:t>
      </w:r>
      <w:r w:rsidR="00852E73" w:rsidRPr="00D23510">
        <w:t xml:space="preserve"> </w:t>
      </w:r>
      <w:r w:rsidRPr="00D23510">
        <w:t xml:space="preserve">the range of HSRs between 1.5 </w:t>
      </w:r>
      <w:r w:rsidR="00EF64EB">
        <w:t>and</w:t>
      </w:r>
      <w:r w:rsidR="00EF64EB" w:rsidRPr="00D23510">
        <w:t xml:space="preserve"> </w:t>
      </w:r>
      <w:r w:rsidR="00D23510" w:rsidRPr="00D23510">
        <w:t>5</w:t>
      </w:r>
      <w:r>
        <w:t xml:space="preserve">. </w:t>
      </w:r>
    </w:p>
    <w:p w14:paraId="59428618" w14:textId="6F9BD950" w:rsidR="00C23724" w:rsidRDefault="00D23510" w:rsidP="00163505">
      <w:pPr>
        <w:pStyle w:val="mpcbullets2"/>
      </w:pPr>
      <w:r w:rsidRPr="00D23510">
        <w:lastRenderedPageBreak/>
        <w:t>Of these, 48 would decrease by</w:t>
      </w:r>
      <w:r w:rsidR="00C23724" w:rsidRPr="00D23510">
        <w:t xml:space="preserve"> 0.5 </w:t>
      </w:r>
      <w:r w:rsidRPr="00D23510">
        <w:t>stars, 50 would decrease by 1 star and 2</w:t>
      </w:r>
      <w:r w:rsidR="00C23724" w:rsidRPr="00D23510">
        <w:t xml:space="preserve"> would </w:t>
      </w:r>
      <w:r w:rsidRPr="00D23510">
        <w:t>decrease by</w:t>
      </w:r>
      <w:r w:rsidR="00C23724" w:rsidRPr="00D23510">
        <w:t xml:space="preserve"> 1.5 stars</w:t>
      </w:r>
      <w:r w:rsidRPr="00D23510">
        <w:t>.</w:t>
      </w:r>
    </w:p>
    <w:p w14:paraId="48ECB56B" w14:textId="4977FA72" w:rsidR="00D23510" w:rsidRPr="00D23510" w:rsidRDefault="00D23510" w:rsidP="00163505">
      <w:pPr>
        <w:pStyle w:val="mpcbullets2"/>
      </w:pPr>
      <w:r>
        <w:t>The average total sugars content of the breakfast cereal</w:t>
      </w:r>
      <w:r w:rsidR="00EF64EB">
        <w:t xml:space="preserve"> product</w:t>
      </w:r>
      <w:r>
        <w:t xml:space="preserve">s </w:t>
      </w:r>
      <w:r w:rsidR="00EF64EB">
        <w:t xml:space="preserve">affected </w:t>
      </w:r>
      <w:r w:rsidR="00DF52D2">
        <w:t>is 20.6g/100g, indicating that those b</w:t>
      </w:r>
      <w:r w:rsidR="00DF52D2" w:rsidRPr="00D23510">
        <w:t xml:space="preserve">reakfast cereals </w:t>
      </w:r>
      <w:r w:rsidR="007510F0">
        <w:t>higher in total</w:t>
      </w:r>
      <w:r w:rsidR="00DF52D2">
        <w:t xml:space="preserve"> sugars</w:t>
      </w:r>
      <w:r w:rsidR="007510F0">
        <w:t>,</w:t>
      </w:r>
      <w:r w:rsidR="00DF52D2">
        <w:t xml:space="preserve"> and </w:t>
      </w:r>
      <w:r w:rsidR="00DF52D2" w:rsidRPr="00D23510">
        <w:t>of particular concern to consumers</w:t>
      </w:r>
      <w:r w:rsidR="007510F0">
        <w:t>,</w:t>
      </w:r>
      <w:r w:rsidR="00DF52D2" w:rsidRPr="00D23510">
        <w:t xml:space="preserve"> </w:t>
      </w:r>
      <w:r w:rsidR="00DF52D2">
        <w:t>are effectively targeted by the proposed changes.</w:t>
      </w:r>
    </w:p>
    <w:p w14:paraId="0EAF2E6D" w14:textId="40C4CC40" w:rsidR="00C23724" w:rsidRPr="009E5342" w:rsidRDefault="00C23724" w:rsidP="00163505">
      <w:pPr>
        <w:pStyle w:val="mpcbullets2"/>
        <w:rPr>
          <w:szCs w:val="22"/>
        </w:rPr>
      </w:pPr>
      <w:r w:rsidRPr="00162A4C">
        <w:rPr>
          <w:szCs w:val="22"/>
        </w:rPr>
        <w:t xml:space="preserve">This is a result of the </w:t>
      </w:r>
      <w:r>
        <w:rPr>
          <w:szCs w:val="22"/>
        </w:rPr>
        <w:t>stronger penalisation of total sugars</w:t>
      </w:r>
      <w:r w:rsidR="007510F0">
        <w:rPr>
          <w:szCs w:val="22"/>
        </w:rPr>
        <w:t>,</w:t>
      </w:r>
      <w:r>
        <w:rPr>
          <w:szCs w:val="22"/>
        </w:rPr>
        <w:t xml:space="preserve"> and the change to the threshold at which products can score </w:t>
      </w:r>
      <w:r w:rsidRPr="00162A4C">
        <w:rPr>
          <w:szCs w:val="22"/>
        </w:rPr>
        <w:t>modifying protein points</w:t>
      </w:r>
      <w:r>
        <w:rPr>
          <w:szCs w:val="22"/>
        </w:rPr>
        <w:t>.</w:t>
      </w:r>
    </w:p>
    <w:p w14:paraId="7194B39B" w14:textId="77777777" w:rsidR="00C23724" w:rsidRPr="00162A4C" w:rsidRDefault="00C23724" w:rsidP="00C23724">
      <w:pPr>
        <w:pStyle w:val="mpcbullets1"/>
        <w:numPr>
          <w:ilvl w:val="0"/>
          <w:numId w:val="0"/>
        </w:numPr>
        <w:ind w:left="360" w:hanging="360"/>
        <w:contextualSpacing/>
        <w:rPr>
          <w:rFonts w:cstheme="minorHAnsi"/>
          <w:szCs w:val="22"/>
        </w:rPr>
      </w:pPr>
    </w:p>
    <w:p w14:paraId="70BB415C" w14:textId="1ACFC1B5" w:rsidR="00C23724" w:rsidRDefault="00C23724" w:rsidP="00163505">
      <w:pPr>
        <w:pStyle w:val="mpcbullets1"/>
      </w:pPr>
      <w:r>
        <w:t xml:space="preserve">The HSRs for some </w:t>
      </w:r>
      <w:r w:rsidR="00266A17">
        <w:t>non-dairy beverages</w:t>
      </w:r>
      <w:r>
        <w:t xml:space="preserve"> would be reduced by 0.5 stars due to the stronger penalisation of total </w:t>
      </w:r>
      <w:r w:rsidRPr="00163505">
        <w:t>sugars</w:t>
      </w:r>
      <w:r>
        <w:t>.</w:t>
      </w:r>
    </w:p>
    <w:p w14:paraId="5AC75098" w14:textId="3E10CEA1" w:rsidR="00C23724" w:rsidRPr="00DF52D2" w:rsidRDefault="00C23724" w:rsidP="00163505">
      <w:pPr>
        <w:pStyle w:val="mpcbullets2"/>
      </w:pPr>
      <w:r w:rsidRPr="00DF52D2">
        <w:t xml:space="preserve">This would </w:t>
      </w:r>
      <w:r w:rsidR="00EF64EB">
        <w:t>affect</w:t>
      </w:r>
      <w:r w:rsidRPr="00DF52D2">
        <w:t xml:space="preserve"> 11 products </w:t>
      </w:r>
      <w:r w:rsidR="005E3F3D">
        <w:t>(3% of the non-dairy beverages</w:t>
      </w:r>
      <w:r w:rsidR="00384B76">
        <w:t>)</w:t>
      </w:r>
      <w:r w:rsidR="005E3F3D">
        <w:t xml:space="preserve"> </w:t>
      </w:r>
      <w:r w:rsidRPr="00DF52D2">
        <w:t xml:space="preserve">in the TAG database, </w:t>
      </w:r>
      <w:r w:rsidR="00852E73">
        <w:t>with</w:t>
      </w:r>
      <w:r w:rsidR="00852E73" w:rsidRPr="00DF52D2">
        <w:t xml:space="preserve"> </w:t>
      </w:r>
      <w:r w:rsidRPr="00DF52D2">
        <w:t xml:space="preserve">the range of HSRs </w:t>
      </w:r>
      <w:r w:rsidR="00EF64EB">
        <w:t xml:space="preserve">to </w:t>
      </w:r>
      <w:r w:rsidRPr="00DF52D2">
        <w:t xml:space="preserve">between 0.5 </w:t>
      </w:r>
      <w:r w:rsidR="00EF64EB">
        <w:t>and</w:t>
      </w:r>
      <w:r w:rsidR="00EF64EB" w:rsidRPr="00DF52D2">
        <w:t xml:space="preserve"> </w:t>
      </w:r>
      <w:r w:rsidRPr="00DF52D2">
        <w:t>5.</w:t>
      </w:r>
      <w:r w:rsidR="003F1230" w:rsidRPr="00DF52D2">
        <w:t xml:space="preserve"> </w:t>
      </w:r>
    </w:p>
    <w:p w14:paraId="5FAD8483" w14:textId="757C2446" w:rsidR="00C23724" w:rsidRDefault="00C23724" w:rsidP="00163505">
      <w:pPr>
        <w:pStyle w:val="mpcbullets2"/>
      </w:pPr>
      <w:r>
        <w:t xml:space="preserve">Products </w:t>
      </w:r>
      <w:r w:rsidR="00EF64EB">
        <w:t xml:space="preserve">affected </w:t>
      </w:r>
      <w:r>
        <w:t xml:space="preserve">include some 100% fruit juices </w:t>
      </w:r>
      <w:r w:rsidRPr="00DF52D2">
        <w:t>(reducing HSR</w:t>
      </w:r>
      <w:r w:rsidR="009F7F35">
        <w:t>s</w:t>
      </w:r>
      <w:r w:rsidRPr="00DF52D2">
        <w:t xml:space="preserve"> from 5 to 4.5</w:t>
      </w:r>
      <w:r w:rsidR="007510F0">
        <w:t>,</w:t>
      </w:r>
      <w:r w:rsidRPr="00DF52D2">
        <w:t xml:space="preserve"> or 4.5 or 4)</w:t>
      </w:r>
      <w:r w:rsidR="00DF52D2">
        <w:t>, fruit drinks, soft drinks and flavoured waters.</w:t>
      </w:r>
    </w:p>
    <w:p w14:paraId="16DED015" w14:textId="6BB2D705" w:rsidR="006B3F14" w:rsidRPr="00DF52D2" w:rsidRDefault="006B3F14" w:rsidP="00163505">
      <w:pPr>
        <w:pStyle w:val="mpcbullets2"/>
      </w:pPr>
      <w:r>
        <w:t xml:space="preserve">If the </w:t>
      </w:r>
      <w:r w:rsidR="007130A0">
        <w:t xml:space="preserve">Option C was </w:t>
      </w:r>
      <w:r>
        <w:t xml:space="preserve">preferred option </w:t>
      </w:r>
      <w:r w:rsidR="007130A0">
        <w:t>for</w:t>
      </w:r>
      <w:r>
        <w:t xml:space="preserve"> non-dairy beverages </w:t>
      </w:r>
      <w:r w:rsidR="007130A0">
        <w:t>such that the HSR was set at</w:t>
      </w:r>
      <w:r>
        <w:t xml:space="preserve"> 4.5 for all waters flavoured with juice or 100% juices, this would mean that the stronger penalisation of total sugars would not </w:t>
      </w:r>
      <w:r w:rsidR="00206CF4">
        <w:t xml:space="preserve">affect </w:t>
      </w:r>
      <w:r>
        <w:t>100% juices, or waters flavoured only with juices (with no added sugars).</w:t>
      </w:r>
    </w:p>
    <w:p w14:paraId="1EC18B01" w14:textId="77777777" w:rsidR="00C23724" w:rsidRPr="005A5112" w:rsidRDefault="00C23724" w:rsidP="00DF52D2">
      <w:pPr>
        <w:pStyle w:val="mpcbullets1"/>
        <w:numPr>
          <w:ilvl w:val="0"/>
          <w:numId w:val="0"/>
        </w:numPr>
        <w:ind w:left="360" w:hanging="360"/>
        <w:contextualSpacing/>
      </w:pPr>
    </w:p>
    <w:p w14:paraId="01FE710C" w14:textId="34690DF3" w:rsidR="00C23724" w:rsidRPr="00690FBE" w:rsidRDefault="00C23724" w:rsidP="00163505">
      <w:pPr>
        <w:pStyle w:val="mpcbullets1"/>
      </w:pPr>
      <w:r w:rsidRPr="00325139">
        <w:t xml:space="preserve">The HSRs for some </w:t>
      </w:r>
      <w:r w:rsidR="009F7F35" w:rsidRPr="00325139">
        <w:t xml:space="preserve">dairy desserts and </w:t>
      </w:r>
      <w:r w:rsidRPr="00325139">
        <w:t xml:space="preserve">flavoured milks would be reduced by 0.5 </w:t>
      </w:r>
      <w:r w:rsidR="007E7C30" w:rsidRPr="00325139">
        <w:t xml:space="preserve">to 2 </w:t>
      </w:r>
      <w:r w:rsidRPr="00325139">
        <w:t xml:space="preserve">stars </w:t>
      </w:r>
      <w:r w:rsidR="002E725C" w:rsidRPr="00325139">
        <w:t xml:space="preserve">due to the </w:t>
      </w:r>
      <w:r w:rsidR="002E725C" w:rsidRPr="00163505">
        <w:t>redefining</w:t>
      </w:r>
      <w:r w:rsidR="002E725C" w:rsidRPr="00325139">
        <w:t xml:space="preserve"> and rescaling of Category 2D to account for dairy desserts</w:t>
      </w:r>
      <w:r w:rsidR="007510F0" w:rsidRPr="00690FBE">
        <w:t>,</w:t>
      </w:r>
      <w:r w:rsidR="002E725C" w:rsidRPr="00690FBE">
        <w:t xml:space="preserve"> and </w:t>
      </w:r>
      <w:r w:rsidRPr="00690FBE">
        <w:t>the stronger penalisation of total sugars.</w:t>
      </w:r>
    </w:p>
    <w:p w14:paraId="19437802" w14:textId="7500CE84" w:rsidR="00C23724" w:rsidRPr="003B7C48" w:rsidRDefault="00C23724" w:rsidP="00163505">
      <w:pPr>
        <w:pStyle w:val="mpcbullets2"/>
      </w:pPr>
      <w:r w:rsidRPr="003B7C48">
        <w:t xml:space="preserve">This would </w:t>
      </w:r>
      <w:r w:rsidR="00206CF4">
        <w:t>affect</w:t>
      </w:r>
      <w:r w:rsidRPr="003B7C48">
        <w:t xml:space="preserve"> </w:t>
      </w:r>
      <w:r w:rsidR="005D2F68">
        <w:t>13 flavoured milk products (</w:t>
      </w:r>
      <w:r w:rsidR="007130A0">
        <w:t>3</w:t>
      </w:r>
      <w:r w:rsidR="005D2F68">
        <w:t>% of the dairy beverages</w:t>
      </w:r>
      <w:r w:rsidR="00384B76">
        <w:t>)</w:t>
      </w:r>
      <w:r w:rsidR="005D2F68">
        <w:t xml:space="preserve"> </w:t>
      </w:r>
      <w:r w:rsidRPr="003B7C48">
        <w:t>in the TAG database</w:t>
      </w:r>
      <w:r w:rsidR="000B483D">
        <w:t xml:space="preserve"> and 51 dairy desserts, </w:t>
      </w:r>
      <w:r w:rsidR="006E448D">
        <w:t xml:space="preserve">including </w:t>
      </w:r>
      <w:r w:rsidR="00325139">
        <w:t xml:space="preserve">a </w:t>
      </w:r>
      <w:r w:rsidR="006E448D">
        <w:t>cream</w:t>
      </w:r>
      <w:r w:rsidR="00325139">
        <w:t xml:space="preserve"> and some </w:t>
      </w:r>
      <w:r w:rsidR="006E448D">
        <w:t>cream cheeses</w:t>
      </w:r>
      <w:r w:rsidR="000B483D">
        <w:t>,</w:t>
      </w:r>
      <w:r w:rsidR="005D2F68">
        <w:t xml:space="preserve"> </w:t>
      </w:r>
      <w:r w:rsidR="000B483D">
        <w:t>ice creams and custards</w:t>
      </w:r>
      <w:r w:rsidR="00E46DDA">
        <w:t xml:space="preserve"> (</w:t>
      </w:r>
      <w:r w:rsidR="007130A0">
        <w:t>6</w:t>
      </w:r>
      <w:r w:rsidR="000B483D">
        <w:t>% of the dairy dessert products</w:t>
      </w:r>
      <w:r w:rsidR="00384B76">
        <w:t>)</w:t>
      </w:r>
      <w:r w:rsidR="000B483D">
        <w:t xml:space="preserve"> in the TAG database</w:t>
      </w:r>
      <w:r w:rsidR="00384B76">
        <w:t>,</w:t>
      </w:r>
      <w:r w:rsidR="000B483D">
        <w:t xml:space="preserve"> </w:t>
      </w:r>
      <w:r w:rsidR="00852E73">
        <w:rPr>
          <w:szCs w:val="22"/>
        </w:rPr>
        <w:t>with</w:t>
      </w:r>
      <w:r w:rsidRPr="003B7C48">
        <w:rPr>
          <w:szCs w:val="22"/>
        </w:rPr>
        <w:t xml:space="preserve"> the range of HSRs between </w:t>
      </w:r>
      <w:r w:rsidR="002E725C">
        <w:rPr>
          <w:szCs w:val="22"/>
        </w:rPr>
        <w:t>0</w:t>
      </w:r>
      <w:r w:rsidRPr="003B7C48">
        <w:rPr>
          <w:szCs w:val="22"/>
        </w:rPr>
        <w:t xml:space="preserve">.5 </w:t>
      </w:r>
      <w:r w:rsidR="00206CF4">
        <w:rPr>
          <w:szCs w:val="22"/>
        </w:rPr>
        <w:t>and</w:t>
      </w:r>
      <w:r w:rsidR="00206CF4" w:rsidRPr="003B7C48">
        <w:rPr>
          <w:szCs w:val="22"/>
        </w:rPr>
        <w:t xml:space="preserve"> </w:t>
      </w:r>
      <w:r w:rsidRPr="003B7C48">
        <w:rPr>
          <w:szCs w:val="22"/>
        </w:rPr>
        <w:t>5</w:t>
      </w:r>
      <w:r w:rsidRPr="003B7C48">
        <w:t>.</w:t>
      </w:r>
    </w:p>
    <w:p w14:paraId="4C5FA35E" w14:textId="77777777" w:rsidR="00C23724" w:rsidRDefault="00C23724" w:rsidP="00C23724">
      <w:pPr>
        <w:pStyle w:val="mpcbullets1"/>
        <w:numPr>
          <w:ilvl w:val="0"/>
          <w:numId w:val="0"/>
        </w:numPr>
      </w:pPr>
    </w:p>
    <w:p w14:paraId="0C0B384D" w14:textId="091377BE" w:rsidR="00C23724" w:rsidRDefault="00C23724" w:rsidP="00C23724">
      <w:pPr>
        <w:pStyle w:val="mpcbullets1"/>
      </w:pPr>
      <w:r>
        <w:t xml:space="preserve">The HSRs for </w:t>
      </w:r>
      <w:r w:rsidR="006B3F14">
        <w:t xml:space="preserve">some </w:t>
      </w:r>
      <w:r>
        <w:t xml:space="preserve">biscuits (both sweet and savoury) would be decreased by 0.5 to 1 star due to </w:t>
      </w:r>
      <w:r w:rsidR="003B7C48">
        <w:t xml:space="preserve">the </w:t>
      </w:r>
      <w:r>
        <w:t>stronger penalisation of total sugars and high levels of sodium.</w:t>
      </w:r>
    </w:p>
    <w:p w14:paraId="257B8BB6" w14:textId="17491A60" w:rsidR="00C23724" w:rsidRPr="00A51539" w:rsidRDefault="00C23724" w:rsidP="00B91EBF">
      <w:pPr>
        <w:pStyle w:val="mpcbullets1"/>
        <w:numPr>
          <w:ilvl w:val="0"/>
          <w:numId w:val="22"/>
        </w:numPr>
        <w:contextualSpacing/>
        <w:rPr>
          <w:rFonts w:cstheme="minorHAnsi"/>
          <w:szCs w:val="22"/>
        </w:rPr>
      </w:pPr>
      <w:r w:rsidRPr="00494516">
        <w:rPr>
          <w:rFonts w:cstheme="minorHAnsi"/>
          <w:szCs w:val="22"/>
        </w:rPr>
        <w:t xml:space="preserve">This would </w:t>
      </w:r>
      <w:r w:rsidR="00206CF4">
        <w:rPr>
          <w:rFonts w:cstheme="minorHAnsi"/>
          <w:szCs w:val="22"/>
        </w:rPr>
        <w:t>affect</w:t>
      </w:r>
      <w:r w:rsidRPr="00494516">
        <w:rPr>
          <w:rFonts w:cstheme="minorHAnsi"/>
          <w:szCs w:val="22"/>
        </w:rPr>
        <w:t xml:space="preserve"> </w:t>
      </w:r>
      <w:r>
        <w:rPr>
          <w:rFonts w:cstheme="minorHAnsi"/>
          <w:szCs w:val="22"/>
        </w:rPr>
        <w:t xml:space="preserve">41 </w:t>
      </w:r>
      <w:r w:rsidRPr="00494516">
        <w:rPr>
          <w:rFonts w:cstheme="minorHAnsi"/>
          <w:szCs w:val="22"/>
        </w:rPr>
        <w:t xml:space="preserve">products </w:t>
      </w:r>
      <w:r w:rsidR="007130A0">
        <w:rPr>
          <w:rFonts w:cstheme="minorHAnsi"/>
          <w:szCs w:val="22"/>
        </w:rPr>
        <w:t>(16</w:t>
      </w:r>
      <w:r w:rsidR="00E52966">
        <w:rPr>
          <w:rFonts w:cstheme="minorHAnsi"/>
          <w:szCs w:val="22"/>
        </w:rPr>
        <w:t>% of the biscuits</w:t>
      </w:r>
      <w:r w:rsidR="00384B76">
        <w:rPr>
          <w:rFonts w:cstheme="minorHAnsi"/>
          <w:szCs w:val="22"/>
        </w:rPr>
        <w:t>)</w:t>
      </w:r>
      <w:r w:rsidR="00E52966">
        <w:rPr>
          <w:rFonts w:cstheme="minorHAnsi"/>
          <w:szCs w:val="22"/>
        </w:rPr>
        <w:t xml:space="preserve"> </w:t>
      </w:r>
      <w:r w:rsidRPr="00494516">
        <w:rPr>
          <w:rFonts w:cstheme="minorHAnsi"/>
          <w:szCs w:val="22"/>
        </w:rPr>
        <w:t xml:space="preserve">in the TAG database, </w:t>
      </w:r>
      <w:r w:rsidR="00852E73">
        <w:rPr>
          <w:rFonts w:cstheme="minorHAnsi"/>
          <w:szCs w:val="22"/>
        </w:rPr>
        <w:t xml:space="preserve">with </w:t>
      </w:r>
      <w:r>
        <w:rPr>
          <w:rFonts w:cstheme="minorHAnsi"/>
          <w:szCs w:val="22"/>
        </w:rPr>
        <w:t xml:space="preserve">the range of HSRs between </w:t>
      </w:r>
      <w:r w:rsidR="003B7C48">
        <w:rPr>
          <w:rFonts w:cstheme="minorHAnsi"/>
          <w:szCs w:val="22"/>
        </w:rPr>
        <w:t xml:space="preserve">0.5 </w:t>
      </w:r>
      <w:r w:rsidR="00206CF4">
        <w:rPr>
          <w:rFonts w:cstheme="minorHAnsi"/>
          <w:szCs w:val="22"/>
        </w:rPr>
        <w:t xml:space="preserve">and </w:t>
      </w:r>
      <w:r w:rsidR="003B7C48">
        <w:rPr>
          <w:rFonts w:cstheme="minorHAnsi"/>
          <w:szCs w:val="22"/>
        </w:rPr>
        <w:t>4</w:t>
      </w:r>
      <w:r>
        <w:rPr>
          <w:rFonts w:cstheme="minorHAnsi"/>
          <w:szCs w:val="22"/>
        </w:rPr>
        <w:t>.5</w:t>
      </w:r>
      <w:r w:rsidRPr="00B9683C">
        <w:rPr>
          <w:rFonts w:cstheme="minorHAnsi"/>
          <w:szCs w:val="22"/>
        </w:rPr>
        <w:t>.</w:t>
      </w:r>
    </w:p>
    <w:p w14:paraId="0FAB7F44" w14:textId="77777777" w:rsidR="00C23724" w:rsidRDefault="00C23724" w:rsidP="00C23724">
      <w:pPr>
        <w:pStyle w:val="mpcbullets1"/>
        <w:numPr>
          <w:ilvl w:val="0"/>
          <w:numId w:val="0"/>
        </w:numPr>
        <w:ind w:left="360" w:hanging="360"/>
      </w:pPr>
    </w:p>
    <w:p w14:paraId="413E0561" w14:textId="46EFCDC2" w:rsidR="00C23724" w:rsidRDefault="00C23724" w:rsidP="00163505">
      <w:pPr>
        <w:pStyle w:val="mpcbullets1"/>
      </w:pPr>
      <w:r>
        <w:t xml:space="preserve">The HSRs for </w:t>
      </w:r>
      <w:r w:rsidR="006B3F14">
        <w:t xml:space="preserve">some </w:t>
      </w:r>
      <w:r>
        <w:t xml:space="preserve">confectionery (mainly lollies) and </w:t>
      </w:r>
      <w:r w:rsidR="00F61479">
        <w:t>bakery products</w:t>
      </w:r>
      <w:r>
        <w:t xml:space="preserve"> would be decreased by 0.5 to 1 star due to stronger </w:t>
      </w:r>
      <w:r w:rsidRPr="00163505">
        <w:t>penalisation</w:t>
      </w:r>
      <w:r>
        <w:t xml:space="preserve"> of total sugars</w:t>
      </w:r>
      <w:r w:rsidR="007130A0">
        <w:t>.</w:t>
      </w:r>
    </w:p>
    <w:p w14:paraId="0361447E" w14:textId="3EDE865B" w:rsidR="00C23724" w:rsidRPr="00494516" w:rsidRDefault="00C23724" w:rsidP="00163505">
      <w:pPr>
        <w:pStyle w:val="mpcbullets2"/>
      </w:pPr>
      <w:r w:rsidRPr="00494516">
        <w:t xml:space="preserve">This would </w:t>
      </w:r>
      <w:r w:rsidR="00206CF4">
        <w:t>affect</w:t>
      </w:r>
      <w:r w:rsidRPr="00494516">
        <w:t xml:space="preserve"> </w:t>
      </w:r>
      <w:r w:rsidR="002127CD">
        <w:t>27 confectionery products (29% of the confectionery</w:t>
      </w:r>
      <w:r w:rsidRPr="00494516">
        <w:t xml:space="preserve"> products</w:t>
      </w:r>
      <w:r w:rsidR="00384B76">
        <w:t>)</w:t>
      </w:r>
      <w:r w:rsidRPr="00494516">
        <w:t xml:space="preserve"> in the TAG database</w:t>
      </w:r>
      <w:r w:rsidR="00F61479">
        <w:t xml:space="preserve"> </w:t>
      </w:r>
      <w:r w:rsidR="007130A0">
        <w:t>and 18 cake/bakery products (15</w:t>
      </w:r>
      <w:r w:rsidR="00F61479">
        <w:t>% of the bakery products</w:t>
      </w:r>
      <w:r w:rsidR="00384B76">
        <w:t>)</w:t>
      </w:r>
      <w:r w:rsidR="00F61479">
        <w:t xml:space="preserve"> in the TAG database</w:t>
      </w:r>
      <w:r w:rsidR="00206CF4">
        <w:t xml:space="preserve"> and</w:t>
      </w:r>
      <w:r w:rsidRPr="00494516">
        <w:t xml:space="preserve"> </w:t>
      </w:r>
      <w:r w:rsidR="00852E73">
        <w:t>with</w:t>
      </w:r>
      <w:r>
        <w:t xml:space="preserve"> the </w:t>
      </w:r>
      <w:r w:rsidRPr="00163505">
        <w:t>range</w:t>
      </w:r>
      <w:r>
        <w:t xml:space="preserve"> of HSRs betw</w:t>
      </w:r>
      <w:r w:rsidR="003B7C48">
        <w:t xml:space="preserve">een 0.5 </w:t>
      </w:r>
      <w:r w:rsidR="00206CF4">
        <w:t xml:space="preserve">and </w:t>
      </w:r>
      <w:r w:rsidR="003B7C48">
        <w:t>2</w:t>
      </w:r>
      <w:r w:rsidR="007510F0">
        <w:t xml:space="preserve"> for confectione</w:t>
      </w:r>
      <w:r>
        <w:t>ry</w:t>
      </w:r>
      <w:r w:rsidR="007510F0">
        <w:t>,</w:t>
      </w:r>
      <w:r>
        <w:t xml:space="preserve"> and</w:t>
      </w:r>
      <w:r w:rsidR="00206CF4">
        <w:t xml:space="preserve"> between</w:t>
      </w:r>
      <w:r>
        <w:t xml:space="preserve"> </w:t>
      </w:r>
      <w:r w:rsidR="003B7C48">
        <w:t xml:space="preserve">0.5 </w:t>
      </w:r>
      <w:r w:rsidR="00206CF4">
        <w:t xml:space="preserve">and </w:t>
      </w:r>
      <w:r>
        <w:t>3</w:t>
      </w:r>
      <w:r w:rsidR="003B7C48">
        <w:t>.5</w:t>
      </w:r>
      <w:r>
        <w:t xml:space="preserve"> for </w:t>
      </w:r>
      <w:r w:rsidR="00F61479">
        <w:t>bakery products</w:t>
      </w:r>
      <w:r w:rsidRPr="00B9683C">
        <w:t>.</w:t>
      </w:r>
    </w:p>
    <w:p w14:paraId="458D389D" w14:textId="77777777" w:rsidR="00C23724" w:rsidRDefault="00C23724" w:rsidP="00C23724">
      <w:pPr>
        <w:pStyle w:val="mpcbullets1"/>
        <w:numPr>
          <w:ilvl w:val="0"/>
          <w:numId w:val="0"/>
        </w:numPr>
        <w:ind w:left="360" w:hanging="360"/>
      </w:pPr>
    </w:p>
    <w:p w14:paraId="55C1CAA2" w14:textId="1A24801C" w:rsidR="00C23724" w:rsidRDefault="00C23724" w:rsidP="00163505">
      <w:pPr>
        <w:pStyle w:val="mpcbullets1"/>
      </w:pPr>
      <w:r>
        <w:t xml:space="preserve">The HSRs for </w:t>
      </w:r>
      <w:r w:rsidRPr="00163505">
        <w:t>jellies</w:t>
      </w:r>
      <w:r>
        <w:t xml:space="preserve"> and water-based ice confection would be decreased by 0.5 to </w:t>
      </w:r>
      <w:r w:rsidR="006C15AF">
        <w:t>2.5</w:t>
      </w:r>
      <w:r>
        <w:t xml:space="preserve"> star</w:t>
      </w:r>
      <w:r w:rsidR="006C15AF">
        <w:t>s</w:t>
      </w:r>
      <w:r>
        <w:t xml:space="preserve"> due to the redefining and rescaling of Category 1</w:t>
      </w:r>
      <w:r w:rsidR="007510F0">
        <w:t>,</w:t>
      </w:r>
      <w:r>
        <w:t xml:space="preserve"> and stronger penalisation of total sugars.</w:t>
      </w:r>
    </w:p>
    <w:p w14:paraId="06877C67" w14:textId="411CD079" w:rsidR="00C23724" w:rsidRPr="00494516" w:rsidRDefault="00C23724" w:rsidP="00163505">
      <w:pPr>
        <w:pStyle w:val="mpcbullets2"/>
      </w:pPr>
      <w:r w:rsidRPr="00494516">
        <w:t xml:space="preserve">This would </w:t>
      </w:r>
      <w:r w:rsidR="00D33546">
        <w:t>affect</w:t>
      </w:r>
      <w:r w:rsidR="00F61479">
        <w:t xml:space="preserve"> 11 jellies (55% of the jelly products</w:t>
      </w:r>
      <w:r w:rsidR="00384B76">
        <w:t>) in the TAG database</w:t>
      </w:r>
      <w:r w:rsidR="00F61479">
        <w:t xml:space="preserve"> and 46 </w:t>
      </w:r>
      <w:r w:rsidR="00790595">
        <w:t xml:space="preserve">water-based ice </w:t>
      </w:r>
      <w:r w:rsidR="00F61479">
        <w:t>confections</w:t>
      </w:r>
      <w:r w:rsidRPr="00494516">
        <w:t xml:space="preserve"> </w:t>
      </w:r>
      <w:r w:rsidR="00F61479">
        <w:t xml:space="preserve">(100% of the </w:t>
      </w:r>
      <w:r w:rsidR="00790595">
        <w:t xml:space="preserve">water-based </w:t>
      </w:r>
      <w:r w:rsidR="00F61479">
        <w:t>ice confection</w:t>
      </w:r>
      <w:r w:rsidR="00790595">
        <w:t xml:space="preserve"> products</w:t>
      </w:r>
      <w:r w:rsidR="00384B76">
        <w:t>)</w:t>
      </w:r>
      <w:r w:rsidR="00790595">
        <w:t xml:space="preserve"> in the TAG database</w:t>
      </w:r>
      <w:r w:rsidRPr="00494516">
        <w:t xml:space="preserve">, </w:t>
      </w:r>
      <w:r w:rsidR="00852E73">
        <w:t xml:space="preserve">with </w:t>
      </w:r>
      <w:r>
        <w:t xml:space="preserve">the range of HSRs between 0.5 </w:t>
      </w:r>
      <w:r w:rsidR="00D33546">
        <w:t xml:space="preserve">and </w:t>
      </w:r>
      <w:r>
        <w:t>1</w:t>
      </w:r>
      <w:r w:rsidRPr="00B9683C">
        <w:t>.</w:t>
      </w:r>
    </w:p>
    <w:p w14:paraId="16BC1CD7" w14:textId="77777777" w:rsidR="00C23724" w:rsidRDefault="00C23724" w:rsidP="00C23724">
      <w:pPr>
        <w:pStyle w:val="mpcbullets1"/>
        <w:numPr>
          <w:ilvl w:val="0"/>
          <w:numId w:val="0"/>
        </w:numPr>
        <w:ind w:left="360" w:hanging="360"/>
      </w:pPr>
    </w:p>
    <w:p w14:paraId="49AB1808" w14:textId="055376E3" w:rsidR="00C23724" w:rsidRPr="00690FBE" w:rsidRDefault="00C23724" w:rsidP="00163505">
      <w:pPr>
        <w:pStyle w:val="mpcbullets1"/>
      </w:pPr>
      <w:r>
        <w:t xml:space="preserve">The HSRs for muesli or cereal style bars would be decreased by 0.5 to 1.5 stars due to the stronger </w:t>
      </w:r>
      <w:r w:rsidRPr="00163505">
        <w:t>penalisation</w:t>
      </w:r>
      <w:r w:rsidRPr="00690FBE">
        <w:t xml:space="preserve"> of total sugars</w:t>
      </w:r>
      <w:r w:rsidR="007510F0" w:rsidRPr="00690FBE">
        <w:t>,</w:t>
      </w:r>
      <w:r w:rsidRPr="00690FBE">
        <w:t xml:space="preserve"> and the </w:t>
      </w:r>
      <w:r w:rsidRPr="00690FBE">
        <w:rPr>
          <w:rFonts w:cstheme="minorHAnsi"/>
          <w:szCs w:val="22"/>
        </w:rPr>
        <w:t>change to the threshold at which products can score modifying protein points.</w:t>
      </w:r>
    </w:p>
    <w:p w14:paraId="43C5C006" w14:textId="28262227" w:rsidR="00C23724" w:rsidRPr="00A751C7" w:rsidRDefault="00C23724" w:rsidP="00163505">
      <w:pPr>
        <w:pStyle w:val="mpcbullets2"/>
      </w:pPr>
      <w:r w:rsidRPr="00690FBE">
        <w:t xml:space="preserve">This would </w:t>
      </w:r>
      <w:r w:rsidR="00D33546" w:rsidRPr="0078238C">
        <w:t>affect</w:t>
      </w:r>
      <w:r w:rsidRPr="0078238C">
        <w:t xml:space="preserve"> 4</w:t>
      </w:r>
      <w:r w:rsidR="00A17ED1" w:rsidRPr="00FE2802">
        <w:t xml:space="preserve">8 </w:t>
      </w:r>
      <w:r w:rsidR="00A17ED1" w:rsidRPr="00163505">
        <w:t>muesli</w:t>
      </w:r>
      <w:r w:rsidR="00A17ED1" w:rsidRPr="00FE2802">
        <w:t xml:space="preserve"> or cereal style bars (</w:t>
      </w:r>
      <w:r w:rsidR="007130A0">
        <w:t>36</w:t>
      </w:r>
      <w:r w:rsidR="00A17ED1" w:rsidRPr="00FE2802">
        <w:t>% of the muesli bar products</w:t>
      </w:r>
      <w:r w:rsidR="00384B76">
        <w:t>)</w:t>
      </w:r>
      <w:r w:rsidR="00A17ED1" w:rsidRPr="00FE2802">
        <w:t xml:space="preserve"> </w:t>
      </w:r>
      <w:r w:rsidRPr="0078238C">
        <w:t>in</w:t>
      </w:r>
      <w:r w:rsidRPr="00690FBE">
        <w:t xml:space="preserve"> the TAG database, </w:t>
      </w:r>
      <w:r w:rsidR="00852E73" w:rsidRPr="00690FBE">
        <w:t xml:space="preserve">with </w:t>
      </w:r>
      <w:r w:rsidRPr="00690FBE">
        <w:t>the</w:t>
      </w:r>
      <w:r w:rsidR="006C15AF" w:rsidRPr="00690FBE">
        <w:t xml:space="preserve"> range of HSRs between 0.5 </w:t>
      </w:r>
      <w:r w:rsidR="00D33546" w:rsidRPr="0078238C">
        <w:t xml:space="preserve">and </w:t>
      </w:r>
      <w:r w:rsidRPr="0078238C">
        <w:t>5.</w:t>
      </w:r>
    </w:p>
    <w:p w14:paraId="14648D36" w14:textId="66B1D1A3" w:rsidR="00C23724" w:rsidRPr="0074764C" w:rsidRDefault="00C23724" w:rsidP="00C23724">
      <w:pPr>
        <w:pStyle w:val="mpcbullets1"/>
        <w:numPr>
          <w:ilvl w:val="0"/>
          <w:numId w:val="0"/>
        </w:numPr>
        <w:ind w:left="360" w:hanging="360"/>
        <w:contextualSpacing/>
        <w:rPr>
          <w:rFonts w:cstheme="minorHAnsi"/>
          <w:szCs w:val="22"/>
        </w:rPr>
      </w:pPr>
    </w:p>
    <w:p w14:paraId="7089FAB9" w14:textId="6E04853B" w:rsidR="00C23724" w:rsidRPr="008B72F8" w:rsidRDefault="00C23724" w:rsidP="00163505">
      <w:pPr>
        <w:pStyle w:val="mpcbullets1"/>
      </w:pPr>
      <w:r w:rsidRPr="00505250">
        <w:t>The HSRs for some salty snacks would be decreased by 0.5 to 1.5 stars due to the stronger penalisation of high sodium content</w:t>
      </w:r>
      <w:r w:rsidR="007510F0" w:rsidRPr="009546A4">
        <w:t>,</w:t>
      </w:r>
      <w:r w:rsidRPr="00067682">
        <w:t xml:space="preserve"> and the change to the threshold at which products can score modifying protein points</w:t>
      </w:r>
      <w:r w:rsidRPr="00A9494B">
        <w:t>.</w:t>
      </w:r>
    </w:p>
    <w:p w14:paraId="78648E8E" w14:textId="0B68D023" w:rsidR="00C23724" w:rsidRPr="00E54211" w:rsidRDefault="00C23724" w:rsidP="00163505">
      <w:pPr>
        <w:pStyle w:val="mpcbullets2"/>
      </w:pPr>
      <w:r w:rsidRPr="008B72F8">
        <w:lastRenderedPageBreak/>
        <w:t xml:space="preserve">This </w:t>
      </w:r>
      <w:r w:rsidRPr="00690FBE">
        <w:t xml:space="preserve">would </w:t>
      </w:r>
      <w:r w:rsidR="00D33546" w:rsidRPr="00690FBE">
        <w:t>affect</w:t>
      </w:r>
      <w:r w:rsidRPr="00690FBE">
        <w:t xml:space="preserve"> 1</w:t>
      </w:r>
      <w:r w:rsidR="00690FBE" w:rsidRPr="00FE2802">
        <w:t>8</w:t>
      </w:r>
      <w:r w:rsidRPr="00690FBE">
        <w:t xml:space="preserve"> </w:t>
      </w:r>
      <w:r w:rsidR="00690FBE" w:rsidRPr="00FE2802">
        <w:t>salty snacks including potato crisps, extruded snacks and popcorns (20% of the salty snack</w:t>
      </w:r>
      <w:r w:rsidRPr="00690FBE">
        <w:t xml:space="preserve"> products</w:t>
      </w:r>
      <w:r w:rsidR="00384B76">
        <w:t>)</w:t>
      </w:r>
      <w:r w:rsidRPr="00690FBE">
        <w:t xml:space="preserve"> in the TAG database, </w:t>
      </w:r>
      <w:r w:rsidR="00E422C9" w:rsidRPr="00690FBE">
        <w:t xml:space="preserve">with </w:t>
      </w:r>
      <w:r w:rsidRPr="00690FBE">
        <w:t xml:space="preserve">the range of HSRs </w:t>
      </w:r>
      <w:r w:rsidRPr="00E54211">
        <w:t xml:space="preserve">between </w:t>
      </w:r>
      <w:r w:rsidR="002E725C" w:rsidRPr="00E54211">
        <w:t xml:space="preserve">0.5 </w:t>
      </w:r>
      <w:r w:rsidR="00D33546" w:rsidRPr="00E54211">
        <w:t xml:space="preserve">and </w:t>
      </w:r>
      <w:r w:rsidR="002E725C" w:rsidRPr="00E54211">
        <w:t>5.</w:t>
      </w:r>
    </w:p>
    <w:p w14:paraId="44BDC776" w14:textId="7396E861" w:rsidR="00C23724" w:rsidRPr="0074764C" w:rsidRDefault="00C23724" w:rsidP="00C23724">
      <w:pPr>
        <w:pStyle w:val="mpcbullets1"/>
        <w:numPr>
          <w:ilvl w:val="0"/>
          <w:numId w:val="0"/>
        </w:numPr>
        <w:ind w:left="360" w:hanging="360"/>
        <w:contextualSpacing/>
        <w:rPr>
          <w:rFonts w:cstheme="minorHAnsi"/>
          <w:szCs w:val="22"/>
        </w:rPr>
      </w:pPr>
    </w:p>
    <w:p w14:paraId="3F99C6AB" w14:textId="674DA5C9" w:rsidR="00C23724" w:rsidRDefault="00C23724" w:rsidP="00163505">
      <w:pPr>
        <w:pStyle w:val="mpcbullets1"/>
      </w:pPr>
      <w:r w:rsidRPr="00505250">
        <w:t xml:space="preserve">The HSRs for </w:t>
      </w:r>
      <w:r w:rsidRPr="00163505">
        <w:t>some</w:t>
      </w:r>
      <w:r w:rsidRPr="00505250">
        <w:t xml:space="preserve"> processed meats would</w:t>
      </w:r>
      <w:r w:rsidRPr="009546A4">
        <w:t xml:space="preserve"> </w:t>
      </w:r>
      <w:r w:rsidRPr="00067682">
        <w:t xml:space="preserve">be decreased by 0.5 to 1 star due to the stronger </w:t>
      </w:r>
      <w:r w:rsidR="00790595" w:rsidRPr="008B72F8">
        <w:t xml:space="preserve">treatment </w:t>
      </w:r>
      <w:r w:rsidRPr="008B72F8">
        <w:t>of high sodium content</w:t>
      </w:r>
      <w:r w:rsidR="007510F0" w:rsidRPr="00320D06">
        <w:t>,</w:t>
      </w:r>
      <w:r w:rsidRPr="003A3509">
        <w:t xml:space="preserve"> and the </w:t>
      </w:r>
      <w:r w:rsidRPr="003A3509">
        <w:rPr>
          <w:rFonts w:cstheme="minorHAnsi"/>
          <w:szCs w:val="22"/>
        </w:rPr>
        <w:t>change to the threshold</w:t>
      </w:r>
      <w:r>
        <w:rPr>
          <w:rFonts w:cstheme="minorHAnsi"/>
          <w:szCs w:val="22"/>
        </w:rPr>
        <w:t xml:space="preserve"> at which products can score </w:t>
      </w:r>
      <w:r w:rsidRPr="00162A4C">
        <w:rPr>
          <w:rFonts w:cstheme="minorHAnsi"/>
          <w:szCs w:val="22"/>
        </w:rPr>
        <w:t>modifying protein points</w:t>
      </w:r>
      <w:r>
        <w:rPr>
          <w:rFonts w:cstheme="minorHAnsi"/>
          <w:szCs w:val="22"/>
        </w:rPr>
        <w:t>.</w:t>
      </w:r>
    </w:p>
    <w:p w14:paraId="09676EEF" w14:textId="59F8FC6C" w:rsidR="00C23724" w:rsidRDefault="00C23724" w:rsidP="00163505">
      <w:pPr>
        <w:pStyle w:val="mpcbullets2"/>
      </w:pPr>
      <w:r w:rsidRPr="00494516">
        <w:t xml:space="preserve">This would </w:t>
      </w:r>
      <w:r w:rsidR="00D33546">
        <w:t>affect</w:t>
      </w:r>
      <w:r w:rsidRPr="00494516">
        <w:t xml:space="preserve"> </w:t>
      </w:r>
      <w:r>
        <w:t>2</w:t>
      </w:r>
      <w:r w:rsidR="00790595">
        <w:t>7 processed meats</w:t>
      </w:r>
      <w:r w:rsidR="00E54211">
        <w:t>, mostly hams, bacons and deli meats</w:t>
      </w:r>
      <w:r w:rsidR="00790595">
        <w:t xml:space="preserve"> (8% of the meat </w:t>
      </w:r>
      <w:r w:rsidRPr="00593B23">
        <w:t>products</w:t>
      </w:r>
      <w:r w:rsidR="00384B76">
        <w:t>)</w:t>
      </w:r>
      <w:r w:rsidRPr="00593B23">
        <w:t xml:space="preserve"> in the</w:t>
      </w:r>
      <w:r w:rsidRPr="00494516">
        <w:t xml:space="preserve"> TAG database, </w:t>
      </w:r>
      <w:r w:rsidR="00E422C9">
        <w:t xml:space="preserve">with </w:t>
      </w:r>
      <w:r>
        <w:t xml:space="preserve">the range of HSRs between </w:t>
      </w:r>
      <w:r w:rsidR="00C464BA">
        <w:t xml:space="preserve">0.5 </w:t>
      </w:r>
      <w:r w:rsidR="00D33546">
        <w:t xml:space="preserve">and </w:t>
      </w:r>
      <w:r w:rsidR="00C464BA">
        <w:t>3</w:t>
      </w:r>
      <w:r>
        <w:t>.5</w:t>
      </w:r>
      <w:r w:rsidRPr="00B9683C">
        <w:t>.</w:t>
      </w:r>
    </w:p>
    <w:p w14:paraId="60176E03" w14:textId="77777777" w:rsidR="00C23724" w:rsidRDefault="00C23724" w:rsidP="00C23724">
      <w:pPr>
        <w:pStyle w:val="mpcbullets1"/>
        <w:numPr>
          <w:ilvl w:val="0"/>
          <w:numId w:val="0"/>
        </w:numPr>
        <w:ind w:left="360" w:hanging="360"/>
      </w:pPr>
    </w:p>
    <w:p w14:paraId="7DE442DA" w14:textId="77777777" w:rsidR="00C23724" w:rsidRDefault="00C23724" w:rsidP="00163505">
      <w:pPr>
        <w:pStyle w:val="mpcbullets1"/>
      </w:pPr>
      <w:r>
        <w:t>Other changes include reductions in the HSRs of some:</w:t>
      </w:r>
    </w:p>
    <w:p w14:paraId="38E59643" w14:textId="071B21B1" w:rsidR="00C23724" w:rsidRDefault="00C23724" w:rsidP="00163505">
      <w:pPr>
        <w:pStyle w:val="mpcbullets2"/>
      </w:pPr>
      <w:r w:rsidRPr="00EB5B26">
        <w:t>jams,</w:t>
      </w:r>
      <w:r w:rsidR="00790595">
        <w:t xml:space="preserve"> spreads,</w:t>
      </w:r>
      <w:r w:rsidRPr="00EB5B26">
        <w:t xml:space="preserve"> mayonnaises, </w:t>
      </w:r>
      <w:r w:rsidR="00790595">
        <w:t xml:space="preserve">dressings, </w:t>
      </w:r>
      <w:r w:rsidRPr="00EB5B26">
        <w:t xml:space="preserve">savoury </w:t>
      </w:r>
      <w:r w:rsidRPr="00163505">
        <w:t>sauces</w:t>
      </w:r>
      <w:r w:rsidRPr="00EB5B26">
        <w:t xml:space="preserve"> and relishes (due to stronger </w:t>
      </w:r>
      <w:r w:rsidR="00790595">
        <w:t>treatment</w:t>
      </w:r>
      <w:r w:rsidR="00790595" w:rsidRPr="00EB5B26">
        <w:t xml:space="preserve"> </w:t>
      </w:r>
      <w:r w:rsidRPr="00EB5B26">
        <w:t>of total sugars and high levels of sodium)</w:t>
      </w:r>
    </w:p>
    <w:p w14:paraId="7BFB6D6B" w14:textId="5A0DA08C" w:rsidR="00790595" w:rsidRDefault="00790595" w:rsidP="00B91EBF">
      <w:pPr>
        <w:pStyle w:val="mpcbullets1"/>
        <w:numPr>
          <w:ilvl w:val="0"/>
          <w:numId w:val="22"/>
        </w:numPr>
        <w:contextualSpacing/>
        <w:rPr>
          <w:rFonts w:cstheme="minorHAnsi"/>
          <w:szCs w:val="22"/>
        </w:rPr>
      </w:pPr>
      <w:r>
        <w:rPr>
          <w:rFonts w:cstheme="minorHAnsi"/>
          <w:szCs w:val="22"/>
        </w:rPr>
        <w:t>ready meals and meal bases (</w:t>
      </w:r>
      <w:r w:rsidRPr="00EB5B26">
        <w:rPr>
          <w:rFonts w:cstheme="minorHAnsi"/>
          <w:szCs w:val="22"/>
        </w:rPr>
        <w:t>due to the change to the threshold at which products can score modifying protein points</w:t>
      </w:r>
      <w:r>
        <w:rPr>
          <w:rFonts w:cstheme="minorHAnsi"/>
          <w:szCs w:val="22"/>
        </w:rPr>
        <w:t xml:space="preserve"> and stronger treatment of high levels of sodium)</w:t>
      </w:r>
    </w:p>
    <w:p w14:paraId="5AC265ED" w14:textId="36E83641" w:rsidR="00C23724" w:rsidRDefault="00C23724" w:rsidP="00B91EBF">
      <w:pPr>
        <w:pStyle w:val="mpcbullets1"/>
        <w:numPr>
          <w:ilvl w:val="0"/>
          <w:numId w:val="22"/>
        </w:numPr>
        <w:contextualSpacing/>
        <w:rPr>
          <w:rFonts w:cstheme="minorHAnsi"/>
          <w:szCs w:val="22"/>
        </w:rPr>
      </w:pPr>
      <w:r w:rsidRPr="00EB5B26">
        <w:rPr>
          <w:rFonts w:cstheme="minorHAnsi"/>
          <w:szCs w:val="22"/>
        </w:rPr>
        <w:t>dips (due to the change to the threshold at which products can score modifying protein points</w:t>
      </w:r>
      <w:r>
        <w:rPr>
          <w:rFonts w:cstheme="minorHAnsi"/>
          <w:szCs w:val="22"/>
        </w:rPr>
        <w:t>)</w:t>
      </w:r>
    </w:p>
    <w:p w14:paraId="6ECD09EA" w14:textId="057622E0" w:rsidR="00C23724" w:rsidRPr="00EB5B26" w:rsidRDefault="00C23724" w:rsidP="00B91EBF">
      <w:pPr>
        <w:pStyle w:val="mpcbullets1"/>
        <w:numPr>
          <w:ilvl w:val="0"/>
          <w:numId w:val="22"/>
        </w:numPr>
        <w:contextualSpacing/>
        <w:rPr>
          <w:rFonts w:cstheme="minorHAnsi"/>
          <w:szCs w:val="22"/>
        </w:rPr>
      </w:pPr>
      <w:r>
        <w:rPr>
          <w:rFonts w:cstheme="minorHAnsi"/>
          <w:szCs w:val="22"/>
        </w:rPr>
        <w:t xml:space="preserve">stocks </w:t>
      </w:r>
      <w:r w:rsidRPr="00EB5B26">
        <w:rPr>
          <w:rFonts w:cstheme="minorHAnsi"/>
          <w:szCs w:val="22"/>
        </w:rPr>
        <w:t xml:space="preserve">and seasonings (due to stronger </w:t>
      </w:r>
      <w:r w:rsidR="00790595">
        <w:rPr>
          <w:rFonts w:cstheme="minorHAnsi"/>
          <w:szCs w:val="22"/>
        </w:rPr>
        <w:t>treatment</w:t>
      </w:r>
      <w:r w:rsidR="00790595" w:rsidRPr="00EB5B26">
        <w:rPr>
          <w:rFonts w:cstheme="minorHAnsi"/>
          <w:szCs w:val="22"/>
        </w:rPr>
        <w:t xml:space="preserve"> </w:t>
      </w:r>
      <w:r w:rsidRPr="00EB5B26">
        <w:rPr>
          <w:rFonts w:cstheme="minorHAnsi"/>
          <w:szCs w:val="22"/>
        </w:rPr>
        <w:t>of high levels of sodium).</w:t>
      </w:r>
    </w:p>
    <w:p w14:paraId="317EC0B7" w14:textId="139F15CE" w:rsidR="00C23724" w:rsidRPr="00FE2802" w:rsidRDefault="00C23724" w:rsidP="0024269C"/>
    <w:p w14:paraId="591448BD" w14:textId="51574F64" w:rsidR="008558A2" w:rsidRPr="00FE2802" w:rsidRDefault="008558A2" w:rsidP="0024269C">
      <w:r w:rsidRPr="00FE2802">
        <w:rPr>
          <w:u w:val="single"/>
        </w:rPr>
        <w:t>Appendix 3</w:t>
      </w:r>
      <w:r w:rsidRPr="00FE2802">
        <w:t xml:space="preserve"> </w:t>
      </w:r>
      <w:r w:rsidR="009E2890">
        <w:t xml:space="preserve">and </w:t>
      </w:r>
      <w:r w:rsidR="009E2890" w:rsidRPr="00FE2802">
        <w:rPr>
          <w:u w:val="single"/>
        </w:rPr>
        <w:t>Appendix 4</w:t>
      </w:r>
      <w:r w:rsidR="009E2890">
        <w:t xml:space="preserve"> </w:t>
      </w:r>
      <w:r w:rsidRPr="00FE2802">
        <w:t>provide</w:t>
      </w:r>
      <w:r w:rsidR="009E2890">
        <w:t xml:space="preserve"> more</w:t>
      </w:r>
      <w:r w:rsidRPr="00FE2802">
        <w:t xml:space="preserve"> </w:t>
      </w:r>
      <w:r>
        <w:t>detailed</w:t>
      </w:r>
      <w:r w:rsidRPr="00FE2802">
        <w:t xml:space="preserve"> data regarding the </w:t>
      </w:r>
      <w:r>
        <w:t>impact of the preferred options</w:t>
      </w:r>
      <w:r w:rsidR="009E2890">
        <w:t xml:space="preserve"> on specific product types</w:t>
      </w:r>
      <w:r>
        <w:t>.</w:t>
      </w:r>
    </w:p>
    <w:p w14:paraId="3BED336B" w14:textId="77777777" w:rsidR="008558A2" w:rsidRDefault="008558A2" w:rsidP="0024269C"/>
    <w:p w14:paraId="66B3E892" w14:textId="77777777" w:rsidR="00C23724" w:rsidRPr="00AB3873" w:rsidRDefault="00C23724" w:rsidP="00163505">
      <w:pPr>
        <w:pStyle w:val="mpcheading2"/>
      </w:pPr>
      <w:bookmarkStart w:id="179" w:name="Combinedeffect"/>
      <w:bookmarkStart w:id="180" w:name="_Toc527112916"/>
      <w:bookmarkEnd w:id="179"/>
      <w:r>
        <w:t xml:space="preserve">Combined effect of </w:t>
      </w:r>
      <w:r w:rsidRPr="00163505">
        <w:t>changes</w:t>
      </w:r>
      <w:bookmarkEnd w:id="180"/>
      <w:r>
        <w:t xml:space="preserve"> </w:t>
      </w:r>
    </w:p>
    <w:p w14:paraId="1EEE1CCE" w14:textId="77777777" w:rsidR="00C23724" w:rsidRDefault="00C23724" w:rsidP="0024269C"/>
    <w:p w14:paraId="2FD3D6AA" w14:textId="66BA7202" w:rsidR="00C23724" w:rsidRDefault="00C23724" w:rsidP="0024269C">
      <w:r>
        <w:t>In combination, the changes:</w:t>
      </w:r>
    </w:p>
    <w:p w14:paraId="19893DFA" w14:textId="77777777" w:rsidR="001C4ADD" w:rsidRDefault="001C4ADD" w:rsidP="0024269C"/>
    <w:p w14:paraId="6CDF0AB3" w14:textId="4109461B" w:rsidR="00C23724" w:rsidRDefault="00E00D3E" w:rsidP="00163505">
      <w:pPr>
        <w:pStyle w:val="mpcbullets1"/>
      </w:pPr>
      <w:r>
        <w:t>better distinguish</w:t>
      </w:r>
      <w:r w:rsidR="00C23724">
        <w:t xml:space="preserve"> </w:t>
      </w:r>
      <w:r w:rsidR="001C4ADD">
        <w:t>FFG and discretionary foods</w:t>
      </w:r>
    </w:p>
    <w:p w14:paraId="43AA7827" w14:textId="5DF1EDFE" w:rsidR="00C23724" w:rsidRDefault="009B7913" w:rsidP="00163505">
      <w:pPr>
        <w:pStyle w:val="mpcbullets1"/>
      </w:pPr>
      <w:r>
        <w:t xml:space="preserve">support consumers to </w:t>
      </w:r>
      <w:r w:rsidR="00C23724">
        <w:t>be</w:t>
      </w:r>
      <w:r w:rsidR="00AC593E">
        <w:t>tter distinguish</w:t>
      </w:r>
      <w:r w:rsidR="00C23724">
        <w:t xml:space="preserve"> between </w:t>
      </w:r>
      <w:r w:rsidR="007E7C30">
        <w:t>similar products</w:t>
      </w:r>
    </w:p>
    <w:p w14:paraId="7DD04535" w14:textId="36BC7600" w:rsidR="00C23724" w:rsidRDefault="00AC593E" w:rsidP="00163505">
      <w:pPr>
        <w:pStyle w:val="mpcbullets1"/>
      </w:pPr>
      <w:r>
        <w:t>encourage</w:t>
      </w:r>
      <w:r w:rsidR="00C23724">
        <w:t xml:space="preserve"> further </w:t>
      </w:r>
      <w:r w:rsidR="00106F1D">
        <w:t>reformulation</w:t>
      </w:r>
      <w:r w:rsidR="00C23724">
        <w:t xml:space="preserve"> </w:t>
      </w:r>
      <w:r w:rsidR="00106F1D">
        <w:t>by incentivising realistic decreases in negative components and/or increases in positive components to retain or increase a product’s HSR</w:t>
      </w:r>
    </w:p>
    <w:p w14:paraId="39FC08AD" w14:textId="25441CD1" w:rsidR="00C23724" w:rsidRDefault="00AC593E" w:rsidP="00163505">
      <w:pPr>
        <w:pStyle w:val="mpcbullets1"/>
      </w:pPr>
      <w:r>
        <w:t>decrease</w:t>
      </w:r>
      <w:r w:rsidR="00106F1D">
        <w:t xml:space="preserve"> the HSRs </w:t>
      </w:r>
      <w:r w:rsidR="00C23724">
        <w:t xml:space="preserve">of </w:t>
      </w:r>
      <w:r w:rsidR="00C23724" w:rsidRPr="00433267">
        <w:t xml:space="preserve">foods relatively high in </w:t>
      </w:r>
      <w:r w:rsidR="00433267" w:rsidRPr="00433267">
        <w:t xml:space="preserve">total </w:t>
      </w:r>
      <w:r w:rsidR="00C23724" w:rsidRPr="00433267">
        <w:t>sugar</w:t>
      </w:r>
      <w:r w:rsidR="00433267" w:rsidRPr="00433267">
        <w:t>s</w:t>
      </w:r>
      <w:r w:rsidR="00C23724" w:rsidRPr="00433267">
        <w:t xml:space="preserve"> (such as certain</w:t>
      </w:r>
      <w:r w:rsidR="00C23724">
        <w:t xml:space="preserve"> breakfast cereals</w:t>
      </w:r>
      <w:r w:rsidR="00433267">
        <w:t>, muesli and cereal bars and flavoured milks and yog</w:t>
      </w:r>
      <w:r w:rsidR="007510F0">
        <w:t>h</w:t>
      </w:r>
      <w:r w:rsidR="00433267">
        <w:t>urts</w:t>
      </w:r>
      <w:r>
        <w:t xml:space="preserve"> of particular concern to consumers</w:t>
      </w:r>
      <w:r w:rsidR="00433267">
        <w:t>)</w:t>
      </w:r>
    </w:p>
    <w:p w14:paraId="407E2775" w14:textId="359A5294" w:rsidR="00433267" w:rsidRDefault="00AC593E" w:rsidP="00163505">
      <w:pPr>
        <w:pStyle w:val="mpcbullets1"/>
      </w:pPr>
      <w:r>
        <w:t>increase</w:t>
      </w:r>
      <w:r w:rsidR="00433267">
        <w:t xml:space="preserve"> the HSRs of some FFG products such as fruits and vegetables, wholegrain rices, </w:t>
      </w:r>
      <w:r w:rsidR="00D33546">
        <w:t xml:space="preserve">wholegrain </w:t>
      </w:r>
      <w:r w:rsidR="00433267">
        <w:t xml:space="preserve">breads and </w:t>
      </w:r>
      <w:r w:rsidR="00D33546">
        <w:t xml:space="preserve">wholegrain </w:t>
      </w:r>
      <w:r w:rsidR="00433267">
        <w:t>breakfast cereals</w:t>
      </w:r>
      <w:r w:rsidR="00C464BA">
        <w:t>, yoghurts and cheeses</w:t>
      </w:r>
      <w:r w:rsidR="002E690E">
        <w:t xml:space="preserve">. </w:t>
      </w:r>
    </w:p>
    <w:p w14:paraId="08672171" w14:textId="473AAFEA" w:rsidR="00433267" w:rsidRPr="00433267" w:rsidRDefault="00433267" w:rsidP="0024269C"/>
    <w:p w14:paraId="453620C2" w14:textId="411234D9" w:rsidR="00C23724" w:rsidRDefault="00AC593E" w:rsidP="0024269C">
      <w:r>
        <w:t xml:space="preserve">The </w:t>
      </w:r>
      <w:r w:rsidR="00B173E0" w:rsidRPr="00FD30D1">
        <w:t>impact</w:t>
      </w:r>
      <w:r>
        <w:t xml:space="preserve"> of the changes in terms of labelling </w:t>
      </w:r>
      <w:r w:rsidR="00D33546">
        <w:t>modifications required</w:t>
      </w:r>
      <w:r>
        <w:t xml:space="preserve">, depends on the level of HSR uptake </w:t>
      </w:r>
      <w:r w:rsidR="00865E8E">
        <w:t xml:space="preserve">for </w:t>
      </w:r>
      <w:r>
        <w:t>different products</w:t>
      </w:r>
      <w:r w:rsidR="00D33546">
        <w:t xml:space="preserve"> and therefore the number of products for which changes need to be made</w:t>
      </w:r>
      <w:r w:rsidR="00E91CF7">
        <w:t xml:space="preserve">. Based on data from the George </w:t>
      </w:r>
      <w:r w:rsidR="00865E8E">
        <w:t>Institute’s FoodSwitch database</w:t>
      </w:r>
      <w:r w:rsidR="000D5419" w:rsidRPr="000D5419">
        <w:t xml:space="preserve"> </w:t>
      </w:r>
      <w:r w:rsidR="000D5419">
        <w:t xml:space="preserve">and the categories of foods </w:t>
      </w:r>
      <w:r w:rsidR="000D5419" w:rsidRPr="00831DDA">
        <w:t>most likely</w:t>
      </w:r>
      <w:r w:rsidR="000D5419">
        <w:t xml:space="preserve"> to be</w:t>
      </w:r>
      <w:r w:rsidR="000D5419" w:rsidRPr="00831DDA">
        <w:t xml:space="preserve"> impacted by the proposed changes</w:t>
      </w:r>
      <w:r w:rsidR="00865E8E">
        <w:t>,</w:t>
      </w:r>
      <w:r w:rsidR="00D33546">
        <w:t xml:space="preserve"> the</w:t>
      </w:r>
      <w:r w:rsidR="00865E8E">
        <w:t xml:space="preserve"> following is a su</w:t>
      </w:r>
      <w:r w:rsidR="000D5419">
        <w:t>mmary of HSR uptake across those</w:t>
      </w:r>
      <w:r w:rsidR="00865E8E">
        <w:t xml:space="preserve"> categories</w:t>
      </w:r>
      <w:r w:rsidR="000D5419">
        <w:t>:</w:t>
      </w:r>
      <w:r w:rsidR="00865E8E">
        <w:t xml:space="preserve"> </w:t>
      </w:r>
    </w:p>
    <w:p w14:paraId="5CA61D05" w14:textId="6BB41E15" w:rsidR="00FD30D1" w:rsidRDefault="00FD30D1" w:rsidP="0024269C"/>
    <w:p w14:paraId="6789F224" w14:textId="5E2E1705" w:rsidR="002E690E" w:rsidRPr="003315C4" w:rsidRDefault="0066452B" w:rsidP="00163505">
      <w:pPr>
        <w:pStyle w:val="mpcbullets1"/>
      </w:pPr>
      <w:r w:rsidRPr="003315C4">
        <w:t>44.4% of eligible convenience foods</w:t>
      </w:r>
      <w:r w:rsidR="002E690E" w:rsidRPr="003315C4">
        <w:t xml:space="preserve"> </w:t>
      </w:r>
      <w:r w:rsidR="000D5419">
        <w:t>display the HSR</w:t>
      </w:r>
    </w:p>
    <w:p w14:paraId="213C2190" w14:textId="663377C2" w:rsidR="005C3076" w:rsidRPr="0066452B" w:rsidRDefault="005C3076" w:rsidP="00163505">
      <w:pPr>
        <w:pStyle w:val="mpcbullets1"/>
      </w:pPr>
      <w:r w:rsidRPr="0066452B">
        <w:t>36.7% of eligible cereal and grain products display the HSR</w:t>
      </w:r>
    </w:p>
    <w:p w14:paraId="7DA135C2" w14:textId="77777777" w:rsidR="00E91CF7" w:rsidRPr="0066452B" w:rsidRDefault="00E91CF7" w:rsidP="00163505">
      <w:pPr>
        <w:pStyle w:val="mpcbullets1"/>
      </w:pPr>
      <w:r w:rsidRPr="0066452B">
        <w:t>35% of eligible fruit and vegetable products display the HSR</w:t>
      </w:r>
    </w:p>
    <w:p w14:paraId="100CC4DF" w14:textId="687A5758" w:rsidR="00E91CF7" w:rsidRPr="0066452B" w:rsidRDefault="00E91CF7" w:rsidP="00163505">
      <w:pPr>
        <w:pStyle w:val="mpcbullets1"/>
      </w:pPr>
      <w:r w:rsidRPr="0066452B">
        <w:t>29.5% of eligible non-dairy beverage products display the HSR</w:t>
      </w:r>
    </w:p>
    <w:p w14:paraId="76C10CE6" w14:textId="77777777" w:rsidR="00E91CF7" w:rsidRPr="0066452B" w:rsidRDefault="00E91CF7" w:rsidP="00163505">
      <w:pPr>
        <w:pStyle w:val="mpcbullets1"/>
      </w:pPr>
      <w:r w:rsidRPr="0066452B">
        <w:t>29.2% of eligible meat products display the HSR</w:t>
      </w:r>
    </w:p>
    <w:p w14:paraId="6C9AF743" w14:textId="193B6444" w:rsidR="00E91CF7" w:rsidRPr="0066452B" w:rsidRDefault="00E91CF7" w:rsidP="00163505">
      <w:pPr>
        <w:pStyle w:val="mpcbullets1"/>
      </w:pPr>
      <w:r w:rsidRPr="0066452B">
        <w:t>28.7% of eligible confectionery products display the HSR</w:t>
      </w:r>
    </w:p>
    <w:p w14:paraId="77F30097" w14:textId="302DC035" w:rsidR="00FD30D1" w:rsidRPr="0066452B" w:rsidRDefault="005C3076" w:rsidP="00163505">
      <w:pPr>
        <w:pStyle w:val="mpcbullets1"/>
      </w:pPr>
      <w:r w:rsidRPr="0066452B">
        <w:t>26</w:t>
      </w:r>
      <w:r w:rsidR="002E690E" w:rsidRPr="0066452B">
        <w:t>.7</w:t>
      </w:r>
      <w:r w:rsidRPr="0066452B">
        <w:t>% of eligible bread and bakery products display the HSR</w:t>
      </w:r>
    </w:p>
    <w:p w14:paraId="1B078BC3" w14:textId="63F57507" w:rsidR="005C3076" w:rsidRPr="0066452B" w:rsidRDefault="005C3076" w:rsidP="00163505">
      <w:pPr>
        <w:pStyle w:val="mpcbullets1"/>
      </w:pPr>
      <w:r w:rsidRPr="0066452B">
        <w:t>20.1% of eligible dairy products display the HSR</w:t>
      </w:r>
    </w:p>
    <w:p w14:paraId="1969D085" w14:textId="77777777" w:rsidR="00E91CF7" w:rsidRPr="0066452B" w:rsidRDefault="00E91CF7" w:rsidP="00163505">
      <w:pPr>
        <w:pStyle w:val="mpcbullets1"/>
      </w:pPr>
      <w:r w:rsidRPr="0066452B">
        <w:t>18.3% of eligible snack products display the HSR</w:t>
      </w:r>
    </w:p>
    <w:p w14:paraId="7F0F5921" w14:textId="72824823" w:rsidR="005C3076" w:rsidRDefault="005C3076" w:rsidP="00163505">
      <w:pPr>
        <w:pStyle w:val="mpcbullets1"/>
      </w:pPr>
      <w:r>
        <w:t>18% of eligible oil products display the HSR</w:t>
      </w:r>
    </w:p>
    <w:p w14:paraId="3976901D" w14:textId="21175EEB" w:rsidR="005C3076" w:rsidRPr="002E690E" w:rsidRDefault="00E91CF7" w:rsidP="00163505">
      <w:pPr>
        <w:pStyle w:val="mpcbullets1"/>
      </w:pPr>
      <w:r>
        <w:t>14.2% of eligible sauces, dressing and dip products display the HSR</w:t>
      </w:r>
      <w:r w:rsidR="002E690E">
        <w:t>.</w:t>
      </w:r>
    </w:p>
    <w:p w14:paraId="791A5D9C" w14:textId="77777777" w:rsidR="00172E89" w:rsidRPr="00CA4840" w:rsidRDefault="003F1230" w:rsidP="00163505">
      <w:pPr>
        <w:pStyle w:val="mpcheading1"/>
      </w:pPr>
      <w:r w:rsidRPr="00FD30D1">
        <w:rPr>
          <w:sz w:val="22"/>
          <w:szCs w:val="22"/>
        </w:rPr>
        <w:br w:type="column"/>
      </w:r>
      <w:bookmarkStart w:id="181" w:name="Chapter8"/>
      <w:bookmarkStart w:id="182" w:name="_Toc527112917"/>
      <w:bookmarkEnd w:id="9"/>
      <w:bookmarkEnd w:id="181"/>
      <w:r w:rsidR="00172E89">
        <w:lastRenderedPageBreak/>
        <w:t>C</w:t>
      </w:r>
      <w:r w:rsidR="00172E89" w:rsidRPr="00AB3873">
        <w:t xml:space="preserve">hapter </w:t>
      </w:r>
      <w:r w:rsidR="00172E89">
        <w:t>8</w:t>
      </w:r>
      <w:r w:rsidR="00172E89" w:rsidRPr="00AB3873">
        <w:t xml:space="preserve"> – </w:t>
      </w:r>
      <w:r w:rsidR="00172E89" w:rsidRPr="00163505">
        <w:t>Next</w:t>
      </w:r>
      <w:r w:rsidR="00172E89" w:rsidRPr="00AB3873">
        <w:t xml:space="preserve"> steps</w:t>
      </w:r>
      <w:bookmarkEnd w:id="182"/>
    </w:p>
    <w:p w14:paraId="03862A67" w14:textId="77777777" w:rsidR="00172E89" w:rsidRPr="00D520DF" w:rsidRDefault="00172E89" w:rsidP="0024269C">
      <w:pPr>
        <w:pStyle w:val="mpcNormal"/>
      </w:pPr>
      <w:r w:rsidRPr="00D520DF">
        <w:t xml:space="preserve">We are seeking stakeholder feedback on the options presented in this Consultation Paper. You can provide feedback through the Department of Health’s </w:t>
      </w:r>
      <w:hyperlink r:id="rId40" w:history="1">
        <w:r w:rsidRPr="00D520DF">
          <w:rPr>
            <w:rStyle w:val="Hyperlink"/>
            <w:szCs w:val="22"/>
          </w:rPr>
          <w:t>Consultation Hub</w:t>
        </w:r>
      </w:hyperlink>
      <w:r>
        <w:t xml:space="preserve">. Consultation </w:t>
      </w:r>
      <w:r w:rsidRPr="00D520DF">
        <w:t>closes on 23 November 2018.</w:t>
      </w:r>
    </w:p>
    <w:p w14:paraId="4D15674A" w14:textId="77777777" w:rsidR="00172E89" w:rsidRPr="00D520DF" w:rsidRDefault="00172E89" w:rsidP="0024269C">
      <w:pPr>
        <w:pStyle w:val="mpcNormal"/>
      </w:pPr>
    </w:p>
    <w:p w14:paraId="492872B9" w14:textId="77777777" w:rsidR="00172E89" w:rsidRPr="00D520DF" w:rsidRDefault="00172E89" w:rsidP="0024269C">
      <w:pPr>
        <w:pStyle w:val="mpcNormal"/>
      </w:pPr>
      <w:r w:rsidRPr="00D520DF">
        <w:t xml:space="preserve">mpconsulting will </w:t>
      </w:r>
      <w:r>
        <w:t xml:space="preserve">also </w:t>
      </w:r>
      <w:r w:rsidRPr="00D520DF">
        <w:t>be facilitating public forums seeking stakeholder feedback regarding the issues raised in this Consultation Paper in:</w:t>
      </w:r>
    </w:p>
    <w:p w14:paraId="2FC6122D" w14:textId="77777777" w:rsidR="00172E89" w:rsidRPr="00D520DF" w:rsidRDefault="00172E89" w:rsidP="0024269C">
      <w:pPr>
        <w:pStyle w:val="mpcNormal"/>
      </w:pPr>
    </w:p>
    <w:p w14:paraId="5CB4228F" w14:textId="77777777" w:rsidR="00172E89" w:rsidRPr="00D520DF" w:rsidRDefault="00172E89" w:rsidP="00163505">
      <w:pPr>
        <w:pStyle w:val="mpcbullets1"/>
      </w:pPr>
      <w:r>
        <w:t>Sydney on Wednesday, 14</w:t>
      </w:r>
      <w:r w:rsidRPr="00D520DF">
        <w:t xml:space="preserve"> November 2018</w:t>
      </w:r>
    </w:p>
    <w:p w14:paraId="059EBC77" w14:textId="77777777" w:rsidR="00172E89" w:rsidRPr="00D520DF" w:rsidRDefault="00172E89" w:rsidP="00163505">
      <w:pPr>
        <w:pStyle w:val="mpcbullets1"/>
      </w:pPr>
      <w:r w:rsidRPr="00D520DF">
        <w:t>Auckland on Friday</w:t>
      </w:r>
      <w:r>
        <w:t>,</w:t>
      </w:r>
      <w:r w:rsidRPr="00D520DF">
        <w:t xml:space="preserve"> 16 November 2018</w:t>
      </w:r>
    </w:p>
    <w:p w14:paraId="35B0E604" w14:textId="77777777" w:rsidR="00172E89" w:rsidRPr="00D520DF" w:rsidRDefault="00172E89" w:rsidP="00163505">
      <w:pPr>
        <w:pStyle w:val="mpcbullets1"/>
      </w:pPr>
      <w:r w:rsidRPr="00D520DF">
        <w:t>Melbourne on Monday</w:t>
      </w:r>
      <w:r>
        <w:t>,</w:t>
      </w:r>
      <w:r w:rsidRPr="00D520DF">
        <w:t xml:space="preserve"> 19 November 2018.</w:t>
      </w:r>
    </w:p>
    <w:p w14:paraId="5E74F78D" w14:textId="77777777" w:rsidR="00172E89" w:rsidRPr="00D520DF" w:rsidRDefault="00172E89" w:rsidP="0024269C">
      <w:pPr>
        <w:pStyle w:val="mpcNormal"/>
      </w:pPr>
    </w:p>
    <w:p w14:paraId="4849BCBB" w14:textId="77777777" w:rsidR="00172E89" w:rsidRPr="00D520DF" w:rsidRDefault="00172E89" w:rsidP="0024269C">
      <w:pPr>
        <w:pStyle w:val="mpcNormal"/>
        <w:rPr>
          <w:color w:val="000000" w:themeColor="text1"/>
        </w:rPr>
      </w:pPr>
      <w:r w:rsidRPr="00D520DF">
        <w:rPr>
          <w:color w:val="000000" w:themeColor="text1"/>
        </w:rPr>
        <w:t xml:space="preserve">To register your attendance at the forums, please visit the </w:t>
      </w:r>
      <w:hyperlink r:id="rId41" w:history="1">
        <w:r w:rsidRPr="00D520DF">
          <w:rPr>
            <w:rStyle w:val="Hyperlink"/>
            <w:szCs w:val="22"/>
          </w:rPr>
          <w:t>HSR website</w:t>
        </w:r>
      </w:hyperlink>
      <w:r w:rsidRPr="00D520DF">
        <w:rPr>
          <w:color w:val="000000" w:themeColor="text1"/>
        </w:rPr>
        <w:t>.</w:t>
      </w:r>
    </w:p>
    <w:p w14:paraId="4FDA29F9" w14:textId="77777777" w:rsidR="00172E89" w:rsidRDefault="00172E89" w:rsidP="0024269C">
      <w:pPr>
        <w:pStyle w:val="mpcNormal"/>
      </w:pPr>
    </w:p>
    <w:p w14:paraId="7F891FB4" w14:textId="77777777" w:rsidR="00172E89" w:rsidRDefault="00172E89" w:rsidP="0024269C">
      <w:pPr>
        <w:pStyle w:val="mpcNormal"/>
      </w:pPr>
      <w:r>
        <w:t>As a result of the consultation, we anticipate being able to narrow the range of viable options. We will also explore ways to model the combination of preferred changes on larger datasets. We intend to do this by:</w:t>
      </w:r>
    </w:p>
    <w:p w14:paraId="4A922BF5" w14:textId="77777777" w:rsidR="00172E89" w:rsidRDefault="00172E89" w:rsidP="0024269C">
      <w:pPr>
        <w:pStyle w:val="mpcNormal"/>
      </w:pPr>
      <w:r>
        <w:t xml:space="preserve"> </w:t>
      </w:r>
    </w:p>
    <w:p w14:paraId="64AD41AD" w14:textId="77777777" w:rsidR="00172E89" w:rsidRDefault="00172E89" w:rsidP="00163505">
      <w:pPr>
        <w:pStyle w:val="mpcbullets1"/>
        <w:rPr>
          <w:color w:val="000000" w:themeColor="text1"/>
        </w:rPr>
      </w:pPr>
      <w:r>
        <w:rPr>
          <w:color w:val="000000" w:themeColor="text1"/>
        </w:rPr>
        <w:t xml:space="preserve">working with the National Heart Foundation to explore modelling options using the </w:t>
      </w:r>
      <w:hyperlink r:id="rId42" w:history="1">
        <w:r w:rsidRPr="007617FF">
          <w:rPr>
            <w:rStyle w:val="Hyperlink"/>
            <w:szCs w:val="22"/>
          </w:rPr>
          <w:t>FoodTrack database</w:t>
        </w:r>
      </w:hyperlink>
    </w:p>
    <w:p w14:paraId="65BD645C" w14:textId="77777777" w:rsidR="00172E89" w:rsidRPr="00220B1A" w:rsidRDefault="00172E89" w:rsidP="00163505">
      <w:pPr>
        <w:pStyle w:val="mpcbullets2"/>
      </w:pPr>
      <w:r w:rsidRPr="00220B1A">
        <w:t>FoodTrack is a food and nutrient database developed by the Heart Foundation in conjunction with the CSIRO. It supports the collection and monitoring of nutrition and product data for foods and beverages in Australian supermarkets.</w:t>
      </w:r>
      <w:r w:rsidRPr="007617FF">
        <w:t xml:space="preserve"> </w:t>
      </w:r>
      <w:r w:rsidRPr="00220B1A">
        <w:t xml:space="preserve">The database contains product data from fresh and packaged foods in major Australian supermarkets such as product descriptors, </w:t>
      </w:r>
      <w:r>
        <w:t>NIP</w:t>
      </w:r>
      <w:r w:rsidRPr="00220B1A">
        <w:t xml:space="preserve"> information, ingredi</w:t>
      </w:r>
      <w:r>
        <w:t>ent lists, front-of-pack labels and</w:t>
      </w:r>
      <w:r w:rsidRPr="00220B1A">
        <w:t xml:space="preserve"> images of the product.</w:t>
      </w:r>
      <w:r>
        <w:t xml:space="preserve"> Data</w:t>
      </w:r>
      <w:r w:rsidRPr="00220B1A">
        <w:t xml:space="preserve"> </w:t>
      </w:r>
      <w:r>
        <w:t>is updated</w:t>
      </w:r>
      <w:r w:rsidRPr="00220B1A">
        <w:t xml:space="preserve"> on an annu</w:t>
      </w:r>
      <w:r>
        <w:t>al basis</w:t>
      </w:r>
      <w:r w:rsidRPr="00220B1A">
        <w:t>.</w:t>
      </w:r>
    </w:p>
    <w:p w14:paraId="2DC00772" w14:textId="77777777" w:rsidR="00172E89" w:rsidRPr="003965E7" w:rsidRDefault="00172E89" w:rsidP="00163505">
      <w:pPr>
        <w:pStyle w:val="mpcbullets1"/>
        <w:rPr>
          <w:rStyle w:val="Hyperlink"/>
          <w:color w:val="000000" w:themeColor="text1"/>
          <w:szCs w:val="22"/>
        </w:rPr>
      </w:pPr>
      <w:r w:rsidRPr="00641ED1">
        <w:t xml:space="preserve">working with the George Institute </w:t>
      </w:r>
      <w:r>
        <w:t>for Global Health to explore modelling options using</w:t>
      </w:r>
      <w:r w:rsidRPr="00641ED1">
        <w:t xml:space="preserve"> the </w:t>
      </w:r>
      <w:hyperlink r:id="rId43" w:anchor="/home" w:history="1">
        <w:r w:rsidRPr="007617FF">
          <w:rPr>
            <w:rStyle w:val="Hyperlink"/>
            <w:szCs w:val="22"/>
          </w:rPr>
          <w:t>FoodSwitch database</w:t>
        </w:r>
      </w:hyperlink>
    </w:p>
    <w:p w14:paraId="4676DDCA" w14:textId="7FF69516" w:rsidR="00FE2802" w:rsidRPr="003965E7" w:rsidRDefault="00FE2802" w:rsidP="00163505">
      <w:pPr>
        <w:pStyle w:val="mpcbullets2"/>
      </w:pPr>
      <w:r w:rsidRPr="003965E7">
        <w:t>The Australian FoodSwitch database comprises info</w:t>
      </w:r>
      <w:r>
        <w:t>rmation including images of food packaging, front-of-pack label</w:t>
      </w:r>
      <w:r w:rsidRPr="003965E7">
        <w:t>, nutrient declaration</w:t>
      </w:r>
      <w:r>
        <w:t xml:space="preserve">s, ingredients list, </w:t>
      </w:r>
      <w:r w:rsidRPr="003965E7">
        <w:t>manufacturer details</w:t>
      </w:r>
      <w:r>
        <w:t xml:space="preserve">, and estimated HSR value where this information is not provided directly by </w:t>
      </w:r>
      <w:r w:rsidR="0055410A">
        <w:t xml:space="preserve">the </w:t>
      </w:r>
      <w:r>
        <w:t>manufacturer.</w:t>
      </w:r>
      <w:r w:rsidRPr="003965E7">
        <w:t xml:space="preserve"> Informat</w:t>
      </w:r>
      <w:r>
        <w:t xml:space="preserve">ion is sourced </w:t>
      </w:r>
      <w:r w:rsidRPr="003965E7">
        <w:t>through in-store surveys conducted annually at the same four supermark</w:t>
      </w:r>
      <w:r>
        <w:t>ets in metropolitan Sydney (</w:t>
      </w:r>
      <w:r w:rsidRPr="003965E7">
        <w:t>Coles, Woolworths, Aldi and IGA)</w:t>
      </w:r>
      <w:r w:rsidR="0055410A">
        <w:t xml:space="preserve">. </w:t>
      </w:r>
      <w:r>
        <w:t>This annual collection is referred to as the FoodSwitch Monitoring Dataset. When combined with a</w:t>
      </w:r>
      <w:r w:rsidRPr="003965E7">
        <w:t>dditional product information either provided directly by the f</w:t>
      </w:r>
      <w:r>
        <w:t xml:space="preserve">ood industry </w:t>
      </w:r>
      <w:r w:rsidRPr="003965E7">
        <w:t>or sourced through crowd-sourcing via the FoodSwitch smartphone application</w:t>
      </w:r>
      <w:r>
        <w:t>, it forms the Full FoodSwitch Database</w:t>
      </w:r>
      <w:r w:rsidRPr="003965E7">
        <w:t>.</w:t>
      </w:r>
    </w:p>
    <w:p w14:paraId="50807FDD" w14:textId="77777777" w:rsidR="00172E89" w:rsidRPr="007617FF" w:rsidRDefault="00172E89" w:rsidP="00163505">
      <w:pPr>
        <w:pStyle w:val="mpcbullets1"/>
        <w:rPr>
          <w:rFonts w:ascii="Calibri" w:hAnsi="Calibri" w:cs="Calibri"/>
        </w:rPr>
      </w:pPr>
      <w:r>
        <w:rPr>
          <w:color w:val="000000" w:themeColor="text1"/>
        </w:rPr>
        <w:t xml:space="preserve">working with the University of Auckland to explore modelling options using the </w:t>
      </w:r>
      <w:r w:rsidRPr="007617FF">
        <w:rPr>
          <w:color w:val="000000" w:themeColor="text1"/>
        </w:rPr>
        <w:t xml:space="preserve">New Zealand </w:t>
      </w:r>
      <w:hyperlink r:id="rId44" w:history="1">
        <w:r>
          <w:rPr>
            <w:rStyle w:val="Hyperlink"/>
            <w:szCs w:val="22"/>
          </w:rPr>
          <w:t>Nu</w:t>
        </w:r>
        <w:r w:rsidRPr="007617FF">
          <w:rPr>
            <w:rStyle w:val="Hyperlink"/>
            <w:szCs w:val="22"/>
          </w:rPr>
          <w:t>t</w:t>
        </w:r>
        <w:r>
          <w:rPr>
            <w:rStyle w:val="Hyperlink"/>
            <w:szCs w:val="22"/>
          </w:rPr>
          <w:t>r</w:t>
        </w:r>
        <w:r w:rsidRPr="007617FF">
          <w:rPr>
            <w:rStyle w:val="Hyperlink"/>
            <w:szCs w:val="22"/>
          </w:rPr>
          <w:t>itrack database</w:t>
        </w:r>
      </w:hyperlink>
    </w:p>
    <w:p w14:paraId="5AAF43C6" w14:textId="77777777" w:rsidR="00FE2802" w:rsidRDefault="00FE2802" w:rsidP="00163505">
      <w:pPr>
        <w:pStyle w:val="mpcbullets2"/>
      </w:pPr>
      <w:r w:rsidRPr="003965E7">
        <w:t xml:space="preserve">The </w:t>
      </w:r>
      <w:r>
        <w:t>New Zealand Nutritrack</w:t>
      </w:r>
      <w:r w:rsidRPr="003965E7">
        <w:t xml:space="preserve"> database comprises </w:t>
      </w:r>
      <w:r>
        <w:t xml:space="preserve">annually-updated </w:t>
      </w:r>
      <w:r w:rsidRPr="003965E7">
        <w:t>info</w:t>
      </w:r>
      <w:r>
        <w:t xml:space="preserve">rmation on packaged foods and beverages in New Zealand including images of food packaging, barcode and brand, all nutrient values on the NIP, ingredients list, and front-of-pack nutrition labels. </w:t>
      </w:r>
      <w:r w:rsidRPr="003965E7">
        <w:t>Informat</w:t>
      </w:r>
      <w:r>
        <w:t xml:space="preserve">ion is sourced from annual </w:t>
      </w:r>
      <w:r w:rsidRPr="003965E7">
        <w:t xml:space="preserve">in-store surveys </w:t>
      </w:r>
      <w:r>
        <w:t>in</w:t>
      </w:r>
      <w:r w:rsidRPr="003965E7">
        <w:t xml:space="preserve"> the same four supermark</w:t>
      </w:r>
      <w:r>
        <w:t xml:space="preserve">ets in Auckland (Countdown, New World, </w:t>
      </w:r>
      <w:r w:rsidRPr="00A928EB">
        <w:t>PAK’nSAVE,</w:t>
      </w:r>
      <w:r>
        <w:t xml:space="preserve"> and 4Square</w:t>
      </w:r>
      <w:r w:rsidRPr="003965E7">
        <w:t>)</w:t>
      </w:r>
      <w:r>
        <w:t>. Estimated HSR values and eligibility to display a health claim (using FSANZ NPSC) are calculated automatically for each product.</w:t>
      </w:r>
      <w:r w:rsidRPr="003965E7">
        <w:t xml:space="preserve"> </w:t>
      </w:r>
      <w:r>
        <w:t xml:space="preserve">The full Nutritrack database holds information on approximately 88,000 packaged products. The 2018 database (one year only) contains information for 15,193 products. </w:t>
      </w:r>
    </w:p>
    <w:p w14:paraId="004D3B8B" w14:textId="77777777" w:rsidR="00FE2802" w:rsidRPr="002D1534" w:rsidRDefault="00FE2802" w:rsidP="00163505">
      <w:pPr>
        <w:pStyle w:val="mpcbullets1"/>
      </w:pPr>
      <w:r>
        <w:t>examining</w:t>
      </w:r>
      <w:r w:rsidRPr="00BE083D">
        <w:t xml:space="preserve"> market penetration of the HSR System based on sales weighted data</w:t>
      </w:r>
      <w:r>
        <w:t xml:space="preserve"> in both Australia and New Zealand</w:t>
      </w:r>
      <w:r w:rsidRPr="00BE083D">
        <w:t>.</w:t>
      </w:r>
    </w:p>
    <w:p w14:paraId="5A7B85E6" w14:textId="77777777" w:rsidR="00172E89" w:rsidRDefault="00172E89" w:rsidP="0024269C">
      <w:pPr>
        <w:pStyle w:val="mpcNormal"/>
      </w:pPr>
    </w:p>
    <w:p w14:paraId="4FCC9F05" w14:textId="77777777" w:rsidR="00172E89" w:rsidRDefault="00172E89" w:rsidP="0024269C">
      <w:pPr>
        <w:pStyle w:val="mpcNormal"/>
      </w:pPr>
      <w:r>
        <w:t>We propose detailing the results of further modelling in</w:t>
      </w:r>
      <w:r w:rsidRPr="00D520DF">
        <w:t xml:space="preserve"> a draft Review Report </w:t>
      </w:r>
      <w:r>
        <w:t xml:space="preserve">that </w:t>
      </w:r>
      <w:r w:rsidRPr="00D520DF">
        <w:t>will be made available for public consultation in early 2019.</w:t>
      </w:r>
    </w:p>
    <w:p w14:paraId="5E91399E" w14:textId="1FB836C8" w:rsidR="00A214E1" w:rsidRPr="00D520DF" w:rsidRDefault="00A214E1" w:rsidP="0024269C"/>
    <w:p w14:paraId="049ABA8D" w14:textId="77777777" w:rsidR="00A214E1" w:rsidRPr="00AB3873" w:rsidRDefault="00A214E1" w:rsidP="0024269C">
      <w:pPr>
        <w:rPr>
          <w:sz w:val="36"/>
          <w:szCs w:val="36"/>
        </w:rPr>
      </w:pPr>
      <w:r w:rsidRPr="00AB3873">
        <w:br w:type="page"/>
      </w:r>
    </w:p>
    <w:p w14:paraId="16C6D474" w14:textId="77777777" w:rsidR="006E77FC" w:rsidRPr="00AB3873" w:rsidRDefault="006E77FC" w:rsidP="00275EF2">
      <w:pPr>
        <w:pStyle w:val="mpcheading1"/>
        <w:spacing w:after="0"/>
        <w:rPr>
          <w:rFonts w:cstheme="minorHAnsi"/>
        </w:rPr>
        <w:sectPr w:rsidR="006E77FC" w:rsidRPr="00AB3873" w:rsidSect="00E50026">
          <w:pgSz w:w="11900" w:h="16840"/>
          <w:pgMar w:top="1304" w:right="1077" w:bottom="1304" w:left="1077" w:header="709" w:footer="709" w:gutter="0"/>
          <w:cols w:space="708"/>
          <w:docGrid w:linePitch="360"/>
        </w:sectPr>
      </w:pPr>
    </w:p>
    <w:p w14:paraId="2E26351A" w14:textId="60653D0A" w:rsidR="00561741" w:rsidRPr="00AB3873" w:rsidRDefault="00D520DF" w:rsidP="00163505">
      <w:pPr>
        <w:pStyle w:val="mpcheading1"/>
      </w:pPr>
      <w:bookmarkStart w:id="183" w:name="Appendix1"/>
      <w:bookmarkStart w:id="184" w:name="_Toc527112918"/>
      <w:bookmarkEnd w:id="183"/>
      <w:r>
        <w:lastRenderedPageBreak/>
        <w:t>Appendix 1</w:t>
      </w:r>
      <w:r w:rsidR="00561741">
        <w:t xml:space="preserve"> </w:t>
      </w:r>
      <w:r w:rsidR="00561741" w:rsidRPr="00AB3873">
        <w:t>– The HSR Calculator</w:t>
      </w:r>
      <w:bookmarkEnd w:id="184"/>
    </w:p>
    <w:p w14:paraId="362AA438" w14:textId="77777777" w:rsidR="00561741" w:rsidRPr="00163505" w:rsidRDefault="00561741" w:rsidP="00163505">
      <w:pPr>
        <w:pStyle w:val="mpcheading2"/>
      </w:pPr>
      <w:bookmarkStart w:id="185" w:name="App1Overview"/>
      <w:bookmarkStart w:id="186" w:name="_Toc527112919"/>
      <w:bookmarkEnd w:id="185"/>
      <w:r w:rsidRPr="00AB3873">
        <w:t>Overview</w:t>
      </w:r>
      <w:bookmarkEnd w:id="186"/>
    </w:p>
    <w:p w14:paraId="585FCEE4" w14:textId="7819DBF4" w:rsidR="00561741" w:rsidRPr="00AB3873" w:rsidRDefault="00561741" w:rsidP="00561741">
      <w:pPr>
        <w:pStyle w:val="mpcbullets1"/>
        <w:numPr>
          <w:ilvl w:val="0"/>
          <w:numId w:val="0"/>
        </w:numPr>
        <w:rPr>
          <w:rFonts w:cstheme="minorHAnsi"/>
        </w:rPr>
      </w:pPr>
    </w:p>
    <w:p w14:paraId="6E90D844" w14:textId="77777777" w:rsidR="00561741" w:rsidRPr="005D4A07" w:rsidRDefault="00561741" w:rsidP="00561741">
      <w:pPr>
        <w:pStyle w:val="mpcbullets1"/>
        <w:numPr>
          <w:ilvl w:val="0"/>
          <w:numId w:val="0"/>
        </w:numPr>
        <w:rPr>
          <w:rFonts w:cstheme="minorHAnsi"/>
        </w:rPr>
      </w:pPr>
      <w:r w:rsidRPr="005D4A07">
        <w:rPr>
          <w:rFonts w:cstheme="minorHAnsi"/>
        </w:rPr>
        <w:t>The Food Standards Code (the Code) requires most packaged foods to display a Nutrition Information Panel (NIP) providing mandatory information on the average quantity per 100g or 100mL of energy, protein, total fat, saturated fat, carbohydrate, sugars and sodium.</w:t>
      </w:r>
    </w:p>
    <w:p w14:paraId="45C5A7EE" w14:textId="77777777" w:rsidR="00561741" w:rsidRPr="005D4A07" w:rsidRDefault="00561741" w:rsidP="00561741">
      <w:pPr>
        <w:pStyle w:val="mpcbullets1"/>
        <w:numPr>
          <w:ilvl w:val="0"/>
          <w:numId w:val="0"/>
        </w:numPr>
        <w:rPr>
          <w:rFonts w:cstheme="minorHAnsi"/>
        </w:rPr>
      </w:pPr>
    </w:p>
    <w:p w14:paraId="4AC83FC9" w14:textId="0B1668B8" w:rsidR="00561741" w:rsidRPr="005D4A07" w:rsidRDefault="00561741" w:rsidP="00561741">
      <w:pPr>
        <w:pStyle w:val="mpcbullets1"/>
        <w:numPr>
          <w:ilvl w:val="0"/>
          <w:numId w:val="0"/>
        </w:numPr>
        <w:rPr>
          <w:rFonts w:cstheme="minorHAnsi"/>
        </w:rPr>
      </w:pPr>
      <w:r w:rsidRPr="005D4A07">
        <w:rPr>
          <w:rFonts w:cstheme="minorHAnsi"/>
        </w:rPr>
        <w:t xml:space="preserve">The HSR </w:t>
      </w:r>
      <w:r w:rsidR="00926B08" w:rsidRPr="005D4A07">
        <w:rPr>
          <w:rFonts w:cstheme="minorHAnsi"/>
        </w:rPr>
        <w:t>System</w:t>
      </w:r>
      <w:r w:rsidRPr="005D4A07">
        <w:rPr>
          <w:rFonts w:cstheme="minorHAnsi"/>
        </w:rPr>
        <w:t xml:space="preserve"> complements the NIP by providing interpretive information on the front of packaged food products. The </w:t>
      </w:r>
      <w:r w:rsidR="00D520DF">
        <w:rPr>
          <w:rFonts w:cstheme="minorHAnsi"/>
        </w:rPr>
        <w:t xml:space="preserve">HSR Calculator </w:t>
      </w:r>
      <w:r w:rsidRPr="005D4A07">
        <w:rPr>
          <w:rFonts w:cstheme="minorHAnsi"/>
        </w:rPr>
        <w:t xml:space="preserve">awards a star rating based on the quantity of specific components within the product. These components are: </w:t>
      </w:r>
    </w:p>
    <w:p w14:paraId="7F43D230" w14:textId="77777777" w:rsidR="00561741" w:rsidRPr="005D4A07" w:rsidRDefault="00561741" w:rsidP="00561741">
      <w:pPr>
        <w:pStyle w:val="mpcbullets1"/>
        <w:numPr>
          <w:ilvl w:val="0"/>
          <w:numId w:val="0"/>
        </w:numPr>
        <w:rPr>
          <w:rFonts w:cstheme="minorHAnsi"/>
        </w:rPr>
      </w:pPr>
    </w:p>
    <w:p w14:paraId="67E38946" w14:textId="69BAA3BB" w:rsidR="00561741" w:rsidRPr="00163505" w:rsidRDefault="00561741" w:rsidP="00163505">
      <w:pPr>
        <w:pStyle w:val="mpcbullets1"/>
      </w:pPr>
      <w:r w:rsidRPr="005D4A07">
        <w:rPr>
          <w:b/>
        </w:rPr>
        <w:t xml:space="preserve">risk </w:t>
      </w:r>
      <w:r w:rsidR="00D520DF">
        <w:rPr>
          <w:b/>
        </w:rPr>
        <w:t>components</w:t>
      </w:r>
      <w:r w:rsidRPr="005D4A07">
        <w:rPr>
          <w:b/>
        </w:rPr>
        <w:t>:</w:t>
      </w:r>
      <w:r w:rsidRPr="005D4A07">
        <w:t xml:space="preserve"> energy, saturated fat</w:t>
      </w:r>
      <w:r w:rsidRPr="00163505">
        <w:t>, total sugars and sodium</w:t>
      </w:r>
    </w:p>
    <w:p w14:paraId="1F163CCA" w14:textId="3529BA87" w:rsidR="00561741" w:rsidRPr="005D4A07" w:rsidRDefault="00561741" w:rsidP="00163505">
      <w:pPr>
        <w:pStyle w:val="mpcbullets1"/>
      </w:pPr>
      <w:r w:rsidRPr="00163505">
        <w:rPr>
          <w:b/>
        </w:rPr>
        <w:t xml:space="preserve">positive </w:t>
      </w:r>
      <w:r w:rsidR="00D520DF" w:rsidRPr="00163505">
        <w:rPr>
          <w:b/>
        </w:rPr>
        <w:t>components</w:t>
      </w:r>
      <w:r w:rsidRPr="00163505">
        <w:rPr>
          <w:b/>
        </w:rPr>
        <w:t>:</w:t>
      </w:r>
      <w:r w:rsidRPr="00163505">
        <w:t xml:space="preserve"> protein, dietary fi</w:t>
      </w:r>
      <w:r w:rsidRPr="005D4A07">
        <w:t>bre</w:t>
      </w:r>
      <w:r w:rsidR="00E62F77">
        <w:t>,</w:t>
      </w:r>
      <w:r w:rsidRPr="005D4A07">
        <w:t xml:space="preserve"> and fruit, vegetable, nut and legume (FVNL) content.</w:t>
      </w:r>
    </w:p>
    <w:p w14:paraId="3326DC9D" w14:textId="77777777" w:rsidR="00561741" w:rsidRPr="005D4A07" w:rsidRDefault="00561741" w:rsidP="00561741">
      <w:pPr>
        <w:pStyle w:val="mpcbullets1"/>
        <w:numPr>
          <w:ilvl w:val="0"/>
          <w:numId w:val="0"/>
        </w:numPr>
        <w:rPr>
          <w:rFonts w:cstheme="minorHAnsi"/>
        </w:rPr>
      </w:pPr>
    </w:p>
    <w:p w14:paraId="74EA3498" w14:textId="580E2E4C" w:rsidR="00561741" w:rsidRPr="005D4A07" w:rsidRDefault="00561741" w:rsidP="00561741">
      <w:pPr>
        <w:pStyle w:val="mpcbullets1"/>
        <w:numPr>
          <w:ilvl w:val="0"/>
          <w:numId w:val="0"/>
        </w:numPr>
        <w:rPr>
          <w:rFonts w:cstheme="minorHAnsi"/>
        </w:rPr>
      </w:pPr>
      <w:r w:rsidRPr="005D4A07">
        <w:rPr>
          <w:rFonts w:cstheme="minorHAnsi"/>
        </w:rPr>
        <w:t xml:space="preserve">The HSR </w:t>
      </w:r>
      <w:r w:rsidR="00926B08" w:rsidRPr="005D4A07">
        <w:rPr>
          <w:rFonts w:cstheme="minorHAnsi"/>
        </w:rPr>
        <w:t>System</w:t>
      </w:r>
      <w:r w:rsidRPr="005D4A07">
        <w:rPr>
          <w:rFonts w:cstheme="minorHAnsi"/>
        </w:rPr>
        <w:t xml:space="preserve"> has been optimised for application to packaged food and beverage products presented for retail sale through supermarkets and similar retail outlets. </w:t>
      </w:r>
    </w:p>
    <w:p w14:paraId="57F0A8F3" w14:textId="77777777" w:rsidR="00561741" w:rsidRPr="005D4A07" w:rsidRDefault="00561741" w:rsidP="00561741">
      <w:pPr>
        <w:pStyle w:val="mpcbullets1"/>
        <w:numPr>
          <w:ilvl w:val="0"/>
          <w:numId w:val="0"/>
        </w:numPr>
        <w:rPr>
          <w:rFonts w:cstheme="minorHAnsi"/>
        </w:rPr>
      </w:pPr>
    </w:p>
    <w:p w14:paraId="468E4453" w14:textId="77777777" w:rsidR="00561741" w:rsidRPr="00AB3873" w:rsidRDefault="00561741" w:rsidP="00163505">
      <w:pPr>
        <w:pStyle w:val="mpcheading2"/>
      </w:pPr>
      <w:bookmarkStart w:id="187" w:name="App1HSRCalc"/>
      <w:bookmarkStart w:id="188" w:name="_Toc527112920"/>
      <w:bookmarkEnd w:id="187"/>
      <w:r w:rsidRPr="00AB3873">
        <w:t xml:space="preserve">How the HSR </w:t>
      </w:r>
      <w:r w:rsidRPr="00163505">
        <w:t>Calculator</w:t>
      </w:r>
      <w:r w:rsidRPr="00AB3873">
        <w:t xml:space="preserve"> works</w:t>
      </w:r>
      <w:bookmarkEnd w:id="188"/>
    </w:p>
    <w:p w14:paraId="5ADFFA05" w14:textId="77777777" w:rsidR="00561741" w:rsidRPr="00AB3873" w:rsidRDefault="00561741" w:rsidP="00561741">
      <w:pPr>
        <w:pStyle w:val="mpcbullets1"/>
        <w:numPr>
          <w:ilvl w:val="0"/>
          <w:numId w:val="0"/>
        </w:numPr>
        <w:rPr>
          <w:rFonts w:cstheme="minorHAnsi"/>
        </w:rPr>
      </w:pPr>
    </w:p>
    <w:p w14:paraId="5D8771CC" w14:textId="77777777" w:rsidR="00561741" w:rsidRPr="005D4A07" w:rsidRDefault="00561741" w:rsidP="00561741">
      <w:pPr>
        <w:pStyle w:val="mpcbullets1"/>
        <w:numPr>
          <w:ilvl w:val="0"/>
          <w:numId w:val="0"/>
        </w:numPr>
        <w:rPr>
          <w:rFonts w:cstheme="minorHAnsi"/>
        </w:rPr>
      </w:pPr>
      <w:r w:rsidRPr="005D4A07">
        <w:rPr>
          <w:rFonts w:cstheme="minorHAnsi"/>
        </w:rPr>
        <w:t>The HSR Calculator is used by industry to determine the HSR for products. The following is a simplified outline of how the HSR Calculator works. For a comprehensive description of the HSR Calculator, please refer to the Industry Guide on the HSR website.</w:t>
      </w:r>
    </w:p>
    <w:p w14:paraId="3025931A" w14:textId="77777777" w:rsidR="00561741" w:rsidRPr="005D4A07" w:rsidRDefault="00561741" w:rsidP="00561741">
      <w:pPr>
        <w:pStyle w:val="mpcbullets1"/>
        <w:numPr>
          <w:ilvl w:val="0"/>
          <w:numId w:val="0"/>
        </w:numPr>
        <w:rPr>
          <w:rFonts w:cstheme="minorHAnsi"/>
        </w:rPr>
      </w:pPr>
    </w:p>
    <w:p w14:paraId="2C8906D1"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Determine the category of food.</w:t>
      </w:r>
    </w:p>
    <w:p w14:paraId="1FD74683" w14:textId="77777777" w:rsidR="00561741" w:rsidRPr="005D4A07" w:rsidRDefault="00561741" w:rsidP="00561741">
      <w:pPr>
        <w:pStyle w:val="mpcbullets1"/>
        <w:numPr>
          <w:ilvl w:val="0"/>
          <w:numId w:val="0"/>
        </w:numPr>
        <w:rPr>
          <w:rFonts w:cstheme="minorHAnsi"/>
        </w:rPr>
      </w:pPr>
    </w:p>
    <w:p w14:paraId="20B8C71D" w14:textId="110CDA92" w:rsidR="00561741" w:rsidRPr="005D4A07" w:rsidRDefault="00561741" w:rsidP="00561741">
      <w:pPr>
        <w:pStyle w:val="mpcbullets1"/>
        <w:numPr>
          <w:ilvl w:val="0"/>
          <w:numId w:val="0"/>
        </w:numPr>
        <w:rPr>
          <w:rFonts w:cstheme="minorHAnsi"/>
        </w:rPr>
      </w:pPr>
      <w:r w:rsidRPr="005D4A07">
        <w:rPr>
          <w:rFonts w:cstheme="minorHAnsi"/>
        </w:rPr>
        <w:t>The six categories of foods in the HSR</w:t>
      </w:r>
      <w:r w:rsidR="00E62F77">
        <w:rPr>
          <w:rFonts w:cstheme="minorHAnsi"/>
        </w:rPr>
        <w:t xml:space="preserve"> </w:t>
      </w:r>
      <w:r w:rsidRPr="005D4A07">
        <w:rPr>
          <w:rFonts w:cstheme="minorHAnsi"/>
        </w:rPr>
        <w:t>C</w:t>
      </w:r>
      <w:r w:rsidR="00E62F77">
        <w:rPr>
          <w:rFonts w:cstheme="minorHAnsi"/>
        </w:rPr>
        <w:t>alculator</w:t>
      </w:r>
      <w:r w:rsidRPr="005D4A07">
        <w:rPr>
          <w:rFonts w:cstheme="minorHAnsi"/>
        </w:rPr>
        <w:t xml:space="preserve"> are: </w:t>
      </w:r>
    </w:p>
    <w:p w14:paraId="6BBB6DDD" w14:textId="77777777" w:rsidR="00561741" w:rsidRPr="005D4A07" w:rsidRDefault="00561741" w:rsidP="00561741">
      <w:pPr>
        <w:pStyle w:val="mpcbullets1"/>
        <w:numPr>
          <w:ilvl w:val="0"/>
          <w:numId w:val="0"/>
        </w:numPr>
        <w:rPr>
          <w:rFonts w:cstheme="minorHAnsi"/>
        </w:rPr>
      </w:pPr>
    </w:p>
    <w:p w14:paraId="10729852" w14:textId="77777777" w:rsidR="00561741" w:rsidRPr="005D4A07" w:rsidRDefault="00561741" w:rsidP="00163505">
      <w:pPr>
        <w:pStyle w:val="mpcbullets1"/>
        <w:rPr>
          <w:b/>
        </w:rPr>
      </w:pPr>
      <w:r w:rsidRPr="005D4A07">
        <w:rPr>
          <w:b/>
        </w:rPr>
        <w:t xml:space="preserve">Category 1 </w:t>
      </w:r>
      <w:r w:rsidRPr="005D4A07">
        <w:t xml:space="preserve">– Non-dairy </w:t>
      </w:r>
      <w:r w:rsidRPr="00163505">
        <w:t>beverages</w:t>
      </w:r>
    </w:p>
    <w:p w14:paraId="174A3DF6" w14:textId="77777777" w:rsidR="00561741" w:rsidRPr="005D4A07" w:rsidRDefault="00561741" w:rsidP="00163505">
      <w:pPr>
        <w:pStyle w:val="mpcbullets2"/>
      </w:pPr>
      <w:r w:rsidRPr="005D4A07">
        <w:t>E.g. fruit and vegetables juices, cordials, flavoured waters, soft drinks</w:t>
      </w:r>
    </w:p>
    <w:p w14:paraId="1637B460" w14:textId="38283D36" w:rsidR="00561741" w:rsidRPr="005D4A07" w:rsidRDefault="00561741" w:rsidP="00163505">
      <w:pPr>
        <w:pStyle w:val="mpcbullets1"/>
      </w:pPr>
      <w:r w:rsidRPr="005D4A07">
        <w:rPr>
          <w:b/>
        </w:rPr>
        <w:t xml:space="preserve">Category 1D </w:t>
      </w:r>
      <w:r w:rsidRPr="005D4A07">
        <w:t xml:space="preserve">– Dairy beverages and alternatives with calcium content </w:t>
      </w:r>
      <w:r w:rsidR="009B7913">
        <w:sym w:font="Symbol" w:char="F0B3"/>
      </w:r>
      <w:r w:rsidR="009B7913">
        <w:t xml:space="preserve"> </w:t>
      </w:r>
      <w:r w:rsidRPr="005D4A07">
        <w:t>80mg per 100g</w:t>
      </w:r>
    </w:p>
    <w:p w14:paraId="720F8E94" w14:textId="77777777" w:rsidR="00561741" w:rsidRPr="005D4A07" w:rsidRDefault="00561741" w:rsidP="00163505">
      <w:pPr>
        <w:pStyle w:val="mpcbullets2"/>
      </w:pPr>
      <w:r w:rsidRPr="005D4A07">
        <w:t>E.g. milk, flavoured milk, soy milk, nut milk</w:t>
      </w:r>
    </w:p>
    <w:p w14:paraId="59DDBD73" w14:textId="77777777" w:rsidR="00561741" w:rsidRPr="005D4A07" w:rsidRDefault="00561741" w:rsidP="00163505">
      <w:pPr>
        <w:pStyle w:val="mpcbullets1"/>
        <w:rPr>
          <w:b/>
        </w:rPr>
      </w:pPr>
      <w:r w:rsidRPr="005D4A07">
        <w:rPr>
          <w:b/>
        </w:rPr>
        <w:t xml:space="preserve">Category 2 </w:t>
      </w:r>
      <w:r w:rsidRPr="005D4A07">
        <w:t xml:space="preserve">– All foods not </w:t>
      </w:r>
      <w:r w:rsidRPr="00163505">
        <w:t>included</w:t>
      </w:r>
      <w:r w:rsidRPr="005D4A07">
        <w:t xml:space="preserve"> in Category 1, 1D, 2D, 3 or 3D</w:t>
      </w:r>
    </w:p>
    <w:p w14:paraId="2AB9BE05" w14:textId="3E8AE61A" w:rsidR="00561741" w:rsidRPr="005D4A07" w:rsidRDefault="00561741" w:rsidP="00163505">
      <w:pPr>
        <w:pStyle w:val="mpcbullets2"/>
      </w:pPr>
      <w:r w:rsidRPr="005D4A07">
        <w:t>E.g. packaged fruits and vegetables, rice, quinoa, breakfast cereals, muesli bars, ready to eat meals, biscuits, chips, confectionery</w:t>
      </w:r>
      <w:r w:rsidR="00C5485C">
        <w:t xml:space="preserve">, salty snacks, dairy desserts, ice confections and jellies </w:t>
      </w:r>
    </w:p>
    <w:p w14:paraId="32BB861B" w14:textId="77777777" w:rsidR="00561741" w:rsidRPr="005D4A07" w:rsidRDefault="00561741" w:rsidP="00163505">
      <w:pPr>
        <w:pStyle w:val="mpcbullets1"/>
      </w:pPr>
      <w:r w:rsidRPr="005D4A07">
        <w:rPr>
          <w:b/>
        </w:rPr>
        <w:t xml:space="preserve">Category 2D </w:t>
      </w:r>
      <w:r w:rsidRPr="005D4A07">
        <w:t xml:space="preserve">– All </w:t>
      </w:r>
      <w:r w:rsidRPr="00163505">
        <w:t>dairy</w:t>
      </w:r>
      <w:r w:rsidRPr="005D4A07">
        <w:t xml:space="preserve"> foods and alternatives not included in Category 1D or 3D</w:t>
      </w:r>
    </w:p>
    <w:p w14:paraId="5F148DCD" w14:textId="7AC11941" w:rsidR="00561741" w:rsidRPr="005D4A07" w:rsidRDefault="00561741" w:rsidP="00163505">
      <w:pPr>
        <w:pStyle w:val="mpcbullets2"/>
      </w:pPr>
      <w:r w:rsidRPr="005D4A07">
        <w:t xml:space="preserve">E.g. yoghurts, cheese with calcium content </w:t>
      </w:r>
      <w:r w:rsidR="003418FD">
        <w:sym w:font="Symbol" w:char="F0A3"/>
      </w:r>
      <w:r w:rsidR="003418FD">
        <w:t xml:space="preserve"> </w:t>
      </w:r>
      <w:r w:rsidRPr="005D4A07">
        <w:t>320mg per 100g</w:t>
      </w:r>
    </w:p>
    <w:p w14:paraId="3290E311" w14:textId="77777777" w:rsidR="00561741" w:rsidRPr="005D4A07" w:rsidRDefault="00561741" w:rsidP="00163505">
      <w:pPr>
        <w:pStyle w:val="mpcbullets1"/>
        <w:rPr>
          <w:b/>
        </w:rPr>
      </w:pPr>
      <w:r w:rsidRPr="005D4A07">
        <w:rPr>
          <w:b/>
        </w:rPr>
        <w:t xml:space="preserve">Category 3 </w:t>
      </w:r>
      <w:r w:rsidRPr="005D4A07">
        <w:t xml:space="preserve">– Oils </w:t>
      </w:r>
      <w:r w:rsidRPr="00163505">
        <w:t>and</w:t>
      </w:r>
      <w:r w:rsidRPr="005D4A07">
        <w:t xml:space="preserve"> spreads</w:t>
      </w:r>
    </w:p>
    <w:p w14:paraId="7B63C4BC" w14:textId="77777777" w:rsidR="00561741" w:rsidRPr="005D4A07" w:rsidRDefault="00561741" w:rsidP="00163505">
      <w:pPr>
        <w:pStyle w:val="mpcbullets2"/>
      </w:pPr>
      <w:r w:rsidRPr="005D4A07">
        <w:t>E.g. olive oil, coconut oil, butter, margarine, peanut butter</w:t>
      </w:r>
    </w:p>
    <w:p w14:paraId="3D7F5E07" w14:textId="77777777" w:rsidR="00561741" w:rsidRPr="005D4A07" w:rsidRDefault="00561741" w:rsidP="00163505">
      <w:pPr>
        <w:pStyle w:val="mpcbullets1"/>
      </w:pPr>
      <w:r w:rsidRPr="005D4A07">
        <w:rPr>
          <w:b/>
        </w:rPr>
        <w:t xml:space="preserve">Category 3D </w:t>
      </w:r>
      <w:r w:rsidRPr="005D4A07">
        <w:t xml:space="preserve">– </w:t>
      </w:r>
      <w:r w:rsidRPr="00163505">
        <w:t>Cheeses</w:t>
      </w:r>
      <w:r w:rsidRPr="005D4A07">
        <w:t xml:space="preserve"> and alternatives </w:t>
      </w:r>
    </w:p>
    <w:p w14:paraId="5A470497" w14:textId="77777777" w:rsidR="00561741" w:rsidRPr="005D4A07" w:rsidRDefault="00561741" w:rsidP="00163505">
      <w:pPr>
        <w:pStyle w:val="mpcbullets2"/>
      </w:pPr>
      <w:r w:rsidRPr="005D4A07">
        <w:t>E.g. cheese with calcium content more than 320mg per 100g</w:t>
      </w:r>
    </w:p>
    <w:p w14:paraId="7187EAB8" w14:textId="77777777" w:rsidR="00561741" w:rsidRPr="005D4A07" w:rsidRDefault="00561741" w:rsidP="00561741">
      <w:pPr>
        <w:pStyle w:val="mpcbullets1"/>
        <w:numPr>
          <w:ilvl w:val="0"/>
          <w:numId w:val="0"/>
        </w:numPr>
        <w:rPr>
          <w:rFonts w:cstheme="minorHAnsi"/>
        </w:rPr>
      </w:pPr>
    </w:p>
    <w:p w14:paraId="06449B32" w14:textId="2B6BAD85" w:rsidR="00561741" w:rsidRPr="005D4A07" w:rsidRDefault="00561741" w:rsidP="00B91EBF">
      <w:pPr>
        <w:pStyle w:val="mpcbullets1"/>
        <w:numPr>
          <w:ilvl w:val="0"/>
          <w:numId w:val="4"/>
        </w:numPr>
        <w:rPr>
          <w:rFonts w:cstheme="minorHAnsi"/>
          <w:b/>
          <w:u w:val="single"/>
        </w:rPr>
      </w:pPr>
      <w:r w:rsidRPr="005D4A07">
        <w:rPr>
          <w:rFonts w:cstheme="minorHAnsi"/>
          <w:b/>
          <w:u w:val="single"/>
        </w:rPr>
        <w:t>Determine the form of the food for the HSR</w:t>
      </w:r>
      <w:r w:rsidR="00814137">
        <w:rPr>
          <w:rStyle w:val="FootnoteReference"/>
          <w:rFonts w:cstheme="minorHAnsi"/>
          <w:b/>
          <w:u w:val="single"/>
        </w:rPr>
        <w:footnoteReference w:id="62"/>
      </w:r>
      <w:r w:rsidRPr="005D4A07">
        <w:rPr>
          <w:rFonts w:cstheme="minorHAnsi"/>
          <w:b/>
          <w:u w:val="single"/>
        </w:rPr>
        <w:t xml:space="preserve"> </w:t>
      </w:r>
    </w:p>
    <w:p w14:paraId="11027481" w14:textId="77777777" w:rsidR="00561741" w:rsidRPr="005D4A07" w:rsidRDefault="00561741" w:rsidP="00561741">
      <w:pPr>
        <w:pStyle w:val="mpcbullets1"/>
        <w:numPr>
          <w:ilvl w:val="0"/>
          <w:numId w:val="0"/>
        </w:numPr>
        <w:rPr>
          <w:rFonts w:cstheme="minorHAnsi"/>
          <w:b/>
          <w:u w:val="single"/>
        </w:rPr>
      </w:pPr>
    </w:p>
    <w:p w14:paraId="263C3A34" w14:textId="5CF2CE3E" w:rsidR="00561741" w:rsidRPr="005D4A07" w:rsidRDefault="00561741" w:rsidP="00561741">
      <w:pPr>
        <w:pStyle w:val="mpcbullets1"/>
        <w:numPr>
          <w:ilvl w:val="0"/>
          <w:numId w:val="0"/>
        </w:numPr>
        <w:rPr>
          <w:rFonts w:cstheme="minorHAnsi"/>
        </w:rPr>
      </w:pPr>
      <w:r w:rsidRPr="005D4A07">
        <w:rPr>
          <w:rFonts w:cstheme="minorHAnsi"/>
        </w:rPr>
        <w:t>The HSR</w:t>
      </w:r>
      <w:r w:rsidR="009B7913">
        <w:rPr>
          <w:rFonts w:cstheme="minorHAnsi"/>
        </w:rPr>
        <w:t xml:space="preserve"> </w:t>
      </w:r>
      <w:r w:rsidR="00D920C7">
        <w:rPr>
          <w:rFonts w:cstheme="minorHAnsi"/>
        </w:rPr>
        <w:t>(</w:t>
      </w:r>
      <w:r w:rsidRPr="005D4A07">
        <w:rPr>
          <w:rFonts w:cstheme="minorHAnsi"/>
        </w:rPr>
        <w:t>and hence nutrient content values used to determine it</w:t>
      </w:r>
      <w:r w:rsidR="00D920C7">
        <w:rPr>
          <w:rFonts w:cstheme="minorHAnsi"/>
        </w:rPr>
        <w:t>)</w:t>
      </w:r>
      <w:r w:rsidRPr="005D4A07">
        <w:rPr>
          <w:rFonts w:cstheme="minorHAnsi"/>
        </w:rPr>
        <w:t xml:space="preserve"> should apply to the form of the food as determined in accordance with the following: </w:t>
      </w:r>
    </w:p>
    <w:p w14:paraId="6F919F59" w14:textId="77777777" w:rsidR="00561741" w:rsidRPr="005D4A07" w:rsidRDefault="00561741" w:rsidP="00561741">
      <w:pPr>
        <w:pStyle w:val="mpcbullets1"/>
        <w:numPr>
          <w:ilvl w:val="0"/>
          <w:numId w:val="0"/>
        </w:numPr>
        <w:rPr>
          <w:rFonts w:cstheme="minorHAnsi"/>
        </w:rPr>
      </w:pPr>
    </w:p>
    <w:p w14:paraId="409B1DF5" w14:textId="77777777" w:rsidR="00561741" w:rsidRPr="005D4A07" w:rsidRDefault="00561741" w:rsidP="00163505">
      <w:pPr>
        <w:pStyle w:val="mpcbullets1"/>
      </w:pPr>
      <w:r w:rsidRPr="005D4A07">
        <w:t xml:space="preserve">the food as sold if the food can be either prepared with other foods or consumed as sold </w:t>
      </w:r>
    </w:p>
    <w:p w14:paraId="19D906F7" w14:textId="77777777" w:rsidR="00561741" w:rsidRPr="00163505" w:rsidRDefault="00561741" w:rsidP="00163505">
      <w:pPr>
        <w:pStyle w:val="mpcbullets1"/>
      </w:pPr>
      <w:r w:rsidRPr="005D4A07">
        <w:lastRenderedPageBreak/>
        <w:t xml:space="preserve">the </w:t>
      </w:r>
      <w:r w:rsidRPr="00163505">
        <w:t xml:space="preserve">food as prepared if the food is required to be prepared and consumed according to directions on the label </w:t>
      </w:r>
    </w:p>
    <w:p w14:paraId="35ECE5BB" w14:textId="77777777" w:rsidR="00561741" w:rsidRPr="00163505" w:rsidRDefault="00561741" w:rsidP="00163505">
      <w:pPr>
        <w:pStyle w:val="mpcbullets1"/>
      </w:pPr>
      <w:r w:rsidRPr="00163505">
        <w:t>the food after it is reconstituted with water and ready for consumption if the food requires reconstituting with water, or</w:t>
      </w:r>
    </w:p>
    <w:p w14:paraId="5C361305" w14:textId="77777777" w:rsidR="00561741" w:rsidRPr="005D4A07" w:rsidRDefault="00561741" w:rsidP="00163505">
      <w:pPr>
        <w:pStyle w:val="mpcbullets1"/>
      </w:pPr>
      <w:r w:rsidRPr="00163505">
        <w:t>the food</w:t>
      </w:r>
      <w:r w:rsidRPr="005D4A07">
        <w:t xml:space="preserve"> after it is drained and ready for consumption if the food requires draining before consuming. </w:t>
      </w:r>
    </w:p>
    <w:p w14:paraId="218489B9" w14:textId="77777777" w:rsidR="00561741" w:rsidRPr="005D4A07" w:rsidRDefault="00561741" w:rsidP="00561741">
      <w:pPr>
        <w:pStyle w:val="mpcbullets1"/>
        <w:numPr>
          <w:ilvl w:val="0"/>
          <w:numId w:val="0"/>
        </w:numPr>
        <w:rPr>
          <w:rFonts w:cstheme="minorHAnsi"/>
        </w:rPr>
      </w:pPr>
    </w:p>
    <w:p w14:paraId="74A44F0D" w14:textId="77777777" w:rsidR="00561741" w:rsidRPr="005D4A07" w:rsidRDefault="00561741" w:rsidP="00561741">
      <w:pPr>
        <w:pStyle w:val="mpcbullets1"/>
        <w:numPr>
          <w:ilvl w:val="0"/>
          <w:numId w:val="0"/>
        </w:numPr>
        <w:rPr>
          <w:rFonts w:cstheme="minorHAnsi"/>
        </w:rPr>
      </w:pPr>
      <w:r w:rsidRPr="005D4A07">
        <w:rPr>
          <w:rFonts w:cstheme="minorHAnsi"/>
        </w:rPr>
        <w:t xml:space="preserve">The HSR should be based on the form of food for which the NIP information has been displayed. </w:t>
      </w:r>
    </w:p>
    <w:p w14:paraId="5E79A58C" w14:textId="77777777" w:rsidR="00561741" w:rsidRPr="005D4A07" w:rsidRDefault="00561741" w:rsidP="00561741">
      <w:pPr>
        <w:pStyle w:val="mpcbullets1"/>
        <w:numPr>
          <w:ilvl w:val="0"/>
          <w:numId w:val="0"/>
        </w:numPr>
        <w:rPr>
          <w:rFonts w:cstheme="minorHAnsi"/>
        </w:rPr>
      </w:pPr>
    </w:p>
    <w:p w14:paraId="7BD0E790"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 xml:space="preserve">Calculate HSR baseline points </w:t>
      </w:r>
    </w:p>
    <w:p w14:paraId="18507B3F" w14:textId="77777777" w:rsidR="00561741" w:rsidRPr="005D4A07" w:rsidRDefault="00561741" w:rsidP="00561741">
      <w:pPr>
        <w:pStyle w:val="mpcbullets1"/>
        <w:numPr>
          <w:ilvl w:val="0"/>
          <w:numId w:val="0"/>
        </w:numPr>
        <w:rPr>
          <w:rFonts w:cstheme="minorHAnsi"/>
          <w:b/>
          <w:u w:val="single"/>
        </w:rPr>
      </w:pPr>
    </w:p>
    <w:p w14:paraId="6294E425" w14:textId="12FC9C54" w:rsidR="00561741" w:rsidRPr="005D4A07" w:rsidRDefault="00561741" w:rsidP="00561741">
      <w:pPr>
        <w:pStyle w:val="mpcbullets1"/>
        <w:numPr>
          <w:ilvl w:val="0"/>
          <w:numId w:val="0"/>
        </w:numPr>
        <w:rPr>
          <w:rFonts w:cstheme="minorHAnsi"/>
        </w:rPr>
      </w:pPr>
      <w:r w:rsidRPr="005D4A07">
        <w:rPr>
          <w:rFonts w:cstheme="minorHAnsi"/>
        </w:rPr>
        <w:t>HSR baseline points are calculated for the average quantity risk</w:t>
      </w:r>
      <w:r w:rsidR="00011193">
        <w:rPr>
          <w:rFonts w:cstheme="minorHAnsi"/>
        </w:rPr>
        <w:t>-associated</w:t>
      </w:r>
      <w:r w:rsidRPr="005D4A07">
        <w:rPr>
          <w:rFonts w:cstheme="minorHAnsi"/>
        </w:rPr>
        <w:t xml:space="preserve"> </w:t>
      </w:r>
      <w:r w:rsidR="00D520DF">
        <w:rPr>
          <w:rFonts w:cstheme="minorHAnsi"/>
        </w:rPr>
        <w:t>components</w:t>
      </w:r>
      <w:r w:rsidRPr="005D4A07">
        <w:rPr>
          <w:rFonts w:cstheme="minorHAnsi"/>
        </w:rPr>
        <w:t xml:space="preserve"> per 100 g or 100 mL of the product (based on the units used in the NIP):</w:t>
      </w:r>
    </w:p>
    <w:p w14:paraId="05014B7E" w14:textId="77777777" w:rsidR="00561741" w:rsidRPr="005D4A07" w:rsidRDefault="00561741" w:rsidP="00561741">
      <w:pPr>
        <w:pStyle w:val="mpcbullets1"/>
        <w:numPr>
          <w:ilvl w:val="0"/>
          <w:numId w:val="0"/>
        </w:numPr>
        <w:rPr>
          <w:rFonts w:cstheme="minorHAnsi"/>
        </w:rPr>
      </w:pPr>
    </w:p>
    <w:p w14:paraId="1DB9D168" w14:textId="77777777" w:rsidR="00561741" w:rsidRPr="00163505" w:rsidRDefault="00561741" w:rsidP="00163505">
      <w:pPr>
        <w:pStyle w:val="mpcbullets1"/>
      </w:pPr>
      <w:r w:rsidRPr="005D4A07">
        <w:rPr>
          <w:b/>
        </w:rPr>
        <w:t>energy</w:t>
      </w:r>
      <w:r w:rsidRPr="005D4A07">
        <w:t xml:space="preserve"> up to a maximum of 11 </w:t>
      </w:r>
      <w:r w:rsidRPr="00163505">
        <w:t>points for more than 3685 kJ per 100 g/mL of a product for all Categories</w:t>
      </w:r>
    </w:p>
    <w:p w14:paraId="7CA331D5" w14:textId="77777777" w:rsidR="00561741" w:rsidRPr="00163505" w:rsidRDefault="00561741" w:rsidP="00163505">
      <w:pPr>
        <w:pStyle w:val="mpcbullets1"/>
      </w:pPr>
      <w:r w:rsidRPr="00163505">
        <w:rPr>
          <w:b/>
        </w:rPr>
        <w:t>saturated fat</w:t>
      </w:r>
      <w:r w:rsidRPr="00163505">
        <w:t xml:space="preserve"> up to a maximum of 30 points for more than 90% saturated fat in a product for all Categories </w:t>
      </w:r>
    </w:p>
    <w:p w14:paraId="1BBBBB48" w14:textId="5A432B0C" w:rsidR="00561741" w:rsidRPr="00163505" w:rsidRDefault="00561741" w:rsidP="00163505">
      <w:pPr>
        <w:pStyle w:val="mpcbullets1"/>
      </w:pPr>
      <w:r w:rsidRPr="00163505">
        <w:rPr>
          <w:b/>
        </w:rPr>
        <w:t>total sugars</w:t>
      </w:r>
      <w:r w:rsidRPr="00163505">
        <w:t xml:space="preserve"> up to a maximum of 22 points for more than 99% total sugars in a product for Category 1, 1D, 2 and 2D</w:t>
      </w:r>
      <w:r w:rsidR="00D920C7" w:rsidRPr="00163505">
        <w:t>,</w:t>
      </w:r>
      <w:r w:rsidRPr="00163505">
        <w:t xml:space="preserve"> and up to a maximum of 10 points for more than</w:t>
      </w:r>
      <w:r w:rsidR="003418FD" w:rsidRPr="00163505">
        <w:t xml:space="preserve"> 45% </w:t>
      </w:r>
      <w:r w:rsidRPr="00163505">
        <w:t>total sugars in a product for Category 3 and 3D</w:t>
      </w:r>
    </w:p>
    <w:p w14:paraId="0C0C7939" w14:textId="5DD75A8D" w:rsidR="00561741" w:rsidRPr="005D4A07" w:rsidRDefault="00561741" w:rsidP="00163505">
      <w:pPr>
        <w:pStyle w:val="mpcbullets1"/>
      </w:pPr>
      <w:r w:rsidRPr="00163505">
        <w:rPr>
          <w:b/>
        </w:rPr>
        <w:t>sodium</w:t>
      </w:r>
      <w:r w:rsidRPr="00163505">
        <w:t xml:space="preserve"> up to a maximum of 30 points</w:t>
      </w:r>
      <w:r w:rsidRPr="005D4A07">
        <w:t xml:space="preserve"> for more than 8.1</w:t>
      </w:r>
      <w:r w:rsidR="003418FD">
        <w:t>06</w:t>
      </w:r>
      <w:r w:rsidRPr="005D4A07">
        <w:t>% sodium in a product for Category 1, 1D, 2 and 2D</w:t>
      </w:r>
      <w:r w:rsidR="00D920C7">
        <w:t>,</w:t>
      </w:r>
      <w:r w:rsidRPr="005D4A07">
        <w:t xml:space="preserve"> and up to a maximum of </w:t>
      </w:r>
      <w:r w:rsidR="003418FD">
        <w:t>3</w:t>
      </w:r>
      <w:r w:rsidRPr="005D4A07">
        <w:t xml:space="preserve">0 points for more than 2.7% sodium in a product for Category 3 and 3D. </w:t>
      </w:r>
    </w:p>
    <w:p w14:paraId="55933ECC" w14:textId="77777777" w:rsidR="00561741" w:rsidRPr="005D4A07" w:rsidRDefault="00561741" w:rsidP="00561741">
      <w:pPr>
        <w:pStyle w:val="mpcbullets1"/>
        <w:numPr>
          <w:ilvl w:val="0"/>
          <w:numId w:val="0"/>
        </w:numPr>
        <w:rPr>
          <w:rFonts w:cstheme="minorHAnsi"/>
        </w:rPr>
      </w:pPr>
    </w:p>
    <w:p w14:paraId="0CDCEFB4" w14:textId="77777777" w:rsidR="00561741" w:rsidRPr="005D4A07" w:rsidRDefault="00561741" w:rsidP="00561741">
      <w:pPr>
        <w:pStyle w:val="mpcbullets1"/>
        <w:numPr>
          <w:ilvl w:val="0"/>
          <w:numId w:val="0"/>
        </w:numPr>
        <w:rPr>
          <w:rFonts w:cstheme="minorHAnsi"/>
        </w:rPr>
      </w:pPr>
      <w:r w:rsidRPr="005D4A07">
        <w:rPr>
          <w:rFonts w:cstheme="minorHAnsi"/>
        </w:rPr>
        <w:t>Baseline points are calculated based on the points tables which can be found in the Industry Guide.</w:t>
      </w:r>
    </w:p>
    <w:p w14:paraId="12E48CD5" w14:textId="77777777" w:rsidR="00561741" w:rsidRPr="005D4A07" w:rsidRDefault="00561741" w:rsidP="00561741">
      <w:pPr>
        <w:pStyle w:val="mpcbullets1"/>
        <w:numPr>
          <w:ilvl w:val="0"/>
          <w:numId w:val="0"/>
        </w:numPr>
        <w:rPr>
          <w:rFonts w:cstheme="minorHAnsi"/>
        </w:rPr>
      </w:pPr>
    </w:p>
    <w:p w14:paraId="64FB82F2"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 xml:space="preserve">Calculate HSR modifying points </w:t>
      </w:r>
    </w:p>
    <w:p w14:paraId="1FDB6744" w14:textId="77777777" w:rsidR="00561741" w:rsidRPr="005D4A07" w:rsidRDefault="00561741" w:rsidP="00561741">
      <w:pPr>
        <w:pStyle w:val="mpcbullets1"/>
        <w:numPr>
          <w:ilvl w:val="0"/>
          <w:numId w:val="0"/>
        </w:numPr>
        <w:rPr>
          <w:rFonts w:cstheme="minorHAnsi"/>
        </w:rPr>
      </w:pPr>
    </w:p>
    <w:p w14:paraId="3F155E04" w14:textId="29B9C258" w:rsidR="00561741" w:rsidRPr="005D4A07" w:rsidRDefault="00561741" w:rsidP="00561741">
      <w:pPr>
        <w:pStyle w:val="mpcbullets1"/>
        <w:numPr>
          <w:ilvl w:val="0"/>
          <w:numId w:val="0"/>
        </w:numPr>
        <w:rPr>
          <w:rFonts w:cstheme="minorHAnsi"/>
        </w:rPr>
      </w:pPr>
      <w:r w:rsidRPr="005D4A07">
        <w:rPr>
          <w:rFonts w:cstheme="minorHAnsi"/>
        </w:rPr>
        <w:t xml:space="preserve">HSR modifying points may be scored for the positive </w:t>
      </w:r>
      <w:r w:rsidR="00D520DF">
        <w:rPr>
          <w:rFonts w:cstheme="minorHAnsi"/>
        </w:rPr>
        <w:t>components</w:t>
      </w:r>
      <w:r w:rsidRPr="005D4A07">
        <w:rPr>
          <w:rFonts w:cstheme="minorHAnsi"/>
        </w:rPr>
        <w:t xml:space="preserve"> in a product:</w:t>
      </w:r>
    </w:p>
    <w:p w14:paraId="31C48FC7" w14:textId="77777777" w:rsidR="00561741" w:rsidRPr="005D4A07" w:rsidRDefault="00561741" w:rsidP="00561741">
      <w:pPr>
        <w:pStyle w:val="mpcbullets1"/>
        <w:numPr>
          <w:ilvl w:val="0"/>
          <w:numId w:val="0"/>
        </w:numPr>
        <w:rPr>
          <w:rFonts w:cstheme="minorHAnsi"/>
        </w:rPr>
      </w:pPr>
    </w:p>
    <w:p w14:paraId="5CCC9457" w14:textId="42DB1680" w:rsidR="00561741" w:rsidRPr="00163505" w:rsidRDefault="00561741" w:rsidP="00163505">
      <w:pPr>
        <w:pStyle w:val="mpcbullets1"/>
      </w:pPr>
      <w:r w:rsidRPr="005D4A07">
        <w:rPr>
          <w:b/>
        </w:rPr>
        <w:t>V points</w:t>
      </w:r>
      <w:r w:rsidRPr="005D4A07">
        <w:t xml:space="preserve"> can be </w:t>
      </w:r>
      <w:r w:rsidRPr="00163505">
        <w:t xml:space="preserve">scored for the amount of fruits, nuts, vegetables and legumes (FVNL) </w:t>
      </w:r>
      <w:r w:rsidR="003418FD" w:rsidRPr="00163505">
        <w:t xml:space="preserve">or concentrated fruit and vegetable content in a food – from 1 point (for &gt; 40% FVNL or &gt; 25% concentrated fruit and vegetable content) to a maximum of 8 points (for 100% FVNL/concentrated fruit and vegetable </w:t>
      </w:r>
      <w:r w:rsidR="00B042EF" w:rsidRPr="00163505">
        <w:t>content)</w:t>
      </w:r>
    </w:p>
    <w:p w14:paraId="2F63BFA6" w14:textId="305079DC" w:rsidR="00561741" w:rsidRPr="00163505" w:rsidRDefault="00561741" w:rsidP="00163505">
      <w:pPr>
        <w:pStyle w:val="mpcbullets1"/>
      </w:pPr>
      <w:r w:rsidRPr="00163505">
        <w:rPr>
          <w:b/>
        </w:rPr>
        <w:t>P points</w:t>
      </w:r>
      <w:r w:rsidRPr="00163505">
        <w:t xml:space="preserve"> can be scored for the amount of protein in a product, only if the product scores 13 or less baseline points</w:t>
      </w:r>
      <w:r w:rsidR="00D920C7" w:rsidRPr="00163505">
        <w:t>,</w:t>
      </w:r>
      <w:r w:rsidRPr="00163505">
        <w:t xml:space="preserve"> or scores more than 13 baseline points but also score</w:t>
      </w:r>
      <w:r w:rsidR="00D920C7" w:rsidRPr="00163505">
        <w:t>s 5 or more V points –</w:t>
      </w:r>
      <w:r w:rsidRPr="00163505">
        <w:t xml:space="preserve"> from 1 up to a maximum of 15 points for more than 50% protein</w:t>
      </w:r>
    </w:p>
    <w:p w14:paraId="20BC0851" w14:textId="2337CC82" w:rsidR="00561741" w:rsidRPr="005D4A07" w:rsidRDefault="00561741" w:rsidP="00163505">
      <w:pPr>
        <w:pStyle w:val="mpcbullets1"/>
      </w:pPr>
      <w:r w:rsidRPr="00163505">
        <w:rPr>
          <w:b/>
        </w:rPr>
        <w:t>F points</w:t>
      </w:r>
      <w:r w:rsidRPr="00163505">
        <w:t xml:space="preserve"> can be scored for the amount of dietary fibre in a product for Category 2, 2D, 3 and 3D foods only (i.e. beverages cannot</w:t>
      </w:r>
      <w:r w:rsidRPr="005D4A07">
        <w:t xml:space="preserve"> score F points) </w:t>
      </w:r>
      <w:r w:rsidR="00D920C7">
        <w:t xml:space="preserve">– </w:t>
      </w:r>
      <w:r w:rsidRPr="005D4A07">
        <w:t>from 1 up to a maximum of 15</w:t>
      </w:r>
      <w:r w:rsidR="00D920C7">
        <w:t xml:space="preserve"> points for more than 20% fibre.</w:t>
      </w:r>
    </w:p>
    <w:p w14:paraId="6897CA10" w14:textId="77777777" w:rsidR="00561741" w:rsidRPr="005D4A07" w:rsidRDefault="00561741" w:rsidP="00561741">
      <w:pPr>
        <w:pStyle w:val="mpcbullets1"/>
        <w:numPr>
          <w:ilvl w:val="0"/>
          <w:numId w:val="0"/>
        </w:numPr>
        <w:rPr>
          <w:rFonts w:cstheme="minorHAnsi"/>
        </w:rPr>
      </w:pPr>
    </w:p>
    <w:p w14:paraId="222FC253"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Calculate the final HSR score</w:t>
      </w:r>
    </w:p>
    <w:p w14:paraId="1D3E9CF5" w14:textId="77777777" w:rsidR="00561741" w:rsidRPr="005D4A07" w:rsidRDefault="00561741" w:rsidP="00561741">
      <w:pPr>
        <w:pStyle w:val="mpcbullets1"/>
        <w:numPr>
          <w:ilvl w:val="0"/>
          <w:numId w:val="0"/>
        </w:numPr>
        <w:rPr>
          <w:rFonts w:cstheme="minorHAnsi"/>
        </w:rPr>
      </w:pPr>
    </w:p>
    <w:p w14:paraId="06181C54" w14:textId="77777777" w:rsidR="00561741" w:rsidRPr="005D4A07" w:rsidRDefault="00561741" w:rsidP="00561741">
      <w:pPr>
        <w:pStyle w:val="mpcbullets1"/>
        <w:numPr>
          <w:ilvl w:val="0"/>
          <w:numId w:val="0"/>
        </w:numPr>
        <w:rPr>
          <w:rFonts w:cstheme="minorHAnsi"/>
        </w:rPr>
      </w:pPr>
      <w:r w:rsidRPr="005D4A07">
        <w:rPr>
          <w:rFonts w:cstheme="minorHAnsi"/>
        </w:rPr>
        <w:t>The Final HSR Score is calculated by subtracting the modifying points (V, P and/or F points) from the HSR baseline points, using the below formula:</w:t>
      </w:r>
    </w:p>
    <w:p w14:paraId="66037444" w14:textId="77777777" w:rsidR="00561741" w:rsidRPr="005D4A07" w:rsidRDefault="00561741" w:rsidP="00561741">
      <w:pPr>
        <w:pStyle w:val="mpcbullets1"/>
        <w:numPr>
          <w:ilvl w:val="0"/>
          <w:numId w:val="0"/>
        </w:numPr>
        <w:rPr>
          <w:rFonts w:cstheme="minorHAnsi"/>
        </w:rPr>
      </w:pPr>
    </w:p>
    <w:p w14:paraId="2D9045EC" w14:textId="77777777" w:rsidR="00561741" w:rsidRPr="005D4A07" w:rsidRDefault="00561741" w:rsidP="00561741">
      <w:pPr>
        <w:pStyle w:val="mpcbullets1"/>
        <w:numPr>
          <w:ilvl w:val="0"/>
          <w:numId w:val="0"/>
        </w:numPr>
        <w:rPr>
          <w:rFonts w:cstheme="minorHAnsi"/>
          <w:b/>
        </w:rPr>
      </w:pPr>
      <w:r w:rsidRPr="005D4A07">
        <w:rPr>
          <w:rFonts w:cstheme="minorHAnsi"/>
          <w:b/>
        </w:rPr>
        <w:t>Final HSR Score = baseline points – (V points) – (P points) – (F points)</w:t>
      </w:r>
    </w:p>
    <w:p w14:paraId="12D733D2" w14:textId="77777777" w:rsidR="00561741" w:rsidRPr="005D4A07" w:rsidRDefault="00561741" w:rsidP="00561741">
      <w:pPr>
        <w:pStyle w:val="mpcbullets1"/>
        <w:numPr>
          <w:ilvl w:val="0"/>
          <w:numId w:val="0"/>
        </w:numPr>
        <w:rPr>
          <w:rFonts w:cstheme="minorHAnsi"/>
        </w:rPr>
      </w:pPr>
    </w:p>
    <w:p w14:paraId="64EBC4E5" w14:textId="77777777" w:rsidR="00561741" w:rsidRPr="005D4A07" w:rsidRDefault="00561741" w:rsidP="00B91EBF">
      <w:pPr>
        <w:pStyle w:val="mpcbullets1"/>
        <w:keepNext/>
        <w:numPr>
          <w:ilvl w:val="0"/>
          <w:numId w:val="4"/>
        </w:numPr>
        <w:rPr>
          <w:rFonts w:cstheme="minorHAnsi"/>
          <w:b/>
          <w:u w:val="single"/>
        </w:rPr>
      </w:pPr>
      <w:r w:rsidRPr="005D4A07">
        <w:rPr>
          <w:rFonts w:cstheme="minorHAnsi"/>
          <w:b/>
          <w:u w:val="single"/>
        </w:rPr>
        <w:t xml:space="preserve">Step 6: Assignment of a rating to food based on the final HSR score </w:t>
      </w:r>
    </w:p>
    <w:p w14:paraId="43ED7B94" w14:textId="77777777" w:rsidR="00561741" w:rsidRPr="005D4A07" w:rsidRDefault="00561741" w:rsidP="00561741">
      <w:pPr>
        <w:pStyle w:val="mpcbullets1"/>
        <w:keepNext/>
        <w:numPr>
          <w:ilvl w:val="0"/>
          <w:numId w:val="0"/>
        </w:numPr>
        <w:rPr>
          <w:rFonts w:cstheme="minorHAnsi"/>
        </w:rPr>
      </w:pPr>
    </w:p>
    <w:p w14:paraId="38811515" w14:textId="14456070" w:rsidR="00A214E1" w:rsidRDefault="00561741" w:rsidP="005D4A07">
      <w:pPr>
        <w:pStyle w:val="mpcbullets1"/>
        <w:keepNext/>
        <w:numPr>
          <w:ilvl w:val="0"/>
          <w:numId w:val="0"/>
        </w:numPr>
        <w:rPr>
          <w:rFonts w:cstheme="minorHAnsi"/>
        </w:rPr>
      </w:pPr>
      <w:r w:rsidRPr="005D4A07">
        <w:rPr>
          <w:rFonts w:cstheme="minorHAnsi"/>
        </w:rPr>
        <w:t>The HSR score is determined based on the Final HSR Score and the Category the product is in. Products can score from half a star (least healthy) to five stars (most healthy) in half-star increments (i.e. on a 10 point scale).</w:t>
      </w:r>
    </w:p>
    <w:p w14:paraId="58740AE0" w14:textId="77777777" w:rsidR="00172E89" w:rsidRPr="00AB3873" w:rsidRDefault="00172E89" w:rsidP="00163505">
      <w:pPr>
        <w:pStyle w:val="mpcheading1"/>
      </w:pPr>
      <w:r>
        <w:br w:type="column"/>
      </w:r>
      <w:bookmarkStart w:id="189" w:name="Appendix2"/>
      <w:bookmarkStart w:id="190" w:name="_Toc527112921"/>
      <w:bookmarkEnd w:id="189"/>
      <w:r>
        <w:lastRenderedPageBreak/>
        <w:t xml:space="preserve">Appendix 2 </w:t>
      </w:r>
      <w:r w:rsidRPr="00AB3873">
        <w:t xml:space="preserve">– The </w:t>
      </w:r>
      <w:r>
        <w:t>TAG database</w:t>
      </w:r>
      <w:bookmarkEnd w:id="190"/>
      <w:r>
        <w:t xml:space="preserve"> </w:t>
      </w:r>
    </w:p>
    <w:p w14:paraId="73CA8338" w14:textId="197BA1FC" w:rsidR="00172E89" w:rsidRPr="00CE47F4" w:rsidRDefault="00172E89" w:rsidP="0024269C">
      <w:r w:rsidRPr="00CE47F4">
        <w:t xml:space="preserve">Prior to the implementation of the HSR </w:t>
      </w:r>
      <w:r>
        <w:t xml:space="preserve">System, </w:t>
      </w:r>
      <w:r w:rsidRPr="00CE47F4">
        <w:t xml:space="preserve">the </w:t>
      </w:r>
      <w:r w:rsidR="002D10A2">
        <w:t>Technical Design Working Group</w:t>
      </w:r>
      <w:r w:rsidRPr="00CE47F4">
        <w:t xml:space="preserve"> established a database of foods against which the </w:t>
      </w:r>
      <w:r>
        <w:t>S</w:t>
      </w:r>
      <w:r w:rsidRPr="00CE47F4">
        <w:t>ystem could be tested. Since that time the database has been updated and expanded with data provided by the food industry.</w:t>
      </w:r>
    </w:p>
    <w:p w14:paraId="3B18E777" w14:textId="77777777" w:rsidR="00172E89" w:rsidRPr="00CE47F4" w:rsidRDefault="00172E89" w:rsidP="0024269C"/>
    <w:p w14:paraId="45749E44" w14:textId="77777777" w:rsidR="00172E89" w:rsidRPr="00CE47F4" w:rsidRDefault="00172E89" w:rsidP="0024269C">
      <w:r w:rsidRPr="00CE47F4">
        <w:t xml:space="preserve">The TAG database currently includes data for 5,885 products across 42 categories based on the AGHE food groups (e.g. fats and oils, various cereals and dairy, processed and unprocessed fruits and vegetables, animal and vegetable protein, etc.). </w:t>
      </w:r>
    </w:p>
    <w:p w14:paraId="25E86EF8" w14:textId="77777777" w:rsidR="00172E89" w:rsidRPr="00CE47F4" w:rsidRDefault="00172E89" w:rsidP="0024269C"/>
    <w:p w14:paraId="60F5F8E2" w14:textId="77777777" w:rsidR="00172E89" w:rsidRPr="00CE47F4" w:rsidRDefault="00172E89" w:rsidP="0024269C">
      <w:r w:rsidRPr="00CE47F4">
        <w:t xml:space="preserve">While there are challenges inherent in estimating the total number of products </w:t>
      </w:r>
      <w:r>
        <w:t xml:space="preserve">eligible to display the HSR </w:t>
      </w:r>
      <w:r w:rsidRPr="00CE47F4">
        <w:t>on the market at any given time, based on best estimates</w:t>
      </w:r>
      <w:r>
        <w:t>,</w:t>
      </w:r>
      <w:r w:rsidRPr="00CE47F4">
        <w:t xml:space="preserve"> the TAG database represents approximately 37% of the reported 15,767 eligible products (201</w:t>
      </w:r>
      <w:r>
        <w:t>8</w:t>
      </w:r>
      <w:r w:rsidRPr="00CE47F4">
        <w:t>).</w:t>
      </w:r>
      <w:r w:rsidRPr="00CE47F4">
        <w:rPr>
          <w:rStyle w:val="FootnoteReference"/>
          <w:rFonts w:cs="Arial"/>
          <w:sz w:val="22"/>
          <w:szCs w:val="22"/>
        </w:rPr>
        <w:footnoteReference w:id="63"/>
      </w:r>
      <w:r w:rsidRPr="00CE47F4">
        <w:t xml:space="preserve"> </w:t>
      </w:r>
    </w:p>
    <w:p w14:paraId="5759D94E" w14:textId="77777777" w:rsidR="00172E89" w:rsidRPr="00CE47F4" w:rsidRDefault="00172E89" w:rsidP="0024269C"/>
    <w:p w14:paraId="2CF2720F" w14:textId="77777777" w:rsidR="00172E89" w:rsidRPr="00CE47F4" w:rsidRDefault="00172E89" w:rsidP="0024269C">
      <w:r w:rsidRPr="00CE47F4">
        <w:t>It is acknowledged that there are</w:t>
      </w:r>
      <w:r>
        <w:t xml:space="preserve"> a</w:t>
      </w:r>
      <w:r w:rsidRPr="00CE47F4">
        <w:t xml:space="preserve"> number of limitations with the TAG database. For example:</w:t>
      </w:r>
    </w:p>
    <w:p w14:paraId="6C0E726D" w14:textId="77777777" w:rsidR="00172E89" w:rsidRPr="00CE47F4" w:rsidRDefault="00172E89" w:rsidP="0024269C"/>
    <w:p w14:paraId="0148BCA8" w14:textId="77777777" w:rsidR="00172E89" w:rsidRPr="00163505" w:rsidRDefault="00172E89" w:rsidP="00163505">
      <w:pPr>
        <w:pStyle w:val="mpcbullets1"/>
      </w:pPr>
      <w:r w:rsidRPr="00163505">
        <w:t>industry data were provided on a confidential basis and the database is not directly available to the Review. We do, however, acknowledge the significant work of the TAG and the Department undertaking modelling to inform the Review</w:t>
      </w:r>
    </w:p>
    <w:p w14:paraId="5E7A32A6" w14:textId="77777777" w:rsidR="00172E89" w:rsidRPr="00163505" w:rsidRDefault="00172E89" w:rsidP="00163505">
      <w:pPr>
        <w:pStyle w:val="mpcbullets1"/>
      </w:pPr>
      <w:r w:rsidRPr="00163505">
        <w:t>the data have not been independently verified</w:t>
      </w:r>
    </w:p>
    <w:p w14:paraId="10F5FE4C" w14:textId="77777777" w:rsidR="00172E89" w:rsidRPr="00CE47F4" w:rsidRDefault="00172E89" w:rsidP="00163505">
      <w:pPr>
        <w:pStyle w:val="mpcbullets1"/>
      </w:pPr>
      <w:r w:rsidRPr="00163505">
        <w:t>data are</w:t>
      </w:r>
      <w:r w:rsidRPr="00CE47F4">
        <w:t xml:space="preserve"> lacking for some categories. For example:</w:t>
      </w:r>
    </w:p>
    <w:p w14:paraId="48296F71" w14:textId="77777777" w:rsidR="00172E89" w:rsidRPr="00CE47F4" w:rsidRDefault="00172E89" w:rsidP="00163505">
      <w:pPr>
        <w:pStyle w:val="mpcbullets2"/>
      </w:pPr>
      <w:r w:rsidRPr="00CE47F4">
        <w:t xml:space="preserve">while calcium </w:t>
      </w:r>
      <w:r>
        <w:t>values</w:t>
      </w:r>
      <w:r w:rsidRPr="00CE47F4">
        <w:t xml:space="preserve"> were provided for 960 products in 29 AGHE categories (representing most FFG dairy categories) </w:t>
      </w:r>
      <w:r>
        <w:t>calcium values</w:t>
      </w:r>
      <w:r w:rsidRPr="00CE47F4">
        <w:t xml:space="preserve"> are limited for non-dairy categories</w:t>
      </w:r>
    </w:p>
    <w:p w14:paraId="78A526FA" w14:textId="77777777" w:rsidR="00172E89" w:rsidRPr="00CE47F4" w:rsidRDefault="00172E89" w:rsidP="00163505">
      <w:pPr>
        <w:pStyle w:val="mpcbullets2"/>
      </w:pPr>
      <w:r w:rsidRPr="00CE47F4">
        <w:t xml:space="preserve">wholegrain values were provided for 1,258 products across 36 AGHE categories but most of these </w:t>
      </w:r>
      <w:r>
        <w:t>products</w:t>
      </w:r>
      <w:r w:rsidRPr="00CE47F4">
        <w:t xml:space="preserve"> did not have an appreciable amount of wholegrain. Modelling </w:t>
      </w:r>
      <w:r>
        <w:t xml:space="preserve">regarding wholegrain </w:t>
      </w:r>
      <w:r w:rsidRPr="00CE47F4">
        <w:t xml:space="preserve">was therefore restricted to 596 foods across the most relevant categories (FFG cereals and relevant discretionary foods categories). While most of the key </w:t>
      </w:r>
      <w:r>
        <w:t>foods</w:t>
      </w:r>
      <w:r w:rsidRPr="00CE47F4">
        <w:t xml:space="preserve"> of interest (i.e. breads, breakfast cereals, pasta/flour/grains, sweet and savoury biscuits, snacks) are well represented, data are lacking for bakery/cake mixes</w:t>
      </w:r>
    </w:p>
    <w:p w14:paraId="72D5385B" w14:textId="77777777" w:rsidR="00172E89" w:rsidRPr="00CE47F4" w:rsidRDefault="00172E89" w:rsidP="00163505">
      <w:pPr>
        <w:pStyle w:val="mpcbullets2"/>
      </w:pPr>
      <w:r w:rsidRPr="00CE47F4">
        <w:t xml:space="preserve">additional information was provided by food manufacturers on the added sugars content of 1,875 foods and beverages using the WHO definition for ‘free sugars’. Almost all 42 AGHE categories are represented, with good coverage of most key categories (e.g. breakfast cereals, dairy beverages, biscuits, sauces/condiments, soups/stocks, ice confectionery, ice cream, snacks). However, </w:t>
      </w:r>
      <w:r>
        <w:t xml:space="preserve">added sugars data for </w:t>
      </w:r>
      <w:r w:rsidRPr="00CE47F4">
        <w:t xml:space="preserve">non-dairy beverages and some </w:t>
      </w:r>
      <w:r>
        <w:t xml:space="preserve">other </w:t>
      </w:r>
      <w:r w:rsidRPr="00CE47F4">
        <w:t xml:space="preserve">relevant </w:t>
      </w:r>
      <w:r>
        <w:t>foods</w:t>
      </w:r>
      <w:r w:rsidRPr="00CE47F4">
        <w:t xml:space="preserve"> (e.g. yoghurts/soft cheeses, custards/dairy desserts, confectionery, meals/meal bases) are limited.</w:t>
      </w:r>
    </w:p>
    <w:p w14:paraId="78DFFEDB" w14:textId="77777777" w:rsidR="00172E89" w:rsidRPr="00CE47F4" w:rsidRDefault="00172E89" w:rsidP="0024269C"/>
    <w:p w14:paraId="444104E1" w14:textId="77777777" w:rsidR="00172E89" w:rsidRPr="00CE47F4" w:rsidRDefault="00172E89" w:rsidP="0024269C">
      <w:r w:rsidRPr="00CE47F4">
        <w:t>As noted in Chapter 8</w:t>
      </w:r>
      <w:r>
        <w:t>,</w:t>
      </w:r>
      <w:r w:rsidRPr="00CE47F4">
        <w:t xml:space="preserve"> there are other databases which could </w:t>
      </w:r>
      <w:r>
        <w:t>be drawn on</w:t>
      </w:r>
      <w:r w:rsidRPr="00CE47F4">
        <w:t xml:space="preserve"> to model options. These databases also have strengths and limitations and comparisons cannot always be reliably made across databases. For example:</w:t>
      </w:r>
    </w:p>
    <w:p w14:paraId="0D65062E" w14:textId="77777777" w:rsidR="00172E89" w:rsidRPr="00CE47F4" w:rsidRDefault="00172E89" w:rsidP="0024269C"/>
    <w:p w14:paraId="77AACF66" w14:textId="203117B3" w:rsidR="00172E89" w:rsidRPr="00CE47F4" w:rsidRDefault="00172E89" w:rsidP="00163505">
      <w:pPr>
        <w:pStyle w:val="mpcbullets1"/>
      </w:pPr>
      <w:r w:rsidRPr="00CE47F4">
        <w:t>different databases apply different food categorisation systems</w:t>
      </w:r>
    </w:p>
    <w:p w14:paraId="6EE38133" w14:textId="77777777" w:rsidR="00172E89" w:rsidRPr="00CE47F4" w:rsidRDefault="00172E89" w:rsidP="00163505">
      <w:pPr>
        <w:pStyle w:val="mpcbullets1"/>
      </w:pPr>
      <w:r w:rsidRPr="00CE47F4">
        <w:t xml:space="preserve">given the diversity of the food supply and its constant evolution, databases </w:t>
      </w:r>
      <w:r>
        <w:t>that</w:t>
      </w:r>
      <w:r w:rsidRPr="00CE47F4">
        <w:t xml:space="preserve"> represent different data collection periods will necessarily return different results</w:t>
      </w:r>
    </w:p>
    <w:p w14:paraId="28E07931" w14:textId="77777777" w:rsidR="00172E89" w:rsidRPr="00CE47F4" w:rsidRDefault="00172E89" w:rsidP="00163505">
      <w:pPr>
        <w:pStyle w:val="mpcbullets1"/>
      </w:pPr>
      <w:r w:rsidRPr="00CE47F4">
        <w:t>some collections are cumulative (i.e. with new products added each year)</w:t>
      </w:r>
      <w:r>
        <w:t xml:space="preserve"> whereas</w:t>
      </w:r>
      <w:r w:rsidRPr="00CE47F4">
        <w:t xml:space="preserve"> others remove products no longer found in supermarkets from the database</w:t>
      </w:r>
    </w:p>
    <w:p w14:paraId="4696036C" w14:textId="77777777" w:rsidR="00172E89" w:rsidRPr="00CE47F4" w:rsidRDefault="00172E89" w:rsidP="00163505">
      <w:pPr>
        <w:pStyle w:val="mpcbullets1"/>
      </w:pPr>
      <w:r w:rsidRPr="00CE47F4">
        <w:t>for nutrients not included on the NIP, some databases use estimates for the purposes of calculating the HSR (for example, estimates of FVNL content based on ingredients).</w:t>
      </w:r>
    </w:p>
    <w:p w14:paraId="040E3009" w14:textId="77777777" w:rsidR="00172E89" w:rsidRPr="00CE47F4" w:rsidRDefault="00172E89" w:rsidP="0024269C"/>
    <w:p w14:paraId="2F558F07" w14:textId="77777777" w:rsidR="00172E89" w:rsidRPr="00CE47F4" w:rsidRDefault="00172E89" w:rsidP="0024269C">
      <w:r w:rsidRPr="00CE47F4">
        <w:t xml:space="preserve">The challenges inherent in modelling changes to the HSR </w:t>
      </w:r>
      <w:r>
        <w:t xml:space="preserve">System </w:t>
      </w:r>
      <w:r w:rsidRPr="00CE47F4">
        <w:t>have been well canvassed during consult</w:t>
      </w:r>
      <w:r>
        <w:t xml:space="preserve">ations </w:t>
      </w:r>
      <w:r w:rsidRPr="00CE47F4">
        <w:t>in</w:t>
      </w:r>
      <w:r>
        <w:t xml:space="preserve">forming </w:t>
      </w:r>
      <w:r w:rsidRPr="00CE47F4">
        <w:t xml:space="preserve">the Review </w:t>
      </w:r>
      <w:r>
        <w:t>an</w:t>
      </w:r>
      <w:r w:rsidRPr="00CE47F4">
        <w:t xml:space="preserve">d will be </w:t>
      </w:r>
      <w:r>
        <w:t>acknowledged</w:t>
      </w:r>
      <w:r w:rsidRPr="00CE47F4">
        <w:t xml:space="preserve"> </w:t>
      </w:r>
      <w:r>
        <w:t>as part of our d</w:t>
      </w:r>
      <w:r w:rsidRPr="00CE47F4">
        <w:t>r</w:t>
      </w:r>
      <w:r>
        <w:t>a</w:t>
      </w:r>
      <w:r w:rsidRPr="00CE47F4">
        <w:t>ft Review Report.</w:t>
      </w:r>
    </w:p>
    <w:p w14:paraId="005CDD82" w14:textId="77777777" w:rsidR="00172E89" w:rsidRPr="00CE47F4" w:rsidRDefault="00172E89" w:rsidP="0024269C"/>
    <w:p w14:paraId="5CBF5F95" w14:textId="7F91D00A" w:rsidR="00266A17" w:rsidRDefault="00172E89" w:rsidP="00EA353D">
      <w:r w:rsidRPr="00CE47F4">
        <w:t>However, as noted in Ch</w:t>
      </w:r>
      <w:r>
        <w:t>ap</w:t>
      </w:r>
      <w:r w:rsidRPr="00CE47F4">
        <w:t>ter 8</w:t>
      </w:r>
      <w:r>
        <w:t>,</w:t>
      </w:r>
      <w:r w:rsidRPr="00CE47F4">
        <w:t xml:space="preserve"> </w:t>
      </w:r>
      <w:r>
        <w:t>once the range of possible options has been narrowed (informed by feedback from consultations on this Consultation Paper) we intend working with other organisations to further test changes to the HSR System. Key results will be detailed in the draft Review Report, which will be available for further consultation in early 2019.</w:t>
      </w:r>
    </w:p>
    <w:p w14:paraId="2FC360F6" w14:textId="77777777" w:rsidR="00266A17" w:rsidRDefault="00266A17" w:rsidP="005D4A07">
      <w:pPr>
        <w:pStyle w:val="mpcbullets1"/>
        <w:keepNext/>
        <w:numPr>
          <w:ilvl w:val="0"/>
          <w:numId w:val="0"/>
        </w:numPr>
        <w:rPr>
          <w:rFonts w:cstheme="minorHAnsi"/>
        </w:rPr>
        <w:sectPr w:rsidR="00266A17" w:rsidSect="00E50026">
          <w:pgSz w:w="11900" w:h="16840"/>
          <w:pgMar w:top="1304" w:right="1077" w:bottom="1304" w:left="1077" w:header="709" w:footer="709" w:gutter="0"/>
          <w:cols w:space="708"/>
          <w:docGrid w:linePitch="360"/>
        </w:sectPr>
      </w:pPr>
    </w:p>
    <w:p w14:paraId="4931841D" w14:textId="31C27331" w:rsidR="00266A17" w:rsidRDefault="00266A17" w:rsidP="00163505">
      <w:pPr>
        <w:pStyle w:val="mpcheading1"/>
      </w:pPr>
      <w:bookmarkStart w:id="191" w:name="Appendix3"/>
      <w:bookmarkStart w:id="192" w:name="_Toc527112922"/>
      <w:bookmarkStart w:id="193" w:name="_Toc525144547"/>
      <w:bookmarkEnd w:id="191"/>
      <w:r>
        <w:lastRenderedPageBreak/>
        <w:t>Appendix 3</w:t>
      </w:r>
      <w:r w:rsidR="00172E89">
        <w:t xml:space="preserve"> – Impact of proposed changes</w:t>
      </w:r>
      <w:bookmarkEnd w:id="192"/>
    </w:p>
    <w:p w14:paraId="0BC9DE91" w14:textId="53E629FF" w:rsidR="0055410A" w:rsidRDefault="0055410A" w:rsidP="0055410A">
      <w:r>
        <w:t xml:space="preserve">The below table provides a breakdown of the product types affected by the proposed changes (based on the TAG database). This table does not include data for wholegrain (as this is a separate database), so </w:t>
      </w:r>
      <w:r w:rsidR="007303C1">
        <w:t>increases to HSRs based on wholegrain content are not represented below.</w:t>
      </w:r>
      <w:r>
        <w:t xml:space="preserve"> </w:t>
      </w:r>
    </w:p>
    <w:p w14:paraId="029DE7B1" w14:textId="77777777" w:rsidR="0055410A" w:rsidRDefault="0055410A" w:rsidP="0055410A"/>
    <w:tbl>
      <w:tblPr>
        <w:tblW w:w="15451" w:type="dxa"/>
        <w:tblInd w:w="-719" w:type="dxa"/>
        <w:tblLayout w:type="fixed"/>
        <w:tblLook w:val="04A0" w:firstRow="1" w:lastRow="0" w:firstColumn="1" w:lastColumn="0" w:noHBand="0" w:noVBand="1"/>
        <w:tblCaption w:val="Impact of proposed changes"/>
        <w:tblDescription w:val="The below table provides a breakdown of the product types affected by the proposed changes (based on the TAG database). "/>
      </w:tblPr>
      <w:tblGrid>
        <w:gridCol w:w="1691"/>
        <w:gridCol w:w="1003"/>
        <w:gridCol w:w="567"/>
        <w:gridCol w:w="708"/>
        <w:gridCol w:w="568"/>
        <w:gridCol w:w="708"/>
        <w:gridCol w:w="567"/>
        <w:gridCol w:w="709"/>
        <w:gridCol w:w="637"/>
        <w:gridCol w:w="638"/>
        <w:gridCol w:w="638"/>
        <w:gridCol w:w="638"/>
        <w:gridCol w:w="568"/>
        <w:gridCol w:w="708"/>
        <w:gridCol w:w="567"/>
        <w:gridCol w:w="708"/>
        <w:gridCol w:w="638"/>
        <w:gridCol w:w="638"/>
        <w:gridCol w:w="568"/>
        <w:gridCol w:w="708"/>
        <w:gridCol w:w="426"/>
        <w:gridCol w:w="142"/>
        <w:gridCol w:w="708"/>
      </w:tblGrid>
      <w:tr w:rsidR="00266A17" w:rsidRPr="00163505" w14:paraId="271CFFEF" w14:textId="77777777" w:rsidTr="00163505">
        <w:trPr>
          <w:trHeight w:val="440"/>
          <w:tblHead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14:paraId="685E7A70" w14:textId="77777777" w:rsidR="00266A17" w:rsidRPr="00163505" w:rsidRDefault="00266A17" w:rsidP="00163505">
            <w:pPr>
              <w:jc w:val="center"/>
              <w:rPr>
                <w:b/>
                <w:color w:val="000000" w:themeColor="text1"/>
                <w:sz w:val="18"/>
                <w:szCs w:val="18"/>
              </w:rPr>
            </w:pPr>
            <w:bookmarkStart w:id="194" w:name="ColumnTitle4"/>
            <w:bookmarkEnd w:id="194"/>
            <w:r w:rsidRPr="00163505">
              <w:rPr>
                <w:b/>
                <w:color w:val="000000" w:themeColor="text1"/>
                <w:sz w:val="18"/>
                <w:szCs w:val="18"/>
              </w:rPr>
              <w:t>AGH</w:t>
            </w:r>
            <w:bookmarkStart w:id="195" w:name="Table_14_impact_of_changes"/>
            <w:bookmarkEnd w:id="195"/>
            <w:r w:rsidRPr="00163505">
              <w:rPr>
                <w:b/>
                <w:color w:val="000000" w:themeColor="text1"/>
                <w:sz w:val="18"/>
                <w:szCs w:val="18"/>
              </w:rPr>
              <w:t>E category</w:t>
            </w:r>
          </w:p>
        </w:tc>
        <w:tc>
          <w:tcPr>
            <w:tcW w:w="1003" w:type="dxa"/>
            <w:vMerge w:val="restart"/>
            <w:tcBorders>
              <w:top w:val="single" w:sz="8" w:space="0" w:color="auto"/>
              <w:left w:val="nil"/>
              <w:bottom w:val="single" w:sz="8" w:space="0" w:color="000000"/>
              <w:right w:val="single" w:sz="8" w:space="0" w:color="auto"/>
            </w:tcBorders>
            <w:shd w:val="clear" w:color="auto" w:fill="DEEAF6"/>
            <w:vAlign w:val="center"/>
            <w:hideMark/>
          </w:tcPr>
          <w:p w14:paraId="0B8BFC8C" w14:textId="77777777" w:rsidR="00266A17" w:rsidRPr="00163505" w:rsidRDefault="00266A17" w:rsidP="00163505">
            <w:pPr>
              <w:jc w:val="center"/>
              <w:rPr>
                <w:b/>
                <w:color w:val="000000" w:themeColor="text1"/>
                <w:sz w:val="18"/>
                <w:szCs w:val="18"/>
              </w:rPr>
            </w:pPr>
            <w:r w:rsidRPr="00163505">
              <w:rPr>
                <w:b/>
                <w:color w:val="000000" w:themeColor="text1"/>
                <w:sz w:val="18"/>
                <w:szCs w:val="18"/>
              </w:rPr>
              <w:t>Total number of products in the TAG database</w:t>
            </w:r>
          </w:p>
        </w:tc>
        <w:tc>
          <w:tcPr>
            <w:tcW w:w="12049" w:type="dxa"/>
            <w:gridSpan w:val="20"/>
            <w:tcBorders>
              <w:top w:val="single" w:sz="8" w:space="0" w:color="auto"/>
              <w:left w:val="nil"/>
              <w:bottom w:val="single" w:sz="8" w:space="0" w:color="auto"/>
            </w:tcBorders>
            <w:shd w:val="clear" w:color="auto" w:fill="DEEAF6"/>
            <w:vAlign w:val="center"/>
            <w:hideMark/>
          </w:tcPr>
          <w:p w14:paraId="146442E1" w14:textId="77777777" w:rsidR="00266A17" w:rsidRPr="00163505" w:rsidRDefault="00266A17" w:rsidP="00163505">
            <w:pPr>
              <w:jc w:val="center"/>
              <w:rPr>
                <w:b/>
                <w:color w:val="000000" w:themeColor="text1"/>
                <w:sz w:val="18"/>
                <w:szCs w:val="18"/>
              </w:rPr>
            </w:pPr>
            <w:r w:rsidRPr="00163505">
              <w:rPr>
                <w:b/>
                <w:color w:val="000000" w:themeColor="text1"/>
                <w:sz w:val="18"/>
                <w:szCs w:val="18"/>
              </w:rPr>
              <w:t>Proposed changes - number of products affected and the change in HSR</w:t>
            </w:r>
          </w:p>
        </w:tc>
        <w:tc>
          <w:tcPr>
            <w:tcW w:w="708" w:type="dxa"/>
            <w:tcBorders>
              <w:top w:val="single" w:sz="4" w:space="0" w:color="auto"/>
              <w:bottom w:val="single" w:sz="4" w:space="0" w:color="auto"/>
              <w:right w:val="single" w:sz="4" w:space="0" w:color="auto"/>
            </w:tcBorders>
            <w:shd w:val="clear" w:color="auto" w:fill="DEEAF6"/>
          </w:tcPr>
          <w:p w14:paraId="6566782B" w14:textId="77777777" w:rsidR="00266A17" w:rsidRPr="00163505" w:rsidRDefault="00266A17" w:rsidP="00163505">
            <w:pPr>
              <w:jc w:val="center"/>
              <w:rPr>
                <w:b/>
                <w:color w:val="000000" w:themeColor="text1"/>
                <w:sz w:val="18"/>
                <w:szCs w:val="18"/>
              </w:rPr>
            </w:pPr>
          </w:p>
        </w:tc>
      </w:tr>
      <w:tr w:rsidR="00266A17" w:rsidRPr="00163505" w14:paraId="3B670271" w14:textId="77777777" w:rsidTr="00163505">
        <w:trPr>
          <w:trHeight w:val="400"/>
          <w:tblHeader/>
        </w:trPr>
        <w:tc>
          <w:tcPr>
            <w:tcW w:w="169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1E934666" w14:textId="77777777" w:rsidR="00266A17" w:rsidRPr="00163505" w:rsidRDefault="00266A17" w:rsidP="00163505">
            <w:pPr>
              <w:jc w:val="center"/>
              <w:rPr>
                <w:b/>
                <w:color w:val="000000" w:themeColor="text1"/>
                <w:sz w:val="18"/>
                <w:szCs w:val="18"/>
              </w:rPr>
            </w:pPr>
          </w:p>
        </w:tc>
        <w:tc>
          <w:tcPr>
            <w:tcW w:w="1003" w:type="dxa"/>
            <w:vMerge/>
            <w:tcBorders>
              <w:top w:val="single" w:sz="8" w:space="0" w:color="auto"/>
              <w:left w:val="nil"/>
              <w:bottom w:val="single" w:sz="8" w:space="0" w:color="000000"/>
              <w:right w:val="single" w:sz="8" w:space="0" w:color="auto"/>
            </w:tcBorders>
            <w:shd w:val="clear" w:color="auto" w:fill="DEEAF6"/>
            <w:vAlign w:val="center"/>
            <w:hideMark/>
          </w:tcPr>
          <w:p w14:paraId="130070FA" w14:textId="77777777" w:rsidR="00266A17" w:rsidRPr="00163505" w:rsidRDefault="00266A17" w:rsidP="00163505">
            <w:pPr>
              <w:jc w:val="center"/>
              <w:rPr>
                <w:b/>
                <w:color w:val="000000" w:themeColor="text1"/>
                <w:sz w:val="18"/>
                <w:szCs w:val="18"/>
              </w:rPr>
            </w:pPr>
          </w:p>
        </w:tc>
        <w:tc>
          <w:tcPr>
            <w:tcW w:w="1275" w:type="dxa"/>
            <w:gridSpan w:val="2"/>
            <w:tcBorders>
              <w:top w:val="single" w:sz="8" w:space="0" w:color="auto"/>
              <w:left w:val="nil"/>
              <w:bottom w:val="single" w:sz="8" w:space="0" w:color="auto"/>
              <w:right w:val="single" w:sz="8" w:space="0" w:color="000000"/>
            </w:tcBorders>
            <w:shd w:val="clear" w:color="auto" w:fill="DEEAF6"/>
            <w:vAlign w:val="center"/>
            <w:hideMark/>
          </w:tcPr>
          <w:p w14:paraId="12FAE9F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Total</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3EEE2C41"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+0.5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522481B2"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+1</w:t>
            </w:r>
          </w:p>
        </w:tc>
        <w:tc>
          <w:tcPr>
            <w:tcW w:w="1275"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5D90597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+1.5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05C4EEDE"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+2</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6F0C7CC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-0.5</w:t>
            </w:r>
          </w:p>
        </w:tc>
        <w:tc>
          <w:tcPr>
            <w:tcW w:w="1275"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4D1CF9F3"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-1</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6BADB6B7"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-1.5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024789B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-2</w:t>
            </w:r>
          </w:p>
        </w:tc>
        <w:tc>
          <w:tcPr>
            <w:tcW w:w="1276" w:type="dxa"/>
            <w:gridSpan w:val="3"/>
            <w:tcBorders>
              <w:top w:val="single" w:sz="8" w:space="0" w:color="auto"/>
              <w:left w:val="single" w:sz="8" w:space="0" w:color="auto"/>
              <w:bottom w:val="single" w:sz="8" w:space="0" w:color="auto"/>
              <w:right w:val="single" w:sz="8" w:space="0" w:color="000000"/>
            </w:tcBorders>
            <w:shd w:val="clear" w:color="auto" w:fill="DEEAF6"/>
            <w:vAlign w:val="center"/>
            <w:hideMark/>
          </w:tcPr>
          <w:p w14:paraId="0D7ACF15"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-2.5</w:t>
            </w:r>
          </w:p>
        </w:tc>
      </w:tr>
      <w:tr w:rsidR="00163505" w:rsidRPr="00163505" w14:paraId="0BD5A311" w14:textId="77777777" w:rsidTr="00163505">
        <w:trPr>
          <w:trHeight w:val="320"/>
          <w:tblHeader/>
        </w:trPr>
        <w:tc>
          <w:tcPr>
            <w:tcW w:w="169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79D5812A" w14:textId="77777777" w:rsidR="00266A17" w:rsidRPr="00163505" w:rsidRDefault="00266A17" w:rsidP="00163505">
            <w:pPr>
              <w:jc w:val="center"/>
              <w:rPr>
                <w:b/>
                <w:color w:val="000000" w:themeColor="text1"/>
                <w:sz w:val="18"/>
                <w:szCs w:val="18"/>
              </w:rPr>
            </w:pPr>
          </w:p>
        </w:tc>
        <w:tc>
          <w:tcPr>
            <w:tcW w:w="1003" w:type="dxa"/>
            <w:tcBorders>
              <w:top w:val="nil"/>
              <w:left w:val="nil"/>
              <w:bottom w:val="single" w:sz="8" w:space="0" w:color="auto"/>
              <w:right w:val="single" w:sz="8" w:space="0" w:color="auto"/>
            </w:tcBorders>
            <w:shd w:val="clear" w:color="auto" w:fill="DEEAF6"/>
            <w:noWrap/>
            <w:vAlign w:val="center"/>
            <w:hideMark/>
          </w:tcPr>
          <w:p w14:paraId="0EC9197A"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567" w:type="dxa"/>
            <w:tcBorders>
              <w:top w:val="nil"/>
              <w:left w:val="nil"/>
              <w:bottom w:val="single" w:sz="8" w:space="0" w:color="auto"/>
              <w:right w:val="single" w:sz="8" w:space="0" w:color="000000"/>
            </w:tcBorders>
            <w:shd w:val="clear" w:color="auto" w:fill="DEEAF6"/>
            <w:noWrap/>
            <w:vAlign w:val="center"/>
            <w:hideMark/>
          </w:tcPr>
          <w:p w14:paraId="53E3227A"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4BAE9543"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03A0F73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139DF70"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7" w:type="dxa"/>
            <w:tcBorders>
              <w:top w:val="nil"/>
              <w:left w:val="nil"/>
              <w:bottom w:val="single" w:sz="8" w:space="0" w:color="auto"/>
              <w:right w:val="single" w:sz="8" w:space="0" w:color="000000"/>
            </w:tcBorders>
            <w:shd w:val="clear" w:color="auto" w:fill="DEEAF6"/>
            <w:noWrap/>
            <w:vAlign w:val="center"/>
            <w:hideMark/>
          </w:tcPr>
          <w:p w14:paraId="343DA454"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9" w:type="dxa"/>
            <w:tcBorders>
              <w:top w:val="nil"/>
              <w:left w:val="nil"/>
              <w:bottom w:val="single" w:sz="8" w:space="0" w:color="auto"/>
              <w:right w:val="single" w:sz="8" w:space="0" w:color="000000"/>
            </w:tcBorders>
            <w:shd w:val="clear" w:color="auto" w:fill="DEEAF6"/>
            <w:noWrap/>
            <w:vAlign w:val="center"/>
            <w:hideMark/>
          </w:tcPr>
          <w:p w14:paraId="3BD5FFC9"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7" w:type="dxa"/>
            <w:tcBorders>
              <w:top w:val="nil"/>
              <w:left w:val="nil"/>
              <w:bottom w:val="single" w:sz="8" w:space="0" w:color="auto"/>
              <w:right w:val="single" w:sz="8" w:space="0" w:color="000000"/>
            </w:tcBorders>
            <w:shd w:val="clear" w:color="auto" w:fill="DEEAF6"/>
            <w:noWrap/>
            <w:vAlign w:val="center"/>
            <w:hideMark/>
          </w:tcPr>
          <w:p w14:paraId="1BC2909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1232EBF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8" w:type="dxa"/>
            <w:tcBorders>
              <w:top w:val="nil"/>
              <w:left w:val="nil"/>
              <w:bottom w:val="single" w:sz="8" w:space="0" w:color="auto"/>
              <w:right w:val="single" w:sz="8" w:space="0" w:color="000000"/>
            </w:tcBorders>
            <w:shd w:val="clear" w:color="auto" w:fill="DEEAF6"/>
            <w:noWrap/>
            <w:vAlign w:val="center"/>
            <w:hideMark/>
          </w:tcPr>
          <w:p w14:paraId="46944D02"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425B287B"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3E2CDFF5"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A989BB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7" w:type="dxa"/>
            <w:tcBorders>
              <w:top w:val="nil"/>
              <w:left w:val="nil"/>
              <w:bottom w:val="single" w:sz="8" w:space="0" w:color="auto"/>
              <w:right w:val="single" w:sz="8" w:space="0" w:color="000000"/>
            </w:tcBorders>
            <w:shd w:val="clear" w:color="auto" w:fill="DEEAF6"/>
            <w:noWrap/>
            <w:vAlign w:val="center"/>
            <w:hideMark/>
          </w:tcPr>
          <w:p w14:paraId="2B9A6990"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DD087FC"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8" w:type="dxa"/>
            <w:tcBorders>
              <w:top w:val="nil"/>
              <w:left w:val="nil"/>
              <w:bottom w:val="single" w:sz="8" w:space="0" w:color="auto"/>
              <w:right w:val="single" w:sz="8" w:space="0" w:color="000000"/>
            </w:tcBorders>
            <w:shd w:val="clear" w:color="auto" w:fill="DEEAF6"/>
            <w:noWrap/>
            <w:vAlign w:val="center"/>
            <w:hideMark/>
          </w:tcPr>
          <w:p w14:paraId="23FDC41D"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59593FC9"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4FF0E52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6793C88E"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426" w:type="dxa"/>
            <w:tcBorders>
              <w:top w:val="single" w:sz="8" w:space="0" w:color="auto"/>
              <w:left w:val="nil"/>
              <w:bottom w:val="single" w:sz="8" w:space="0" w:color="auto"/>
              <w:right w:val="single" w:sz="8" w:space="0" w:color="000000"/>
            </w:tcBorders>
            <w:shd w:val="clear" w:color="auto" w:fill="DEEAF6"/>
            <w:noWrap/>
            <w:vAlign w:val="center"/>
            <w:hideMark/>
          </w:tcPr>
          <w:p w14:paraId="2B81E30D"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850" w:type="dxa"/>
            <w:gridSpan w:val="2"/>
            <w:tcBorders>
              <w:top w:val="nil"/>
              <w:left w:val="nil"/>
              <w:bottom w:val="single" w:sz="8" w:space="0" w:color="auto"/>
              <w:right w:val="single" w:sz="8" w:space="0" w:color="auto"/>
            </w:tcBorders>
            <w:shd w:val="clear" w:color="auto" w:fill="DEEAF6"/>
            <w:noWrap/>
            <w:vAlign w:val="center"/>
            <w:hideMark/>
          </w:tcPr>
          <w:p w14:paraId="30F0400B"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r>
      <w:tr w:rsidR="00266A17" w:rsidRPr="00163505" w14:paraId="7F9C1455"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DDD7814" w14:textId="77777777" w:rsidR="00266A17" w:rsidRPr="00163505" w:rsidRDefault="00266A17" w:rsidP="0024269C">
            <w:pPr>
              <w:rPr>
                <w:sz w:val="18"/>
                <w:szCs w:val="18"/>
              </w:rPr>
            </w:pPr>
            <w:r w:rsidRPr="00163505">
              <w:rPr>
                <w:sz w:val="18"/>
                <w:szCs w:val="18"/>
              </w:rPr>
              <w:t>FFG Cereals - bread</w:t>
            </w:r>
          </w:p>
        </w:tc>
        <w:tc>
          <w:tcPr>
            <w:tcW w:w="1003" w:type="dxa"/>
            <w:tcBorders>
              <w:top w:val="single" w:sz="8" w:space="0" w:color="auto"/>
              <w:left w:val="nil"/>
              <w:bottom w:val="single" w:sz="4" w:space="0" w:color="auto"/>
              <w:right w:val="single" w:sz="8" w:space="0" w:color="auto"/>
            </w:tcBorders>
            <w:shd w:val="clear" w:color="auto" w:fill="auto"/>
            <w:noWrap/>
            <w:vAlign w:val="center"/>
            <w:hideMark/>
          </w:tcPr>
          <w:p w14:paraId="545453E2" w14:textId="77777777" w:rsidR="00266A17" w:rsidRPr="00163505" w:rsidRDefault="00266A17" w:rsidP="0024269C">
            <w:pPr>
              <w:rPr>
                <w:sz w:val="18"/>
                <w:szCs w:val="18"/>
              </w:rPr>
            </w:pPr>
            <w:r w:rsidRPr="00163505">
              <w:rPr>
                <w:sz w:val="18"/>
                <w:szCs w:val="18"/>
              </w:rPr>
              <w:t>226</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2DCEB"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nil"/>
            </w:tcBorders>
            <w:shd w:val="clear" w:color="auto" w:fill="auto"/>
            <w:noWrap/>
            <w:vAlign w:val="bottom"/>
            <w:hideMark/>
          </w:tcPr>
          <w:p w14:paraId="4E81F8B7"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2F5A0C"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129E68D6" w14:textId="77777777" w:rsidR="00266A17" w:rsidRPr="00163505" w:rsidRDefault="00266A17" w:rsidP="0024269C">
            <w:pPr>
              <w:rPr>
                <w:sz w:val="18"/>
                <w:szCs w:val="18"/>
              </w:rPr>
            </w:pPr>
            <w:r w:rsidRPr="00163505">
              <w:rPr>
                <w:sz w:val="18"/>
                <w:szCs w:val="18"/>
              </w:rPr>
              <w:t>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2289190" w14:textId="77777777" w:rsidR="00266A17" w:rsidRPr="00163505" w:rsidRDefault="00266A17" w:rsidP="0024269C">
            <w:pPr>
              <w:rPr>
                <w:sz w:val="18"/>
                <w:szCs w:val="18"/>
              </w:rPr>
            </w:pPr>
            <w:r w:rsidRPr="00163505">
              <w:rPr>
                <w:sz w:val="18"/>
                <w:szCs w:val="18"/>
              </w:rPr>
              <w:t>0</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14:paraId="49652784" w14:textId="77777777" w:rsidR="00266A17" w:rsidRPr="00163505" w:rsidRDefault="00266A17" w:rsidP="0024269C">
            <w:pPr>
              <w:rPr>
                <w:sz w:val="18"/>
                <w:szCs w:val="18"/>
              </w:rPr>
            </w:pPr>
            <w:r w:rsidRPr="00163505">
              <w:rPr>
                <w:sz w:val="18"/>
                <w:szCs w:val="18"/>
              </w:rPr>
              <w:t>0.0%</w:t>
            </w:r>
          </w:p>
        </w:tc>
        <w:tc>
          <w:tcPr>
            <w:tcW w:w="637" w:type="dxa"/>
            <w:tcBorders>
              <w:top w:val="single" w:sz="8" w:space="0" w:color="auto"/>
              <w:left w:val="nil"/>
              <w:bottom w:val="single" w:sz="4" w:space="0" w:color="auto"/>
              <w:right w:val="single" w:sz="4" w:space="0" w:color="auto"/>
            </w:tcBorders>
            <w:shd w:val="clear" w:color="auto" w:fill="auto"/>
            <w:noWrap/>
            <w:vAlign w:val="bottom"/>
            <w:hideMark/>
          </w:tcPr>
          <w:p w14:paraId="48A9C380"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33BDE975" w14:textId="77777777" w:rsidR="00266A17" w:rsidRPr="00163505" w:rsidRDefault="00266A17" w:rsidP="0024269C">
            <w:pPr>
              <w:rPr>
                <w:sz w:val="18"/>
                <w:szCs w:val="18"/>
              </w:rPr>
            </w:pPr>
            <w:r w:rsidRPr="00163505">
              <w:rPr>
                <w:sz w:val="18"/>
                <w:szCs w:val="18"/>
              </w:rPr>
              <w:t>0.0%</w:t>
            </w:r>
          </w:p>
        </w:tc>
        <w:tc>
          <w:tcPr>
            <w:tcW w:w="638" w:type="dxa"/>
            <w:tcBorders>
              <w:top w:val="single" w:sz="8" w:space="0" w:color="auto"/>
              <w:left w:val="nil"/>
              <w:bottom w:val="single" w:sz="4" w:space="0" w:color="auto"/>
              <w:right w:val="single" w:sz="4" w:space="0" w:color="auto"/>
            </w:tcBorders>
            <w:shd w:val="clear" w:color="auto" w:fill="auto"/>
            <w:noWrap/>
            <w:vAlign w:val="bottom"/>
            <w:hideMark/>
          </w:tcPr>
          <w:p w14:paraId="17B1ECD2"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1FD6FA6D"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1551DBAD"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0065388B" w14:textId="77777777" w:rsidR="00266A17" w:rsidRPr="00163505" w:rsidRDefault="00266A17" w:rsidP="0024269C">
            <w:pPr>
              <w:rPr>
                <w:sz w:val="18"/>
                <w:szCs w:val="18"/>
              </w:rPr>
            </w:pPr>
            <w:r w:rsidRPr="00163505">
              <w:rPr>
                <w:sz w:val="18"/>
                <w:szCs w:val="18"/>
              </w:rPr>
              <w:t>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636E4EB"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42F8DC98" w14:textId="77777777" w:rsidR="00266A17" w:rsidRPr="00163505" w:rsidRDefault="00266A17" w:rsidP="0024269C">
            <w:pPr>
              <w:rPr>
                <w:sz w:val="18"/>
                <w:szCs w:val="18"/>
              </w:rPr>
            </w:pPr>
            <w:r w:rsidRPr="00163505">
              <w:rPr>
                <w:sz w:val="18"/>
                <w:szCs w:val="18"/>
              </w:rPr>
              <w:t>0.0%</w:t>
            </w:r>
          </w:p>
        </w:tc>
        <w:tc>
          <w:tcPr>
            <w:tcW w:w="638" w:type="dxa"/>
            <w:tcBorders>
              <w:top w:val="single" w:sz="8" w:space="0" w:color="auto"/>
              <w:left w:val="nil"/>
              <w:bottom w:val="single" w:sz="4" w:space="0" w:color="auto"/>
              <w:right w:val="single" w:sz="4" w:space="0" w:color="auto"/>
            </w:tcBorders>
            <w:shd w:val="clear" w:color="auto" w:fill="auto"/>
            <w:noWrap/>
            <w:vAlign w:val="bottom"/>
            <w:hideMark/>
          </w:tcPr>
          <w:p w14:paraId="6033978C"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3649B804"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45254958"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427B914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981489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CB26CC" w14:textId="77777777" w:rsidR="00266A17" w:rsidRPr="00163505" w:rsidRDefault="00266A17" w:rsidP="0024269C">
            <w:pPr>
              <w:rPr>
                <w:sz w:val="18"/>
                <w:szCs w:val="18"/>
              </w:rPr>
            </w:pPr>
            <w:r w:rsidRPr="00163505">
              <w:rPr>
                <w:sz w:val="18"/>
                <w:szCs w:val="18"/>
              </w:rPr>
              <w:t>0.0%</w:t>
            </w:r>
          </w:p>
        </w:tc>
      </w:tr>
      <w:tr w:rsidR="00266A17" w:rsidRPr="00163505" w14:paraId="13DEAB17"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1C4F1DF" w14:textId="77777777" w:rsidR="00266A17" w:rsidRPr="00163505" w:rsidRDefault="00266A17" w:rsidP="0024269C">
            <w:pPr>
              <w:rPr>
                <w:sz w:val="18"/>
                <w:szCs w:val="18"/>
              </w:rPr>
            </w:pPr>
            <w:r w:rsidRPr="00163505">
              <w:rPr>
                <w:sz w:val="18"/>
                <w:szCs w:val="18"/>
              </w:rPr>
              <w:t>FFG Cereals - breakfast</w:t>
            </w:r>
          </w:p>
        </w:tc>
        <w:tc>
          <w:tcPr>
            <w:tcW w:w="1003" w:type="dxa"/>
            <w:tcBorders>
              <w:top w:val="nil"/>
              <w:left w:val="nil"/>
              <w:bottom w:val="single" w:sz="4" w:space="0" w:color="auto"/>
              <w:right w:val="single" w:sz="8" w:space="0" w:color="auto"/>
            </w:tcBorders>
            <w:shd w:val="clear" w:color="auto" w:fill="auto"/>
            <w:noWrap/>
            <w:vAlign w:val="center"/>
            <w:hideMark/>
          </w:tcPr>
          <w:p w14:paraId="1B7FCE8E" w14:textId="77777777" w:rsidR="00266A17" w:rsidRPr="00163505" w:rsidRDefault="00266A17" w:rsidP="0024269C">
            <w:pPr>
              <w:rPr>
                <w:sz w:val="18"/>
                <w:szCs w:val="18"/>
              </w:rPr>
            </w:pPr>
            <w:r w:rsidRPr="00163505">
              <w:rPr>
                <w:sz w:val="18"/>
                <w:szCs w:val="18"/>
              </w:rPr>
              <w:t>300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123EF90" w14:textId="77777777" w:rsidR="00266A17" w:rsidRPr="00163505" w:rsidRDefault="00266A17" w:rsidP="0024269C">
            <w:pPr>
              <w:rPr>
                <w:sz w:val="18"/>
                <w:szCs w:val="18"/>
              </w:rPr>
            </w:pPr>
            <w:r w:rsidRPr="00163505">
              <w:rPr>
                <w:sz w:val="18"/>
                <w:szCs w:val="18"/>
              </w:rPr>
              <w:t>100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AAA0FDA" w14:textId="77777777" w:rsidR="00266A17" w:rsidRPr="00163505" w:rsidRDefault="00266A17" w:rsidP="0024269C">
            <w:pPr>
              <w:rPr>
                <w:sz w:val="18"/>
                <w:szCs w:val="18"/>
              </w:rPr>
            </w:pPr>
            <w:r w:rsidRPr="00163505">
              <w:rPr>
                <w:sz w:val="18"/>
                <w:szCs w:val="18"/>
              </w:rPr>
              <w:t>33.3%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92EDBE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5B8537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B65D3F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C809FE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D82B16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DD033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D0B7A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8238D97"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6FBAB9A" w14:textId="77777777" w:rsidR="00266A17" w:rsidRPr="00163505" w:rsidRDefault="00266A17" w:rsidP="0024269C">
            <w:pPr>
              <w:rPr>
                <w:sz w:val="18"/>
                <w:szCs w:val="18"/>
              </w:rPr>
            </w:pPr>
            <w:r w:rsidRPr="00163505">
              <w:rPr>
                <w:sz w:val="18"/>
                <w:szCs w:val="18"/>
              </w:rPr>
              <w:t>48</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FF3134E" w14:textId="77777777" w:rsidR="00266A17" w:rsidRPr="00163505" w:rsidRDefault="00266A17" w:rsidP="0024269C">
            <w:pPr>
              <w:rPr>
                <w:sz w:val="18"/>
                <w:szCs w:val="18"/>
              </w:rPr>
            </w:pPr>
            <w:r w:rsidRPr="00163505">
              <w:rPr>
                <w:sz w:val="18"/>
                <w:szCs w:val="18"/>
              </w:rPr>
              <w:t>16.0%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386170" w14:textId="77777777" w:rsidR="00266A17" w:rsidRPr="00163505" w:rsidRDefault="00266A17" w:rsidP="0024269C">
            <w:pPr>
              <w:rPr>
                <w:sz w:val="18"/>
                <w:szCs w:val="18"/>
              </w:rPr>
            </w:pPr>
            <w:r w:rsidRPr="00163505">
              <w:rPr>
                <w:sz w:val="18"/>
                <w:szCs w:val="18"/>
              </w:rPr>
              <w:t>50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CFEF82D" w14:textId="77777777" w:rsidR="00266A17" w:rsidRPr="00163505" w:rsidRDefault="00266A17" w:rsidP="0024269C">
            <w:pPr>
              <w:rPr>
                <w:sz w:val="18"/>
                <w:szCs w:val="18"/>
              </w:rPr>
            </w:pPr>
            <w:r w:rsidRPr="00163505">
              <w:rPr>
                <w:sz w:val="18"/>
                <w:szCs w:val="18"/>
              </w:rPr>
              <w:t>16.7%</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C83C52C" w14:textId="77777777" w:rsidR="00266A17" w:rsidRPr="00163505" w:rsidRDefault="00266A17" w:rsidP="0024269C">
            <w:pPr>
              <w:rPr>
                <w:sz w:val="18"/>
                <w:szCs w:val="18"/>
              </w:rPr>
            </w:pPr>
            <w:r w:rsidRPr="00163505">
              <w:rPr>
                <w:sz w:val="18"/>
                <w:szCs w:val="18"/>
              </w:rPr>
              <w:t>2</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2FCEF9" w14:textId="77777777" w:rsidR="00266A17" w:rsidRPr="00163505" w:rsidRDefault="00266A17" w:rsidP="0024269C">
            <w:pPr>
              <w:rPr>
                <w:sz w:val="18"/>
                <w:szCs w:val="18"/>
              </w:rPr>
            </w:pPr>
            <w:r w:rsidRPr="00163505">
              <w:rPr>
                <w:sz w:val="18"/>
                <w:szCs w:val="18"/>
              </w:rPr>
              <w:t>0.7%</w:t>
            </w:r>
          </w:p>
        </w:tc>
        <w:tc>
          <w:tcPr>
            <w:tcW w:w="568" w:type="dxa"/>
            <w:tcBorders>
              <w:top w:val="nil"/>
              <w:left w:val="nil"/>
              <w:bottom w:val="single" w:sz="4" w:space="0" w:color="auto"/>
              <w:right w:val="single" w:sz="4" w:space="0" w:color="auto"/>
            </w:tcBorders>
            <w:shd w:val="clear" w:color="auto" w:fill="auto"/>
            <w:noWrap/>
            <w:vAlign w:val="bottom"/>
            <w:hideMark/>
          </w:tcPr>
          <w:p w14:paraId="632403D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7B34F3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4F2556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FC3569D" w14:textId="77777777" w:rsidR="00266A17" w:rsidRPr="00163505" w:rsidRDefault="00266A17" w:rsidP="0024269C">
            <w:pPr>
              <w:rPr>
                <w:sz w:val="18"/>
                <w:szCs w:val="18"/>
              </w:rPr>
            </w:pPr>
            <w:r w:rsidRPr="00163505">
              <w:rPr>
                <w:sz w:val="18"/>
                <w:szCs w:val="18"/>
              </w:rPr>
              <w:t>0.0%</w:t>
            </w:r>
          </w:p>
        </w:tc>
      </w:tr>
      <w:tr w:rsidR="00266A17" w:rsidRPr="00163505" w14:paraId="553301B5"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05653F7" w14:textId="77777777" w:rsidR="00266A17" w:rsidRPr="00163505" w:rsidRDefault="00266A17" w:rsidP="0024269C">
            <w:pPr>
              <w:rPr>
                <w:sz w:val="18"/>
                <w:szCs w:val="18"/>
              </w:rPr>
            </w:pPr>
            <w:r w:rsidRPr="00163505">
              <w:rPr>
                <w:sz w:val="18"/>
                <w:szCs w:val="18"/>
              </w:rPr>
              <w:t>FFG Cereals - pasta/flour/grains</w:t>
            </w:r>
          </w:p>
        </w:tc>
        <w:tc>
          <w:tcPr>
            <w:tcW w:w="1003" w:type="dxa"/>
            <w:tcBorders>
              <w:top w:val="nil"/>
              <w:left w:val="nil"/>
              <w:bottom w:val="single" w:sz="4" w:space="0" w:color="auto"/>
              <w:right w:val="single" w:sz="8" w:space="0" w:color="auto"/>
            </w:tcBorders>
            <w:shd w:val="clear" w:color="auto" w:fill="auto"/>
            <w:noWrap/>
            <w:vAlign w:val="center"/>
            <w:hideMark/>
          </w:tcPr>
          <w:p w14:paraId="6AE016ED" w14:textId="77777777" w:rsidR="00266A17" w:rsidRPr="00163505" w:rsidRDefault="00266A17" w:rsidP="0024269C">
            <w:pPr>
              <w:rPr>
                <w:sz w:val="18"/>
                <w:szCs w:val="18"/>
              </w:rPr>
            </w:pPr>
            <w:r w:rsidRPr="00163505">
              <w:rPr>
                <w:sz w:val="18"/>
                <w:szCs w:val="18"/>
              </w:rPr>
              <w:t>185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1DC6707"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F6944CB" w14:textId="77777777" w:rsidR="00266A17" w:rsidRPr="00163505" w:rsidRDefault="00266A17" w:rsidP="0024269C">
            <w:pPr>
              <w:rPr>
                <w:sz w:val="18"/>
                <w:szCs w:val="18"/>
              </w:rPr>
            </w:pPr>
            <w:r w:rsidRPr="00163505">
              <w:rPr>
                <w:sz w:val="18"/>
                <w:szCs w:val="18"/>
              </w:rPr>
              <w:t>3.2%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481040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4834F5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87803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54DAB8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FB8FC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6C92F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F34232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E365554"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5746B82"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E4D1498" w14:textId="77777777" w:rsidR="00266A17" w:rsidRPr="00163505" w:rsidRDefault="00266A17" w:rsidP="0024269C">
            <w:pPr>
              <w:rPr>
                <w:sz w:val="18"/>
                <w:szCs w:val="18"/>
              </w:rPr>
            </w:pPr>
            <w:r w:rsidRPr="00163505">
              <w:rPr>
                <w:sz w:val="18"/>
                <w:szCs w:val="18"/>
              </w:rPr>
              <w:t>1.6%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E1BF82A"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20C4125" w14:textId="77777777" w:rsidR="00266A17" w:rsidRPr="00163505" w:rsidRDefault="00266A17" w:rsidP="0024269C">
            <w:pPr>
              <w:rPr>
                <w:sz w:val="18"/>
                <w:szCs w:val="18"/>
              </w:rPr>
            </w:pPr>
            <w:r w:rsidRPr="00163505">
              <w:rPr>
                <w:sz w:val="18"/>
                <w:szCs w:val="18"/>
              </w:rPr>
              <w:t>1.6%</w:t>
            </w:r>
          </w:p>
        </w:tc>
        <w:tc>
          <w:tcPr>
            <w:tcW w:w="638" w:type="dxa"/>
            <w:tcBorders>
              <w:top w:val="nil"/>
              <w:left w:val="nil"/>
              <w:bottom w:val="single" w:sz="4" w:space="0" w:color="auto"/>
              <w:right w:val="single" w:sz="4" w:space="0" w:color="auto"/>
            </w:tcBorders>
            <w:shd w:val="clear" w:color="auto" w:fill="auto"/>
            <w:noWrap/>
            <w:vAlign w:val="bottom"/>
            <w:hideMark/>
          </w:tcPr>
          <w:p w14:paraId="4B2BF2C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0D509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9D9E00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674AD2F"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0524BDD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D93ABCE" w14:textId="77777777" w:rsidR="00266A17" w:rsidRPr="00163505" w:rsidRDefault="00266A17" w:rsidP="0024269C">
            <w:pPr>
              <w:rPr>
                <w:sz w:val="18"/>
                <w:szCs w:val="18"/>
              </w:rPr>
            </w:pPr>
            <w:r w:rsidRPr="00163505">
              <w:rPr>
                <w:sz w:val="18"/>
                <w:szCs w:val="18"/>
              </w:rPr>
              <w:t>0.0%</w:t>
            </w:r>
          </w:p>
        </w:tc>
      </w:tr>
      <w:tr w:rsidR="00266A17" w:rsidRPr="00163505" w14:paraId="114CEF5F"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0D570F8" w14:textId="77777777" w:rsidR="00266A17" w:rsidRPr="00163505" w:rsidRDefault="00266A17" w:rsidP="0024269C">
            <w:pPr>
              <w:rPr>
                <w:sz w:val="18"/>
                <w:szCs w:val="18"/>
              </w:rPr>
            </w:pPr>
            <w:r w:rsidRPr="00163505">
              <w:rPr>
                <w:sz w:val="18"/>
                <w:szCs w:val="18"/>
              </w:rPr>
              <w:t>FFG Dairy alternative beverages</w:t>
            </w:r>
          </w:p>
        </w:tc>
        <w:tc>
          <w:tcPr>
            <w:tcW w:w="1003" w:type="dxa"/>
            <w:tcBorders>
              <w:top w:val="nil"/>
              <w:left w:val="nil"/>
              <w:bottom w:val="single" w:sz="4" w:space="0" w:color="auto"/>
              <w:right w:val="single" w:sz="8" w:space="0" w:color="auto"/>
            </w:tcBorders>
            <w:shd w:val="clear" w:color="auto" w:fill="auto"/>
            <w:noWrap/>
            <w:vAlign w:val="center"/>
            <w:hideMark/>
          </w:tcPr>
          <w:p w14:paraId="375BA95E" w14:textId="77777777" w:rsidR="00266A17" w:rsidRPr="00163505" w:rsidRDefault="00266A17" w:rsidP="0024269C">
            <w:pPr>
              <w:rPr>
                <w:sz w:val="18"/>
                <w:szCs w:val="18"/>
              </w:rPr>
            </w:pPr>
            <w:r w:rsidRPr="00163505">
              <w:rPr>
                <w:sz w:val="18"/>
                <w:szCs w:val="18"/>
              </w:rPr>
              <w:t>64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27D5BB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2E34F3F2"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07F4AA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E60BEC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084337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AB6F4E2"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7DD52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0BB6E2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17CC98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B4CC65E"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B62DB1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A7AE9A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8617F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F7001A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FB85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A4B12E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D1FFFE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FAA1E2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C53D66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755CAAB" w14:textId="77777777" w:rsidR="00266A17" w:rsidRPr="00163505" w:rsidRDefault="00266A17" w:rsidP="0024269C">
            <w:pPr>
              <w:rPr>
                <w:sz w:val="18"/>
                <w:szCs w:val="18"/>
              </w:rPr>
            </w:pPr>
            <w:r w:rsidRPr="00163505">
              <w:rPr>
                <w:sz w:val="18"/>
                <w:szCs w:val="18"/>
              </w:rPr>
              <w:t>0.0%</w:t>
            </w:r>
          </w:p>
        </w:tc>
      </w:tr>
      <w:tr w:rsidR="00266A17" w:rsidRPr="00163505" w14:paraId="44A6DC32"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F87BC8B" w14:textId="77777777" w:rsidR="00266A17" w:rsidRPr="00163505" w:rsidRDefault="00266A17" w:rsidP="0024269C">
            <w:pPr>
              <w:rPr>
                <w:sz w:val="18"/>
                <w:szCs w:val="18"/>
              </w:rPr>
            </w:pPr>
            <w:r w:rsidRPr="00163505">
              <w:rPr>
                <w:sz w:val="18"/>
                <w:szCs w:val="18"/>
              </w:rPr>
              <w:t>FFG Dairy - beverages</w:t>
            </w:r>
          </w:p>
        </w:tc>
        <w:tc>
          <w:tcPr>
            <w:tcW w:w="1003" w:type="dxa"/>
            <w:tcBorders>
              <w:top w:val="nil"/>
              <w:left w:val="nil"/>
              <w:bottom w:val="single" w:sz="4" w:space="0" w:color="auto"/>
              <w:right w:val="single" w:sz="8" w:space="0" w:color="auto"/>
            </w:tcBorders>
            <w:shd w:val="clear" w:color="auto" w:fill="auto"/>
            <w:noWrap/>
            <w:vAlign w:val="center"/>
            <w:hideMark/>
          </w:tcPr>
          <w:p w14:paraId="255900B5" w14:textId="77777777" w:rsidR="00266A17" w:rsidRPr="00163505" w:rsidRDefault="00266A17" w:rsidP="0024269C">
            <w:pPr>
              <w:rPr>
                <w:sz w:val="18"/>
                <w:szCs w:val="18"/>
              </w:rPr>
            </w:pPr>
            <w:r w:rsidRPr="00163505">
              <w:rPr>
                <w:sz w:val="18"/>
                <w:szCs w:val="18"/>
              </w:rPr>
              <w:t>485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27CDBEB" w14:textId="77777777" w:rsidR="00266A17" w:rsidRPr="00163505" w:rsidRDefault="00266A17" w:rsidP="0024269C">
            <w:pPr>
              <w:rPr>
                <w:sz w:val="18"/>
                <w:szCs w:val="18"/>
              </w:rPr>
            </w:pPr>
            <w:r w:rsidRPr="00163505">
              <w:rPr>
                <w:sz w:val="18"/>
                <w:szCs w:val="18"/>
              </w:rPr>
              <w:t>13</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B0DC11A" w14:textId="77777777" w:rsidR="00266A17" w:rsidRPr="00163505" w:rsidRDefault="00266A17" w:rsidP="0024269C">
            <w:pPr>
              <w:rPr>
                <w:sz w:val="18"/>
                <w:szCs w:val="18"/>
              </w:rPr>
            </w:pPr>
            <w:r w:rsidRPr="00163505">
              <w:rPr>
                <w:sz w:val="18"/>
                <w:szCs w:val="18"/>
              </w:rPr>
              <w:t>2.7%</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9B5F08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3D8CB5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EFDF58A"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FC191A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FDFB2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D97E8D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7CC87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C7FBB9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4B9113" w14:textId="77777777" w:rsidR="00266A17" w:rsidRPr="00163505" w:rsidRDefault="00266A17" w:rsidP="0024269C">
            <w:pPr>
              <w:rPr>
                <w:sz w:val="18"/>
                <w:szCs w:val="18"/>
              </w:rPr>
            </w:pPr>
            <w:r w:rsidRPr="00163505">
              <w:rPr>
                <w:sz w:val="18"/>
                <w:szCs w:val="18"/>
              </w:rPr>
              <w:t>13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097937" w14:textId="77777777" w:rsidR="00266A17" w:rsidRPr="00163505" w:rsidRDefault="00266A17" w:rsidP="0024269C">
            <w:pPr>
              <w:rPr>
                <w:sz w:val="18"/>
                <w:szCs w:val="18"/>
              </w:rPr>
            </w:pPr>
            <w:r w:rsidRPr="00163505">
              <w:rPr>
                <w:sz w:val="18"/>
                <w:szCs w:val="18"/>
              </w:rPr>
              <w:t>2.7%</w:t>
            </w:r>
          </w:p>
        </w:tc>
        <w:tc>
          <w:tcPr>
            <w:tcW w:w="567" w:type="dxa"/>
            <w:tcBorders>
              <w:top w:val="nil"/>
              <w:left w:val="nil"/>
              <w:bottom w:val="single" w:sz="4" w:space="0" w:color="auto"/>
              <w:right w:val="single" w:sz="4" w:space="0" w:color="auto"/>
            </w:tcBorders>
            <w:shd w:val="clear" w:color="auto" w:fill="auto"/>
            <w:noWrap/>
            <w:vAlign w:val="bottom"/>
            <w:hideMark/>
          </w:tcPr>
          <w:p w14:paraId="7F7C21C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82981C0"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B63794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310438"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D7BA73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BCBD9A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668C2BE"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C03B0EA" w14:textId="77777777" w:rsidR="00266A17" w:rsidRPr="00163505" w:rsidRDefault="00266A17" w:rsidP="0024269C">
            <w:pPr>
              <w:rPr>
                <w:sz w:val="18"/>
                <w:szCs w:val="18"/>
              </w:rPr>
            </w:pPr>
            <w:r w:rsidRPr="00163505">
              <w:rPr>
                <w:sz w:val="18"/>
                <w:szCs w:val="18"/>
              </w:rPr>
              <w:t>0.0%</w:t>
            </w:r>
          </w:p>
        </w:tc>
      </w:tr>
      <w:tr w:rsidR="00266A17" w:rsidRPr="00163505" w14:paraId="74C27DF5"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05A462D" w14:textId="77777777" w:rsidR="00266A17" w:rsidRPr="00163505" w:rsidRDefault="00266A17" w:rsidP="0024269C">
            <w:pPr>
              <w:rPr>
                <w:sz w:val="18"/>
                <w:szCs w:val="18"/>
              </w:rPr>
            </w:pPr>
            <w:r w:rsidRPr="00163505">
              <w:rPr>
                <w:sz w:val="18"/>
                <w:szCs w:val="18"/>
              </w:rPr>
              <w:t>FFG Dairy - beverages dry mix/milk powder</w:t>
            </w:r>
          </w:p>
        </w:tc>
        <w:tc>
          <w:tcPr>
            <w:tcW w:w="1003" w:type="dxa"/>
            <w:tcBorders>
              <w:top w:val="nil"/>
              <w:left w:val="nil"/>
              <w:bottom w:val="single" w:sz="4" w:space="0" w:color="auto"/>
              <w:right w:val="single" w:sz="8" w:space="0" w:color="auto"/>
            </w:tcBorders>
            <w:shd w:val="clear" w:color="auto" w:fill="auto"/>
            <w:noWrap/>
            <w:vAlign w:val="center"/>
            <w:hideMark/>
          </w:tcPr>
          <w:p w14:paraId="32430849" w14:textId="77777777" w:rsidR="00266A17" w:rsidRPr="00163505" w:rsidRDefault="00266A17" w:rsidP="0024269C">
            <w:pPr>
              <w:rPr>
                <w:sz w:val="18"/>
                <w:szCs w:val="18"/>
              </w:rPr>
            </w:pPr>
            <w:r w:rsidRPr="00163505">
              <w:rPr>
                <w:sz w:val="18"/>
                <w:szCs w:val="18"/>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0A1AD7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65896D7F"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43AA03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8213A3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DC340D2"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69AA741"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60F694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8462AE6"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6E8812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B0DAC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C654D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2B0C3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23C426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CCB638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B5CED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6CC0F2E"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D6F16B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9C7C53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FE4F10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CFF2F32" w14:textId="77777777" w:rsidR="00266A17" w:rsidRPr="00163505" w:rsidRDefault="00266A17" w:rsidP="0024269C">
            <w:pPr>
              <w:rPr>
                <w:sz w:val="18"/>
                <w:szCs w:val="18"/>
              </w:rPr>
            </w:pPr>
            <w:r w:rsidRPr="00163505">
              <w:rPr>
                <w:sz w:val="18"/>
                <w:szCs w:val="18"/>
              </w:rPr>
              <w:t>0.0%</w:t>
            </w:r>
          </w:p>
        </w:tc>
      </w:tr>
      <w:tr w:rsidR="00266A17" w:rsidRPr="00163505" w14:paraId="3BFDF881"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4671650" w14:textId="77777777" w:rsidR="00266A17" w:rsidRPr="00163505" w:rsidRDefault="00266A17" w:rsidP="0024269C">
            <w:pPr>
              <w:rPr>
                <w:sz w:val="18"/>
                <w:szCs w:val="18"/>
              </w:rPr>
            </w:pPr>
            <w:r w:rsidRPr="00163505">
              <w:rPr>
                <w:sz w:val="18"/>
                <w:szCs w:val="18"/>
              </w:rPr>
              <w:t>FFG Dairy - cheese</w:t>
            </w:r>
          </w:p>
        </w:tc>
        <w:tc>
          <w:tcPr>
            <w:tcW w:w="1003" w:type="dxa"/>
            <w:tcBorders>
              <w:top w:val="nil"/>
              <w:left w:val="nil"/>
              <w:bottom w:val="single" w:sz="4" w:space="0" w:color="auto"/>
              <w:right w:val="single" w:sz="8" w:space="0" w:color="auto"/>
            </w:tcBorders>
            <w:shd w:val="clear" w:color="auto" w:fill="auto"/>
            <w:noWrap/>
            <w:vAlign w:val="center"/>
            <w:hideMark/>
          </w:tcPr>
          <w:p w14:paraId="61CFF412" w14:textId="77777777" w:rsidR="00266A17" w:rsidRPr="00163505" w:rsidRDefault="00266A17" w:rsidP="0024269C">
            <w:pPr>
              <w:rPr>
                <w:sz w:val="18"/>
                <w:szCs w:val="18"/>
              </w:rPr>
            </w:pPr>
            <w:r w:rsidRPr="00163505">
              <w:rPr>
                <w:sz w:val="18"/>
                <w:szCs w:val="18"/>
              </w:rPr>
              <w:t>443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1D33DC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1FF653C3"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7F8307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6820CC"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0BEE43D"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646BF7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32D1B9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48943E1"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0FDF38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73F48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079D11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58241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6D8F6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2231E5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850954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67A8C5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665F7F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0E7625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7B4EE70"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32C0D10" w14:textId="77777777" w:rsidR="00266A17" w:rsidRPr="00163505" w:rsidRDefault="00266A17" w:rsidP="0024269C">
            <w:pPr>
              <w:rPr>
                <w:sz w:val="18"/>
                <w:szCs w:val="18"/>
              </w:rPr>
            </w:pPr>
            <w:r w:rsidRPr="00163505">
              <w:rPr>
                <w:sz w:val="18"/>
                <w:szCs w:val="18"/>
              </w:rPr>
              <w:t>0.0%</w:t>
            </w:r>
          </w:p>
        </w:tc>
      </w:tr>
      <w:tr w:rsidR="00266A17" w:rsidRPr="00163505" w14:paraId="525F2DBE"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933309A" w14:textId="77777777" w:rsidR="00266A17" w:rsidRPr="00163505" w:rsidRDefault="00266A17" w:rsidP="0024269C">
            <w:pPr>
              <w:rPr>
                <w:sz w:val="18"/>
                <w:szCs w:val="18"/>
              </w:rPr>
            </w:pPr>
            <w:r w:rsidRPr="00163505">
              <w:rPr>
                <w:sz w:val="18"/>
                <w:szCs w:val="18"/>
              </w:rPr>
              <w:t>FFG Dairy - yoghurt, soft cheese</w:t>
            </w:r>
          </w:p>
        </w:tc>
        <w:tc>
          <w:tcPr>
            <w:tcW w:w="1003" w:type="dxa"/>
            <w:tcBorders>
              <w:top w:val="nil"/>
              <w:left w:val="nil"/>
              <w:bottom w:val="single" w:sz="4" w:space="0" w:color="auto"/>
              <w:right w:val="single" w:sz="8" w:space="0" w:color="auto"/>
            </w:tcBorders>
            <w:shd w:val="clear" w:color="auto" w:fill="auto"/>
            <w:noWrap/>
            <w:vAlign w:val="center"/>
            <w:hideMark/>
          </w:tcPr>
          <w:p w14:paraId="5BDC3F36" w14:textId="77777777" w:rsidR="00266A17" w:rsidRPr="00163505" w:rsidRDefault="00266A17" w:rsidP="0024269C">
            <w:pPr>
              <w:rPr>
                <w:sz w:val="18"/>
                <w:szCs w:val="18"/>
              </w:rPr>
            </w:pPr>
            <w:r w:rsidRPr="00163505">
              <w:rPr>
                <w:sz w:val="18"/>
                <w:szCs w:val="18"/>
              </w:rPr>
              <w:t>415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B71EE75" w14:textId="77777777" w:rsidR="00266A17" w:rsidRPr="00163505" w:rsidRDefault="00266A17" w:rsidP="0024269C">
            <w:pPr>
              <w:rPr>
                <w:sz w:val="18"/>
                <w:szCs w:val="18"/>
              </w:rPr>
            </w:pPr>
            <w:r w:rsidRPr="00163505">
              <w:rPr>
                <w:sz w:val="18"/>
                <w:szCs w:val="18"/>
              </w:rPr>
              <w:t>336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CD5D14D" w14:textId="77777777" w:rsidR="00266A17" w:rsidRPr="00163505" w:rsidRDefault="00266A17" w:rsidP="0024269C">
            <w:pPr>
              <w:rPr>
                <w:sz w:val="18"/>
                <w:szCs w:val="18"/>
              </w:rPr>
            </w:pPr>
            <w:r w:rsidRPr="00163505">
              <w:rPr>
                <w:sz w:val="18"/>
                <w:szCs w:val="18"/>
              </w:rPr>
              <w:t>81.0%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1CB45CC" w14:textId="77777777" w:rsidR="00266A17" w:rsidRPr="00163505" w:rsidRDefault="00266A17" w:rsidP="0024269C">
            <w:pPr>
              <w:rPr>
                <w:sz w:val="18"/>
                <w:szCs w:val="18"/>
              </w:rPr>
            </w:pPr>
            <w:r w:rsidRPr="00163505">
              <w:rPr>
                <w:sz w:val="18"/>
                <w:szCs w:val="18"/>
              </w:rPr>
              <w:t>131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E41803F" w14:textId="77777777" w:rsidR="00266A17" w:rsidRPr="00163505" w:rsidRDefault="00266A17" w:rsidP="0024269C">
            <w:pPr>
              <w:rPr>
                <w:sz w:val="18"/>
                <w:szCs w:val="18"/>
              </w:rPr>
            </w:pPr>
            <w:r w:rsidRPr="00163505">
              <w:rPr>
                <w:sz w:val="18"/>
                <w:szCs w:val="18"/>
              </w:rPr>
              <w:t>31.6%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1E1C243" w14:textId="77777777" w:rsidR="00266A17" w:rsidRPr="00163505" w:rsidRDefault="00266A17" w:rsidP="0024269C">
            <w:pPr>
              <w:rPr>
                <w:sz w:val="18"/>
                <w:szCs w:val="18"/>
              </w:rPr>
            </w:pPr>
            <w:r w:rsidRPr="00163505">
              <w:rPr>
                <w:sz w:val="18"/>
                <w:szCs w:val="18"/>
              </w:rPr>
              <w:t>160</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CE641DB" w14:textId="77777777" w:rsidR="00266A17" w:rsidRPr="00163505" w:rsidRDefault="00266A17" w:rsidP="0024269C">
            <w:pPr>
              <w:rPr>
                <w:sz w:val="18"/>
                <w:szCs w:val="18"/>
              </w:rPr>
            </w:pPr>
            <w:r w:rsidRPr="00163505">
              <w:rPr>
                <w:sz w:val="18"/>
                <w:szCs w:val="18"/>
              </w:rPr>
              <w:t>38.6%</w:t>
            </w:r>
          </w:p>
        </w:tc>
        <w:tc>
          <w:tcPr>
            <w:tcW w:w="63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794D44" w14:textId="77777777" w:rsidR="00266A17" w:rsidRPr="00163505" w:rsidRDefault="00266A17" w:rsidP="0024269C">
            <w:pPr>
              <w:rPr>
                <w:sz w:val="18"/>
                <w:szCs w:val="18"/>
              </w:rPr>
            </w:pPr>
            <w:r w:rsidRPr="00163505">
              <w:rPr>
                <w:sz w:val="18"/>
                <w:szCs w:val="18"/>
              </w:rPr>
              <w:t>39</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0961A52" w14:textId="77777777" w:rsidR="00266A17" w:rsidRPr="00163505" w:rsidRDefault="00266A17" w:rsidP="0024269C">
            <w:pPr>
              <w:rPr>
                <w:sz w:val="18"/>
                <w:szCs w:val="18"/>
              </w:rPr>
            </w:pPr>
            <w:r w:rsidRPr="00163505">
              <w:rPr>
                <w:sz w:val="18"/>
                <w:szCs w:val="18"/>
              </w:rPr>
              <w:t>9.4%</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7C95DA" w14:textId="77777777" w:rsidR="00266A17" w:rsidRPr="00163505" w:rsidRDefault="00266A17" w:rsidP="0024269C">
            <w:pPr>
              <w:rPr>
                <w:sz w:val="18"/>
                <w:szCs w:val="18"/>
              </w:rPr>
            </w:pPr>
            <w:r w:rsidRPr="00163505">
              <w:rPr>
                <w:sz w:val="18"/>
                <w:szCs w:val="18"/>
              </w:rPr>
              <w:t>6</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B8DB2C6" w14:textId="77777777" w:rsidR="00266A17" w:rsidRPr="00163505" w:rsidRDefault="00266A17" w:rsidP="0024269C">
            <w:pPr>
              <w:rPr>
                <w:sz w:val="18"/>
                <w:szCs w:val="18"/>
              </w:rPr>
            </w:pPr>
            <w:r w:rsidRPr="00163505">
              <w:rPr>
                <w:sz w:val="18"/>
                <w:szCs w:val="18"/>
              </w:rPr>
              <w:t>1.4%</w:t>
            </w:r>
          </w:p>
        </w:tc>
        <w:tc>
          <w:tcPr>
            <w:tcW w:w="568" w:type="dxa"/>
            <w:tcBorders>
              <w:top w:val="nil"/>
              <w:left w:val="nil"/>
              <w:bottom w:val="single" w:sz="4" w:space="0" w:color="auto"/>
              <w:right w:val="single" w:sz="4" w:space="0" w:color="auto"/>
            </w:tcBorders>
            <w:shd w:val="clear" w:color="auto" w:fill="auto"/>
            <w:noWrap/>
            <w:vAlign w:val="bottom"/>
            <w:hideMark/>
          </w:tcPr>
          <w:p w14:paraId="261022F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419E05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FC0C43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357FC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73B58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E07094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EFAD1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755B1E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D975F4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32E4D7A" w14:textId="77777777" w:rsidR="00266A17" w:rsidRPr="00163505" w:rsidRDefault="00266A17" w:rsidP="0024269C">
            <w:pPr>
              <w:rPr>
                <w:sz w:val="18"/>
                <w:szCs w:val="18"/>
              </w:rPr>
            </w:pPr>
            <w:r w:rsidRPr="00163505">
              <w:rPr>
                <w:sz w:val="18"/>
                <w:szCs w:val="18"/>
              </w:rPr>
              <w:t>0.0%</w:t>
            </w:r>
          </w:p>
        </w:tc>
      </w:tr>
      <w:tr w:rsidR="00266A17" w:rsidRPr="00163505" w14:paraId="210C71B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86AA592" w14:textId="77777777" w:rsidR="00266A17" w:rsidRPr="00163505" w:rsidRDefault="00266A17" w:rsidP="0024269C">
            <w:pPr>
              <w:rPr>
                <w:sz w:val="18"/>
                <w:szCs w:val="18"/>
              </w:rPr>
            </w:pPr>
            <w:r w:rsidRPr="00163505">
              <w:rPr>
                <w:sz w:val="18"/>
                <w:szCs w:val="18"/>
              </w:rPr>
              <w:t>Dairy Discretionary foods - cream</w:t>
            </w:r>
          </w:p>
        </w:tc>
        <w:tc>
          <w:tcPr>
            <w:tcW w:w="1003" w:type="dxa"/>
            <w:tcBorders>
              <w:top w:val="nil"/>
              <w:left w:val="nil"/>
              <w:bottom w:val="single" w:sz="4" w:space="0" w:color="auto"/>
              <w:right w:val="single" w:sz="8" w:space="0" w:color="auto"/>
            </w:tcBorders>
            <w:shd w:val="clear" w:color="auto" w:fill="auto"/>
            <w:noWrap/>
            <w:vAlign w:val="center"/>
            <w:hideMark/>
          </w:tcPr>
          <w:p w14:paraId="1E5E99D3" w14:textId="77777777" w:rsidR="00266A17" w:rsidRPr="00163505" w:rsidRDefault="00266A17" w:rsidP="0024269C">
            <w:pPr>
              <w:rPr>
                <w:sz w:val="18"/>
                <w:szCs w:val="18"/>
              </w:rPr>
            </w:pPr>
            <w:r w:rsidRPr="00163505">
              <w:rPr>
                <w:sz w:val="18"/>
                <w:szCs w:val="18"/>
              </w:rPr>
              <w:t>68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E3FE794"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4A3EDE2" w14:textId="77777777" w:rsidR="00266A17" w:rsidRPr="00163505" w:rsidRDefault="00266A17" w:rsidP="0024269C">
            <w:pPr>
              <w:rPr>
                <w:sz w:val="18"/>
                <w:szCs w:val="18"/>
              </w:rPr>
            </w:pPr>
            <w:r w:rsidRPr="00163505">
              <w:rPr>
                <w:sz w:val="18"/>
                <w:szCs w:val="18"/>
              </w:rPr>
              <w:t>1.5%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FE9DE2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9FB687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E3540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81A7BBC"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B09BF2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FF8000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82709B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CAC1888"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135E097"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AF5C9C2" w14:textId="77777777" w:rsidR="00266A17" w:rsidRPr="00163505" w:rsidRDefault="00266A17" w:rsidP="0024269C">
            <w:pPr>
              <w:rPr>
                <w:sz w:val="18"/>
                <w:szCs w:val="18"/>
              </w:rPr>
            </w:pPr>
            <w:r w:rsidRPr="00163505">
              <w:rPr>
                <w:sz w:val="18"/>
                <w:szCs w:val="18"/>
              </w:rPr>
              <w:t>1.5%</w:t>
            </w:r>
          </w:p>
        </w:tc>
        <w:tc>
          <w:tcPr>
            <w:tcW w:w="567" w:type="dxa"/>
            <w:tcBorders>
              <w:top w:val="nil"/>
              <w:left w:val="nil"/>
              <w:bottom w:val="single" w:sz="4" w:space="0" w:color="auto"/>
              <w:right w:val="single" w:sz="4" w:space="0" w:color="auto"/>
            </w:tcBorders>
            <w:shd w:val="clear" w:color="auto" w:fill="auto"/>
            <w:noWrap/>
            <w:vAlign w:val="bottom"/>
            <w:hideMark/>
          </w:tcPr>
          <w:p w14:paraId="424A0D9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F7315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F2CC33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34B569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C47130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DB140A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40AAD2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8A15A28" w14:textId="77777777" w:rsidR="00266A17" w:rsidRPr="00163505" w:rsidRDefault="00266A17" w:rsidP="0024269C">
            <w:pPr>
              <w:rPr>
                <w:sz w:val="18"/>
                <w:szCs w:val="18"/>
              </w:rPr>
            </w:pPr>
            <w:r w:rsidRPr="00163505">
              <w:rPr>
                <w:sz w:val="18"/>
                <w:szCs w:val="18"/>
              </w:rPr>
              <w:t>0.0%</w:t>
            </w:r>
          </w:p>
        </w:tc>
      </w:tr>
      <w:tr w:rsidR="00266A17" w:rsidRPr="00163505" w14:paraId="607D005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5737ABB" w14:textId="77777777" w:rsidR="00266A17" w:rsidRPr="00163505" w:rsidRDefault="00266A17" w:rsidP="0024269C">
            <w:pPr>
              <w:rPr>
                <w:sz w:val="18"/>
                <w:szCs w:val="18"/>
              </w:rPr>
            </w:pPr>
            <w:r w:rsidRPr="00163505">
              <w:rPr>
                <w:sz w:val="18"/>
                <w:szCs w:val="18"/>
              </w:rPr>
              <w:t>Dairy Discretionary foods - cream cheese</w:t>
            </w:r>
          </w:p>
        </w:tc>
        <w:tc>
          <w:tcPr>
            <w:tcW w:w="1003" w:type="dxa"/>
            <w:tcBorders>
              <w:top w:val="nil"/>
              <w:left w:val="nil"/>
              <w:bottom w:val="single" w:sz="4" w:space="0" w:color="auto"/>
              <w:right w:val="single" w:sz="8" w:space="0" w:color="auto"/>
            </w:tcBorders>
            <w:shd w:val="clear" w:color="auto" w:fill="auto"/>
            <w:noWrap/>
            <w:vAlign w:val="center"/>
            <w:hideMark/>
          </w:tcPr>
          <w:p w14:paraId="6A383E6F" w14:textId="77777777" w:rsidR="00266A17" w:rsidRPr="00163505" w:rsidRDefault="00266A17" w:rsidP="0024269C">
            <w:pPr>
              <w:rPr>
                <w:sz w:val="18"/>
                <w:szCs w:val="18"/>
              </w:rPr>
            </w:pPr>
            <w:r w:rsidRPr="00163505">
              <w:rPr>
                <w:sz w:val="18"/>
                <w:szCs w:val="18"/>
              </w:rPr>
              <w:t>67</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AC014C0"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05E8B6DC" w14:textId="77777777" w:rsidR="00266A17" w:rsidRPr="00163505" w:rsidRDefault="00266A17" w:rsidP="0024269C">
            <w:pPr>
              <w:rPr>
                <w:sz w:val="18"/>
                <w:szCs w:val="18"/>
              </w:rPr>
            </w:pPr>
            <w:r w:rsidRPr="00163505">
              <w:rPr>
                <w:sz w:val="18"/>
                <w:szCs w:val="18"/>
              </w:rPr>
              <w:t>7.5%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BBBD6B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029C8B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E059C7F"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8519EB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E4193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4B2BCF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80799B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6A09004"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8C1CC6F"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CC9624" w14:textId="77777777" w:rsidR="00266A17" w:rsidRPr="00163505" w:rsidRDefault="00266A17" w:rsidP="0024269C">
            <w:pPr>
              <w:rPr>
                <w:sz w:val="18"/>
                <w:szCs w:val="18"/>
              </w:rPr>
            </w:pPr>
            <w:r w:rsidRPr="00163505">
              <w:rPr>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3CA8B86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FB7DCC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B9E8EF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CDEB80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469D6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B11C02E"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30661E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6E7AA4C" w14:textId="77777777" w:rsidR="00266A17" w:rsidRPr="00163505" w:rsidRDefault="00266A17" w:rsidP="0024269C">
            <w:pPr>
              <w:rPr>
                <w:sz w:val="18"/>
                <w:szCs w:val="18"/>
              </w:rPr>
            </w:pPr>
            <w:r w:rsidRPr="00163505">
              <w:rPr>
                <w:sz w:val="18"/>
                <w:szCs w:val="18"/>
              </w:rPr>
              <w:t>0.0%</w:t>
            </w:r>
          </w:p>
        </w:tc>
      </w:tr>
      <w:tr w:rsidR="00266A17" w:rsidRPr="00163505" w14:paraId="454AEB46"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6832EE6" w14:textId="77777777" w:rsidR="00266A17" w:rsidRPr="00163505" w:rsidRDefault="00266A17" w:rsidP="0024269C">
            <w:pPr>
              <w:rPr>
                <w:sz w:val="18"/>
                <w:szCs w:val="18"/>
              </w:rPr>
            </w:pPr>
            <w:r w:rsidRPr="00163505">
              <w:rPr>
                <w:sz w:val="18"/>
                <w:szCs w:val="18"/>
              </w:rPr>
              <w:t>Fats, oils &amp; oil-based spreads</w:t>
            </w:r>
          </w:p>
        </w:tc>
        <w:tc>
          <w:tcPr>
            <w:tcW w:w="1003" w:type="dxa"/>
            <w:tcBorders>
              <w:top w:val="nil"/>
              <w:left w:val="nil"/>
              <w:bottom w:val="single" w:sz="4" w:space="0" w:color="auto"/>
              <w:right w:val="single" w:sz="8" w:space="0" w:color="auto"/>
            </w:tcBorders>
            <w:shd w:val="clear" w:color="auto" w:fill="auto"/>
            <w:noWrap/>
            <w:vAlign w:val="center"/>
            <w:hideMark/>
          </w:tcPr>
          <w:p w14:paraId="61AAFBDA" w14:textId="77777777" w:rsidR="00266A17" w:rsidRPr="00163505" w:rsidRDefault="00266A17" w:rsidP="0024269C">
            <w:pPr>
              <w:rPr>
                <w:sz w:val="18"/>
                <w:szCs w:val="18"/>
              </w:rPr>
            </w:pPr>
            <w:r w:rsidRPr="00163505">
              <w:rPr>
                <w:sz w:val="18"/>
                <w:szCs w:val="18"/>
              </w:rPr>
              <w:t>94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78CD347" w14:textId="77777777" w:rsidR="00266A17" w:rsidRPr="00163505" w:rsidRDefault="00266A17" w:rsidP="0024269C">
            <w:pPr>
              <w:rPr>
                <w:sz w:val="18"/>
                <w:szCs w:val="18"/>
              </w:rPr>
            </w:pPr>
            <w:r w:rsidRPr="00163505">
              <w:rPr>
                <w:sz w:val="18"/>
                <w:szCs w:val="18"/>
              </w:rPr>
              <w:t>53</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0923903" w14:textId="77777777" w:rsidR="00266A17" w:rsidRPr="00163505" w:rsidRDefault="00266A17" w:rsidP="0024269C">
            <w:pPr>
              <w:rPr>
                <w:sz w:val="18"/>
                <w:szCs w:val="18"/>
              </w:rPr>
            </w:pPr>
            <w:r w:rsidRPr="00163505">
              <w:rPr>
                <w:sz w:val="18"/>
                <w:szCs w:val="18"/>
              </w:rPr>
              <w:t>56.4%</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4A2096C" w14:textId="77777777" w:rsidR="00266A17" w:rsidRPr="00163505" w:rsidRDefault="00266A17" w:rsidP="0024269C">
            <w:pPr>
              <w:rPr>
                <w:sz w:val="18"/>
                <w:szCs w:val="18"/>
              </w:rPr>
            </w:pPr>
            <w:r w:rsidRPr="00163505">
              <w:rPr>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7504C46" w14:textId="77777777" w:rsidR="00266A17" w:rsidRPr="00163505" w:rsidRDefault="00266A17" w:rsidP="0024269C">
            <w:pPr>
              <w:rPr>
                <w:sz w:val="18"/>
                <w:szCs w:val="18"/>
              </w:rPr>
            </w:pPr>
            <w:r w:rsidRPr="00163505">
              <w:rPr>
                <w:sz w:val="18"/>
                <w:szCs w:val="18"/>
              </w:rPr>
              <w:t>42.6%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E8B03AD" w14:textId="77777777" w:rsidR="00266A17" w:rsidRPr="00163505" w:rsidRDefault="00266A17" w:rsidP="0024269C">
            <w:pPr>
              <w:rPr>
                <w:sz w:val="18"/>
                <w:szCs w:val="18"/>
              </w:rPr>
            </w:pPr>
            <w:r w:rsidRPr="00163505">
              <w:rPr>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618F36A" w14:textId="77777777" w:rsidR="00266A17" w:rsidRPr="00163505" w:rsidRDefault="00266A17" w:rsidP="0024269C">
            <w:pPr>
              <w:rPr>
                <w:sz w:val="18"/>
                <w:szCs w:val="18"/>
              </w:rPr>
            </w:pPr>
            <w:r w:rsidRPr="00163505">
              <w:rPr>
                <w:sz w:val="18"/>
                <w:szCs w:val="18"/>
              </w:rPr>
              <w:t>13.8%</w:t>
            </w:r>
          </w:p>
        </w:tc>
        <w:tc>
          <w:tcPr>
            <w:tcW w:w="637" w:type="dxa"/>
            <w:tcBorders>
              <w:top w:val="nil"/>
              <w:left w:val="nil"/>
              <w:bottom w:val="single" w:sz="4" w:space="0" w:color="auto"/>
              <w:right w:val="single" w:sz="4" w:space="0" w:color="auto"/>
            </w:tcBorders>
            <w:shd w:val="clear" w:color="auto" w:fill="auto"/>
            <w:noWrap/>
            <w:vAlign w:val="bottom"/>
            <w:hideMark/>
          </w:tcPr>
          <w:p w14:paraId="663F152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D1C603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A454B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F53649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D47132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AB79E2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13A50B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536AE7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DD07B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14320B"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BD09F0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725B0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71B53A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E649F96" w14:textId="77777777" w:rsidR="00266A17" w:rsidRPr="00163505" w:rsidRDefault="00266A17" w:rsidP="0024269C">
            <w:pPr>
              <w:rPr>
                <w:sz w:val="18"/>
                <w:szCs w:val="18"/>
              </w:rPr>
            </w:pPr>
            <w:r w:rsidRPr="00163505">
              <w:rPr>
                <w:sz w:val="18"/>
                <w:szCs w:val="18"/>
              </w:rPr>
              <w:t>0.0%</w:t>
            </w:r>
          </w:p>
        </w:tc>
      </w:tr>
      <w:tr w:rsidR="00266A17" w:rsidRPr="00163505" w14:paraId="50BF324C"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630B598" w14:textId="77777777" w:rsidR="00266A17" w:rsidRPr="00163505" w:rsidRDefault="00266A17" w:rsidP="0024269C">
            <w:pPr>
              <w:rPr>
                <w:sz w:val="18"/>
                <w:szCs w:val="18"/>
              </w:rPr>
            </w:pPr>
            <w:r w:rsidRPr="00163505">
              <w:rPr>
                <w:sz w:val="18"/>
                <w:szCs w:val="18"/>
              </w:rPr>
              <w:t>Flavoured water</w:t>
            </w:r>
          </w:p>
        </w:tc>
        <w:tc>
          <w:tcPr>
            <w:tcW w:w="1003" w:type="dxa"/>
            <w:tcBorders>
              <w:top w:val="nil"/>
              <w:left w:val="nil"/>
              <w:bottom w:val="single" w:sz="4" w:space="0" w:color="auto"/>
              <w:right w:val="single" w:sz="8" w:space="0" w:color="auto"/>
            </w:tcBorders>
            <w:shd w:val="clear" w:color="auto" w:fill="auto"/>
            <w:noWrap/>
            <w:vAlign w:val="center"/>
            <w:hideMark/>
          </w:tcPr>
          <w:p w14:paraId="75B367E6" w14:textId="77777777" w:rsidR="00266A17" w:rsidRPr="00163505" w:rsidRDefault="00266A17" w:rsidP="0024269C">
            <w:pPr>
              <w:rPr>
                <w:sz w:val="18"/>
                <w:szCs w:val="18"/>
              </w:rPr>
            </w:pPr>
            <w:r w:rsidRPr="00163505">
              <w:rPr>
                <w:sz w:val="18"/>
                <w:szCs w:val="18"/>
              </w:rPr>
              <w:t>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EA5E108"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3CB6E120" w14:textId="77777777" w:rsidR="00266A17" w:rsidRPr="00163505" w:rsidRDefault="00266A17" w:rsidP="0024269C">
            <w:pPr>
              <w:rPr>
                <w:sz w:val="18"/>
                <w:szCs w:val="18"/>
              </w:rPr>
            </w:pPr>
            <w:r w:rsidRPr="00163505">
              <w:rPr>
                <w:sz w:val="18"/>
                <w:szCs w:val="18"/>
              </w:rPr>
              <w:t>22.2%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EE74D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9FE49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3118D7D"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36DA7F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0D1610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B8375F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D52A38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65887D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5F8751"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4D6E3D9" w14:textId="77777777" w:rsidR="00266A17" w:rsidRPr="00163505" w:rsidRDefault="00266A17" w:rsidP="0024269C">
            <w:pPr>
              <w:rPr>
                <w:sz w:val="18"/>
                <w:szCs w:val="18"/>
              </w:rPr>
            </w:pPr>
            <w:r w:rsidRPr="00163505">
              <w:rPr>
                <w:sz w:val="18"/>
                <w:szCs w:val="18"/>
              </w:rPr>
              <w:t>22.2%</w:t>
            </w:r>
          </w:p>
        </w:tc>
        <w:tc>
          <w:tcPr>
            <w:tcW w:w="567" w:type="dxa"/>
            <w:tcBorders>
              <w:top w:val="nil"/>
              <w:left w:val="nil"/>
              <w:bottom w:val="single" w:sz="4" w:space="0" w:color="auto"/>
              <w:right w:val="single" w:sz="4" w:space="0" w:color="auto"/>
            </w:tcBorders>
            <w:shd w:val="clear" w:color="auto" w:fill="auto"/>
            <w:noWrap/>
            <w:vAlign w:val="bottom"/>
            <w:hideMark/>
          </w:tcPr>
          <w:p w14:paraId="72EFE93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8D33766"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A01427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D5F6CD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0DED13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F0C061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B5175A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F1C0380" w14:textId="77777777" w:rsidR="00266A17" w:rsidRPr="00163505" w:rsidRDefault="00266A17" w:rsidP="0024269C">
            <w:pPr>
              <w:rPr>
                <w:sz w:val="18"/>
                <w:szCs w:val="18"/>
              </w:rPr>
            </w:pPr>
            <w:r w:rsidRPr="00163505">
              <w:rPr>
                <w:sz w:val="18"/>
                <w:szCs w:val="18"/>
              </w:rPr>
              <w:t>0.0%</w:t>
            </w:r>
          </w:p>
        </w:tc>
      </w:tr>
      <w:tr w:rsidR="00266A17" w:rsidRPr="00163505" w14:paraId="79301EF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1F95D8F" w14:textId="77777777" w:rsidR="00266A17" w:rsidRPr="00163505" w:rsidRDefault="00266A17" w:rsidP="0024269C">
            <w:pPr>
              <w:rPr>
                <w:sz w:val="18"/>
                <w:szCs w:val="18"/>
              </w:rPr>
            </w:pPr>
            <w:r w:rsidRPr="00163505">
              <w:rPr>
                <w:sz w:val="18"/>
                <w:szCs w:val="18"/>
              </w:rPr>
              <w:t>Fruit - other juices</w:t>
            </w:r>
          </w:p>
        </w:tc>
        <w:tc>
          <w:tcPr>
            <w:tcW w:w="1003" w:type="dxa"/>
            <w:tcBorders>
              <w:top w:val="nil"/>
              <w:left w:val="nil"/>
              <w:bottom w:val="single" w:sz="4" w:space="0" w:color="auto"/>
              <w:right w:val="single" w:sz="8" w:space="0" w:color="auto"/>
            </w:tcBorders>
            <w:shd w:val="clear" w:color="auto" w:fill="auto"/>
            <w:noWrap/>
            <w:vAlign w:val="center"/>
            <w:hideMark/>
          </w:tcPr>
          <w:p w14:paraId="66870985" w14:textId="77777777" w:rsidR="00266A17" w:rsidRPr="00163505" w:rsidRDefault="00266A17" w:rsidP="0024269C">
            <w:pPr>
              <w:rPr>
                <w:sz w:val="18"/>
                <w:szCs w:val="18"/>
              </w:rPr>
            </w:pPr>
            <w:r w:rsidRPr="00163505">
              <w:rPr>
                <w:sz w:val="18"/>
                <w:szCs w:val="18"/>
              </w:rPr>
              <w:t>69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5851399"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3D4DBE15" w14:textId="77777777" w:rsidR="00266A17" w:rsidRPr="00163505" w:rsidRDefault="00266A17" w:rsidP="0024269C">
            <w:pPr>
              <w:rPr>
                <w:sz w:val="18"/>
                <w:szCs w:val="18"/>
              </w:rPr>
            </w:pPr>
            <w:r w:rsidRPr="00163505">
              <w:rPr>
                <w:sz w:val="18"/>
                <w:szCs w:val="18"/>
              </w:rPr>
              <w:t>2.9%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A81FBE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A8AED2"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D477E1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ABCFCFD"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425E6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2DB12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3F1DD1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0BA9C2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2049EB7"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649AE91" w14:textId="77777777" w:rsidR="00266A17" w:rsidRPr="00163505" w:rsidRDefault="00266A17" w:rsidP="0024269C">
            <w:pPr>
              <w:rPr>
                <w:sz w:val="18"/>
                <w:szCs w:val="18"/>
              </w:rPr>
            </w:pPr>
            <w:r w:rsidRPr="00163505">
              <w:rPr>
                <w:sz w:val="18"/>
                <w:szCs w:val="18"/>
              </w:rPr>
              <w:t>2.9%</w:t>
            </w:r>
          </w:p>
        </w:tc>
        <w:tc>
          <w:tcPr>
            <w:tcW w:w="567" w:type="dxa"/>
            <w:tcBorders>
              <w:top w:val="nil"/>
              <w:left w:val="nil"/>
              <w:bottom w:val="single" w:sz="4" w:space="0" w:color="auto"/>
              <w:right w:val="single" w:sz="4" w:space="0" w:color="auto"/>
            </w:tcBorders>
            <w:shd w:val="clear" w:color="auto" w:fill="auto"/>
            <w:noWrap/>
            <w:vAlign w:val="bottom"/>
            <w:hideMark/>
          </w:tcPr>
          <w:p w14:paraId="33BAD39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53CBF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C50F4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E838B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D48C1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01000E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0FEE1D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D2A41EF" w14:textId="77777777" w:rsidR="00266A17" w:rsidRPr="00163505" w:rsidRDefault="00266A17" w:rsidP="0024269C">
            <w:pPr>
              <w:rPr>
                <w:sz w:val="18"/>
                <w:szCs w:val="18"/>
              </w:rPr>
            </w:pPr>
            <w:r w:rsidRPr="00163505">
              <w:rPr>
                <w:sz w:val="18"/>
                <w:szCs w:val="18"/>
              </w:rPr>
              <w:t>0.0%</w:t>
            </w:r>
          </w:p>
        </w:tc>
      </w:tr>
      <w:tr w:rsidR="00266A17" w:rsidRPr="00163505" w14:paraId="639B33F5"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6213CA7" w14:textId="77777777" w:rsidR="00266A17" w:rsidRPr="00163505" w:rsidRDefault="00266A17" w:rsidP="0024269C">
            <w:pPr>
              <w:rPr>
                <w:sz w:val="18"/>
                <w:szCs w:val="18"/>
              </w:rPr>
            </w:pPr>
            <w:r w:rsidRPr="00163505">
              <w:rPr>
                <w:sz w:val="18"/>
                <w:szCs w:val="18"/>
              </w:rPr>
              <w:t>Fruit - processed</w:t>
            </w:r>
          </w:p>
        </w:tc>
        <w:tc>
          <w:tcPr>
            <w:tcW w:w="1003" w:type="dxa"/>
            <w:tcBorders>
              <w:top w:val="nil"/>
              <w:left w:val="nil"/>
              <w:bottom w:val="single" w:sz="4" w:space="0" w:color="auto"/>
              <w:right w:val="single" w:sz="8" w:space="0" w:color="auto"/>
            </w:tcBorders>
            <w:shd w:val="clear" w:color="auto" w:fill="auto"/>
            <w:noWrap/>
            <w:vAlign w:val="center"/>
            <w:hideMark/>
          </w:tcPr>
          <w:p w14:paraId="0420B8CD" w14:textId="77777777" w:rsidR="00266A17" w:rsidRPr="00163505" w:rsidRDefault="00266A17" w:rsidP="0024269C">
            <w:pPr>
              <w:rPr>
                <w:sz w:val="18"/>
                <w:szCs w:val="18"/>
              </w:rPr>
            </w:pPr>
            <w:r w:rsidRPr="00163505">
              <w:rPr>
                <w:sz w:val="18"/>
                <w:szCs w:val="18"/>
              </w:rPr>
              <w:t>125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65E33B0" w14:textId="77777777" w:rsidR="00266A17" w:rsidRPr="00163505" w:rsidRDefault="00266A17" w:rsidP="0024269C">
            <w:pPr>
              <w:rPr>
                <w:sz w:val="18"/>
                <w:szCs w:val="18"/>
              </w:rPr>
            </w:pPr>
            <w:r w:rsidRPr="00163505">
              <w:rPr>
                <w:sz w:val="18"/>
                <w:szCs w:val="18"/>
              </w:rPr>
              <w:t>51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6F1CF04" w14:textId="77777777" w:rsidR="00266A17" w:rsidRPr="00163505" w:rsidRDefault="00266A17" w:rsidP="0024269C">
            <w:pPr>
              <w:rPr>
                <w:sz w:val="18"/>
                <w:szCs w:val="18"/>
              </w:rPr>
            </w:pPr>
            <w:r w:rsidRPr="00163505">
              <w:rPr>
                <w:sz w:val="18"/>
                <w:szCs w:val="18"/>
              </w:rPr>
              <w:t>40.8%</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59F8B78" w14:textId="77777777" w:rsidR="00266A17" w:rsidRPr="00163505" w:rsidRDefault="00266A17" w:rsidP="0024269C">
            <w:pPr>
              <w:rPr>
                <w:sz w:val="18"/>
                <w:szCs w:val="18"/>
              </w:rPr>
            </w:pPr>
            <w:r w:rsidRPr="00163505">
              <w:rPr>
                <w:sz w:val="18"/>
                <w:szCs w:val="18"/>
              </w:rPr>
              <w:t>37</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4B64B37" w14:textId="77777777" w:rsidR="00266A17" w:rsidRPr="00163505" w:rsidRDefault="00266A17" w:rsidP="0024269C">
            <w:pPr>
              <w:rPr>
                <w:sz w:val="18"/>
                <w:szCs w:val="18"/>
              </w:rPr>
            </w:pPr>
            <w:r w:rsidRPr="00163505">
              <w:rPr>
                <w:sz w:val="18"/>
                <w:szCs w:val="18"/>
              </w:rPr>
              <w:t>29.6%</w:t>
            </w:r>
          </w:p>
        </w:tc>
        <w:tc>
          <w:tcPr>
            <w:tcW w:w="567" w:type="dxa"/>
            <w:tcBorders>
              <w:top w:val="nil"/>
              <w:left w:val="nil"/>
              <w:bottom w:val="single" w:sz="4" w:space="0" w:color="auto"/>
              <w:right w:val="single" w:sz="4" w:space="0" w:color="auto"/>
            </w:tcBorders>
            <w:shd w:val="clear" w:color="auto" w:fill="auto"/>
            <w:noWrap/>
            <w:vAlign w:val="bottom"/>
            <w:hideMark/>
          </w:tcPr>
          <w:p w14:paraId="407067E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34EEA7A"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58610D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3406BE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9797E4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4EE241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EEB45F8" w14:textId="77777777" w:rsidR="00266A17" w:rsidRPr="00163505" w:rsidRDefault="00266A17" w:rsidP="0024269C">
            <w:pPr>
              <w:rPr>
                <w:sz w:val="18"/>
                <w:szCs w:val="18"/>
              </w:rPr>
            </w:pPr>
            <w:r w:rsidRPr="00163505">
              <w:rPr>
                <w:sz w:val="18"/>
                <w:szCs w:val="18"/>
              </w:rPr>
              <w:t>14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E81D1A" w14:textId="77777777" w:rsidR="00266A17" w:rsidRPr="00163505" w:rsidRDefault="00266A17" w:rsidP="0024269C">
            <w:pPr>
              <w:rPr>
                <w:sz w:val="18"/>
                <w:szCs w:val="18"/>
              </w:rPr>
            </w:pPr>
            <w:r w:rsidRPr="00163505">
              <w:rPr>
                <w:sz w:val="18"/>
                <w:szCs w:val="18"/>
              </w:rPr>
              <w:t>11.2%</w:t>
            </w:r>
          </w:p>
        </w:tc>
        <w:tc>
          <w:tcPr>
            <w:tcW w:w="567" w:type="dxa"/>
            <w:tcBorders>
              <w:top w:val="nil"/>
              <w:left w:val="nil"/>
              <w:bottom w:val="single" w:sz="4" w:space="0" w:color="auto"/>
              <w:right w:val="single" w:sz="4" w:space="0" w:color="auto"/>
            </w:tcBorders>
            <w:shd w:val="clear" w:color="auto" w:fill="auto"/>
            <w:noWrap/>
            <w:vAlign w:val="bottom"/>
            <w:hideMark/>
          </w:tcPr>
          <w:p w14:paraId="0DB1386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2CD85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8B826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015420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A93571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1801FE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B5412D7"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363B81E" w14:textId="77777777" w:rsidR="00266A17" w:rsidRPr="00163505" w:rsidRDefault="00266A17" w:rsidP="0024269C">
            <w:pPr>
              <w:rPr>
                <w:sz w:val="18"/>
                <w:szCs w:val="18"/>
              </w:rPr>
            </w:pPr>
            <w:r w:rsidRPr="00163505">
              <w:rPr>
                <w:sz w:val="18"/>
                <w:szCs w:val="18"/>
              </w:rPr>
              <w:t>0.0%</w:t>
            </w:r>
          </w:p>
        </w:tc>
      </w:tr>
      <w:tr w:rsidR="00266A17" w:rsidRPr="00163505" w14:paraId="1648D10F"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4252EC5" w14:textId="77777777" w:rsidR="00266A17" w:rsidRPr="00163505" w:rsidRDefault="00266A17" w:rsidP="0024269C">
            <w:pPr>
              <w:rPr>
                <w:sz w:val="18"/>
                <w:szCs w:val="18"/>
              </w:rPr>
            </w:pPr>
            <w:r w:rsidRPr="00163505">
              <w:rPr>
                <w:sz w:val="18"/>
                <w:szCs w:val="18"/>
              </w:rPr>
              <w:lastRenderedPageBreak/>
              <w:t>Fruit - unprocessed</w:t>
            </w:r>
          </w:p>
        </w:tc>
        <w:tc>
          <w:tcPr>
            <w:tcW w:w="1003" w:type="dxa"/>
            <w:tcBorders>
              <w:top w:val="nil"/>
              <w:left w:val="nil"/>
              <w:bottom w:val="single" w:sz="4" w:space="0" w:color="auto"/>
              <w:right w:val="single" w:sz="8" w:space="0" w:color="auto"/>
            </w:tcBorders>
            <w:shd w:val="clear" w:color="auto" w:fill="auto"/>
            <w:noWrap/>
            <w:vAlign w:val="center"/>
            <w:hideMark/>
          </w:tcPr>
          <w:p w14:paraId="31802391" w14:textId="77777777" w:rsidR="00266A17" w:rsidRPr="00163505" w:rsidRDefault="00266A17" w:rsidP="0024269C">
            <w:pPr>
              <w:rPr>
                <w:sz w:val="18"/>
                <w:szCs w:val="18"/>
              </w:rPr>
            </w:pPr>
            <w:r w:rsidRPr="00163505">
              <w:rPr>
                <w:sz w:val="18"/>
                <w:szCs w:val="18"/>
              </w:rPr>
              <w:t>33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BE15003" w14:textId="77777777" w:rsidR="00266A17" w:rsidRPr="00163505" w:rsidRDefault="00266A17" w:rsidP="0024269C">
            <w:pPr>
              <w:rPr>
                <w:sz w:val="18"/>
                <w:szCs w:val="18"/>
              </w:rPr>
            </w:pPr>
            <w:r w:rsidRPr="00163505">
              <w:rPr>
                <w:sz w:val="18"/>
                <w:szCs w:val="18"/>
              </w:rPr>
              <w:t>20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DC750DE" w14:textId="77777777" w:rsidR="00266A17" w:rsidRPr="00163505" w:rsidRDefault="00266A17" w:rsidP="0024269C">
            <w:pPr>
              <w:rPr>
                <w:sz w:val="18"/>
                <w:szCs w:val="18"/>
              </w:rPr>
            </w:pPr>
            <w:r w:rsidRPr="00163505">
              <w:rPr>
                <w:sz w:val="18"/>
                <w:szCs w:val="18"/>
              </w:rPr>
              <w:t>60.6%</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2761CF4" w14:textId="77777777" w:rsidR="00266A17" w:rsidRPr="00163505" w:rsidRDefault="00266A17" w:rsidP="0024269C">
            <w:pPr>
              <w:rPr>
                <w:sz w:val="18"/>
                <w:szCs w:val="18"/>
              </w:rPr>
            </w:pPr>
            <w:r w:rsidRPr="00163505">
              <w:rPr>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841A159" w14:textId="77777777" w:rsidR="00266A17" w:rsidRPr="00163505" w:rsidRDefault="00266A17" w:rsidP="0024269C">
            <w:pPr>
              <w:rPr>
                <w:sz w:val="18"/>
                <w:szCs w:val="18"/>
              </w:rPr>
            </w:pPr>
            <w:r w:rsidRPr="00163505">
              <w:rPr>
                <w:sz w:val="18"/>
                <w:szCs w:val="18"/>
              </w:rPr>
              <w:t>60.6%</w:t>
            </w:r>
          </w:p>
        </w:tc>
        <w:tc>
          <w:tcPr>
            <w:tcW w:w="567" w:type="dxa"/>
            <w:tcBorders>
              <w:top w:val="nil"/>
              <w:left w:val="nil"/>
              <w:bottom w:val="single" w:sz="4" w:space="0" w:color="auto"/>
              <w:right w:val="single" w:sz="4" w:space="0" w:color="auto"/>
            </w:tcBorders>
            <w:shd w:val="clear" w:color="auto" w:fill="auto"/>
            <w:noWrap/>
            <w:vAlign w:val="bottom"/>
            <w:hideMark/>
          </w:tcPr>
          <w:p w14:paraId="28D78B9B"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0137C9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69FB16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65A2B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1F5E2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B6CEA8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C6EBC8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F443B57"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7A526B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5CB6C8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81017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C57897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540CCE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201A8BC"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B3270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7EC7B74" w14:textId="77777777" w:rsidR="00266A17" w:rsidRPr="00163505" w:rsidRDefault="00266A17" w:rsidP="0024269C">
            <w:pPr>
              <w:rPr>
                <w:sz w:val="18"/>
                <w:szCs w:val="18"/>
              </w:rPr>
            </w:pPr>
            <w:r w:rsidRPr="00163505">
              <w:rPr>
                <w:sz w:val="18"/>
                <w:szCs w:val="18"/>
              </w:rPr>
              <w:t>0.0%</w:t>
            </w:r>
          </w:p>
        </w:tc>
      </w:tr>
      <w:tr w:rsidR="00266A17" w:rsidRPr="00163505" w14:paraId="46137077"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288DD9B" w14:textId="77777777" w:rsidR="00266A17" w:rsidRPr="00163505" w:rsidRDefault="00266A17" w:rsidP="0024269C">
            <w:pPr>
              <w:rPr>
                <w:sz w:val="18"/>
                <w:szCs w:val="18"/>
              </w:rPr>
            </w:pPr>
            <w:r w:rsidRPr="00163505">
              <w:rPr>
                <w:sz w:val="18"/>
                <w:szCs w:val="18"/>
              </w:rPr>
              <w:t>Fruit - whole juices</w:t>
            </w:r>
          </w:p>
        </w:tc>
        <w:tc>
          <w:tcPr>
            <w:tcW w:w="1003" w:type="dxa"/>
            <w:tcBorders>
              <w:top w:val="nil"/>
              <w:left w:val="nil"/>
              <w:bottom w:val="single" w:sz="4" w:space="0" w:color="auto"/>
              <w:right w:val="single" w:sz="8" w:space="0" w:color="auto"/>
            </w:tcBorders>
            <w:shd w:val="clear" w:color="auto" w:fill="auto"/>
            <w:noWrap/>
            <w:vAlign w:val="center"/>
            <w:hideMark/>
          </w:tcPr>
          <w:p w14:paraId="57AA3CC7" w14:textId="77777777" w:rsidR="00266A17" w:rsidRPr="00163505" w:rsidRDefault="00266A17" w:rsidP="0024269C">
            <w:pPr>
              <w:rPr>
                <w:sz w:val="18"/>
                <w:szCs w:val="18"/>
              </w:rPr>
            </w:pPr>
            <w:r w:rsidRPr="00163505">
              <w:rPr>
                <w:sz w:val="18"/>
                <w:szCs w:val="18"/>
              </w:rPr>
              <w:t>240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8EA8459"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7E423F3" w14:textId="77777777" w:rsidR="00266A17" w:rsidRPr="00163505" w:rsidRDefault="00266A17" w:rsidP="0024269C">
            <w:pPr>
              <w:rPr>
                <w:sz w:val="18"/>
                <w:szCs w:val="18"/>
              </w:rPr>
            </w:pPr>
            <w:r w:rsidRPr="00163505">
              <w:rPr>
                <w:sz w:val="18"/>
                <w:szCs w:val="18"/>
              </w:rPr>
              <w:t>2.5%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643DE0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4AA31C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0435FD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3C1048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ED6F90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81C101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7A1B26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145B27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9DB8CAA"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B03A03" w14:textId="77777777" w:rsidR="00266A17" w:rsidRPr="00163505" w:rsidRDefault="00266A17" w:rsidP="0024269C">
            <w:pPr>
              <w:rPr>
                <w:sz w:val="18"/>
                <w:szCs w:val="18"/>
              </w:rPr>
            </w:pPr>
            <w:r w:rsidRPr="00163505">
              <w:rPr>
                <w:sz w:val="18"/>
                <w:szCs w:val="18"/>
              </w:rPr>
              <w:t>2.5%</w:t>
            </w:r>
          </w:p>
        </w:tc>
        <w:tc>
          <w:tcPr>
            <w:tcW w:w="567" w:type="dxa"/>
            <w:tcBorders>
              <w:top w:val="nil"/>
              <w:left w:val="nil"/>
              <w:bottom w:val="single" w:sz="4" w:space="0" w:color="auto"/>
              <w:right w:val="single" w:sz="4" w:space="0" w:color="auto"/>
            </w:tcBorders>
            <w:shd w:val="clear" w:color="auto" w:fill="auto"/>
            <w:noWrap/>
            <w:vAlign w:val="bottom"/>
            <w:hideMark/>
          </w:tcPr>
          <w:p w14:paraId="21AE604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9B05FC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E583DC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A46A9E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3F0B5A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47553A9"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417304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8A3918C" w14:textId="77777777" w:rsidR="00266A17" w:rsidRPr="00163505" w:rsidRDefault="00266A17" w:rsidP="0024269C">
            <w:pPr>
              <w:rPr>
                <w:sz w:val="18"/>
                <w:szCs w:val="18"/>
              </w:rPr>
            </w:pPr>
            <w:r w:rsidRPr="00163505">
              <w:rPr>
                <w:sz w:val="18"/>
                <w:szCs w:val="18"/>
              </w:rPr>
              <w:t>0.0%</w:t>
            </w:r>
          </w:p>
        </w:tc>
      </w:tr>
      <w:tr w:rsidR="00266A17" w:rsidRPr="00163505" w14:paraId="3E04C089"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CE5F71" w14:textId="77777777" w:rsidR="00266A17" w:rsidRPr="00163505" w:rsidRDefault="00266A17" w:rsidP="0024269C">
            <w:pPr>
              <w:rPr>
                <w:sz w:val="18"/>
                <w:szCs w:val="18"/>
              </w:rPr>
            </w:pPr>
            <w:r w:rsidRPr="00163505">
              <w:rPr>
                <w:sz w:val="18"/>
                <w:szCs w:val="18"/>
              </w:rPr>
              <w:t>Discretionary foods - bakery/cake mixes</w:t>
            </w:r>
          </w:p>
        </w:tc>
        <w:tc>
          <w:tcPr>
            <w:tcW w:w="1003" w:type="dxa"/>
            <w:tcBorders>
              <w:top w:val="nil"/>
              <w:left w:val="nil"/>
              <w:bottom w:val="single" w:sz="4" w:space="0" w:color="auto"/>
              <w:right w:val="single" w:sz="8" w:space="0" w:color="auto"/>
            </w:tcBorders>
            <w:shd w:val="clear" w:color="auto" w:fill="auto"/>
            <w:noWrap/>
            <w:vAlign w:val="center"/>
            <w:hideMark/>
          </w:tcPr>
          <w:p w14:paraId="72306690" w14:textId="77777777" w:rsidR="00266A17" w:rsidRPr="00163505" w:rsidRDefault="00266A17" w:rsidP="0024269C">
            <w:pPr>
              <w:rPr>
                <w:sz w:val="18"/>
                <w:szCs w:val="18"/>
              </w:rPr>
            </w:pPr>
            <w:r w:rsidRPr="00163505">
              <w:rPr>
                <w:sz w:val="18"/>
                <w:szCs w:val="18"/>
              </w:rPr>
              <w:t>122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5DB8D89" w14:textId="77777777" w:rsidR="00266A17" w:rsidRPr="00163505" w:rsidRDefault="00266A17" w:rsidP="0024269C">
            <w:pPr>
              <w:rPr>
                <w:sz w:val="18"/>
                <w:szCs w:val="18"/>
              </w:rPr>
            </w:pPr>
            <w:r w:rsidRPr="00163505">
              <w:rPr>
                <w:sz w:val="18"/>
                <w:szCs w:val="18"/>
              </w:rPr>
              <w:t>18</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2D197EA" w14:textId="77777777" w:rsidR="00266A17" w:rsidRPr="00163505" w:rsidRDefault="00266A17" w:rsidP="0024269C">
            <w:pPr>
              <w:rPr>
                <w:sz w:val="18"/>
                <w:szCs w:val="18"/>
              </w:rPr>
            </w:pPr>
            <w:r w:rsidRPr="00163505">
              <w:rPr>
                <w:sz w:val="18"/>
                <w:szCs w:val="18"/>
              </w:rPr>
              <w:t>14.8%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DBDA90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009394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CE7D95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58A02C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A993EC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40ADBE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FA3AEF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57C4FD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0EB1BC" w14:textId="77777777" w:rsidR="00266A17" w:rsidRPr="00163505" w:rsidRDefault="00266A17" w:rsidP="0024269C">
            <w:pPr>
              <w:rPr>
                <w:sz w:val="18"/>
                <w:szCs w:val="18"/>
              </w:rPr>
            </w:pPr>
            <w:r w:rsidRPr="00163505">
              <w:rPr>
                <w:sz w:val="18"/>
                <w:szCs w:val="18"/>
              </w:rPr>
              <w:t>18</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7C54499" w14:textId="77777777" w:rsidR="00266A17" w:rsidRPr="00163505" w:rsidRDefault="00266A17" w:rsidP="0024269C">
            <w:pPr>
              <w:rPr>
                <w:sz w:val="18"/>
                <w:szCs w:val="18"/>
              </w:rPr>
            </w:pPr>
            <w:r w:rsidRPr="00163505">
              <w:rPr>
                <w:sz w:val="18"/>
                <w:szCs w:val="18"/>
              </w:rPr>
              <w:t>14.8%</w:t>
            </w:r>
          </w:p>
        </w:tc>
        <w:tc>
          <w:tcPr>
            <w:tcW w:w="567" w:type="dxa"/>
            <w:tcBorders>
              <w:top w:val="nil"/>
              <w:left w:val="nil"/>
              <w:bottom w:val="single" w:sz="4" w:space="0" w:color="auto"/>
              <w:right w:val="single" w:sz="4" w:space="0" w:color="auto"/>
            </w:tcBorders>
            <w:shd w:val="clear" w:color="auto" w:fill="auto"/>
            <w:noWrap/>
            <w:vAlign w:val="bottom"/>
            <w:hideMark/>
          </w:tcPr>
          <w:p w14:paraId="45E5907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2E46B9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FFF6BF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4DD0DA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F62EC9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119F8B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C66C13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D0E70A8" w14:textId="77777777" w:rsidR="00266A17" w:rsidRPr="00163505" w:rsidRDefault="00266A17" w:rsidP="0024269C">
            <w:pPr>
              <w:rPr>
                <w:sz w:val="18"/>
                <w:szCs w:val="18"/>
              </w:rPr>
            </w:pPr>
            <w:r w:rsidRPr="00163505">
              <w:rPr>
                <w:sz w:val="18"/>
                <w:szCs w:val="18"/>
              </w:rPr>
              <w:t>0.0%</w:t>
            </w:r>
          </w:p>
        </w:tc>
      </w:tr>
      <w:tr w:rsidR="00266A17" w:rsidRPr="00163505" w14:paraId="15649041"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75B2A00" w14:textId="77777777" w:rsidR="00266A17" w:rsidRPr="00163505" w:rsidRDefault="00266A17" w:rsidP="0024269C">
            <w:pPr>
              <w:rPr>
                <w:sz w:val="18"/>
                <w:szCs w:val="18"/>
              </w:rPr>
            </w:pPr>
            <w:r w:rsidRPr="00163505">
              <w:rPr>
                <w:sz w:val="18"/>
                <w:szCs w:val="18"/>
              </w:rPr>
              <w:t>Discretionary foods - beverage dry mixes</w:t>
            </w:r>
          </w:p>
        </w:tc>
        <w:tc>
          <w:tcPr>
            <w:tcW w:w="1003" w:type="dxa"/>
            <w:tcBorders>
              <w:top w:val="nil"/>
              <w:left w:val="nil"/>
              <w:bottom w:val="single" w:sz="4" w:space="0" w:color="auto"/>
              <w:right w:val="single" w:sz="8" w:space="0" w:color="auto"/>
            </w:tcBorders>
            <w:shd w:val="clear" w:color="auto" w:fill="auto"/>
            <w:noWrap/>
            <w:vAlign w:val="center"/>
            <w:hideMark/>
          </w:tcPr>
          <w:p w14:paraId="5F6720DC" w14:textId="77777777" w:rsidR="00266A17" w:rsidRPr="00163505" w:rsidRDefault="00266A17" w:rsidP="0024269C">
            <w:pPr>
              <w:rPr>
                <w:sz w:val="18"/>
                <w:szCs w:val="18"/>
              </w:rPr>
            </w:pPr>
            <w:r w:rsidRPr="00163505">
              <w:rPr>
                <w:sz w:val="18"/>
                <w:szCs w:val="18"/>
              </w:rPr>
              <w:t>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64701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322DDA5C"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41EBC6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A2DE7F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E2821C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4A4BA9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E9710E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46FD31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10218A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878D62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EBD3A7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78B0F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D299D0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0797F8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01DB55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EC34C0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549B9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86921C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42576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0206237" w14:textId="77777777" w:rsidR="00266A17" w:rsidRPr="00163505" w:rsidRDefault="00266A17" w:rsidP="0024269C">
            <w:pPr>
              <w:rPr>
                <w:sz w:val="18"/>
                <w:szCs w:val="18"/>
              </w:rPr>
            </w:pPr>
            <w:r w:rsidRPr="00163505">
              <w:rPr>
                <w:sz w:val="18"/>
                <w:szCs w:val="18"/>
              </w:rPr>
              <w:t>0.0%</w:t>
            </w:r>
          </w:p>
        </w:tc>
      </w:tr>
      <w:tr w:rsidR="00266A17" w:rsidRPr="00163505" w14:paraId="4887374D"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DFED0E6" w14:textId="77777777" w:rsidR="00266A17" w:rsidRPr="00163505" w:rsidRDefault="00266A17" w:rsidP="0024269C">
            <w:pPr>
              <w:rPr>
                <w:sz w:val="18"/>
                <w:szCs w:val="18"/>
              </w:rPr>
            </w:pPr>
            <w:r w:rsidRPr="00163505">
              <w:rPr>
                <w:sz w:val="18"/>
                <w:szCs w:val="18"/>
              </w:rPr>
              <w:t>Discretionary foods - biscuits</w:t>
            </w:r>
          </w:p>
        </w:tc>
        <w:tc>
          <w:tcPr>
            <w:tcW w:w="1003" w:type="dxa"/>
            <w:tcBorders>
              <w:top w:val="nil"/>
              <w:left w:val="nil"/>
              <w:bottom w:val="single" w:sz="4" w:space="0" w:color="auto"/>
              <w:right w:val="single" w:sz="8" w:space="0" w:color="auto"/>
            </w:tcBorders>
            <w:shd w:val="clear" w:color="auto" w:fill="auto"/>
            <w:noWrap/>
            <w:vAlign w:val="center"/>
            <w:hideMark/>
          </w:tcPr>
          <w:p w14:paraId="43A0E5BD" w14:textId="77777777" w:rsidR="00266A17" w:rsidRPr="00163505" w:rsidRDefault="00266A17" w:rsidP="0024269C">
            <w:pPr>
              <w:rPr>
                <w:sz w:val="18"/>
                <w:szCs w:val="18"/>
              </w:rPr>
            </w:pPr>
            <w:r w:rsidRPr="00163505">
              <w:rPr>
                <w:sz w:val="18"/>
                <w:szCs w:val="18"/>
              </w:rPr>
              <w:t>258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E9A69DE" w14:textId="77777777" w:rsidR="00266A17" w:rsidRPr="00163505" w:rsidRDefault="00266A17" w:rsidP="0024269C">
            <w:pPr>
              <w:rPr>
                <w:sz w:val="18"/>
                <w:szCs w:val="18"/>
              </w:rPr>
            </w:pPr>
            <w:r w:rsidRPr="00163505">
              <w:rPr>
                <w:sz w:val="18"/>
                <w:szCs w:val="18"/>
              </w:rPr>
              <w:t>41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54DC13D5" w14:textId="77777777" w:rsidR="00266A17" w:rsidRPr="00163505" w:rsidRDefault="00266A17" w:rsidP="0024269C">
            <w:pPr>
              <w:rPr>
                <w:sz w:val="18"/>
                <w:szCs w:val="18"/>
              </w:rPr>
            </w:pPr>
            <w:r w:rsidRPr="00163505">
              <w:rPr>
                <w:sz w:val="18"/>
                <w:szCs w:val="18"/>
              </w:rPr>
              <w:t>15.9%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9F1B65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8ECC08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DA3F41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5D7A41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CBE033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8ECD5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1696E6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4BC7A4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AB8CA6" w14:textId="77777777" w:rsidR="00266A17" w:rsidRPr="00163505" w:rsidRDefault="00266A17" w:rsidP="0024269C">
            <w:pPr>
              <w:rPr>
                <w:sz w:val="18"/>
                <w:szCs w:val="18"/>
              </w:rPr>
            </w:pPr>
            <w:r w:rsidRPr="00163505">
              <w:rPr>
                <w:sz w:val="18"/>
                <w:szCs w:val="18"/>
              </w:rPr>
              <w:t>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93F7F24" w14:textId="77777777" w:rsidR="00266A17" w:rsidRPr="00163505" w:rsidRDefault="00266A17" w:rsidP="0024269C">
            <w:pPr>
              <w:rPr>
                <w:sz w:val="18"/>
                <w:szCs w:val="18"/>
              </w:rPr>
            </w:pPr>
            <w:r w:rsidRPr="00163505">
              <w:rPr>
                <w:sz w:val="18"/>
                <w:szCs w:val="18"/>
              </w:rPr>
              <w:t>12.0%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3FD62D0"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AC4C47D" w14:textId="77777777" w:rsidR="00266A17" w:rsidRPr="00163505" w:rsidRDefault="00266A17" w:rsidP="0024269C">
            <w:pPr>
              <w:rPr>
                <w:sz w:val="18"/>
                <w:szCs w:val="18"/>
              </w:rPr>
            </w:pPr>
            <w:r w:rsidRPr="00163505">
              <w:rPr>
                <w:sz w:val="18"/>
                <w:szCs w:val="18"/>
              </w:rPr>
              <w:t>3.9%</w:t>
            </w:r>
          </w:p>
        </w:tc>
        <w:tc>
          <w:tcPr>
            <w:tcW w:w="638" w:type="dxa"/>
            <w:tcBorders>
              <w:top w:val="nil"/>
              <w:left w:val="nil"/>
              <w:bottom w:val="single" w:sz="4" w:space="0" w:color="auto"/>
              <w:right w:val="single" w:sz="4" w:space="0" w:color="auto"/>
            </w:tcBorders>
            <w:shd w:val="clear" w:color="auto" w:fill="auto"/>
            <w:noWrap/>
            <w:vAlign w:val="bottom"/>
            <w:hideMark/>
          </w:tcPr>
          <w:p w14:paraId="49B2E4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EEA3F5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8DB8C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6F5F2E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47518A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B3FC577" w14:textId="77777777" w:rsidR="00266A17" w:rsidRPr="00163505" w:rsidRDefault="00266A17" w:rsidP="0024269C">
            <w:pPr>
              <w:rPr>
                <w:sz w:val="18"/>
                <w:szCs w:val="18"/>
              </w:rPr>
            </w:pPr>
            <w:r w:rsidRPr="00163505">
              <w:rPr>
                <w:sz w:val="18"/>
                <w:szCs w:val="18"/>
              </w:rPr>
              <w:t>0.0%</w:t>
            </w:r>
          </w:p>
        </w:tc>
      </w:tr>
      <w:tr w:rsidR="00266A17" w:rsidRPr="00163505" w14:paraId="081612EA"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6617359" w14:textId="77777777" w:rsidR="00266A17" w:rsidRPr="00163505" w:rsidRDefault="00266A17" w:rsidP="0024269C">
            <w:pPr>
              <w:rPr>
                <w:sz w:val="18"/>
                <w:szCs w:val="18"/>
              </w:rPr>
            </w:pPr>
            <w:r w:rsidRPr="00163505">
              <w:rPr>
                <w:sz w:val="18"/>
                <w:szCs w:val="18"/>
              </w:rPr>
              <w:t>Discretionary foods - carbonated beverages</w:t>
            </w:r>
          </w:p>
        </w:tc>
        <w:tc>
          <w:tcPr>
            <w:tcW w:w="1003" w:type="dxa"/>
            <w:tcBorders>
              <w:top w:val="nil"/>
              <w:left w:val="nil"/>
              <w:bottom w:val="single" w:sz="4" w:space="0" w:color="auto"/>
              <w:right w:val="single" w:sz="8" w:space="0" w:color="auto"/>
            </w:tcBorders>
            <w:shd w:val="clear" w:color="auto" w:fill="auto"/>
            <w:noWrap/>
            <w:vAlign w:val="center"/>
            <w:hideMark/>
          </w:tcPr>
          <w:p w14:paraId="6392BFCC" w14:textId="77777777" w:rsidR="00266A17" w:rsidRPr="00163505" w:rsidRDefault="00266A17" w:rsidP="0024269C">
            <w:pPr>
              <w:rPr>
                <w:sz w:val="18"/>
                <w:szCs w:val="18"/>
              </w:rPr>
            </w:pPr>
            <w:r w:rsidRPr="00163505">
              <w:rPr>
                <w:sz w:val="18"/>
                <w:szCs w:val="18"/>
              </w:rPr>
              <w:t>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FD4E43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5446D38" w14:textId="77777777" w:rsidR="00266A17" w:rsidRPr="00163505" w:rsidRDefault="00266A17" w:rsidP="0024269C">
            <w:pPr>
              <w:rPr>
                <w:sz w:val="18"/>
                <w:szCs w:val="18"/>
              </w:rPr>
            </w:pPr>
            <w:r w:rsidRPr="00163505">
              <w:rPr>
                <w:sz w:val="18"/>
                <w:szCs w:val="18"/>
              </w:rPr>
              <w:t>3.8%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D1EE99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5F5180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6A6D4C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93CA34A"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6512A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2C6D1E0"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06E24B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C844081"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8AB572D"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03C29AC" w14:textId="77777777" w:rsidR="00266A17" w:rsidRPr="00163505" w:rsidRDefault="00266A17" w:rsidP="0024269C">
            <w:pPr>
              <w:rPr>
                <w:sz w:val="18"/>
                <w:szCs w:val="18"/>
              </w:rPr>
            </w:pPr>
            <w:r w:rsidRPr="00163505">
              <w:rPr>
                <w:sz w:val="18"/>
                <w:szCs w:val="18"/>
              </w:rPr>
              <w:t>3.8%</w:t>
            </w:r>
          </w:p>
        </w:tc>
        <w:tc>
          <w:tcPr>
            <w:tcW w:w="567" w:type="dxa"/>
            <w:tcBorders>
              <w:top w:val="nil"/>
              <w:left w:val="nil"/>
              <w:bottom w:val="single" w:sz="4" w:space="0" w:color="auto"/>
              <w:right w:val="single" w:sz="4" w:space="0" w:color="auto"/>
            </w:tcBorders>
            <w:shd w:val="clear" w:color="auto" w:fill="auto"/>
            <w:noWrap/>
            <w:vAlign w:val="bottom"/>
            <w:hideMark/>
          </w:tcPr>
          <w:p w14:paraId="3F177A8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2C4A57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D0BF1C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E47910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A937E5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7622C9E"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C56639E"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9388368" w14:textId="77777777" w:rsidR="00266A17" w:rsidRPr="00163505" w:rsidRDefault="00266A17" w:rsidP="0024269C">
            <w:pPr>
              <w:rPr>
                <w:sz w:val="18"/>
                <w:szCs w:val="18"/>
              </w:rPr>
            </w:pPr>
            <w:r w:rsidRPr="00163505">
              <w:rPr>
                <w:sz w:val="18"/>
                <w:szCs w:val="18"/>
              </w:rPr>
              <w:t>0.0%</w:t>
            </w:r>
          </w:p>
        </w:tc>
      </w:tr>
      <w:tr w:rsidR="00266A17" w:rsidRPr="00163505" w14:paraId="313AAFE7"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1E03E4C" w14:textId="77777777" w:rsidR="00266A17" w:rsidRPr="00163505" w:rsidRDefault="00266A17" w:rsidP="0024269C">
            <w:pPr>
              <w:rPr>
                <w:sz w:val="18"/>
                <w:szCs w:val="18"/>
              </w:rPr>
            </w:pPr>
            <w:r w:rsidRPr="00163505">
              <w:rPr>
                <w:sz w:val="18"/>
                <w:szCs w:val="18"/>
              </w:rPr>
              <w:t>Discretionary foods - confectionery</w:t>
            </w:r>
          </w:p>
        </w:tc>
        <w:tc>
          <w:tcPr>
            <w:tcW w:w="1003" w:type="dxa"/>
            <w:tcBorders>
              <w:top w:val="nil"/>
              <w:left w:val="nil"/>
              <w:bottom w:val="single" w:sz="4" w:space="0" w:color="auto"/>
              <w:right w:val="single" w:sz="8" w:space="0" w:color="auto"/>
            </w:tcBorders>
            <w:shd w:val="clear" w:color="auto" w:fill="auto"/>
            <w:noWrap/>
            <w:vAlign w:val="center"/>
            <w:hideMark/>
          </w:tcPr>
          <w:p w14:paraId="22C2D8A8" w14:textId="77777777" w:rsidR="00266A17" w:rsidRPr="00163505" w:rsidRDefault="00266A17" w:rsidP="0024269C">
            <w:pPr>
              <w:rPr>
                <w:sz w:val="18"/>
                <w:szCs w:val="18"/>
              </w:rPr>
            </w:pPr>
            <w:r w:rsidRPr="00163505">
              <w:rPr>
                <w:sz w:val="18"/>
                <w:szCs w:val="18"/>
              </w:rPr>
              <w:t>93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7FE5FDA"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4AFF839" w14:textId="77777777" w:rsidR="00266A17" w:rsidRPr="00163505" w:rsidRDefault="00266A17" w:rsidP="0024269C">
            <w:pPr>
              <w:rPr>
                <w:sz w:val="18"/>
                <w:szCs w:val="18"/>
              </w:rPr>
            </w:pPr>
            <w:r w:rsidRPr="00163505">
              <w:rPr>
                <w:sz w:val="18"/>
                <w:szCs w:val="18"/>
              </w:rPr>
              <w:t>29.0%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DD28E3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A73A0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76950F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E54FA31"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D0EDC1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E1DC08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670168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51CC29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B60C46A"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A5BCF88" w14:textId="77777777" w:rsidR="00266A17" w:rsidRPr="00163505" w:rsidRDefault="00266A17" w:rsidP="0024269C">
            <w:pPr>
              <w:rPr>
                <w:sz w:val="18"/>
                <w:szCs w:val="18"/>
              </w:rPr>
            </w:pPr>
            <w:r w:rsidRPr="00163505">
              <w:rPr>
                <w:sz w:val="18"/>
                <w:szCs w:val="18"/>
              </w:rPr>
              <w:t>29.0%</w:t>
            </w:r>
          </w:p>
        </w:tc>
        <w:tc>
          <w:tcPr>
            <w:tcW w:w="567" w:type="dxa"/>
            <w:tcBorders>
              <w:top w:val="nil"/>
              <w:left w:val="nil"/>
              <w:bottom w:val="single" w:sz="4" w:space="0" w:color="auto"/>
              <w:right w:val="single" w:sz="4" w:space="0" w:color="auto"/>
            </w:tcBorders>
            <w:shd w:val="clear" w:color="auto" w:fill="auto"/>
            <w:noWrap/>
            <w:vAlign w:val="bottom"/>
            <w:hideMark/>
          </w:tcPr>
          <w:p w14:paraId="4F3550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B63CBA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883C8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B86DAB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F825A6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6D20D49"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3547F63"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BA7D8F3" w14:textId="77777777" w:rsidR="00266A17" w:rsidRPr="00163505" w:rsidRDefault="00266A17" w:rsidP="0024269C">
            <w:pPr>
              <w:rPr>
                <w:sz w:val="18"/>
                <w:szCs w:val="18"/>
              </w:rPr>
            </w:pPr>
            <w:r w:rsidRPr="00163505">
              <w:rPr>
                <w:sz w:val="18"/>
                <w:szCs w:val="18"/>
              </w:rPr>
              <w:t>0.0%</w:t>
            </w:r>
          </w:p>
        </w:tc>
      </w:tr>
      <w:tr w:rsidR="00266A17" w:rsidRPr="00163505" w14:paraId="4EC19ABA"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37B11A7" w14:textId="77777777" w:rsidR="00266A17" w:rsidRPr="00163505" w:rsidRDefault="00266A17" w:rsidP="0024269C">
            <w:pPr>
              <w:rPr>
                <w:sz w:val="18"/>
                <w:szCs w:val="18"/>
              </w:rPr>
            </w:pPr>
            <w:r w:rsidRPr="00163505">
              <w:rPr>
                <w:sz w:val="18"/>
                <w:szCs w:val="18"/>
              </w:rPr>
              <w:t>Discretionary foods - cordial</w:t>
            </w:r>
          </w:p>
        </w:tc>
        <w:tc>
          <w:tcPr>
            <w:tcW w:w="1003" w:type="dxa"/>
            <w:tcBorders>
              <w:top w:val="nil"/>
              <w:left w:val="nil"/>
              <w:bottom w:val="single" w:sz="4" w:space="0" w:color="auto"/>
              <w:right w:val="single" w:sz="8" w:space="0" w:color="auto"/>
            </w:tcBorders>
            <w:shd w:val="clear" w:color="auto" w:fill="auto"/>
            <w:noWrap/>
            <w:vAlign w:val="center"/>
            <w:hideMark/>
          </w:tcPr>
          <w:p w14:paraId="1360FA41" w14:textId="77777777" w:rsidR="00266A17" w:rsidRPr="00163505" w:rsidRDefault="00266A17" w:rsidP="0024269C">
            <w:pPr>
              <w:rPr>
                <w:sz w:val="18"/>
                <w:szCs w:val="18"/>
              </w:rPr>
            </w:pPr>
            <w:r w:rsidRPr="00163505">
              <w:rPr>
                <w:sz w:val="18"/>
                <w:szCs w:val="18"/>
              </w:rPr>
              <w:t>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A6D472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1D4ED40C"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4298B0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8C76DFF"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5D3C38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801D20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8E4817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1484B9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D8895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BE4F17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911181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FD4D49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2EC4FD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EC0B52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1F2EAF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F2CF65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AF38E6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AA9F45"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8ACE71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C2A5312" w14:textId="77777777" w:rsidR="00266A17" w:rsidRPr="00163505" w:rsidRDefault="00266A17" w:rsidP="0024269C">
            <w:pPr>
              <w:rPr>
                <w:sz w:val="18"/>
                <w:szCs w:val="18"/>
              </w:rPr>
            </w:pPr>
            <w:r w:rsidRPr="00163505">
              <w:rPr>
                <w:sz w:val="18"/>
                <w:szCs w:val="18"/>
              </w:rPr>
              <w:t>0.0%</w:t>
            </w:r>
          </w:p>
        </w:tc>
      </w:tr>
      <w:tr w:rsidR="00266A17" w:rsidRPr="00163505" w14:paraId="01A15F69"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459AC75" w14:textId="77777777" w:rsidR="00266A17" w:rsidRPr="00163505" w:rsidRDefault="00266A17" w:rsidP="0024269C">
            <w:pPr>
              <w:rPr>
                <w:sz w:val="18"/>
                <w:szCs w:val="18"/>
              </w:rPr>
            </w:pPr>
            <w:r w:rsidRPr="00163505">
              <w:rPr>
                <w:sz w:val="18"/>
                <w:szCs w:val="18"/>
              </w:rPr>
              <w:t>Discretionary foods - custard/desserts</w:t>
            </w:r>
          </w:p>
        </w:tc>
        <w:tc>
          <w:tcPr>
            <w:tcW w:w="1003" w:type="dxa"/>
            <w:tcBorders>
              <w:top w:val="nil"/>
              <w:left w:val="nil"/>
              <w:bottom w:val="single" w:sz="4" w:space="0" w:color="auto"/>
              <w:right w:val="single" w:sz="8" w:space="0" w:color="auto"/>
            </w:tcBorders>
            <w:shd w:val="clear" w:color="auto" w:fill="auto"/>
            <w:noWrap/>
            <w:vAlign w:val="center"/>
            <w:hideMark/>
          </w:tcPr>
          <w:p w14:paraId="2F39EB02" w14:textId="77777777" w:rsidR="00266A17" w:rsidRPr="00163505" w:rsidRDefault="00266A17" w:rsidP="0024269C">
            <w:pPr>
              <w:rPr>
                <w:sz w:val="18"/>
                <w:szCs w:val="18"/>
              </w:rPr>
            </w:pPr>
            <w:r w:rsidRPr="00163505">
              <w:rPr>
                <w:sz w:val="18"/>
                <w:szCs w:val="18"/>
              </w:rPr>
              <w:t>82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BF971C8" w14:textId="77777777" w:rsidR="00266A17" w:rsidRPr="00163505" w:rsidRDefault="00266A17" w:rsidP="0024269C">
            <w:pPr>
              <w:rPr>
                <w:sz w:val="18"/>
                <w:szCs w:val="18"/>
              </w:rPr>
            </w:pPr>
            <w:r w:rsidRPr="00163505">
              <w:rPr>
                <w:sz w:val="18"/>
                <w:szCs w:val="18"/>
              </w:rPr>
              <w:t>55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0B8EFF7E" w14:textId="77777777" w:rsidR="00266A17" w:rsidRPr="00163505" w:rsidRDefault="00266A17" w:rsidP="0024269C">
            <w:pPr>
              <w:rPr>
                <w:sz w:val="18"/>
                <w:szCs w:val="18"/>
              </w:rPr>
            </w:pPr>
            <w:r w:rsidRPr="00163505">
              <w:rPr>
                <w:sz w:val="18"/>
                <w:szCs w:val="18"/>
              </w:rPr>
              <w:t>67.1%</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7EC4597" w14:textId="77777777" w:rsidR="00266A17" w:rsidRPr="00163505" w:rsidRDefault="00266A17" w:rsidP="0024269C">
            <w:pPr>
              <w:rPr>
                <w:sz w:val="18"/>
                <w:szCs w:val="18"/>
              </w:rPr>
            </w:pPr>
            <w:r w:rsidRPr="00163505">
              <w:rPr>
                <w:sz w:val="18"/>
                <w:szCs w:val="18"/>
              </w:rPr>
              <w:t>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E3669E8" w14:textId="77777777" w:rsidR="00266A17" w:rsidRPr="00163505" w:rsidRDefault="00266A17" w:rsidP="0024269C">
            <w:pPr>
              <w:rPr>
                <w:sz w:val="18"/>
                <w:szCs w:val="18"/>
              </w:rPr>
            </w:pPr>
            <w:r w:rsidRPr="00163505">
              <w:rPr>
                <w:sz w:val="18"/>
                <w:szCs w:val="18"/>
              </w:rPr>
              <w:t>37.8%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8997A9" w14:textId="77777777" w:rsidR="00266A17" w:rsidRPr="00163505" w:rsidRDefault="00266A17" w:rsidP="0024269C">
            <w:pPr>
              <w:rPr>
                <w:sz w:val="18"/>
                <w:szCs w:val="18"/>
              </w:rPr>
            </w:pPr>
            <w:r w:rsidRPr="00163505">
              <w:rPr>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18C18F2" w14:textId="77777777" w:rsidR="00266A17" w:rsidRPr="00163505" w:rsidRDefault="00266A17" w:rsidP="0024269C">
            <w:pPr>
              <w:rPr>
                <w:sz w:val="18"/>
                <w:szCs w:val="18"/>
              </w:rPr>
            </w:pPr>
            <w:r w:rsidRPr="00163505">
              <w:rPr>
                <w:sz w:val="18"/>
                <w:szCs w:val="18"/>
              </w:rPr>
              <w:t>6.1%</w:t>
            </w:r>
          </w:p>
        </w:tc>
        <w:tc>
          <w:tcPr>
            <w:tcW w:w="637" w:type="dxa"/>
            <w:tcBorders>
              <w:top w:val="nil"/>
              <w:left w:val="nil"/>
              <w:bottom w:val="single" w:sz="4" w:space="0" w:color="auto"/>
              <w:right w:val="single" w:sz="4" w:space="0" w:color="auto"/>
            </w:tcBorders>
            <w:shd w:val="clear" w:color="auto" w:fill="auto"/>
            <w:noWrap/>
            <w:vAlign w:val="bottom"/>
            <w:hideMark/>
          </w:tcPr>
          <w:p w14:paraId="66A5BAA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EF58D9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D4621F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92C70A"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7EACC8E"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5B66298" w14:textId="77777777" w:rsidR="00266A17" w:rsidRPr="00163505" w:rsidRDefault="00266A17" w:rsidP="0024269C">
            <w:pPr>
              <w:rPr>
                <w:sz w:val="18"/>
                <w:szCs w:val="18"/>
              </w:rPr>
            </w:pPr>
            <w:r w:rsidRPr="00163505">
              <w:rPr>
                <w:sz w:val="18"/>
                <w:szCs w:val="18"/>
              </w:rPr>
              <w:t>12.2%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0F11033"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B074A18" w14:textId="77777777" w:rsidR="00266A17" w:rsidRPr="00163505" w:rsidRDefault="00266A17" w:rsidP="0024269C">
            <w:pPr>
              <w:rPr>
                <w:sz w:val="18"/>
                <w:szCs w:val="18"/>
              </w:rPr>
            </w:pPr>
            <w:r w:rsidRPr="00163505">
              <w:rPr>
                <w:sz w:val="18"/>
                <w:szCs w:val="18"/>
              </w:rPr>
              <w:t>1.2%</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1B26531" w14:textId="77777777" w:rsidR="00266A17" w:rsidRPr="00163505" w:rsidRDefault="00266A17" w:rsidP="0024269C">
            <w:pPr>
              <w:rPr>
                <w:sz w:val="18"/>
                <w:szCs w:val="18"/>
              </w:rPr>
            </w:pPr>
            <w:r w:rsidRPr="00163505">
              <w:rPr>
                <w:sz w:val="18"/>
                <w:szCs w:val="18"/>
              </w:rPr>
              <w:t>7</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3E0E6FD" w14:textId="77777777" w:rsidR="00266A17" w:rsidRPr="00163505" w:rsidRDefault="00266A17" w:rsidP="0024269C">
            <w:pPr>
              <w:rPr>
                <w:sz w:val="18"/>
                <w:szCs w:val="18"/>
              </w:rPr>
            </w:pPr>
            <w:r w:rsidRPr="00163505">
              <w:rPr>
                <w:sz w:val="18"/>
                <w:szCs w:val="18"/>
              </w:rPr>
              <w:t>8.5%</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60A37C0"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109914C" w14:textId="77777777" w:rsidR="00266A17" w:rsidRPr="00163505" w:rsidRDefault="00266A17" w:rsidP="0024269C">
            <w:pPr>
              <w:rPr>
                <w:sz w:val="18"/>
                <w:szCs w:val="18"/>
              </w:rPr>
            </w:pPr>
            <w:r w:rsidRPr="00163505">
              <w:rPr>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14:paraId="2717F491"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D0E1DFD" w14:textId="77777777" w:rsidR="00266A17" w:rsidRPr="00163505" w:rsidRDefault="00266A17" w:rsidP="0024269C">
            <w:pPr>
              <w:rPr>
                <w:sz w:val="18"/>
                <w:szCs w:val="18"/>
              </w:rPr>
            </w:pPr>
            <w:r w:rsidRPr="00163505">
              <w:rPr>
                <w:sz w:val="18"/>
                <w:szCs w:val="18"/>
              </w:rPr>
              <w:t>0.0%</w:t>
            </w:r>
          </w:p>
        </w:tc>
      </w:tr>
      <w:tr w:rsidR="00266A17" w:rsidRPr="00163505" w14:paraId="4CC99020"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6D5F339" w14:textId="77777777" w:rsidR="00266A17" w:rsidRPr="00163505" w:rsidRDefault="00266A17" w:rsidP="0024269C">
            <w:pPr>
              <w:rPr>
                <w:sz w:val="18"/>
                <w:szCs w:val="18"/>
              </w:rPr>
            </w:pPr>
            <w:r w:rsidRPr="00163505">
              <w:rPr>
                <w:sz w:val="18"/>
                <w:szCs w:val="18"/>
              </w:rPr>
              <w:t>Discretionary foods - dips</w:t>
            </w:r>
          </w:p>
        </w:tc>
        <w:tc>
          <w:tcPr>
            <w:tcW w:w="1003" w:type="dxa"/>
            <w:tcBorders>
              <w:top w:val="nil"/>
              <w:left w:val="nil"/>
              <w:bottom w:val="single" w:sz="4" w:space="0" w:color="auto"/>
              <w:right w:val="single" w:sz="8" w:space="0" w:color="auto"/>
            </w:tcBorders>
            <w:shd w:val="clear" w:color="auto" w:fill="auto"/>
            <w:noWrap/>
            <w:vAlign w:val="center"/>
            <w:hideMark/>
          </w:tcPr>
          <w:p w14:paraId="78E08E66" w14:textId="77777777" w:rsidR="00266A17" w:rsidRPr="00163505" w:rsidRDefault="00266A17" w:rsidP="0024269C">
            <w:pPr>
              <w:rPr>
                <w:sz w:val="18"/>
                <w:szCs w:val="18"/>
              </w:rPr>
            </w:pPr>
            <w:r w:rsidRPr="00163505">
              <w:rPr>
                <w:sz w:val="18"/>
                <w:szCs w:val="18"/>
              </w:rPr>
              <w:t>28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C3C957"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70FEE97" w14:textId="77777777" w:rsidR="00266A17" w:rsidRPr="00163505" w:rsidRDefault="00266A17" w:rsidP="0024269C">
            <w:pPr>
              <w:rPr>
                <w:sz w:val="18"/>
                <w:szCs w:val="18"/>
              </w:rPr>
            </w:pPr>
            <w:r w:rsidRPr="00163505">
              <w:rPr>
                <w:sz w:val="18"/>
                <w:szCs w:val="18"/>
              </w:rPr>
              <w:t>17.9%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940E47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98A236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37D867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19BEE0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6074CD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11CE80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FED08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929F69"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1FA6D36"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F3CAA61" w14:textId="77777777" w:rsidR="00266A17" w:rsidRPr="00163505" w:rsidRDefault="00266A17" w:rsidP="0024269C">
            <w:pPr>
              <w:rPr>
                <w:sz w:val="18"/>
                <w:szCs w:val="18"/>
              </w:rPr>
            </w:pPr>
            <w:r w:rsidRPr="00163505">
              <w:rPr>
                <w:sz w:val="18"/>
                <w:szCs w:val="18"/>
              </w:rPr>
              <w:t>14.3%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5610528"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0FB908" w14:textId="77777777" w:rsidR="00266A17" w:rsidRPr="00163505" w:rsidRDefault="00266A17" w:rsidP="0024269C">
            <w:pPr>
              <w:rPr>
                <w:sz w:val="18"/>
                <w:szCs w:val="18"/>
              </w:rPr>
            </w:pPr>
            <w:r w:rsidRPr="00163505">
              <w:rPr>
                <w:sz w:val="18"/>
                <w:szCs w:val="18"/>
              </w:rPr>
              <w:t>3.6%</w:t>
            </w:r>
          </w:p>
        </w:tc>
        <w:tc>
          <w:tcPr>
            <w:tcW w:w="638" w:type="dxa"/>
            <w:tcBorders>
              <w:top w:val="nil"/>
              <w:left w:val="nil"/>
              <w:bottom w:val="single" w:sz="4" w:space="0" w:color="auto"/>
              <w:right w:val="single" w:sz="4" w:space="0" w:color="auto"/>
            </w:tcBorders>
            <w:shd w:val="clear" w:color="auto" w:fill="auto"/>
            <w:noWrap/>
            <w:vAlign w:val="bottom"/>
            <w:hideMark/>
          </w:tcPr>
          <w:p w14:paraId="143A382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8891E9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F683CD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CF2A26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34C2566"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B43A2CE" w14:textId="77777777" w:rsidR="00266A17" w:rsidRPr="00163505" w:rsidRDefault="00266A17" w:rsidP="0024269C">
            <w:pPr>
              <w:rPr>
                <w:sz w:val="18"/>
                <w:szCs w:val="18"/>
              </w:rPr>
            </w:pPr>
            <w:r w:rsidRPr="00163505">
              <w:rPr>
                <w:sz w:val="18"/>
                <w:szCs w:val="18"/>
              </w:rPr>
              <w:t>0.0%</w:t>
            </w:r>
          </w:p>
        </w:tc>
      </w:tr>
      <w:tr w:rsidR="00266A17" w:rsidRPr="00163505" w14:paraId="306EE5D0"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BAB0CEA" w14:textId="77777777" w:rsidR="00266A17" w:rsidRPr="00163505" w:rsidRDefault="00266A17" w:rsidP="0024269C">
            <w:pPr>
              <w:rPr>
                <w:sz w:val="18"/>
                <w:szCs w:val="18"/>
              </w:rPr>
            </w:pPr>
            <w:r w:rsidRPr="00163505">
              <w:rPr>
                <w:sz w:val="18"/>
                <w:szCs w:val="18"/>
              </w:rPr>
              <w:t>Discretionary foods - dressings</w:t>
            </w:r>
          </w:p>
        </w:tc>
        <w:tc>
          <w:tcPr>
            <w:tcW w:w="1003" w:type="dxa"/>
            <w:tcBorders>
              <w:top w:val="nil"/>
              <w:left w:val="nil"/>
              <w:bottom w:val="single" w:sz="4" w:space="0" w:color="auto"/>
              <w:right w:val="single" w:sz="8" w:space="0" w:color="auto"/>
            </w:tcBorders>
            <w:shd w:val="clear" w:color="auto" w:fill="auto"/>
            <w:noWrap/>
            <w:vAlign w:val="center"/>
            <w:hideMark/>
          </w:tcPr>
          <w:p w14:paraId="1C1B5F6D" w14:textId="77777777" w:rsidR="00266A17" w:rsidRPr="00163505" w:rsidRDefault="00266A17" w:rsidP="0024269C">
            <w:pPr>
              <w:rPr>
                <w:sz w:val="18"/>
                <w:szCs w:val="18"/>
              </w:rPr>
            </w:pPr>
            <w:r w:rsidRPr="00163505">
              <w:rPr>
                <w:sz w:val="18"/>
                <w:szCs w:val="18"/>
              </w:rPr>
              <w:t>95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1289A29"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DAEEE42" w14:textId="77777777" w:rsidR="00266A17" w:rsidRPr="00163505" w:rsidRDefault="00266A17" w:rsidP="0024269C">
            <w:pPr>
              <w:rPr>
                <w:sz w:val="18"/>
                <w:szCs w:val="18"/>
              </w:rPr>
            </w:pPr>
            <w:r w:rsidRPr="00163505">
              <w:rPr>
                <w:sz w:val="18"/>
                <w:szCs w:val="18"/>
              </w:rPr>
              <w:t>5.3%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AF7523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1AB6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4CB588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81002C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946FD3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36DAD1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195C0A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0C2E6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35C91DE"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1549578" w14:textId="77777777" w:rsidR="00266A17" w:rsidRPr="00163505" w:rsidRDefault="00266A17" w:rsidP="0024269C">
            <w:pPr>
              <w:rPr>
                <w:sz w:val="18"/>
                <w:szCs w:val="18"/>
              </w:rPr>
            </w:pPr>
            <w:r w:rsidRPr="00163505">
              <w:rPr>
                <w:sz w:val="18"/>
                <w:szCs w:val="18"/>
              </w:rPr>
              <w:t>5.3%</w:t>
            </w:r>
          </w:p>
        </w:tc>
        <w:tc>
          <w:tcPr>
            <w:tcW w:w="567" w:type="dxa"/>
            <w:tcBorders>
              <w:top w:val="nil"/>
              <w:left w:val="nil"/>
              <w:bottom w:val="single" w:sz="4" w:space="0" w:color="auto"/>
              <w:right w:val="single" w:sz="4" w:space="0" w:color="auto"/>
            </w:tcBorders>
            <w:shd w:val="clear" w:color="auto" w:fill="auto"/>
            <w:noWrap/>
            <w:vAlign w:val="bottom"/>
            <w:hideMark/>
          </w:tcPr>
          <w:p w14:paraId="74F6C95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965FD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E7FAD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F8F29B4"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23FB42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0F04816"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D0A6C1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3E201E1" w14:textId="77777777" w:rsidR="00266A17" w:rsidRPr="00163505" w:rsidRDefault="00266A17" w:rsidP="0024269C">
            <w:pPr>
              <w:rPr>
                <w:sz w:val="18"/>
                <w:szCs w:val="18"/>
              </w:rPr>
            </w:pPr>
            <w:r w:rsidRPr="00163505">
              <w:rPr>
                <w:sz w:val="18"/>
                <w:szCs w:val="18"/>
              </w:rPr>
              <w:t>0.0%</w:t>
            </w:r>
          </w:p>
        </w:tc>
      </w:tr>
      <w:tr w:rsidR="00266A17" w:rsidRPr="00163505" w14:paraId="18D7871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9732492" w14:textId="77777777" w:rsidR="00266A17" w:rsidRPr="00163505" w:rsidRDefault="00266A17" w:rsidP="0024269C">
            <w:pPr>
              <w:rPr>
                <w:sz w:val="18"/>
                <w:szCs w:val="18"/>
              </w:rPr>
            </w:pPr>
            <w:r w:rsidRPr="00163505">
              <w:rPr>
                <w:sz w:val="18"/>
                <w:szCs w:val="18"/>
              </w:rPr>
              <w:t>Discretionary foods - ice confectionery</w:t>
            </w:r>
          </w:p>
        </w:tc>
        <w:tc>
          <w:tcPr>
            <w:tcW w:w="1003" w:type="dxa"/>
            <w:tcBorders>
              <w:top w:val="nil"/>
              <w:left w:val="nil"/>
              <w:bottom w:val="single" w:sz="4" w:space="0" w:color="auto"/>
              <w:right w:val="single" w:sz="8" w:space="0" w:color="auto"/>
            </w:tcBorders>
            <w:shd w:val="clear" w:color="auto" w:fill="auto"/>
            <w:noWrap/>
            <w:vAlign w:val="center"/>
            <w:hideMark/>
          </w:tcPr>
          <w:p w14:paraId="414EBDDF" w14:textId="77777777" w:rsidR="00266A17" w:rsidRPr="00163505" w:rsidRDefault="00266A17" w:rsidP="0024269C">
            <w:pPr>
              <w:rPr>
                <w:sz w:val="18"/>
                <w:szCs w:val="18"/>
              </w:rPr>
            </w:pPr>
            <w:r w:rsidRPr="00163505">
              <w:rPr>
                <w:sz w:val="18"/>
                <w:szCs w:val="18"/>
              </w:rPr>
              <w:t>46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4D6DCC5" w14:textId="77777777" w:rsidR="00266A17" w:rsidRPr="00163505" w:rsidRDefault="00266A17" w:rsidP="0024269C">
            <w:pPr>
              <w:rPr>
                <w:sz w:val="18"/>
                <w:szCs w:val="18"/>
              </w:rPr>
            </w:pPr>
            <w:r w:rsidRPr="00163505">
              <w:rPr>
                <w:sz w:val="18"/>
                <w:szCs w:val="18"/>
              </w:rPr>
              <w:t>46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1E0335B" w14:textId="77777777" w:rsidR="00266A17" w:rsidRPr="00163505" w:rsidRDefault="00266A17" w:rsidP="0024269C">
            <w:pPr>
              <w:rPr>
                <w:sz w:val="18"/>
                <w:szCs w:val="18"/>
              </w:rPr>
            </w:pPr>
            <w:r w:rsidRPr="00163505">
              <w:rPr>
                <w:sz w:val="18"/>
                <w:szCs w:val="18"/>
              </w:rPr>
              <w:t>100.0%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11EEF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AE8C2A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E7F638B"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81AA928"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1D83F5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001F3D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F3A09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E65CBB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24581D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F93558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244BA8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1B52E3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BA543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D3D74DB"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9B8DC37"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3E4D79C" w14:textId="77777777" w:rsidR="00266A17" w:rsidRPr="00163505" w:rsidRDefault="00266A17" w:rsidP="0024269C">
            <w:pPr>
              <w:rPr>
                <w:sz w:val="18"/>
                <w:szCs w:val="18"/>
              </w:rPr>
            </w:pPr>
            <w:r w:rsidRPr="00163505">
              <w:rPr>
                <w:sz w:val="18"/>
                <w:szCs w:val="18"/>
              </w:rPr>
              <w:t>2.2%</w:t>
            </w:r>
          </w:p>
        </w:tc>
        <w:tc>
          <w:tcPr>
            <w:tcW w:w="42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D306D43" w14:textId="77777777" w:rsidR="00266A17" w:rsidRPr="00163505" w:rsidRDefault="00266A17" w:rsidP="0024269C">
            <w:pPr>
              <w:rPr>
                <w:sz w:val="18"/>
                <w:szCs w:val="18"/>
              </w:rPr>
            </w:pPr>
            <w:r w:rsidRPr="00163505">
              <w:rPr>
                <w:sz w:val="18"/>
                <w:szCs w:val="18"/>
              </w:rPr>
              <w:t>45</w:t>
            </w:r>
          </w:p>
        </w:tc>
        <w:tc>
          <w:tcPr>
            <w:tcW w:w="850" w:type="dxa"/>
            <w:gridSpan w:val="2"/>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5DC8B44" w14:textId="77777777" w:rsidR="00266A17" w:rsidRPr="00163505" w:rsidRDefault="00266A17" w:rsidP="0024269C">
            <w:pPr>
              <w:rPr>
                <w:sz w:val="18"/>
                <w:szCs w:val="18"/>
              </w:rPr>
            </w:pPr>
            <w:r w:rsidRPr="00163505">
              <w:rPr>
                <w:sz w:val="18"/>
                <w:szCs w:val="18"/>
              </w:rPr>
              <w:t>97.8%</w:t>
            </w:r>
          </w:p>
        </w:tc>
      </w:tr>
      <w:tr w:rsidR="00266A17" w:rsidRPr="00163505" w14:paraId="38A6D24F"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F658F70" w14:textId="77777777" w:rsidR="00266A17" w:rsidRPr="00163505" w:rsidRDefault="00266A17" w:rsidP="0024269C">
            <w:pPr>
              <w:rPr>
                <w:sz w:val="18"/>
                <w:szCs w:val="18"/>
              </w:rPr>
            </w:pPr>
            <w:r w:rsidRPr="00163505">
              <w:rPr>
                <w:sz w:val="18"/>
                <w:szCs w:val="18"/>
              </w:rPr>
              <w:t>Discretionary foods - ice cream</w:t>
            </w:r>
          </w:p>
        </w:tc>
        <w:tc>
          <w:tcPr>
            <w:tcW w:w="1003" w:type="dxa"/>
            <w:tcBorders>
              <w:top w:val="nil"/>
              <w:left w:val="nil"/>
              <w:bottom w:val="single" w:sz="4" w:space="0" w:color="auto"/>
              <w:right w:val="single" w:sz="8" w:space="0" w:color="auto"/>
            </w:tcBorders>
            <w:shd w:val="clear" w:color="auto" w:fill="auto"/>
            <w:noWrap/>
            <w:vAlign w:val="center"/>
            <w:hideMark/>
          </w:tcPr>
          <w:p w14:paraId="163C839F" w14:textId="77777777" w:rsidR="00266A17" w:rsidRPr="00163505" w:rsidRDefault="00266A17" w:rsidP="0024269C">
            <w:pPr>
              <w:rPr>
                <w:sz w:val="18"/>
                <w:szCs w:val="18"/>
              </w:rPr>
            </w:pPr>
            <w:r w:rsidRPr="00163505">
              <w:rPr>
                <w:sz w:val="18"/>
                <w:szCs w:val="18"/>
              </w:rPr>
              <w:t>179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A922CA0" w14:textId="77777777" w:rsidR="00266A17" w:rsidRPr="00163505" w:rsidRDefault="00266A17" w:rsidP="0024269C">
            <w:pPr>
              <w:rPr>
                <w:sz w:val="18"/>
                <w:szCs w:val="18"/>
              </w:rPr>
            </w:pPr>
            <w:r w:rsidRPr="00163505">
              <w:rPr>
                <w:sz w:val="18"/>
                <w:szCs w:val="18"/>
              </w:rPr>
              <w:t>26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4C6C300" w14:textId="77777777" w:rsidR="00266A17" w:rsidRPr="00163505" w:rsidRDefault="00266A17" w:rsidP="0024269C">
            <w:pPr>
              <w:rPr>
                <w:sz w:val="18"/>
                <w:szCs w:val="18"/>
              </w:rPr>
            </w:pPr>
            <w:r w:rsidRPr="00163505">
              <w:rPr>
                <w:sz w:val="18"/>
                <w:szCs w:val="18"/>
              </w:rPr>
              <w:t>14.5%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833BEC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42AA1B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28B105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BFEED8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DEAA9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E832CB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95779D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BEA15A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E4CAA3C" w14:textId="77777777" w:rsidR="00266A17" w:rsidRPr="00163505" w:rsidRDefault="00266A17" w:rsidP="0024269C">
            <w:pPr>
              <w:rPr>
                <w:sz w:val="18"/>
                <w:szCs w:val="18"/>
              </w:rPr>
            </w:pPr>
            <w:r w:rsidRPr="00163505">
              <w:rPr>
                <w:sz w:val="18"/>
                <w:szCs w:val="18"/>
              </w:rPr>
              <w:t>26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E2BBD73" w14:textId="77777777" w:rsidR="00266A17" w:rsidRPr="00163505" w:rsidRDefault="00266A17" w:rsidP="0024269C">
            <w:pPr>
              <w:rPr>
                <w:sz w:val="18"/>
                <w:szCs w:val="18"/>
              </w:rPr>
            </w:pPr>
            <w:r w:rsidRPr="00163505">
              <w:rPr>
                <w:sz w:val="18"/>
                <w:szCs w:val="18"/>
              </w:rPr>
              <w:t>14.5%</w:t>
            </w:r>
          </w:p>
        </w:tc>
        <w:tc>
          <w:tcPr>
            <w:tcW w:w="567" w:type="dxa"/>
            <w:tcBorders>
              <w:top w:val="nil"/>
              <w:left w:val="nil"/>
              <w:bottom w:val="single" w:sz="4" w:space="0" w:color="auto"/>
              <w:right w:val="single" w:sz="4" w:space="0" w:color="auto"/>
            </w:tcBorders>
            <w:shd w:val="clear" w:color="auto" w:fill="auto"/>
            <w:noWrap/>
            <w:vAlign w:val="bottom"/>
            <w:hideMark/>
          </w:tcPr>
          <w:p w14:paraId="4F0FD62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971C7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92BBE9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E3BC45B"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5E8A98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9BD85E7"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6C6B62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047AC38" w14:textId="77777777" w:rsidR="00266A17" w:rsidRPr="00163505" w:rsidRDefault="00266A17" w:rsidP="0024269C">
            <w:pPr>
              <w:rPr>
                <w:sz w:val="18"/>
                <w:szCs w:val="18"/>
              </w:rPr>
            </w:pPr>
            <w:r w:rsidRPr="00163505">
              <w:rPr>
                <w:sz w:val="18"/>
                <w:szCs w:val="18"/>
              </w:rPr>
              <w:t>0.0%</w:t>
            </w:r>
          </w:p>
        </w:tc>
      </w:tr>
      <w:tr w:rsidR="00266A17" w:rsidRPr="00163505" w14:paraId="2A5EBBFD"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DF051A" w14:textId="77777777" w:rsidR="00266A17" w:rsidRPr="00163505" w:rsidRDefault="00266A17" w:rsidP="0024269C">
            <w:pPr>
              <w:rPr>
                <w:sz w:val="18"/>
                <w:szCs w:val="18"/>
              </w:rPr>
            </w:pPr>
            <w:r w:rsidRPr="00163505">
              <w:rPr>
                <w:sz w:val="18"/>
                <w:szCs w:val="18"/>
              </w:rPr>
              <w:t>Discretionary foods - jelly</w:t>
            </w:r>
          </w:p>
        </w:tc>
        <w:tc>
          <w:tcPr>
            <w:tcW w:w="1003" w:type="dxa"/>
            <w:tcBorders>
              <w:top w:val="nil"/>
              <w:left w:val="nil"/>
              <w:bottom w:val="single" w:sz="4" w:space="0" w:color="auto"/>
              <w:right w:val="single" w:sz="8" w:space="0" w:color="auto"/>
            </w:tcBorders>
            <w:shd w:val="clear" w:color="auto" w:fill="auto"/>
            <w:noWrap/>
            <w:vAlign w:val="center"/>
            <w:hideMark/>
          </w:tcPr>
          <w:p w14:paraId="70D39F91" w14:textId="77777777" w:rsidR="00266A17" w:rsidRPr="00163505" w:rsidRDefault="00266A17" w:rsidP="0024269C">
            <w:pPr>
              <w:rPr>
                <w:sz w:val="18"/>
                <w:szCs w:val="18"/>
              </w:rPr>
            </w:pPr>
            <w:r w:rsidRPr="00163505">
              <w:rPr>
                <w:sz w:val="18"/>
                <w:szCs w:val="18"/>
              </w:rPr>
              <w:t>20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19D77E3"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10CFCD6" w14:textId="77777777" w:rsidR="00266A17" w:rsidRPr="00163505" w:rsidRDefault="00266A17" w:rsidP="0024269C">
            <w:pPr>
              <w:rPr>
                <w:sz w:val="18"/>
                <w:szCs w:val="18"/>
              </w:rPr>
            </w:pPr>
            <w:r w:rsidRPr="00163505">
              <w:rPr>
                <w:sz w:val="18"/>
                <w:szCs w:val="18"/>
              </w:rPr>
              <w:t>55.0%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A4C482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B78DE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6EFD943"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A6E975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AFA5D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79F16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12F2DD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9FEBC78"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C910AF3"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35E17CB" w14:textId="77777777" w:rsidR="00266A17" w:rsidRPr="00163505" w:rsidRDefault="00266A17" w:rsidP="0024269C">
            <w:pPr>
              <w:rPr>
                <w:sz w:val="18"/>
                <w:szCs w:val="18"/>
              </w:rPr>
            </w:pPr>
            <w:r w:rsidRPr="00163505">
              <w:rPr>
                <w:sz w:val="18"/>
                <w:szCs w:val="18"/>
              </w:rPr>
              <w:t>55.0%</w:t>
            </w:r>
          </w:p>
        </w:tc>
        <w:tc>
          <w:tcPr>
            <w:tcW w:w="567" w:type="dxa"/>
            <w:tcBorders>
              <w:top w:val="nil"/>
              <w:left w:val="nil"/>
              <w:bottom w:val="single" w:sz="4" w:space="0" w:color="auto"/>
              <w:right w:val="single" w:sz="4" w:space="0" w:color="auto"/>
            </w:tcBorders>
            <w:shd w:val="clear" w:color="auto" w:fill="auto"/>
            <w:noWrap/>
            <w:vAlign w:val="bottom"/>
            <w:hideMark/>
          </w:tcPr>
          <w:p w14:paraId="2BC3A8F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C365DA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B4B46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B79A53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4C4FC7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4170D64"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369A83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7664B2C" w14:textId="77777777" w:rsidR="00266A17" w:rsidRPr="00163505" w:rsidRDefault="00266A17" w:rsidP="0024269C">
            <w:pPr>
              <w:rPr>
                <w:sz w:val="18"/>
                <w:szCs w:val="18"/>
              </w:rPr>
            </w:pPr>
            <w:r w:rsidRPr="00163505">
              <w:rPr>
                <w:sz w:val="18"/>
                <w:szCs w:val="18"/>
              </w:rPr>
              <w:t>0.0%</w:t>
            </w:r>
          </w:p>
        </w:tc>
      </w:tr>
      <w:tr w:rsidR="00266A17" w:rsidRPr="00163505" w14:paraId="68E69E1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F5EAD0F" w14:textId="77777777" w:rsidR="00266A17" w:rsidRPr="00163505" w:rsidRDefault="00266A17" w:rsidP="0024269C">
            <w:pPr>
              <w:rPr>
                <w:sz w:val="18"/>
                <w:szCs w:val="18"/>
              </w:rPr>
            </w:pPr>
            <w:r w:rsidRPr="00163505">
              <w:rPr>
                <w:sz w:val="18"/>
                <w:szCs w:val="18"/>
              </w:rPr>
              <w:t>Discretionary foods - lifestyle</w:t>
            </w:r>
          </w:p>
        </w:tc>
        <w:tc>
          <w:tcPr>
            <w:tcW w:w="1003" w:type="dxa"/>
            <w:tcBorders>
              <w:top w:val="nil"/>
              <w:left w:val="nil"/>
              <w:bottom w:val="single" w:sz="4" w:space="0" w:color="auto"/>
              <w:right w:val="single" w:sz="8" w:space="0" w:color="auto"/>
            </w:tcBorders>
            <w:shd w:val="clear" w:color="auto" w:fill="auto"/>
            <w:noWrap/>
            <w:vAlign w:val="center"/>
            <w:hideMark/>
          </w:tcPr>
          <w:p w14:paraId="3E21CB40" w14:textId="77777777" w:rsidR="00266A17" w:rsidRPr="00163505" w:rsidRDefault="00266A17" w:rsidP="0024269C">
            <w:pPr>
              <w:rPr>
                <w:sz w:val="18"/>
                <w:szCs w:val="18"/>
              </w:rPr>
            </w:pPr>
            <w:r w:rsidRPr="00163505">
              <w:rPr>
                <w:sz w:val="18"/>
                <w:szCs w:val="18"/>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7F35E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7844E9F0"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6CF8D6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37093F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0E8512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B7D2AE5"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BE346D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9209F8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3951BE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A5CD55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6717C0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AB07B2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F705F4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503184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2C7499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25DF71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9DE49F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FC92DC5"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3EDEDF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9CF8323" w14:textId="77777777" w:rsidR="00266A17" w:rsidRPr="00163505" w:rsidRDefault="00266A17" w:rsidP="0024269C">
            <w:pPr>
              <w:rPr>
                <w:sz w:val="18"/>
                <w:szCs w:val="18"/>
              </w:rPr>
            </w:pPr>
            <w:r w:rsidRPr="00163505">
              <w:rPr>
                <w:sz w:val="18"/>
                <w:szCs w:val="18"/>
              </w:rPr>
              <w:t>0.0%</w:t>
            </w:r>
          </w:p>
        </w:tc>
      </w:tr>
      <w:tr w:rsidR="00266A17" w:rsidRPr="00163505" w14:paraId="5BF66CDE"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4BEA63" w14:textId="77777777" w:rsidR="00266A17" w:rsidRPr="00163505" w:rsidRDefault="00266A17" w:rsidP="0024269C">
            <w:pPr>
              <w:rPr>
                <w:sz w:val="18"/>
                <w:szCs w:val="18"/>
              </w:rPr>
            </w:pPr>
            <w:r w:rsidRPr="00163505">
              <w:rPr>
                <w:sz w:val="18"/>
                <w:szCs w:val="18"/>
              </w:rPr>
              <w:t>Discretionary foods - meals/meal bases</w:t>
            </w:r>
          </w:p>
        </w:tc>
        <w:tc>
          <w:tcPr>
            <w:tcW w:w="1003" w:type="dxa"/>
            <w:tcBorders>
              <w:top w:val="nil"/>
              <w:left w:val="nil"/>
              <w:bottom w:val="single" w:sz="4" w:space="0" w:color="auto"/>
              <w:right w:val="single" w:sz="8" w:space="0" w:color="auto"/>
            </w:tcBorders>
            <w:shd w:val="clear" w:color="auto" w:fill="auto"/>
            <w:noWrap/>
            <w:vAlign w:val="center"/>
            <w:hideMark/>
          </w:tcPr>
          <w:p w14:paraId="656BD8D7" w14:textId="77777777" w:rsidR="00266A17" w:rsidRPr="00163505" w:rsidRDefault="00266A17" w:rsidP="0024269C">
            <w:pPr>
              <w:rPr>
                <w:sz w:val="18"/>
                <w:szCs w:val="18"/>
              </w:rPr>
            </w:pPr>
            <w:r w:rsidRPr="00163505">
              <w:rPr>
                <w:sz w:val="18"/>
                <w:szCs w:val="18"/>
              </w:rPr>
              <w:t>292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56A9A20"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5A7BEA8" w14:textId="77777777" w:rsidR="00266A17" w:rsidRPr="00163505" w:rsidRDefault="00266A17" w:rsidP="0024269C">
            <w:pPr>
              <w:rPr>
                <w:sz w:val="18"/>
                <w:szCs w:val="18"/>
              </w:rPr>
            </w:pPr>
            <w:r w:rsidRPr="00163505">
              <w:rPr>
                <w:sz w:val="18"/>
                <w:szCs w:val="18"/>
              </w:rPr>
              <w:t>3.4%</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F49DE6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FE668D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551D6C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FA8763E"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CCCF0F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D45997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21D1A4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185407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00659F6" w14:textId="77777777" w:rsidR="00266A17" w:rsidRPr="00163505" w:rsidRDefault="00266A17" w:rsidP="0024269C">
            <w:pPr>
              <w:rPr>
                <w:sz w:val="18"/>
                <w:szCs w:val="18"/>
              </w:rPr>
            </w:pPr>
            <w:r w:rsidRPr="00163505">
              <w:rPr>
                <w:sz w:val="18"/>
                <w:szCs w:val="18"/>
              </w:rPr>
              <w:t>9</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EB61892" w14:textId="77777777" w:rsidR="00266A17" w:rsidRPr="00163505" w:rsidRDefault="00266A17" w:rsidP="0024269C">
            <w:pPr>
              <w:rPr>
                <w:sz w:val="18"/>
                <w:szCs w:val="18"/>
              </w:rPr>
            </w:pPr>
            <w:r w:rsidRPr="00163505">
              <w:rPr>
                <w:sz w:val="18"/>
                <w:szCs w:val="18"/>
              </w:rPr>
              <w:t>3.1%</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AD96996"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1B48373" w14:textId="77777777" w:rsidR="00266A17" w:rsidRPr="00163505" w:rsidRDefault="00266A17" w:rsidP="0024269C">
            <w:pPr>
              <w:rPr>
                <w:sz w:val="18"/>
                <w:szCs w:val="18"/>
              </w:rPr>
            </w:pPr>
            <w:r w:rsidRPr="00163505">
              <w:rPr>
                <w:sz w:val="18"/>
                <w:szCs w:val="18"/>
              </w:rPr>
              <w:t>0.3%</w:t>
            </w:r>
          </w:p>
        </w:tc>
        <w:tc>
          <w:tcPr>
            <w:tcW w:w="638" w:type="dxa"/>
            <w:tcBorders>
              <w:top w:val="nil"/>
              <w:left w:val="nil"/>
              <w:bottom w:val="single" w:sz="4" w:space="0" w:color="auto"/>
              <w:right w:val="single" w:sz="4" w:space="0" w:color="auto"/>
            </w:tcBorders>
            <w:shd w:val="clear" w:color="auto" w:fill="auto"/>
            <w:noWrap/>
            <w:vAlign w:val="bottom"/>
            <w:hideMark/>
          </w:tcPr>
          <w:p w14:paraId="5523921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A868D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7CB4DA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D6E22E7"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053DFD1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6224679" w14:textId="77777777" w:rsidR="00266A17" w:rsidRPr="00163505" w:rsidRDefault="00266A17" w:rsidP="0024269C">
            <w:pPr>
              <w:rPr>
                <w:sz w:val="18"/>
                <w:szCs w:val="18"/>
              </w:rPr>
            </w:pPr>
            <w:r w:rsidRPr="00163505">
              <w:rPr>
                <w:sz w:val="18"/>
                <w:szCs w:val="18"/>
              </w:rPr>
              <w:t>0.0%</w:t>
            </w:r>
          </w:p>
        </w:tc>
      </w:tr>
      <w:tr w:rsidR="00266A17" w:rsidRPr="00163505" w14:paraId="6EDDDEF5"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7BB637B" w14:textId="77777777" w:rsidR="00266A17" w:rsidRPr="00163505" w:rsidRDefault="00266A17" w:rsidP="0024269C">
            <w:pPr>
              <w:rPr>
                <w:sz w:val="18"/>
                <w:szCs w:val="18"/>
              </w:rPr>
            </w:pPr>
            <w:r w:rsidRPr="00163505">
              <w:rPr>
                <w:sz w:val="18"/>
                <w:szCs w:val="18"/>
              </w:rPr>
              <w:t>Discretionary foods - miscellaneous</w:t>
            </w:r>
          </w:p>
        </w:tc>
        <w:tc>
          <w:tcPr>
            <w:tcW w:w="1003" w:type="dxa"/>
            <w:tcBorders>
              <w:top w:val="nil"/>
              <w:left w:val="nil"/>
              <w:bottom w:val="single" w:sz="4" w:space="0" w:color="auto"/>
              <w:right w:val="single" w:sz="8" w:space="0" w:color="auto"/>
            </w:tcBorders>
            <w:shd w:val="clear" w:color="auto" w:fill="auto"/>
            <w:noWrap/>
            <w:vAlign w:val="center"/>
            <w:hideMark/>
          </w:tcPr>
          <w:p w14:paraId="0AE42F91" w14:textId="77777777" w:rsidR="00266A17" w:rsidRPr="00163505" w:rsidRDefault="00266A17" w:rsidP="0024269C">
            <w:pPr>
              <w:rPr>
                <w:sz w:val="18"/>
                <w:szCs w:val="18"/>
              </w:rPr>
            </w:pPr>
            <w:r w:rsidRPr="00163505">
              <w:rPr>
                <w:sz w:val="18"/>
                <w:szCs w:val="18"/>
              </w:rPr>
              <w:t>25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F0184E5"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8544060" w14:textId="77777777" w:rsidR="00266A17" w:rsidRPr="00163505" w:rsidRDefault="00266A17" w:rsidP="0024269C">
            <w:pPr>
              <w:rPr>
                <w:sz w:val="18"/>
                <w:szCs w:val="18"/>
              </w:rPr>
            </w:pPr>
            <w:r w:rsidRPr="00163505">
              <w:rPr>
                <w:sz w:val="18"/>
                <w:szCs w:val="18"/>
              </w:rPr>
              <w:t>8.0%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3366E0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27E38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74F80F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0143B6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338DCC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77A94C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A9C7F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06A3C3B"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6957EE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032F542" w14:textId="77777777" w:rsidR="00266A17" w:rsidRPr="00163505" w:rsidRDefault="00266A17" w:rsidP="0024269C">
            <w:pPr>
              <w:rPr>
                <w:sz w:val="18"/>
                <w:szCs w:val="18"/>
              </w:rPr>
            </w:pPr>
            <w:r w:rsidRPr="00163505">
              <w:rPr>
                <w:sz w:val="18"/>
                <w:szCs w:val="18"/>
              </w:rPr>
              <w:t>4.0%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DF7B06F"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238426D" w14:textId="77777777" w:rsidR="00266A17" w:rsidRPr="00163505" w:rsidRDefault="00266A17" w:rsidP="0024269C">
            <w:pPr>
              <w:rPr>
                <w:sz w:val="18"/>
                <w:szCs w:val="18"/>
              </w:rPr>
            </w:pPr>
            <w:r w:rsidRPr="00163505">
              <w:rPr>
                <w:sz w:val="18"/>
                <w:szCs w:val="18"/>
              </w:rPr>
              <w:t>4.0%</w:t>
            </w:r>
          </w:p>
        </w:tc>
        <w:tc>
          <w:tcPr>
            <w:tcW w:w="638" w:type="dxa"/>
            <w:tcBorders>
              <w:top w:val="nil"/>
              <w:left w:val="nil"/>
              <w:bottom w:val="single" w:sz="4" w:space="0" w:color="auto"/>
              <w:right w:val="single" w:sz="4" w:space="0" w:color="auto"/>
            </w:tcBorders>
            <w:shd w:val="clear" w:color="auto" w:fill="auto"/>
            <w:noWrap/>
            <w:vAlign w:val="bottom"/>
            <w:hideMark/>
          </w:tcPr>
          <w:p w14:paraId="735940F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1E16D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5E876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07E343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A6171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2D0C9E4" w14:textId="77777777" w:rsidR="00266A17" w:rsidRPr="00163505" w:rsidRDefault="00266A17" w:rsidP="0024269C">
            <w:pPr>
              <w:rPr>
                <w:sz w:val="18"/>
                <w:szCs w:val="18"/>
              </w:rPr>
            </w:pPr>
            <w:r w:rsidRPr="00163505">
              <w:rPr>
                <w:sz w:val="18"/>
                <w:szCs w:val="18"/>
              </w:rPr>
              <w:t>0.0%</w:t>
            </w:r>
          </w:p>
        </w:tc>
      </w:tr>
      <w:tr w:rsidR="00266A17" w:rsidRPr="00163505" w14:paraId="3693D1E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0BF4082" w14:textId="77777777" w:rsidR="00266A17" w:rsidRPr="00163505" w:rsidRDefault="00266A17" w:rsidP="0024269C">
            <w:pPr>
              <w:rPr>
                <w:sz w:val="18"/>
                <w:szCs w:val="18"/>
              </w:rPr>
            </w:pPr>
            <w:r w:rsidRPr="00163505">
              <w:rPr>
                <w:sz w:val="18"/>
                <w:szCs w:val="18"/>
              </w:rPr>
              <w:lastRenderedPageBreak/>
              <w:t>Discretionary foods - pizza</w:t>
            </w:r>
          </w:p>
        </w:tc>
        <w:tc>
          <w:tcPr>
            <w:tcW w:w="1003" w:type="dxa"/>
            <w:tcBorders>
              <w:top w:val="nil"/>
              <w:left w:val="nil"/>
              <w:bottom w:val="single" w:sz="4" w:space="0" w:color="auto"/>
              <w:right w:val="single" w:sz="8" w:space="0" w:color="auto"/>
            </w:tcBorders>
            <w:shd w:val="clear" w:color="auto" w:fill="auto"/>
            <w:noWrap/>
            <w:vAlign w:val="center"/>
            <w:hideMark/>
          </w:tcPr>
          <w:p w14:paraId="541A9D75" w14:textId="77777777" w:rsidR="00266A17" w:rsidRPr="00163505" w:rsidRDefault="00266A17" w:rsidP="0024269C">
            <w:pPr>
              <w:rPr>
                <w:sz w:val="18"/>
                <w:szCs w:val="18"/>
              </w:rPr>
            </w:pPr>
            <w:r w:rsidRPr="00163505">
              <w:rPr>
                <w:sz w:val="18"/>
                <w:szCs w:val="18"/>
              </w:rPr>
              <w:t>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C17705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4A3E77FA"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98D83A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50011E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EBBB74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272783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C7A4E3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B16657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3FAB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698827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3D3255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64C675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24CA7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7940D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8B8E4E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8331EC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C2FB6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D8B0E4C"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AB0817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063251E" w14:textId="77777777" w:rsidR="00266A17" w:rsidRPr="00163505" w:rsidRDefault="00266A17" w:rsidP="0024269C">
            <w:pPr>
              <w:rPr>
                <w:sz w:val="18"/>
                <w:szCs w:val="18"/>
              </w:rPr>
            </w:pPr>
            <w:r w:rsidRPr="00163505">
              <w:rPr>
                <w:sz w:val="18"/>
                <w:szCs w:val="18"/>
              </w:rPr>
              <w:t>0.0%</w:t>
            </w:r>
          </w:p>
        </w:tc>
      </w:tr>
      <w:tr w:rsidR="00266A17" w:rsidRPr="00163505" w14:paraId="68C90CC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FE87B3C" w14:textId="77777777" w:rsidR="00266A17" w:rsidRPr="00163505" w:rsidRDefault="00266A17" w:rsidP="0024269C">
            <w:pPr>
              <w:rPr>
                <w:sz w:val="18"/>
                <w:szCs w:val="18"/>
              </w:rPr>
            </w:pPr>
            <w:r w:rsidRPr="00163505">
              <w:rPr>
                <w:sz w:val="18"/>
                <w:szCs w:val="18"/>
              </w:rPr>
              <w:t>Discretionary foods - sauces/condiments</w:t>
            </w:r>
          </w:p>
        </w:tc>
        <w:tc>
          <w:tcPr>
            <w:tcW w:w="1003" w:type="dxa"/>
            <w:tcBorders>
              <w:top w:val="nil"/>
              <w:left w:val="nil"/>
              <w:bottom w:val="single" w:sz="4" w:space="0" w:color="auto"/>
              <w:right w:val="single" w:sz="8" w:space="0" w:color="auto"/>
            </w:tcBorders>
            <w:shd w:val="clear" w:color="auto" w:fill="auto"/>
            <w:noWrap/>
            <w:vAlign w:val="center"/>
            <w:hideMark/>
          </w:tcPr>
          <w:p w14:paraId="74CC9159" w14:textId="77777777" w:rsidR="00266A17" w:rsidRPr="00163505" w:rsidRDefault="00266A17" w:rsidP="0024269C">
            <w:pPr>
              <w:rPr>
                <w:sz w:val="18"/>
                <w:szCs w:val="18"/>
              </w:rPr>
            </w:pPr>
            <w:r w:rsidRPr="00163505">
              <w:rPr>
                <w:sz w:val="18"/>
                <w:szCs w:val="18"/>
              </w:rPr>
              <w:t>344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6F0FA64"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5C2C04B" w14:textId="77777777" w:rsidR="00266A17" w:rsidRPr="00163505" w:rsidRDefault="00266A17" w:rsidP="0024269C">
            <w:pPr>
              <w:rPr>
                <w:sz w:val="18"/>
                <w:szCs w:val="18"/>
              </w:rPr>
            </w:pPr>
            <w:r w:rsidRPr="00163505">
              <w:rPr>
                <w:sz w:val="18"/>
                <w:szCs w:val="18"/>
              </w:rPr>
              <w:t>7.8%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B57E1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578866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BC9FDBC"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F17CB9E"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EEB60B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6E9162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704BF2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C26DA5E"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942AC1" w14:textId="77777777" w:rsidR="00266A17" w:rsidRPr="00163505" w:rsidRDefault="00266A17" w:rsidP="0024269C">
            <w:pPr>
              <w:rPr>
                <w:sz w:val="18"/>
                <w:szCs w:val="18"/>
              </w:rPr>
            </w:pPr>
            <w:r w:rsidRPr="00163505">
              <w:rPr>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4390974" w14:textId="77777777" w:rsidR="00266A17" w:rsidRPr="00163505" w:rsidRDefault="00266A17" w:rsidP="0024269C">
            <w:pPr>
              <w:rPr>
                <w:sz w:val="18"/>
                <w:szCs w:val="18"/>
              </w:rPr>
            </w:pPr>
            <w:r w:rsidRPr="00163505">
              <w:rPr>
                <w:sz w:val="18"/>
                <w:szCs w:val="18"/>
              </w:rPr>
              <w:t>7.3%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B2C6ABA"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073544" w14:textId="77777777" w:rsidR="00266A17" w:rsidRPr="00163505" w:rsidRDefault="00266A17" w:rsidP="0024269C">
            <w:pPr>
              <w:rPr>
                <w:sz w:val="18"/>
                <w:szCs w:val="18"/>
              </w:rPr>
            </w:pPr>
            <w:r w:rsidRPr="00163505">
              <w:rPr>
                <w:sz w:val="18"/>
                <w:szCs w:val="18"/>
              </w:rPr>
              <w:t>0.6%</w:t>
            </w:r>
          </w:p>
        </w:tc>
        <w:tc>
          <w:tcPr>
            <w:tcW w:w="638" w:type="dxa"/>
            <w:tcBorders>
              <w:top w:val="nil"/>
              <w:left w:val="nil"/>
              <w:bottom w:val="single" w:sz="4" w:space="0" w:color="auto"/>
              <w:right w:val="single" w:sz="4" w:space="0" w:color="auto"/>
            </w:tcBorders>
            <w:shd w:val="clear" w:color="auto" w:fill="auto"/>
            <w:noWrap/>
            <w:vAlign w:val="bottom"/>
            <w:hideMark/>
          </w:tcPr>
          <w:p w14:paraId="5993476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227CC4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BD4BC0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B3E122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74BB9E3"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271122" w14:textId="77777777" w:rsidR="00266A17" w:rsidRPr="00163505" w:rsidRDefault="00266A17" w:rsidP="0024269C">
            <w:pPr>
              <w:rPr>
                <w:sz w:val="18"/>
                <w:szCs w:val="18"/>
              </w:rPr>
            </w:pPr>
            <w:r w:rsidRPr="00163505">
              <w:rPr>
                <w:sz w:val="18"/>
                <w:szCs w:val="18"/>
              </w:rPr>
              <w:t>0.0%</w:t>
            </w:r>
          </w:p>
        </w:tc>
      </w:tr>
      <w:tr w:rsidR="00266A17" w:rsidRPr="00163505" w14:paraId="071C36A4"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3FB4C4A" w14:textId="77777777" w:rsidR="00266A17" w:rsidRPr="00163505" w:rsidRDefault="00266A17" w:rsidP="0024269C">
            <w:pPr>
              <w:rPr>
                <w:sz w:val="18"/>
                <w:szCs w:val="18"/>
              </w:rPr>
            </w:pPr>
            <w:r w:rsidRPr="00163505">
              <w:rPr>
                <w:sz w:val="18"/>
                <w:szCs w:val="18"/>
              </w:rPr>
              <w:t>Discretionary foods - snacks</w:t>
            </w:r>
          </w:p>
        </w:tc>
        <w:tc>
          <w:tcPr>
            <w:tcW w:w="1003" w:type="dxa"/>
            <w:tcBorders>
              <w:top w:val="nil"/>
              <w:left w:val="nil"/>
              <w:bottom w:val="single" w:sz="4" w:space="0" w:color="auto"/>
              <w:right w:val="single" w:sz="8" w:space="0" w:color="auto"/>
            </w:tcBorders>
            <w:shd w:val="clear" w:color="auto" w:fill="auto"/>
            <w:noWrap/>
            <w:vAlign w:val="center"/>
            <w:hideMark/>
          </w:tcPr>
          <w:p w14:paraId="5AAA763E" w14:textId="77777777" w:rsidR="00266A17" w:rsidRPr="00163505" w:rsidRDefault="00266A17" w:rsidP="0024269C">
            <w:pPr>
              <w:rPr>
                <w:sz w:val="18"/>
                <w:szCs w:val="18"/>
              </w:rPr>
            </w:pPr>
            <w:r w:rsidRPr="00163505">
              <w:rPr>
                <w:sz w:val="18"/>
                <w:szCs w:val="18"/>
              </w:rPr>
              <w:t>310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870DAD" w14:textId="77777777" w:rsidR="00266A17" w:rsidRPr="00163505" w:rsidRDefault="00266A17" w:rsidP="0024269C">
            <w:pPr>
              <w:rPr>
                <w:sz w:val="18"/>
                <w:szCs w:val="18"/>
              </w:rPr>
            </w:pPr>
            <w:r w:rsidRPr="00163505">
              <w:rPr>
                <w:sz w:val="18"/>
                <w:szCs w:val="18"/>
              </w:rPr>
              <w:t>75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502487EE" w14:textId="77777777" w:rsidR="00266A17" w:rsidRPr="00163505" w:rsidRDefault="00266A17" w:rsidP="0024269C">
            <w:pPr>
              <w:rPr>
                <w:sz w:val="18"/>
                <w:szCs w:val="18"/>
              </w:rPr>
            </w:pPr>
            <w:r w:rsidRPr="00163505">
              <w:rPr>
                <w:sz w:val="18"/>
                <w:szCs w:val="18"/>
              </w:rPr>
              <w:t>24.2%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47F866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B533E0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37FB05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49CE7F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27C2AA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07D116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912447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CD92FBE"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30973F3" w14:textId="77777777" w:rsidR="00266A17" w:rsidRPr="00163505" w:rsidRDefault="00266A17" w:rsidP="0024269C">
            <w:pPr>
              <w:rPr>
                <w:sz w:val="18"/>
                <w:szCs w:val="18"/>
              </w:rPr>
            </w:pPr>
            <w:r w:rsidRPr="00163505">
              <w:rPr>
                <w:sz w:val="18"/>
                <w:szCs w:val="18"/>
              </w:rPr>
              <w:t>70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CB208A4" w14:textId="77777777" w:rsidR="00266A17" w:rsidRPr="00163505" w:rsidRDefault="00266A17" w:rsidP="0024269C">
            <w:pPr>
              <w:rPr>
                <w:sz w:val="18"/>
                <w:szCs w:val="18"/>
              </w:rPr>
            </w:pPr>
            <w:r w:rsidRPr="00163505">
              <w:rPr>
                <w:sz w:val="18"/>
                <w:szCs w:val="18"/>
              </w:rPr>
              <w:t>22.6%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50273D7"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A22C70A" w14:textId="77777777" w:rsidR="00266A17" w:rsidRPr="00163505" w:rsidRDefault="00266A17" w:rsidP="0024269C">
            <w:pPr>
              <w:rPr>
                <w:sz w:val="18"/>
                <w:szCs w:val="18"/>
              </w:rPr>
            </w:pPr>
            <w:r w:rsidRPr="00163505">
              <w:rPr>
                <w:sz w:val="18"/>
                <w:szCs w:val="18"/>
              </w:rPr>
              <w:t>1.3%</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33A8C7E" w14:textId="77777777" w:rsidR="00266A17" w:rsidRPr="00163505" w:rsidRDefault="00266A17" w:rsidP="0024269C">
            <w:pPr>
              <w:rPr>
                <w:sz w:val="18"/>
                <w:szCs w:val="18"/>
              </w:rPr>
            </w:pPr>
            <w:r w:rsidRPr="00163505">
              <w:rPr>
                <w:sz w:val="18"/>
                <w:szCs w:val="18"/>
              </w:rPr>
              <w:t>1</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82CB103" w14:textId="77777777" w:rsidR="00266A17" w:rsidRPr="00163505" w:rsidRDefault="00266A17" w:rsidP="0024269C">
            <w:pPr>
              <w:rPr>
                <w:sz w:val="18"/>
                <w:szCs w:val="18"/>
              </w:rPr>
            </w:pPr>
            <w:r w:rsidRPr="00163505">
              <w:rPr>
                <w:sz w:val="18"/>
                <w:szCs w:val="18"/>
              </w:rPr>
              <w:t>0.3%</w:t>
            </w:r>
          </w:p>
        </w:tc>
        <w:tc>
          <w:tcPr>
            <w:tcW w:w="568" w:type="dxa"/>
            <w:tcBorders>
              <w:top w:val="nil"/>
              <w:left w:val="nil"/>
              <w:bottom w:val="single" w:sz="4" w:space="0" w:color="auto"/>
              <w:right w:val="single" w:sz="4" w:space="0" w:color="auto"/>
            </w:tcBorders>
            <w:shd w:val="clear" w:color="auto" w:fill="auto"/>
            <w:noWrap/>
            <w:vAlign w:val="bottom"/>
            <w:hideMark/>
          </w:tcPr>
          <w:p w14:paraId="458FA7D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327B914"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5F40E6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ED972F6" w14:textId="77777777" w:rsidR="00266A17" w:rsidRPr="00163505" w:rsidRDefault="00266A17" w:rsidP="0024269C">
            <w:pPr>
              <w:rPr>
                <w:sz w:val="18"/>
                <w:szCs w:val="18"/>
              </w:rPr>
            </w:pPr>
            <w:r w:rsidRPr="00163505">
              <w:rPr>
                <w:sz w:val="18"/>
                <w:szCs w:val="18"/>
              </w:rPr>
              <w:t>0.0%</w:t>
            </w:r>
          </w:p>
        </w:tc>
      </w:tr>
      <w:tr w:rsidR="00266A17" w:rsidRPr="00163505" w14:paraId="64642C1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068DAF0" w14:textId="77777777" w:rsidR="00266A17" w:rsidRPr="00163505" w:rsidRDefault="00266A17" w:rsidP="0024269C">
            <w:pPr>
              <w:rPr>
                <w:sz w:val="18"/>
                <w:szCs w:val="18"/>
              </w:rPr>
            </w:pPr>
            <w:r w:rsidRPr="00163505">
              <w:rPr>
                <w:sz w:val="18"/>
                <w:szCs w:val="18"/>
              </w:rPr>
              <w:t>Discretionary foods - soups/stocks</w:t>
            </w:r>
          </w:p>
        </w:tc>
        <w:tc>
          <w:tcPr>
            <w:tcW w:w="1003" w:type="dxa"/>
            <w:tcBorders>
              <w:top w:val="nil"/>
              <w:left w:val="nil"/>
              <w:bottom w:val="single" w:sz="4" w:space="0" w:color="auto"/>
              <w:right w:val="single" w:sz="8" w:space="0" w:color="auto"/>
            </w:tcBorders>
            <w:shd w:val="clear" w:color="auto" w:fill="auto"/>
            <w:noWrap/>
            <w:vAlign w:val="center"/>
            <w:hideMark/>
          </w:tcPr>
          <w:p w14:paraId="31A40D38" w14:textId="77777777" w:rsidR="00266A17" w:rsidRPr="00163505" w:rsidRDefault="00266A17" w:rsidP="0024269C">
            <w:pPr>
              <w:rPr>
                <w:sz w:val="18"/>
                <w:szCs w:val="18"/>
              </w:rPr>
            </w:pPr>
            <w:r w:rsidRPr="00163505">
              <w:rPr>
                <w:sz w:val="18"/>
                <w:szCs w:val="18"/>
              </w:rPr>
              <w:t>245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D9BE3A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60785980"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40E5E6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647E27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EC7DBA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442692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2C84B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8F3AAF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F32BB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9DFC3D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86A200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5C44A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0C1871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B6761F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825B21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92F191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EE177C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BD7FB0"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2D84DB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2A49F6" w14:textId="77777777" w:rsidR="00266A17" w:rsidRPr="00163505" w:rsidRDefault="00266A17" w:rsidP="0024269C">
            <w:pPr>
              <w:rPr>
                <w:sz w:val="18"/>
                <w:szCs w:val="18"/>
              </w:rPr>
            </w:pPr>
            <w:r w:rsidRPr="00163505">
              <w:rPr>
                <w:sz w:val="18"/>
                <w:szCs w:val="18"/>
              </w:rPr>
              <w:t>0.0%</w:t>
            </w:r>
          </w:p>
        </w:tc>
      </w:tr>
      <w:tr w:rsidR="00266A17" w:rsidRPr="00163505" w14:paraId="01F8715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1FC8ABA" w14:textId="77777777" w:rsidR="00266A17" w:rsidRPr="00163505" w:rsidRDefault="00266A17" w:rsidP="0024269C">
            <w:pPr>
              <w:rPr>
                <w:sz w:val="18"/>
                <w:szCs w:val="18"/>
              </w:rPr>
            </w:pPr>
            <w:r w:rsidRPr="00163505">
              <w:rPr>
                <w:sz w:val="18"/>
                <w:szCs w:val="18"/>
              </w:rPr>
              <w:t>Discretionary foods - yeast spread</w:t>
            </w:r>
          </w:p>
        </w:tc>
        <w:tc>
          <w:tcPr>
            <w:tcW w:w="1003" w:type="dxa"/>
            <w:tcBorders>
              <w:top w:val="nil"/>
              <w:left w:val="nil"/>
              <w:bottom w:val="single" w:sz="4" w:space="0" w:color="auto"/>
              <w:right w:val="single" w:sz="8" w:space="0" w:color="auto"/>
            </w:tcBorders>
            <w:shd w:val="clear" w:color="auto" w:fill="auto"/>
            <w:noWrap/>
            <w:vAlign w:val="center"/>
            <w:hideMark/>
          </w:tcPr>
          <w:p w14:paraId="00630500" w14:textId="77777777" w:rsidR="00266A17" w:rsidRPr="00163505" w:rsidRDefault="00266A17" w:rsidP="0024269C">
            <w:pPr>
              <w:rPr>
                <w:sz w:val="18"/>
                <w:szCs w:val="18"/>
              </w:rPr>
            </w:pPr>
            <w:r w:rsidRPr="00163505">
              <w:rPr>
                <w:sz w:val="18"/>
                <w:szCs w:val="18"/>
              </w:rPr>
              <w:t>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1C37530"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273A860" w14:textId="77777777" w:rsidR="00266A17" w:rsidRPr="00163505" w:rsidRDefault="00266A17" w:rsidP="0024269C">
            <w:pPr>
              <w:rPr>
                <w:sz w:val="18"/>
                <w:szCs w:val="18"/>
              </w:rPr>
            </w:pPr>
            <w:r w:rsidRPr="00163505">
              <w:rPr>
                <w:sz w:val="18"/>
                <w:szCs w:val="18"/>
              </w:rPr>
              <w:t>100.0%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A0F4F5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8641FD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42737E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F9871DB"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654CFB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EB0EAA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42706B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838C87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56E2835"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E0969F1" w14:textId="77777777" w:rsidR="00266A17" w:rsidRPr="00163505" w:rsidRDefault="00266A17" w:rsidP="0024269C">
            <w:pPr>
              <w:rPr>
                <w:sz w:val="18"/>
                <w:szCs w:val="18"/>
              </w:rPr>
            </w:pPr>
            <w:r w:rsidRPr="00163505">
              <w:rPr>
                <w:sz w:val="18"/>
                <w:szCs w:val="18"/>
              </w:rPr>
              <w:t>25.0%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A3249F2"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64BAB73" w14:textId="77777777" w:rsidR="00266A17" w:rsidRPr="00163505" w:rsidRDefault="00266A17" w:rsidP="0024269C">
            <w:pPr>
              <w:rPr>
                <w:sz w:val="18"/>
                <w:szCs w:val="18"/>
              </w:rPr>
            </w:pPr>
            <w:r w:rsidRPr="00163505">
              <w:rPr>
                <w:sz w:val="18"/>
                <w:szCs w:val="18"/>
              </w:rPr>
              <w:t>75.0%</w:t>
            </w:r>
          </w:p>
        </w:tc>
        <w:tc>
          <w:tcPr>
            <w:tcW w:w="638" w:type="dxa"/>
            <w:tcBorders>
              <w:top w:val="nil"/>
              <w:left w:val="nil"/>
              <w:bottom w:val="single" w:sz="4" w:space="0" w:color="auto"/>
              <w:right w:val="single" w:sz="4" w:space="0" w:color="auto"/>
            </w:tcBorders>
            <w:shd w:val="clear" w:color="auto" w:fill="auto"/>
            <w:noWrap/>
            <w:vAlign w:val="bottom"/>
            <w:hideMark/>
          </w:tcPr>
          <w:p w14:paraId="1FFD08C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946CEB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C7588E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4116C1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B6BAED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D1ECF02" w14:textId="77777777" w:rsidR="00266A17" w:rsidRPr="00163505" w:rsidRDefault="00266A17" w:rsidP="0024269C">
            <w:pPr>
              <w:rPr>
                <w:sz w:val="18"/>
                <w:szCs w:val="18"/>
              </w:rPr>
            </w:pPr>
            <w:r w:rsidRPr="00163505">
              <w:rPr>
                <w:sz w:val="18"/>
                <w:szCs w:val="18"/>
              </w:rPr>
              <w:t>0.0%</w:t>
            </w:r>
          </w:p>
        </w:tc>
      </w:tr>
      <w:tr w:rsidR="00266A17" w:rsidRPr="00163505" w14:paraId="66ADB8CB"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320185A" w14:textId="77777777" w:rsidR="00266A17" w:rsidRPr="00163505" w:rsidRDefault="00266A17" w:rsidP="0024269C">
            <w:pPr>
              <w:rPr>
                <w:sz w:val="18"/>
                <w:szCs w:val="18"/>
              </w:rPr>
            </w:pPr>
            <w:r w:rsidRPr="00163505">
              <w:rPr>
                <w:sz w:val="18"/>
                <w:szCs w:val="18"/>
              </w:rPr>
              <w:t>Protein - meats/fish</w:t>
            </w:r>
          </w:p>
        </w:tc>
        <w:tc>
          <w:tcPr>
            <w:tcW w:w="1003" w:type="dxa"/>
            <w:tcBorders>
              <w:top w:val="nil"/>
              <w:left w:val="nil"/>
              <w:bottom w:val="single" w:sz="4" w:space="0" w:color="auto"/>
              <w:right w:val="single" w:sz="8" w:space="0" w:color="auto"/>
            </w:tcBorders>
            <w:shd w:val="clear" w:color="auto" w:fill="auto"/>
            <w:noWrap/>
            <w:vAlign w:val="center"/>
            <w:hideMark/>
          </w:tcPr>
          <w:p w14:paraId="71530C10" w14:textId="77777777" w:rsidR="00266A17" w:rsidRPr="00163505" w:rsidRDefault="00266A17" w:rsidP="0024269C">
            <w:pPr>
              <w:rPr>
                <w:sz w:val="18"/>
                <w:szCs w:val="18"/>
              </w:rPr>
            </w:pPr>
            <w:r w:rsidRPr="00163505">
              <w:rPr>
                <w:sz w:val="18"/>
                <w:szCs w:val="18"/>
              </w:rPr>
              <w:t>328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A02AAB7"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35BED58" w14:textId="77777777" w:rsidR="00266A17" w:rsidRPr="00163505" w:rsidRDefault="00266A17" w:rsidP="0024269C">
            <w:pPr>
              <w:rPr>
                <w:sz w:val="18"/>
                <w:szCs w:val="18"/>
              </w:rPr>
            </w:pPr>
            <w:r w:rsidRPr="00163505">
              <w:rPr>
                <w:sz w:val="18"/>
                <w:szCs w:val="18"/>
              </w:rPr>
              <w:t>8.2%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8AD320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64B6C5"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DC46BF3"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36E0E9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0326B0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93FEF6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4CF83B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FC68F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9534D4F" w14:textId="77777777" w:rsidR="00266A17" w:rsidRPr="00163505" w:rsidRDefault="00266A17" w:rsidP="0024269C">
            <w:pPr>
              <w:rPr>
                <w:sz w:val="18"/>
                <w:szCs w:val="18"/>
              </w:rPr>
            </w:pPr>
            <w:r w:rsidRPr="00163505">
              <w:rPr>
                <w:sz w:val="18"/>
                <w:szCs w:val="18"/>
              </w:rPr>
              <w:t>16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BC97C0F" w14:textId="77777777" w:rsidR="00266A17" w:rsidRPr="00163505" w:rsidRDefault="00266A17" w:rsidP="0024269C">
            <w:pPr>
              <w:rPr>
                <w:sz w:val="18"/>
                <w:szCs w:val="18"/>
              </w:rPr>
            </w:pPr>
            <w:r w:rsidRPr="00163505">
              <w:rPr>
                <w:sz w:val="18"/>
                <w:szCs w:val="18"/>
              </w:rPr>
              <w:t>4.9%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A9134E"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0567898" w14:textId="77777777" w:rsidR="00266A17" w:rsidRPr="00163505" w:rsidRDefault="00266A17" w:rsidP="0024269C">
            <w:pPr>
              <w:rPr>
                <w:sz w:val="18"/>
                <w:szCs w:val="18"/>
              </w:rPr>
            </w:pPr>
            <w:r w:rsidRPr="00163505">
              <w:rPr>
                <w:sz w:val="18"/>
                <w:szCs w:val="18"/>
              </w:rPr>
              <w:t>3.4%</w:t>
            </w:r>
          </w:p>
        </w:tc>
        <w:tc>
          <w:tcPr>
            <w:tcW w:w="638" w:type="dxa"/>
            <w:tcBorders>
              <w:top w:val="nil"/>
              <w:left w:val="nil"/>
              <w:bottom w:val="single" w:sz="4" w:space="0" w:color="auto"/>
              <w:right w:val="single" w:sz="4" w:space="0" w:color="auto"/>
            </w:tcBorders>
            <w:shd w:val="clear" w:color="auto" w:fill="auto"/>
            <w:noWrap/>
            <w:vAlign w:val="bottom"/>
            <w:hideMark/>
          </w:tcPr>
          <w:p w14:paraId="205D305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215552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76F715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95BB960"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EE3562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26C7ABF" w14:textId="77777777" w:rsidR="00266A17" w:rsidRPr="00163505" w:rsidRDefault="00266A17" w:rsidP="0024269C">
            <w:pPr>
              <w:rPr>
                <w:sz w:val="18"/>
                <w:szCs w:val="18"/>
              </w:rPr>
            </w:pPr>
            <w:r w:rsidRPr="00163505">
              <w:rPr>
                <w:sz w:val="18"/>
                <w:szCs w:val="18"/>
              </w:rPr>
              <w:t>0.0%</w:t>
            </w:r>
          </w:p>
        </w:tc>
      </w:tr>
      <w:tr w:rsidR="00266A17" w:rsidRPr="00163505" w14:paraId="76FB018A"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197218F" w14:textId="77777777" w:rsidR="00266A17" w:rsidRPr="00163505" w:rsidRDefault="00266A17" w:rsidP="0024269C">
            <w:pPr>
              <w:rPr>
                <w:sz w:val="18"/>
                <w:szCs w:val="18"/>
              </w:rPr>
            </w:pPr>
            <w:r w:rsidRPr="00163505">
              <w:rPr>
                <w:sz w:val="18"/>
                <w:szCs w:val="18"/>
              </w:rPr>
              <w:t>Protein - nuts</w:t>
            </w:r>
          </w:p>
        </w:tc>
        <w:tc>
          <w:tcPr>
            <w:tcW w:w="1003" w:type="dxa"/>
            <w:tcBorders>
              <w:top w:val="nil"/>
              <w:left w:val="nil"/>
              <w:bottom w:val="single" w:sz="4" w:space="0" w:color="auto"/>
              <w:right w:val="single" w:sz="8" w:space="0" w:color="auto"/>
            </w:tcBorders>
            <w:shd w:val="clear" w:color="auto" w:fill="auto"/>
            <w:noWrap/>
            <w:vAlign w:val="center"/>
            <w:hideMark/>
          </w:tcPr>
          <w:p w14:paraId="0DEF2E50" w14:textId="77777777" w:rsidR="00266A17" w:rsidRPr="00163505" w:rsidRDefault="00266A17" w:rsidP="0024269C">
            <w:pPr>
              <w:rPr>
                <w:sz w:val="18"/>
                <w:szCs w:val="18"/>
              </w:rPr>
            </w:pPr>
            <w:r w:rsidRPr="00163505">
              <w:rPr>
                <w:sz w:val="18"/>
                <w:szCs w:val="18"/>
              </w:rPr>
              <w:t>76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BD071D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6AC9A46" w14:textId="77777777" w:rsidR="00266A17" w:rsidRPr="00163505" w:rsidRDefault="00266A17" w:rsidP="0024269C">
            <w:pPr>
              <w:rPr>
                <w:sz w:val="18"/>
                <w:szCs w:val="18"/>
              </w:rPr>
            </w:pPr>
            <w:r w:rsidRPr="00163505">
              <w:rPr>
                <w:sz w:val="18"/>
                <w:szCs w:val="18"/>
              </w:rPr>
              <w:t>1.3%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6A766B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F1C5AE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DD8941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8B5B1C8"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D7242C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378FFE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3FDDD1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D17A09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E785D2D"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A9B7A83" w14:textId="77777777" w:rsidR="00266A17" w:rsidRPr="00163505" w:rsidRDefault="00266A17" w:rsidP="0024269C">
            <w:pPr>
              <w:rPr>
                <w:sz w:val="18"/>
                <w:szCs w:val="18"/>
              </w:rPr>
            </w:pPr>
            <w:r w:rsidRPr="00163505">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14:paraId="49B7D46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5C1A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75861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BA5519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03884D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34C3A2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E5F465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81ACB6E" w14:textId="77777777" w:rsidR="00266A17" w:rsidRPr="00163505" w:rsidRDefault="00266A17" w:rsidP="0024269C">
            <w:pPr>
              <w:rPr>
                <w:sz w:val="18"/>
                <w:szCs w:val="18"/>
              </w:rPr>
            </w:pPr>
            <w:r w:rsidRPr="00163505">
              <w:rPr>
                <w:sz w:val="18"/>
                <w:szCs w:val="18"/>
              </w:rPr>
              <w:t>0.0%</w:t>
            </w:r>
          </w:p>
        </w:tc>
      </w:tr>
      <w:tr w:rsidR="00266A17" w:rsidRPr="00163505" w14:paraId="20D63A06"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6770F62" w14:textId="77777777" w:rsidR="00266A17" w:rsidRPr="00163505" w:rsidRDefault="00266A17" w:rsidP="0024269C">
            <w:pPr>
              <w:rPr>
                <w:sz w:val="18"/>
                <w:szCs w:val="18"/>
              </w:rPr>
            </w:pPr>
            <w:r w:rsidRPr="00163505">
              <w:rPr>
                <w:sz w:val="18"/>
                <w:szCs w:val="18"/>
              </w:rPr>
              <w:t>Protein - plant</w:t>
            </w:r>
          </w:p>
        </w:tc>
        <w:tc>
          <w:tcPr>
            <w:tcW w:w="1003" w:type="dxa"/>
            <w:tcBorders>
              <w:top w:val="nil"/>
              <w:left w:val="nil"/>
              <w:bottom w:val="single" w:sz="4" w:space="0" w:color="auto"/>
              <w:right w:val="single" w:sz="8" w:space="0" w:color="auto"/>
            </w:tcBorders>
            <w:shd w:val="clear" w:color="auto" w:fill="auto"/>
            <w:noWrap/>
            <w:vAlign w:val="center"/>
            <w:hideMark/>
          </w:tcPr>
          <w:p w14:paraId="7095ED01" w14:textId="77777777" w:rsidR="00266A17" w:rsidRPr="00163505" w:rsidRDefault="00266A17" w:rsidP="0024269C">
            <w:pPr>
              <w:rPr>
                <w:sz w:val="18"/>
                <w:szCs w:val="18"/>
              </w:rPr>
            </w:pPr>
            <w:r w:rsidRPr="00163505">
              <w:rPr>
                <w:sz w:val="18"/>
                <w:szCs w:val="18"/>
              </w:rPr>
              <w:t>104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2B2275D"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79CF91F" w14:textId="77777777" w:rsidR="00266A17" w:rsidRPr="00163505" w:rsidRDefault="00266A17" w:rsidP="0024269C">
            <w:pPr>
              <w:rPr>
                <w:sz w:val="18"/>
                <w:szCs w:val="18"/>
              </w:rPr>
            </w:pPr>
            <w:r w:rsidRPr="00163505">
              <w:rPr>
                <w:sz w:val="18"/>
                <w:szCs w:val="18"/>
              </w:rPr>
              <w:t>4.8%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C0DE80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C8B8FF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11DCEF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F99BF6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850E54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278AF3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AE74D7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694933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CDFB664"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64C9E8" w14:textId="77777777" w:rsidR="00266A17" w:rsidRPr="00163505" w:rsidRDefault="00266A17" w:rsidP="0024269C">
            <w:pPr>
              <w:rPr>
                <w:sz w:val="18"/>
                <w:szCs w:val="18"/>
              </w:rPr>
            </w:pPr>
            <w:r w:rsidRPr="00163505">
              <w:rPr>
                <w:sz w:val="18"/>
                <w:szCs w:val="18"/>
              </w:rPr>
              <w:t>1.0%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EA2B03C"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4FB74D" w14:textId="77777777" w:rsidR="00266A17" w:rsidRPr="00163505" w:rsidRDefault="00266A17" w:rsidP="0024269C">
            <w:pPr>
              <w:rPr>
                <w:sz w:val="18"/>
                <w:szCs w:val="18"/>
              </w:rPr>
            </w:pPr>
            <w:r w:rsidRPr="00163505">
              <w:rPr>
                <w:sz w:val="18"/>
                <w:szCs w:val="18"/>
              </w:rPr>
              <w:t>3.8%</w:t>
            </w:r>
          </w:p>
        </w:tc>
        <w:tc>
          <w:tcPr>
            <w:tcW w:w="638" w:type="dxa"/>
            <w:tcBorders>
              <w:top w:val="nil"/>
              <w:left w:val="nil"/>
              <w:bottom w:val="single" w:sz="4" w:space="0" w:color="auto"/>
              <w:right w:val="single" w:sz="4" w:space="0" w:color="auto"/>
            </w:tcBorders>
            <w:shd w:val="clear" w:color="auto" w:fill="auto"/>
            <w:noWrap/>
            <w:vAlign w:val="bottom"/>
            <w:hideMark/>
          </w:tcPr>
          <w:p w14:paraId="3737E61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8276B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6102D9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5B1797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748E410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0622947" w14:textId="77777777" w:rsidR="00266A17" w:rsidRPr="00163505" w:rsidRDefault="00266A17" w:rsidP="0024269C">
            <w:pPr>
              <w:rPr>
                <w:sz w:val="18"/>
                <w:szCs w:val="18"/>
              </w:rPr>
            </w:pPr>
            <w:r w:rsidRPr="00163505">
              <w:rPr>
                <w:sz w:val="18"/>
                <w:szCs w:val="18"/>
              </w:rPr>
              <w:t>0.0%</w:t>
            </w:r>
          </w:p>
        </w:tc>
      </w:tr>
      <w:tr w:rsidR="00266A17" w:rsidRPr="00163505" w14:paraId="796736F1"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57CB89E" w14:textId="77777777" w:rsidR="00266A17" w:rsidRPr="00163505" w:rsidRDefault="00266A17" w:rsidP="0024269C">
            <w:pPr>
              <w:rPr>
                <w:sz w:val="18"/>
                <w:szCs w:val="18"/>
              </w:rPr>
            </w:pPr>
            <w:r w:rsidRPr="00163505">
              <w:rPr>
                <w:sz w:val="18"/>
                <w:szCs w:val="18"/>
              </w:rPr>
              <w:t>Vegetables - processed</w:t>
            </w:r>
          </w:p>
        </w:tc>
        <w:tc>
          <w:tcPr>
            <w:tcW w:w="1003" w:type="dxa"/>
            <w:tcBorders>
              <w:top w:val="nil"/>
              <w:left w:val="nil"/>
              <w:bottom w:val="single" w:sz="4" w:space="0" w:color="auto"/>
              <w:right w:val="single" w:sz="8" w:space="0" w:color="auto"/>
            </w:tcBorders>
            <w:shd w:val="clear" w:color="auto" w:fill="auto"/>
            <w:noWrap/>
            <w:vAlign w:val="center"/>
            <w:hideMark/>
          </w:tcPr>
          <w:p w14:paraId="2CC36755" w14:textId="77777777" w:rsidR="00266A17" w:rsidRPr="00163505" w:rsidRDefault="00266A17" w:rsidP="0024269C">
            <w:pPr>
              <w:rPr>
                <w:sz w:val="18"/>
                <w:szCs w:val="18"/>
              </w:rPr>
            </w:pPr>
            <w:r w:rsidRPr="00163505">
              <w:rPr>
                <w:sz w:val="18"/>
                <w:szCs w:val="18"/>
              </w:rPr>
              <w:t>299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F5FEADD"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DC208F5" w14:textId="77777777" w:rsidR="00266A17" w:rsidRPr="00163505" w:rsidRDefault="00266A17" w:rsidP="0024269C">
            <w:pPr>
              <w:rPr>
                <w:sz w:val="18"/>
                <w:szCs w:val="18"/>
              </w:rPr>
            </w:pPr>
            <w:r w:rsidRPr="00163505">
              <w:rPr>
                <w:sz w:val="18"/>
                <w:szCs w:val="18"/>
              </w:rPr>
              <w:t>3.3%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7DE95B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121765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BC6266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BBAF5E2"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E77C41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3AB13F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52950C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D0DCE8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5B89C6E" w14:textId="77777777" w:rsidR="00266A17" w:rsidRPr="00163505" w:rsidRDefault="00266A17" w:rsidP="0024269C">
            <w:pPr>
              <w:rPr>
                <w:sz w:val="18"/>
                <w:szCs w:val="18"/>
              </w:rPr>
            </w:pPr>
            <w:r w:rsidRPr="00163505">
              <w:rPr>
                <w:sz w:val="18"/>
                <w:szCs w:val="18"/>
              </w:rPr>
              <w:t>9</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656192D" w14:textId="77777777" w:rsidR="00266A17" w:rsidRPr="00163505" w:rsidRDefault="00266A17" w:rsidP="0024269C">
            <w:pPr>
              <w:rPr>
                <w:sz w:val="18"/>
                <w:szCs w:val="18"/>
              </w:rPr>
            </w:pPr>
            <w:r w:rsidRPr="00163505">
              <w:rPr>
                <w:sz w:val="18"/>
                <w:szCs w:val="18"/>
              </w:rPr>
              <w:t>3.0%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010BEDE"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773D97" w14:textId="77777777" w:rsidR="00266A17" w:rsidRPr="00163505" w:rsidRDefault="00266A17" w:rsidP="0024269C">
            <w:pPr>
              <w:rPr>
                <w:sz w:val="18"/>
                <w:szCs w:val="18"/>
              </w:rPr>
            </w:pPr>
            <w:r w:rsidRPr="00163505">
              <w:rPr>
                <w:sz w:val="18"/>
                <w:szCs w:val="18"/>
              </w:rPr>
              <w:t>0.3%</w:t>
            </w:r>
          </w:p>
        </w:tc>
        <w:tc>
          <w:tcPr>
            <w:tcW w:w="638" w:type="dxa"/>
            <w:tcBorders>
              <w:top w:val="nil"/>
              <w:left w:val="nil"/>
              <w:bottom w:val="single" w:sz="4" w:space="0" w:color="auto"/>
              <w:right w:val="single" w:sz="4" w:space="0" w:color="auto"/>
            </w:tcBorders>
            <w:shd w:val="clear" w:color="auto" w:fill="auto"/>
            <w:noWrap/>
            <w:vAlign w:val="bottom"/>
            <w:hideMark/>
          </w:tcPr>
          <w:p w14:paraId="728295E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6BDCD2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A7361E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77F988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50A98E7"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298C26A" w14:textId="77777777" w:rsidR="00266A17" w:rsidRPr="00163505" w:rsidRDefault="00266A17" w:rsidP="0024269C">
            <w:pPr>
              <w:rPr>
                <w:sz w:val="18"/>
                <w:szCs w:val="18"/>
              </w:rPr>
            </w:pPr>
            <w:r w:rsidRPr="00163505">
              <w:rPr>
                <w:sz w:val="18"/>
                <w:szCs w:val="18"/>
              </w:rPr>
              <w:t>0.0%</w:t>
            </w:r>
          </w:p>
        </w:tc>
      </w:tr>
      <w:tr w:rsidR="00266A17" w:rsidRPr="00163505" w14:paraId="78444F88"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7B3C4F9" w14:textId="77777777" w:rsidR="00266A17" w:rsidRPr="00163505" w:rsidRDefault="00266A17" w:rsidP="0024269C">
            <w:pPr>
              <w:rPr>
                <w:sz w:val="18"/>
                <w:szCs w:val="18"/>
              </w:rPr>
            </w:pPr>
            <w:r w:rsidRPr="00163505">
              <w:rPr>
                <w:sz w:val="18"/>
                <w:szCs w:val="18"/>
              </w:rPr>
              <w:t>Vegetables - unprocessed</w:t>
            </w:r>
          </w:p>
        </w:tc>
        <w:tc>
          <w:tcPr>
            <w:tcW w:w="1003" w:type="dxa"/>
            <w:tcBorders>
              <w:top w:val="nil"/>
              <w:left w:val="nil"/>
              <w:bottom w:val="single" w:sz="4" w:space="0" w:color="auto"/>
              <w:right w:val="single" w:sz="8" w:space="0" w:color="auto"/>
            </w:tcBorders>
            <w:shd w:val="clear" w:color="auto" w:fill="auto"/>
            <w:noWrap/>
            <w:vAlign w:val="center"/>
            <w:hideMark/>
          </w:tcPr>
          <w:p w14:paraId="16983D08" w14:textId="77777777" w:rsidR="00266A17" w:rsidRPr="00163505" w:rsidRDefault="00266A17" w:rsidP="0024269C">
            <w:pPr>
              <w:rPr>
                <w:sz w:val="18"/>
                <w:szCs w:val="18"/>
              </w:rPr>
            </w:pPr>
            <w:r w:rsidRPr="00163505">
              <w:rPr>
                <w:sz w:val="18"/>
                <w:szCs w:val="18"/>
              </w:rPr>
              <w:t>62</w:t>
            </w:r>
          </w:p>
        </w:tc>
        <w:tc>
          <w:tcPr>
            <w:tcW w:w="567"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14:paraId="696A14B3" w14:textId="0A675321" w:rsidR="00266A17" w:rsidRPr="00163505" w:rsidRDefault="0074717E" w:rsidP="0024269C">
            <w:pPr>
              <w:rPr>
                <w:sz w:val="18"/>
                <w:szCs w:val="18"/>
              </w:rPr>
            </w:pPr>
            <w:r>
              <w:rPr>
                <w:sz w:val="18"/>
                <w:szCs w:val="18"/>
              </w:rPr>
              <w:t>30</w:t>
            </w:r>
          </w:p>
        </w:tc>
        <w:tc>
          <w:tcPr>
            <w:tcW w:w="708" w:type="dxa"/>
            <w:tcBorders>
              <w:top w:val="nil"/>
              <w:left w:val="nil"/>
              <w:bottom w:val="single" w:sz="4" w:space="0" w:color="auto"/>
              <w:right w:val="nil"/>
            </w:tcBorders>
            <w:shd w:val="clear" w:color="auto" w:fill="E2EFD9" w:themeFill="accent6" w:themeFillTint="33"/>
            <w:noWrap/>
            <w:vAlign w:val="bottom"/>
            <w:hideMark/>
          </w:tcPr>
          <w:p w14:paraId="25A90B18" w14:textId="66A47AD5" w:rsidR="00266A17" w:rsidRPr="00163505" w:rsidRDefault="001C6688" w:rsidP="0024269C">
            <w:pPr>
              <w:rPr>
                <w:sz w:val="18"/>
                <w:szCs w:val="18"/>
              </w:rPr>
            </w:pPr>
            <w:r>
              <w:rPr>
                <w:sz w:val="18"/>
                <w:szCs w:val="18"/>
              </w:rPr>
              <w:t>48.3</w:t>
            </w:r>
            <w:r w:rsidR="00266A17" w:rsidRPr="00163505">
              <w:rPr>
                <w:sz w:val="18"/>
                <w:szCs w:val="18"/>
              </w:rPr>
              <w:t>%</w:t>
            </w:r>
          </w:p>
        </w:tc>
        <w:tc>
          <w:tcPr>
            <w:tcW w:w="568"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14:paraId="611B590E" w14:textId="5C9F0819" w:rsidR="00266A17" w:rsidRPr="00163505" w:rsidRDefault="001C6688" w:rsidP="0024269C">
            <w:pPr>
              <w:rPr>
                <w:sz w:val="18"/>
                <w:szCs w:val="18"/>
              </w:rPr>
            </w:pPr>
            <w:r>
              <w:rPr>
                <w:sz w:val="18"/>
                <w:szCs w:val="18"/>
              </w:rPr>
              <w:t>29</w:t>
            </w:r>
          </w:p>
        </w:tc>
        <w:tc>
          <w:tcPr>
            <w:tcW w:w="708" w:type="dxa"/>
            <w:tcBorders>
              <w:top w:val="nil"/>
              <w:left w:val="nil"/>
              <w:bottom w:val="single" w:sz="4" w:space="0" w:color="auto"/>
              <w:right w:val="single" w:sz="8" w:space="0" w:color="auto"/>
            </w:tcBorders>
            <w:shd w:val="clear" w:color="auto" w:fill="E2EFD9" w:themeFill="accent6" w:themeFillTint="33"/>
            <w:noWrap/>
            <w:vAlign w:val="bottom"/>
            <w:hideMark/>
          </w:tcPr>
          <w:p w14:paraId="713456E8" w14:textId="255C54C7" w:rsidR="00266A17" w:rsidRPr="00163505" w:rsidRDefault="001C6688" w:rsidP="0024269C">
            <w:pPr>
              <w:rPr>
                <w:sz w:val="18"/>
                <w:szCs w:val="18"/>
              </w:rPr>
            </w:pPr>
            <w:r>
              <w:rPr>
                <w:sz w:val="18"/>
                <w:szCs w:val="18"/>
              </w:rPr>
              <w:t>46.7</w:t>
            </w:r>
            <w:r w:rsidR="00266A17" w:rsidRPr="00163505">
              <w:rPr>
                <w:sz w:val="18"/>
                <w:szCs w:val="18"/>
              </w:rPr>
              <w:t>%</w:t>
            </w:r>
          </w:p>
        </w:tc>
        <w:tc>
          <w:tcPr>
            <w:tcW w:w="567" w:type="dxa"/>
            <w:tcBorders>
              <w:top w:val="nil"/>
              <w:left w:val="nil"/>
              <w:bottom w:val="single" w:sz="4" w:space="0" w:color="auto"/>
              <w:right w:val="single" w:sz="4" w:space="0" w:color="auto"/>
            </w:tcBorders>
            <w:shd w:val="clear" w:color="auto" w:fill="E2EFD9" w:themeFill="accent6" w:themeFillTint="33"/>
            <w:noWrap/>
            <w:vAlign w:val="bottom"/>
            <w:hideMark/>
          </w:tcPr>
          <w:p w14:paraId="7FF706E7" w14:textId="4E62A98D" w:rsidR="00266A17" w:rsidRPr="00163505" w:rsidRDefault="001C6688" w:rsidP="0024269C">
            <w:pPr>
              <w:rPr>
                <w:sz w:val="18"/>
                <w:szCs w:val="18"/>
              </w:rPr>
            </w:pPr>
            <w:r>
              <w:rPr>
                <w:sz w:val="18"/>
                <w:szCs w:val="18"/>
              </w:rPr>
              <w:t>1</w:t>
            </w:r>
          </w:p>
        </w:tc>
        <w:tc>
          <w:tcPr>
            <w:tcW w:w="709" w:type="dxa"/>
            <w:tcBorders>
              <w:top w:val="nil"/>
              <w:left w:val="nil"/>
              <w:bottom w:val="single" w:sz="4" w:space="0" w:color="auto"/>
              <w:right w:val="single" w:sz="8" w:space="0" w:color="auto"/>
            </w:tcBorders>
            <w:shd w:val="clear" w:color="auto" w:fill="E2EFD9" w:themeFill="accent6" w:themeFillTint="33"/>
            <w:noWrap/>
            <w:vAlign w:val="bottom"/>
            <w:hideMark/>
          </w:tcPr>
          <w:p w14:paraId="42D0B93D" w14:textId="23C8AE10" w:rsidR="00266A17" w:rsidRPr="00163505" w:rsidRDefault="001C6688" w:rsidP="0024269C">
            <w:pPr>
              <w:rPr>
                <w:sz w:val="18"/>
                <w:szCs w:val="18"/>
              </w:rPr>
            </w:pPr>
            <w:r>
              <w:rPr>
                <w:sz w:val="18"/>
                <w:szCs w:val="18"/>
              </w:rPr>
              <w:t>1.6</w:t>
            </w:r>
            <w:r w:rsidR="00266A17" w:rsidRPr="00163505">
              <w:rPr>
                <w:sz w:val="18"/>
                <w:szCs w:val="18"/>
              </w:rPr>
              <w:t>%</w:t>
            </w:r>
          </w:p>
        </w:tc>
        <w:tc>
          <w:tcPr>
            <w:tcW w:w="637" w:type="dxa"/>
            <w:tcBorders>
              <w:top w:val="nil"/>
              <w:left w:val="nil"/>
              <w:bottom w:val="single" w:sz="4" w:space="0" w:color="auto"/>
              <w:right w:val="single" w:sz="4" w:space="0" w:color="auto"/>
            </w:tcBorders>
            <w:shd w:val="clear" w:color="auto" w:fill="auto"/>
            <w:noWrap/>
            <w:vAlign w:val="bottom"/>
            <w:hideMark/>
          </w:tcPr>
          <w:p w14:paraId="5C5F339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B4B57A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46DE70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43BC3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C98AC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8244342"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23504A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6FF838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365D99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5593FE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F4ACA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48F42B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6FEBF4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5FD7A29" w14:textId="77777777" w:rsidR="00266A17" w:rsidRPr="00163505" w:rsidRDefault="00266A17" w:rsidP="0024269C">
            <w:pPr>
              <w:rPr>
                <w:sz w:val="18"/>
                <w:szCs w:val="18"/>
              </w:rPr>
            </w:pPr>
            <w:r w:rsidRPr="00163505">
              <w:rPr>
                <w:sz w:val="18"/>
                <w:szCs w:val="18"/>
              </w:rPr>
              <w:t>0.0%</w:t>
            </w:r>
          </w:p>
        </w:tc>
      </w:tr>
      <w:tr w:rsidR="00266A17" w:rsidRPr="00163505" w14:paraId="2EC77887" w14:textId="77777777" w:rsidTr="00266A17">
        <w:trPr>
          <w:trHeight w:val="320"/>
        </w:trPr>
        <w:tc>
          <w:tcPr>
            <w:tcW w:w="1691" w:type="dxa"/>
            <w:tcBorders>
              <w:top w:val="nil"/>
              <w:left w:val="single" w:sz="8" w:space="0" w:color="auto"/>
              <w:bottom w:val="nil"/>
              <w:right w:val="single" w:sz="8" w:space="0" w:color="auto"/>
            </w:tcBorders>
            <w:shd w:val="clear" w:color="auto" w:fill="auto"/>
            <w:noWrap/>
            <w:vAlign w:val="center"/>
            <w:hideMark/>
          </w:tcPr>
          <w:p w14:paraId="6FAC1009" w14:textId="77777777" w:rsidR="00266A17" w:rsidRPr="00163505" w:rsidRDefault="00266A17" w:rsidP="0024269C">
            <w:pPr>
              <w:rPr>
                <w:sz w:val="18"/>
                <w:szCs w:val="18"/>
              </w:rPr>
            </w:pPr>
            <w:r w:rsidRPr="00163505">
              <w:rPr>
                <w:sz w:val="18"/>
                <w:szCs w:val="18"/>
              </w:rPr>
              <w:t>Water</w:t>
            </w:r>
          </w:p>
        </w:tc>
        <w:tc>
          <w:tcPr>
            <w:tcW w:w="1003" w:type="dxa"/>
            <w:tcBorders>
              <w:top w:val="nil"/>
              <w:left w:val="nil"/>
              <w:bottom w:val="nil"/>
              <w:right w:val="single" w:sz="8" w:space="0" w:color="auto"/>
            </w:tcBorders>
            <w:shd w:val="clear" w:color="auto" w:fill="auto"/>
            <w:noWrap/>
            <w:vAlign w:val="center"/>
            <w:hideMark/>
          </w:tcPr>
          <w:p w14:paraId="36F01E62" w14:textId="77777777" w:rsidR="00266A17" w:rsidRPr="00163505" w:rsidRDefault="00266A17" w:rsidP="0024269C">
            <w:pPr>
              <w:rPr>
                <w:sz w:val="18"/>
                <w:szCs w:val="18"/>
              </w:rPr>
            </w:pPr>
            <w:r w:rsidRPr="00163505">
              <w:rPr>
                <w:sz w:val="18"/>
                <w:szCs w:val="18"/>
              </w:rPr>
              <w:t>6</w:t>
            </w:r>
          </w:p>
        </w:tc>
        <w:tc>
          <w:tcPr>
            <w:tcW w:w="567" w:type="dxa"/>
            <w:tcBorders>
              <w:top w:val="nil"/>
              <w:left w:val="single" w:sz="8" w:space="0" w:color="auto"/>
              <w:bottom w:val="nil"/>
              <w:right w:val="single" w:sz="4" w:space="0" w:color="auto"/>
            </w:tcBorders>
            <w:shd w:val="clear" w:color="auto" w:fill="auto"/>
            <w:noWrap/>
            <w:vAlign w:val="bottom"/>
            <w:hideMark/>
          </w:tcPr>
          <w:p w14:paraId="34CA6BD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nil"/>
            </w:tcBorders>
            <w:shd w:val="clear" w:color="auto" w:fill="auto"/>
            <w:noWrap/>
            <w:vAlign w:val="bottom"/>
            <w:hideMark/>
          </w:tcPr>
          <w:p w14:paraId="549819EE"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nil"/>
              <w:right w:val="single" w:sz="4" w:space="0" w:color="auto"/>
            </w:tcBorders>
            <w:shd w:val="clear" w:color="auto" w:fill="auto"/>
            <w:noWrap/>
            <w:vAlign w:val="bottom"/>
            <w:hideMark/>
          </w:tcPr>
          <w:p w14:paraId="6A279ED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0D05A714"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nil"/>
              <w:right w:val="single" w:sz="4" w:space="0" w:color="auto"/>
            </w:tcBorders>
            <w:shd w:val="clear" w:color="auto" w:fill="auto"/>
            <w:noWrap/>
            <w:vAlign w:val="bottom"/>
            <w:hideMark/>
          </w:tcPr>
          <w:p w14:paraId="2CE75F3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nil"/>
              <w:right w:val="single" w:sz="8" w:space="0" w:color="auto"/>
            </w:tcBorders>
            <w:shd w:val="clear" w:color="auto" w:fill="auto"/>
            <w:noWrap/>
            <w:vAlign w:val="bottom"/>
            <w:hideMark/>
          </w:tcPr>
          <w:p w14:paraId="433D911C"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nil"/>
              <w:right w:val="single" w:sz="4" w:space="0" w:color="auto"/>
            </w:tcBorders>
            <w:shd w:val="clear" w:color="auto" w:fill="auto"/>
            <w:noWrap/>
            <w:vAlign w:val="bottom"/>
            <w:hideMark/>
          </w:tcPr>
          <w:p w14:paraId="2BF4B2D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657EC45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nil"/>
              <w:right w:val="single" w:sz="4" w:space="0" w:color="auto"/>
            </w:tcBorders>
            <w:shd w:val="clear" w:color="auto" w:fill="auto"/>
            <w:noWrap/>
            <w:vAlign w:val="bottom"/>
            <w:hideMark/>
          </w:tcPr>
          <w:p w14:paraId="4B401C3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75868007"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nil"/>
              <w:right w:val="single" w:sz="4" w:space="0" w:color="auto"/>
            </w:tcBorders>
            <w:shd w:val="clear" w:color="auto" w:fill="auto"/>
            <w:noWrap/>
            <w:vAlign w:val="bottom"/>
            <w:hideMark/>
          </w:tcPr>
          <w:p w14:paraId="43EA92E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1912028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nil"/>
              <w:right w:val="single" w:sz="4" w:space="0" w:color="auto"/>
            </w:tcBorders>
            <w:shd w:val="clear" w:color="auto" w:fill="auto"/>
            <w:noWrap/>
            <w:vAlign w:val="bottom"/>
            <w:hideMark/>
          </w:tcPr>
          <w:p w14:paraId="62F7DCB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59DC4DD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nil"/>
              <w:right w:val="single" w:sz="4" w:space="0" w:color="auto"/>
            </w:tcBorders>
            <w:shd w:val="clear" w:color="auto" w:fill="auto"/>
            <w:noWrap/>
            <w:vAlign w:val="bottom"/>
            <w:hideMark/>
          </w:tcPr>
          <w:p w14:paraId="73A35C1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5D10CB8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nil"/>
              <w:right w:val="single" w:sz="4" w:space="0" w:color="auto"/>
            </w:tcBorders>
            <w:shd w:val="clear" w:color="auto" w:fill="auto"/>
            <w:noWrap/>
            <w:vAlign w:val="bottom"/>
            <w:hideMark/>
          </w:tcPr>
          <w:p w14:paraId="685CC68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4A39ADC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nil"/>
              <w:right w:val="single" w:sz="4" w:space="0" w:color="auto"/>
            </w:tcBorders>
            <w:shd w:val="clear" w:color="auto" w:fill="auto"/>
            <w:noWrap/>
            <w:vAlign w:val="bottom"/>
            <w:hideMark/>
          </w:tcPr>
          <w:p w14:paraId="21CD22C9"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nil"/>
              <w:right w:val="single" w:sz="8" w:space="0" w:color="auto"/>
            </w:tcBorders>
            <w:shd w:val="clear" w:color="auto" w:fill="auto"/>
            <w:noWrap/>
            <w:vAlign w:val="bottom"/>
            <w:hideMark/>
          </w:tcPr>
          <w:p w14:paraId="55BC2AEC" w14:textId="77777777" w:rsidR="00266A17" w:rsidRPr="00163505" w:rsidRDefault="00266A17" w:rsidP="0024269C">
            <w:pPr>
              <w:rPr>
                <w:sz w:val="18"/>
                <w:szCs w:val="18"/>
              </w:rPr>
            </w:pPr>
            <w:r w:rsidRPr="00163505">
              <w:rPr>
                <w:sz w:val="18"/>
                <w:szCs w:val="18"/>
              </w:rPr>
              <w:t>0.0%</w:t>
            </w:r>
          </w:p>
        </w:tc>
      </w:tr>
      <w:tr w:rsidR="00266A17" w:rsidRPr="00163505" w14:paraId="3A977C9C" w14:textId="77777777" w:rsidTr="001C6688">
        <w:trPr>
          <w:trHeight w:val="320"/>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78FE3" w14:textId="77777777" w:rsidR="00266A17" w:rsidRPr="00163505" w:rsidRDefault="00266A17" w:rsidP="0024269C">
            <w:pPr>
              <w:rPr>
                <w:sz w:val="18"/>
                <w:szCs w:val="18"/>
              </w:rPr>
            </w:pPr>
            <w:r w:rsidRPr="00163505">
              <w:rPr>
                <w:sz w:val="18"/>
                <w:szCs w:val="18"/>
              </w:rPr>
              <w:t>Total</w:t>
            </w:r>
          </w:p>
        </w:tc>
        <w:tc>
          <w:tcPr>
            <w:tcW w:w="1003" w:type="dxa"/>
            <w:tcBorders>
              <w:top w:val="single" w:sz="8" w:space="0" w:color="auto"/>
              <w:left w:val="nil"/>
              <w:bottom w:val="single" w:sz="8" w:space="0" w:color="auto"/>
              <w:right w:val="single" w:sz="8" w:space="0" w:color="auto"/>
            </w:tcBorders>
            <w:shd w:val="clear" w:color="auto" w:fill="auto"/>
            <w:noWrap/>
            <w:vAlign w:val="center"/>
            <w:hideMark/>
          </w:tcPr>
          <w:p w14:paraId="6107BDD2" w14:textId="77777777" w:rsidR="00266A17" w:rsidRPr="00163505" w:rsidRDefault="00266A17" w:rsidP="0024269C">
            <w:pPr>
              <w:rPr>
                <w:sz w:val="18"/>
                <w:szCs w:val="18"/>
              </w:rPr>
            </w:pPr>
            <w:r w:rsidRPr="00163505">
              <w:rPr>
                <w:sz w:val="18"/>
                <w:szCs w:val="18"/>
              </w:rPr>
              <w:t>5885</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010A10A3" w14:textId="77777777" w:rsidR="00266A17" w:rsidRPr="00163505" w:rsidRDefault="00266A17" w:rsidP="0024269C">
            <w:pPr>
              <w:rPr>
                <w:sz w:val="18"/>
                <w:szCs w:val="18"/>
              </w:rPr>
            </w:pPr>
            <w:r w:rsidRPr="00163505">
              <w:rPr>
                <w:sz w:val="18"/>
                <w:szCs w:val="18"/>
              </w:rPr>
              <w:t>991</w:t>
            </w:r>
          </w:p>
        </w:tc>
        <w:tc>
          <w:tcPr>
            <w:tcW w:w="708" w:type="dxa"/>
            <w:tcBorders>
              <w:top w:val="single" w:sz="8" w:space="0" w:color="auto"/>
              <w:left w:val="single" w:sz="4" w:space="0" w:color="auto"/>
              <w:bottom w:val="single" w:sz="8" w:space="0" w:color="auto"/>
              <w:right w:val="nil"/>
            </w:tcBorders>
            <w:shd w:val="clear" w:color="auto" w:fill="E2EFD9" w:themeFill="accent6" w:themeFillTint="33"/>
            <w:noWrap/>
            <w:vAlign w:val="bottom"/>
            <w:hideMark/>
          </w:tcPr>
          <w:p w14:paraId="7A2CED8A" w14:textId="77777777" w:rsidR="00266A17" w:rsidRPr="00163505" w:rsidRDefault="00266A17" w:rsidP="0024269C">
            <w:pPr>
              <w:rPr>
                <w:sz w:val="18"/>
                <w:szCs w:val="18"/>
              </w:rPr>
            </w:pPr>
            <w:r w:rsidRPr="00163505">
              <w:rPr>
                <w:sz w:val="18"/>
                <w:szCs w:val="18"/>
              </w:rPr>
              <w:t>16.8%</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28A1CD68" w14:textId="77777777" w:rsidR="00266A17" w:rsidRPr="00163505" w:rsidRDefault="00266A17" w:rsidP="0024269C">
            <w:pPr>
              <w:rPr>
                <w:sz w:val="18"/>
                <w:szCs w:val="18"/>
              </w:rPr>
            </w:pPr>
            <w:r w:rsidRPr="00163505">
              <w:rPr>
                <w:sz w:val="18"/>
                <w:szCs w:val="18"/>
              </w:rPr>
              <w:t>259</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6251E0FA" w14:textId="77777777" w:rsidR="00266A17" w:rsidRPr="00163505" w:rsidRDefault="00266A17" w:rsidP="0024269C">
            <w:pPr>
              <w:rPr>
                <w:sz w:val="18"/>
                <w:szCs w:val="18"/>
              </w:rPr>
            </w:pPr>
            <w:r w:rsidRPr="00163505">
              <w:rPr>
                <w:sz w:val="18"/>
                <w:szCs w:val="18"/>
              </w:rPr>
              <w:t>4.4%</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7A30BA9F" w14:textId="77777777" w:rsidR="00266A17" w:rsidRPr="00163505" w:rsidRDefault="00266A17" w:rsidP="0024269C">
            <w:pPr>
              <w:rPr>
                <w:sz w:val="18"/>
                <w:szCs w:val="18"/>
              </w:rPr>
            </w:pPr>
            <w:r w:rsidRPr="00163505">
              <w:rPr>
                <w:sz w:val="18"/>
                <w:szCs w:val="18"/>
              </w:rPr>
              <w:t>178</w:t>
            </w:r>
          </w:p>
        </w:tc>
        <w:tc>
          <w:tcPr>
            <w:tcW w:w="709"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3A7463DE" w14:textId="77777777" w:rsidR="00266A17" w:rsidRPr="00163505" w:rsidRDefault="00266A17" w:rsidP="0024269C">
            <w:pPr>
              <w:rPr>
                <w:sz w:val="18"/>
                <w:szCs w:val="18"/>
              </w:rPr>
            </w:pPr>
            <w:r w:rsidRPr="00163505">
              <w:rPr>
                <w:sz w:val="18"/>
                <w:szCs w:val="18"/>
              </w:rPr>
              <w:t>3.0%</w:t>
            </w:r>
          </w:p>
        </w:tc>
        <w:tc>
          <w:tcPr>
            <w:tcW w:w="63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E280A1A" w14:textId="77777777" w:rsidR="00266A17" w:rsidRPr="00163505" w:rsidRDefault="00266A17" w:rsidP="0024269C">
            <w:pPr>
              <w:rPr>
                <w:sz w:val="18"/>
                <w:szCs w:val="18"/>
              </w:rPr>
            </w:pPr>
            <w:r w:rsidRPr="00163505">
              <w:rPr>
                <w:sz w:val="18"/>
                <w:szCs w:val="18"/>
              </w:rPr>
              <w:t>39</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011841BE" w14:textId="77777777" w:rsidR="00266A17" w:rsidRPr="00163505" w:rsidRDefault="00266A17" w:rsidP="0024269C">
            <w:pPr>
              <w:rPr>
                <w:sz w:val="18"/>
                <w:szCs w:val="18"/>
              </w:rPr>
            </w:pPr>
            <w:r w:rsidRPr="00163505">
              <w:rPr>
                <w:sz w:val="18"/>
                <w:szCs w:val="18"/>
              </w:rPr>
              <w:t>0.7%</w:t>
            </w:r>
          </w:p>
        </w:tc>
        <w:tc>
          <w:tcPr>
            <w:tcW w:w="63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A9ED5A4" w14:textId="77777777" w:rsidR="00266A17" w:rsidRPr="00163505" w:rsidRDefault="00266A17" w:rsidP="0024269C">
            <w:pPr>
              <w:rPr>
                <w:sz w:val="18"/>
                <w:szCs w:val="18"/>
              </w:rPr>
            </w:pPr>
            <w:r w:rsidRPr="00163505">
              <w:rPr>
                <w:sz w:val="18"/>
                <w:szCs w:val="18"/>
              </w:rPr>
              <w:t>6</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A76B039" w14:textId="77777777" w:rsidR="00266A17" w:rsidRPr="00163505" w:rsidRDefault="00266A17" w:rsidP="0024269C">
            <w:pPr>
              <w:rPr>
                <w:sz w:val="18"/>
                <w:szCs w:val="18"/>
              </w:rPr>
            </w:pPr>
            <w:r w:rsidRPr="00163505">
              <w:rPr>
                <w:sz w:val="18"/>
                <w:szCs w:val="18"/>
              </w:rPr>
              <w:t>0.1%</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653502A" w14:textId="77777777" w:rsidR="00266A17" w:rsidRPr="00163505" w:rsidRDefault="00266A17" w:rsidP="0024269C">
            <w:pPr>
              <w:rPr>
                <w:sz w:val="18"/>
                <w:szCs w:val="18"/>
              </w:rPr>
            </w:pPr>
            <w:r w:rsidRPr="00163505">
              <w:rPr>
                <w:sz w:val="18"/>
                <w:szCs w:val="18"/>
              </w:rPr>
              <w:t>360</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15372823" w14:textId="77777777" w:rsidR="00266A17" w:rsidRPr="00163505" w:rsidRDefault="00266A17" w:rsidP="0024269C">
            <w:pPr>
              <w:rPr>
                <w:sz w:val="18"/>
                <w:szCs w:val="18"/>
              </w:rPr>
            </w:pPr>
            <w:r w:rsidRPr="00163505">
              <w:rPr>
                <w:sz w:val="18"/>
                <w:szCs w:val="18"/>
              </w:rPr>
              <w:t>6.1%</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000B8822" w14:textId="77777777" w:rsidR="00266A17" w:rsidRPr="00163505" w:rsidRDefault="00266A17" w:rsidP="0024269C">
            <w:pPr>
              <w:rPr>
                <w:sz w:val="18"/>
                <w:szCs w:val="18"/>
              </w:rPr>
            </w:pPr>
            <w:r w:rsidRPr="00163505">
              <w:rPr>
                <w:sz w:val="18"/>
                <w:szCs w:val="18"/>
              </w:rPr>
              <w:t>92</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572236B" w14:textId="77777777" w:rsidR="00266A17" w:rsidRPr="00163505" w:rsidRDefault="00266A17" w:rsidP="0024269C">
            <w:pPr>
              <w:rPr>
                <w:sz w:val="18"/>
                <w:szCs w:val="18"/>
              </w:rPr>
            </w:pPr>
            <w:r w:rsidRPr="00163505">
              <w:rPr>
                <w:sz w:val="18"/>
                <w:szCs w:val="18"/>
              </w:rPr>
              <w:t>1.6%</w:t>
            </w:r>
          </w:p>
        </w:tc>
        <w:tc>
          <w:tcPr>
            <w:tcW w:w="63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6C59A04" w14:textId="77777777" w:rsidR="00266A17" w:rsidRPr="00163505" w:rsidRDefault="00266A17" w:rsidP="0024269C">
            <w:pPr>
              <w:rPr>
                <w:sz w:val="18"/>
                <w:szCs w:val="18"/>
              </w:rPr>
            </w:pPr>
            <w:r w:rsidRPr="00163505">
              <w:rPr>
                <w:sz w:val="18"/>
                <w:szCs w:val="18"/>
              </w:rPr>
              <w:t>10</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35B239E9" w14:textId="77777777" w:rsidR="00266A17" w:rsidRPr="00163505" w:rsidRDefault="00266A17" w:rsidP="0024269C">
            <w:pPr>
              <w:rPr>
                <w:sz w:val="18"/>
                <w:szCs w:val="18"/>
              </w:rPr>
            </w:pPr>
            <w:r w:rsidRPr="00163505">
              <w:rPr>
                <w:sz w:val="18"/>
                <w:szCs w:val="18"/>
              </w:rPr>
              <w:t>0.2%</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1646ACD" w14:textId="77777777" w:rsidR="00266A17" w:rsidRPr="00163505" w:rsidRDefault="00266A17" w:rsidP="0024269C">
            <w:pPr>
              <w:rPr>
                <w:sz w:val="18"/>
                <w:szCs w:val="18"/>
              </w:rPr>
            </w:pPr>
            <w:r w:rsidRPr="00163505">
              <w:rPr>
                <w:sz w:val="18"/>
                <w:szCs w:val="18"/>
              </w:rPr>
              <w:t>2</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461F511" w14:textId="77777777" w:rsidR="00266A17" w:rsidRPr="00163505" w:rsidRDefault="00266A17" w:rsidP="0024269C">
            <w:pPr>
              <w:rPr>
                <w:sz w:val="18"/>
                <w:szCs w:val="18"/>
              </w:rPr>
            </w:pPr>
            <w:r w:rsidRPr="00163505">
              <w:rPr>
                <w:sz w:val="18"/>
                <w:szCs w:val="18"/>
              </w:rPr>
              <w:t>0.03%</w:t>
            </w:r>
          </w:p>
        </w:tc>
        <w:tc>
          <w:tcPr>
            <w:tcW w:w="426"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4D0368AA" w14:textId="77777777" w:rsidR="00266A17" w:rsidRPr="00163505" w:rsidRDefault="00266A17" w:rsidP="0024269C">
            <w:pPr>
              <w:rPr>
                <w:sz w:val="18"/>
                <w:szCs w:val="18"/>
              </w:rPr>
            </w:pPr>
            <w:r w:rsidRPr="00163505">
              <w:rPr>
                <w:sz w:val="18"/>
                <w:szCs w:val="18"/>
              </w:rPr>
              <w:t>45</w:t>
            </w:r>
          </w:p>
        </w:tc>
        <w:tc>
          <w:tcPr>
            <w:tcW w:w="850" w:type="dxa"/>
            <w:gridSpan w:val="2"/>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16D31348" w14:textId="77777777" w:rsidR="00266A17" w:rsidRPr="00163505" w:rsidRDefault="00266A17" w:rsidP="0024269C">
            <w:pPr>
              <w:rPr>
                <w:sz w:val="18"/>
                <w:szCs w:val="18"/>
              </w:rPr>
            </w:pPr>
            <w:r w:rsidRPr="00163505">
              <w:rPr>
                <w:sz w:val="18"/>
                <w:szCs w:val="18"/>
              </w:rPr>
              <w:t>0.8%</w:t>
            </w:r>
          </w:p>
        </w:tc>
      </w:tr>
    </w:tbl>
    <w:p w14:paraId="45389450" w14:textId="21600678" w:rsidR="008558A2" w:rsidRDefault="008558A2" w:rsidP="008558A2">
      <w:pPr>
        <w:pStyle w:val="mpcbullets1"/>
        <w:keepNext/>
        <w:numPr>
          <w:ilvl w:val="0"/>
          <w:numId w:val="0"/>
        </w:numPr>
        <w:rPr>
          <w:rFonts w:cstheme="minorHAnsi"/>
          <w:b/>
          <w:sz w:val="36"/>
          <w:szCs w:val="36"/>
        </w:rPr>
      </w:pPr>
    </w:p>
    <w:p w14:paraId="6994245E" w14:textId="5AE990A0" w:rsidR="008558A2" w:rsidRDefault="008558A2" w:rsidP="00163505">
      <w:pPr>
        <w:pStyle w:val="mpcheading1"/>
      </w:pPr>
      <w:r>
        <w:rPr>
          <w:b w:val="0"/>
        </w:rPr>
        <w:br w:type="column"/>
      </w:r>
      <w:bookmarkStart w:id="196" w:name="Appendix4"/>
      <w:bookmarkStart w:id="197" w:name="_Toc527112923"/>
      <w:bookmarkEnd w:id="196"/>
      <w:r w:rsidRPr="00163505">
        <w:lastRenderedPageBreak/>
        <w:t>Appendix</w:t>
      </w:r>
      <w:r w:rsidRPr="009E2890">
        <w:t xml:space="preserve"> 4 – Examples of products and the impact of proposed changes</w:t>
      </w:r>
      <w:bookmarkEnd w:id="197"/>
    </w:p>
    <w:p w14:paraId="17FCDA50" w14:textId="2E7E430E" w:rsidR="007303C1" w:rsidRDefault="007303C1" w:rsidP="007303C1">
      <w:r>
        <w:t>The below</w:t>
      </w:r>
      <w:r w:rsidRPr="007303C1">
        <w:t xml:space="preserve"> table </w:t>
      </w:r>
      <w:r>
        <w:t>provides</w:t>
      </w:r>
      <w:r w:rsidRPr="007303C1">
        <w:t xml:space="preserve"> a snapshot of some products and how their HSRs would be affected by the proposed </w:t>
      </w:r>
      <w:r>
        <w:t>combination of preferred options</w:t>
      </w:r>
      <w:r w:rsidRPr="007303C1">
        <w:t>.</w:t>
      </w:r>
    </w:p>
    <w:p w14:paraId="3F00A3D0" w14:textId="77777777" w:rsidR="007303C1" w:rsidRPr="009E2890" w:rsidRDefault="007303C1" w:rsidP="007303C1"/>
    <w:tbl>
      <w:tblPr>
        <w:tblW w:w="14885" w:type="dxa"/>
        <w:tblInd w:w="-431" w:type="dxa"/>
        <w:tblLook w:val="04A0" w:firstRow="1" w:lastRow="0" w:firstColumn="1" w:lastColumn="0" w:noHBand="0" w:noVBand="1"/>
        <w:tblCaption w:val="Examples of products and the impact of proposed changes"/>
        <w:tblDescription w:val="This table shows a snapshot of some products and how their HSRs would be affected by the proposed changes. "/>
      </w:tblPr>
      <w:tblGrid>
        <w:gridCol w:w="1792"/>
        <w:gridCol w:w="3371"/>
        <w:gridCol w:w="1557"/>
        <w:gridCol w:w="2265"/>
        <w:gridCol w:w="1222"/>
        <w:gridCol w:w="1843"/>
        <w:gridCol w:w="2835"/>
      </w:tblGrid>
      <w:tr w:rsidR="008558A2" w:rsidRPr="00163505" w14:paraId="005C7728" w14:textId="77777777" w:rsidTr="00921A7C">
        <w:trPr>
          <w:trHeight w:val="480"/>
          <w:tblHeader/>
        </w:trPr>
        <w:tc>
          <w:tcPr>
            <w:tcW w:w="1792" w:type="dxa"/>
            <w:tcBorders>
              <w:top w:val="single" w:sz="4" w:space="0" w:color="auto"/>
              <w:left w:val="single" w:sz="4" w:space="0" w:color="auto"/>
              <w:bottom w:val="single" w:sz="4" w:space="0" w:color="auto"/>
              <w:right w:val="single" w:sz="4" w:space="0" w:color="auto"/>
            </w:tcBorders>
            <w:shd w:val="clear" w:color="auto" w:fill="44546A"/>
            <w:hideMark/>
          </w:tcPr>
          <w:p w14:paraId="0FE3D4B2" w14:textId="77777777" w:rsidR="008558A2" w:rsidRPr="00163505" w:rsidRDefault="008558A2" w:rsidP="00163505">
            <w:pPr>
              <w:jc w:val="center"/>
              <w:rPr>
                <w:b/>
                <w:color w:val="FFFFFF" w:themeColor="background1"/>
                <w:sz w:val="20"/>
                <w:szCs w:val="20"/>
              </w:rPr>
            </w:pPr>
            <w:bookmarkStart w:id="198" w:name="ColumnTitle5"/>
            <w:bookmarkEnd w:id="198"/>
            <w:r w:rsidRPr="00163505">
              <w:rPr>
                <w:b/>
                <w:color w:val="FFFFFF" w:themeColor="background1"/>
                <w:sz w:val="20"/>
                <w:szCs w:val="20"/>
              </w:rPr>
              <w:t>AGHE-based cat</w:t>
            </w:r>
            <w:bookmarkStart w:id="199" w:name="Table_15_product_examples"/>
            <w:bookmarkEnd w:id="199"/>
            <w:r w:rsidRPr="00163505">
              <w:rPr>
                <w:b/>
                <w:color w:val="FFFFFF" w:themeColor="background1"/>
                <w:sz w:val="20"/>
                <w:szCs w:val="20"/>
              </w:rPr>
              <w:t>egories</w:t>
            </w:r>
          </w:p>
        </w:tc>
        <w:tc>
          <w:tcPr>
            <w:tcW w:w="3371" w:type="dxa"/>
            <w:tcBorders>
              <w:top w:val="single" w:sz="4" w:space="0" w:color="auto"/>
              <w:left w:val="single" w:sz="4" w:space="0" w:color="auto"/>
              <w:bottom w:val="single" w:sz="4" w:space="0" w:color="auto"/>
              <w:right w:val="single" w:sz="4" w:space="0" w:color="auto"/>
            </w:tcBorders>
            <w:shd w:val="clear" w:color="auto" w:fill="44546A"/>
            <w:hideMark/>
          </w:tcPr>
          <w:p w14:paraId="32636D95"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AHS 5-digit classification name</w:t>
            </w:r>
          </w:p>
        </w:tc>
        <w:tc>
          <w:tcPr>
            <w:tcW w:w="1557" w:type="dxa"/>
            <w:tcBorders>
              <w:top w:val="single" w:sz="4" w:space="0" w:color="auto"/>
              <w:left w:val="single" w:sz="4" w:space="0" w:color="auto"/>
              <w:bottom w:val="single" w:sz="4" w:space="0" w:color="auto"/>
              <w:right w:val="single" w:sz="4" w:space="0" w:color="auto"/>
            </w:tcBorders>
            <w:shd w:val="clear" w:color="auto" w:fill="44546A"/>
            <w:hideMark/>
          </w:tcPr>
          <w:p w14:paraId="2B6FBA75"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Alternative/lay description</w:t>
            </w:r>
          </w:p>
        </w:tc>
        <w:tc>
          <w:tcPr>
            <w:tcW w:w="2265" w:type="dxa"/>
            <w:tcBorders>
              <w:top w:val="single" w:sz="4" w:space="0" w:color="auto"/>
              <w:left w:val="single" w:sz="4" w:space="0" w:color="auto"/>
              <w:bottom w:val="single" w:sz="4" w:space="0" w:color="auto"/>
              <w:right w:val="single" w:sz="4" w:space="0" w:color="auto"/>
            </w:tcBorders>
            <w:shd w:val="clear" w:color="auto" w:fill="44546A"/>
            <w:hideMark/>
          </w:tcPr>
          <w:p w14:paraId="7850DF5C"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Comments</w:t>
            </w:r>
          </w:p>
        </w:tc>
        <w:tc>
          <w:tcPr>
            <w:tcW w:w="1222" w:type="dxa"/>
            <w:tcBorders>
              <w:top w:val="single" w:sz="4" w:space="0" w:color="auto"/>
              <w:left w:val="nil"/>
              <w:bottom w:val="single" w:sz="4" w:space="0" w:color="auto"/>
              <w:right w:val="single" w:sz="4" w:space="0" w:color="auto"/>
            </w:tcBorders>
            <w:shd w:val="clear" w:color="auto" w:fill="44546A"/>
            <w:hideMark/>
          </w:tcPr>
          <w:p w14:paraId="5195C9DA"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HSR (original)</w:t>
            </w:r>
          </w:p>
        </w:tc>
        <w:tc>
          <w:tcPr>
            <w:tcW w:w="1843" w:type="dxa"/>
            <w:tcBorders>
              <w:top w:val="single" w:sz="4" w:space="0" w:color="auto"/>
              <w:left w:val="nil"/>
              <w:bottom w:val="single" w:sz="4" w:space="0" w:color="auto"/>
              <w:right w:val="single" w:sz="4" w:space="0" w:color="auto"/>
            </w:tcBorders>
            <w:shd w:val="clear" w:color="auto" w:fill="44546A"/>
            <w:hideMark/>
          </w:tcPr>
          <w:p w14:paraId="7A6D8CBA" w14:textId="20086C73" w:rsidR="008558A2" w:rsidRPr="00163505" w:rsidRDefault="008558A2" w:rsidP="00163505">
            <w:pPr>
              <w:jc w:val="center"/>
              <w:rPr>
                <w:b/>
                <w:color w:val="FFFFFF" w:themeColor="background1"/>
                <w:sz w:val="20"/>
                <w:szCs w:val="20"/>
              </w:rPr>
            </w:pPr>
            <w:r w:rsidRPr="00163505">
              <w:rPr>
                <w:b/>
                <w:color w:val="FFFFFF" w:themeColor="background1"/>
                <w:sz w:val="20"/>
                <w:szCs w:val="20"/>
              </w:rPr>
              <w:t>HSR (</w:t>
            </w:r>
            <w:r w:rsidR="00921A7C">
              <w:rPr>
                <w:b/>
                <w:color w:val="FFFFFF" w:themeColor="background1"/>
                <w:sz w:val="20"/>
                <w:szCs w:val="20"/>
              </w:rPr>
              <w:t>with proposed changes)</w:t>
            </w:r>
          </w:p>
        </w:tc>
        <w:tc>
          <w:tcPr>
            <w:tcW w:w="2835" w:type="dxa"/>
            <w:tcBorders>
              <w:top w:val="single" w:sz="4" w:space="0" w:color="auto"/>
              <w:left w:val="nil"/>
              <w:bottom w:val="single" w:sz="4" w:space="0" w:color="auto"/>
              <w:right w:val="single" w:sz="4" w:space="0" w:color="auto"/>
            </w:tcBorders>
            <w:shd w:val="clear" w:color="auto" w:fill="44546A"/>
            <w:hideMark/>
          </w:tcPr>
          <w:p w14:paraId="57BCC849" w14:textId="0DB9F863" w:rsidR="008558A2" w:rsidRPr="00163505" w:rsidRDefault="00921A7C" w:rsidP="00163505">
            <w:pPr>
              <w:jc w:val="center"/>
              <w:rPr>
                <w:b/>
                <w:color w:val="FFFFFF" w:themeColor="background1"/>
                <w:sz w:val="20"/>
                <w:szCs w:val="20"/>
              </w:rPr>
            </w:pPr>
            <w:r>
              <w:rPr>
                <w:b/>
                <w:color w:val="FFFFFF" w:themeColor="background1"/>
                <w:sz w:val="20"/>
                <w:szCs w:val="20"/>
              </w:rPr>
              <w:t>Main c</w:t>
            </w:r>
            <w:r w:rsidR="008558A2" w:rsidRPr="00163505">
              <w:rPr>
                <w:b/>
                <w:color w:val="FFFFFF" w:themeColor="background1"/>
                <w:sz w:val="20"/>
                <w:szCs w:val="20"/>
              </w:rPr>
              <w:t>ause of changes</w:t>
            </w:r>
          </w:p>
        </w:tc>
      </w:tr>
      <w:tr w:rsidR="008558A2" w:rsidRPr="00163505" w14:paraId="3AFA344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653FCD0" w14:textId="77777777" w:rsidR="008558A2" w:rsidRPr="00163505" w:rsidRDefault="008558A2" w:rsidP="0024269C">
            <w:pPr>
              <w:rPr>
                <w:sz w:val="20"/>
                <w:szCs w:val="20"/>
              </w:rPr>
            </w:pPr>
            <w:r w:rsidRPr="00163505">
              <w:rPr>
                <w:sz w:val="20"/>
                <w:szCs w:val="20"/>
              </w:rPr>
              <w:t>FFG Cereals - bread</w:t>
            </w:r>
          </w:p>
        </w:tc>
        <w:tc>
          <w:tcPr>
            <w:tcW w:w="3371" w:type="dxa"/>
            <w:tcBorders>
              <w:top w:val="nil"/>
              <w:left w:val="nil"/>
              <w:bottom w:val="single" w:sz="4" w:space="0" w:color="auto"/>
              <w:right w:val="single" w:sz="4" w:space="0" w:color="auto"/>
            </w:tcBorders>
            <w:shd w:val="clear" w:color="auto" w:fill="auto"/>
            <w:hideMark/>
          </w:tcPr>
          <w:p w14:paraId="0F16BC1E" w14:textId="77777777" w:rsidR="008558A2" w:rsidRPr="00163505" w:rsidRDefault="008558A2" w:rsidP="0024269C">
            <w:pPr>
              <w:rPr>
                <w:sz w:val="20"/>
                <w:szCs w:val="20"/>
              </w:rPr>
            </w:pPr>
            <w:r w:rsidRPr="00163505">
              <w:rPr>
                <w:sz w:val="20"/>
                <w:szCs w:val="20"/>
              </w:rPr>
              <w:t xml:space="preserve">Breads, and bread rolls, wholemeal and brown, mandatorily fortified </w:t>
            </w:r>
          </w:p>
        </w:tc>
        <w:tc>
          <w:tcPr>
            <w:tcW w:w="1557" w:type="dxa"/>
            <w:tcBorders>
              <w:top w:val="nil"/>
              <w:left w:val="nil"/>
              <w:bottom w:val="single" w:sz="4" w:space="0" w:color="auto"/>
              <w:right w:val="single" w:sz="4" w:space="0" w:color="auto"/>
            </w:tcBorders>
            <w:shd w:val="clear" w:color="auto" w:fill="auto"/>
            <w:hideMark/>
          </w:tcPr>
          <w:p w14:paraId="763B72D5" w14:textId="77777777" w:rsidR="008558A2" w:rsidRPr="00163505" w:rsidRDefault="008558A2" w:rsidP="0024269C">
            <w:pPr>
              <w:rPr>
                <w:sz w:val="20"/>
                <w:szCs w:val="20"/>
              </w:rPr>
            </w:pPr>
            <w:r w:rsidRPr="00163505">
              <w:rPr>
                <w:sz w:val="20"/>
                <w:szCs w:val="20"/>
              </w:rPr>
              <w:t>Wholemeal bread</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1B14E76" w14:textId="77777777" w:rsidR="008558A2" w:rsidRPr="00163505" w:rsidRDefault="008558A2" w:rsidP="0024269C">
            <w:pPr>
              <w:rPr>
                <w:sz w:val="20"/>
                <w:szCs w:val="20"/>
              </w:rPr>
            </w:pPr>
            <w:r w:rsidRPr="00163505">
              <w:rPr>
                <w:sz w:val="20"/>
                <w:szCs w:val="20"/>
              </w:rPr>
              <w:t>Fibre &gt;5g/100g</w:t>
            </w:r>
            <w:r w:rsidRPr="00163505">
              <w:rPr>
                <w:sz w:val="20"/>
                <w:szCs w:val="20"/>
              </w:rPr>
              <w:br/>
              <w:t>Protein &gt;7.5g/100g</w:t>
            </w:r>
            <w:r w:rsidRPr="00163505">
              <w:rPr>
                <w:sz w:val="20"/>
                <w:szCs w:val="20"/>
              </w:rPr>
              <w:br/>
              <w:t>Wholegrain &gt;40%</w:t>
            </w:r>
          </w:p>
        </w:tc>
        <w:tc>
          <w:tcPr>
            <w:tcW w:w="1222" w:type="dxa"/>
            <w:tcBorders>
              <w:top w:val="nil"/>
              <w:left w:val="nil"/>
              <w:bottom w:val="single" w:sz="4" w:space="0" w:color="auto"/>
              <w:right w:val="single" w:sz="4" w:space="0" w:color="auto"/>
            </w:tcBorders>
            <w:shd w:val="clear" w:color="auto" w:fill="auto"/>
            <w:hideMark/>
          </w:tcPr>
          <w:p w14:paraId="6A1BF316" w14:textId="3EE7E6AB" w:rsidR="008558A2" w:rsidRPr="00163505" w:rsidRDefault="009E2890" w:rsidP="0024269C">
            <w:pPr>
              <w:rPr>
                <w:sz w:val="20"/>
                <w:szCs w:val="20"/>
              </w:rPr>
            </w:pPr>
            <w:r w:rsidRPr="00163505">
              <w:rPr>
                <w:rFonts w:ascii="Segoe UI Symbol" w:hAnsi="Segoe UI Symbol" w:cs="Segoe UI Symbol"/>
                <w:sz w:val="20"/>
                <w:szCs w:val="20"/>
                <w:shd w:val="clear" w:color="auto" w:fill="FFFFFF"/>
              </w:rPr>
              <w:t>★</w:t>
            </w:r>
            <w:r w:rsidR="003453F6"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hideMark/>
          </w:tcPr>
          <w:p w14:paraId="4D497440" w14:textId="385448DD" w:rsidR="003453F6"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5FD8C40" w14:textId="77777777" w:rsidR="008558A2" w:rsidRPr="00163505" w:rsidRDefault="008558A2" w:rsidP="0024269C">
            <w:pPr>
              <w:rPr>
                <w:sz w:val="20"/>
                <w:szCs w:val="20"/>
              </w:rPr>
            </w:pPr>
            <w:r w:rsidRPr="00163505">
              <w:rPr>
                <w:sz w:val="20"/>
                <w:szCs w:val="20"/>
              </w:rPr>
              <w:t>Increase due to wholegrain</w:t>
            </w:r>
          </w:p>
        </w:tc>
      </w:tr>
      <w:tr w:rsidR="008558A2" w:rsidRPr="00163505" w14:paraId="4C6288CF"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2BB4C7D6"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5163251F" w14:textId="6574C455" w:rsidR="008558A2" w:rsidRPr="00163505" w:rsidRDefault="008558A2" w:rsidP="0024269C">
            <w:pPr>
              <w:rPr>
                <w:sz w:val="20"/>
                <w:szCs w:val="20"/>
              </w:rPr>
            </w:pPr>
            <w:r w:rsidRPr="00163505">
              <w:rPr>
                <w:sz w:val="20"/>
                <w:szCs w:val="20"/>
              </w:rPr>
              <w:t>Breakfast cereal, mix</w:t>
            </w:r>
            <w:r w:rsidR="00F3315D" w:rsidRPr="00163505">
              <w:rPr>
                <w:sz w:val="20"/>
                <w:szCs w:val="20"/>
              </w:rPr>
              <w:t>ed grain, fortified, sugars &gt;20</w:t>
            </w:r>
            <w:r w:rsidRPr="00163505">
              <w:rPr>
                <w:sz w:val="20"/>
                <w:szCs w:val="20"/>
              </w:rPr>
              <w:t>g/100g </w:t>
            </w:r>
          </w:p>
        </w:tc>
        <w:tc>
          <w:tcPr>
            <w:tcW w:w="1557" w:type="dxa"/>
            <w:tcBorders>
              <w:top w:val="nil"/>
              <w:left w:val="nil"/>
              <w:bottom w:val="single" w:sz="4" w:space="0" w:color="auto"/>
              <w:right w:val="single" w:sz="4" w:space="0" w:color="auto"/>
            </w:tcBorders>
            <w:shd w:val="clear" w:color="000000" w:fill="FFFFFF"/>
            <w:hideMark/>
          </w:tcPr>
          <w:p w14:paraId="639401EF"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401B0857" w14:textId="77777777" w:rsidR="008558A2" w:rsidRPr="00163505" w:rsidRDefault="008558A2" w:rsidP="0024269C">
            <w:pPr>
              <w:rPr>
                <w:sz w:val="20"/>
                <w:szCs w:val="20"/>
              </w:rPr>
            </w:pPr>
            <w:r w:rsidRPr="00163505">
              <w:rPr>
                <w:sz w:val="20"/>
                <w:szCs w:val="20"/>
              </w:rPr>
              <w:t>Total sugars &gt;25g/100g</w:t>
            </w:r>
            <w:r w:rsidRPr="00163505">
              <w:rPr>
                <w:sz w:val="20"/>
                <w:szCs w:val="20"/>
              </w:rPr>
              <w:br/>
              <w:t>Fibre &lt;7.5g/100g</w:t>
            </w:r>
            <w:r w:rsidRPr="00163505">
              <w:rPr>
                <w:sz w:val="20"/>
                <w:szCs w:val="20"/>
              </w:rPr>
              <w:br/>
              <w:t>Protein &gt;20g/100g</w:t>
            </w:r>
            <w:r w:rsidRPr="00163505">
              <w:rPr>
                <w:sz w:val="20"/>
                <w:szCs w:val="20"/>
              </w:rPr>
              <w:br/>
              <w:t>Wholegrain 0%</w:t>
            </w:r>
          </w:p>
        </w:tc>
        <w:tc>
          <w:tcPr>
            <w:tcW w:w="1222" w:type="dxa"/>
            <w:tcBorders>
              <w:top w:val="nil"/>
              <w:left w:val="nil"/>
              <w:bottom w:val="single" w:sz="4" w:space="0" w:color="auto"/>
              <w:right w:val="single" w:sz="4" w:space="0" w:color="auto"/>
            </w:tcBorders>
            <w:shd w:val="clear" w:color="000000" w:fill="FFFFFF"/>
          </w:tcPr>
          <w:p w14:paraId="681BB543" w14:textId="79CD3454"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0A05CC5F" w14:textId="3CE4266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B7E03BF" w14:textId="0E4A4485" w:rsidR="008558A2" w:rsidRPr="00163505" w:rsidRDefault="008558A2" w:rsidP="0024269C">
            <w:pPr>
              <w:rPr>
                <w:sz w:val="20"/>
                <w:szCs w:val="20"/>
              </w:rPr>
            </w:pPr>
            <w:r w:rsidRPr="00163505">
              <w:rPr>
                <w:sz w:val="20"/>
                <w:szCs w:val="20"/>
              </w:rPr>
              <w:t>Decrease due to change to sugars, protein (</w:t>
            </w:r>
            <w:r w:rsidR="009172FE">
              <w:rPr>
                <w:sz w:val="20"/>
                <w:szCs w:val="20"/>
              </w:rPr>
              <w:t xml:space="preserve">for baseline points </w:t>
            </w:r>
            <w:r w:rsidR="00CE2CFA" w:rsidRPr="00163505">
              <w:rPr>
                <w:sz w:val="20"/>
                <w:szCs w:val="20"/>
              </w:rPr>
              <w:t xml:space="preserve">based on </w:t>
            </w:r>
            <w:r w:rsidRPr="00163505">
              <w:rPr>
                <w:sz w:val="20"/>
                <w:szCs w:val="20"/>
              </w:rPr>
              <w:t>sugars)</w:t>
            </w:r>
          </w:p>
        </w:tc>
      </w:tr>
      <w:tr w:rsidR="008558A2" w:rsidRPr="00163505" w14:paraId="70C210B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7B273F8B"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2BBDA93D" w14:textId="77777777" w:rsidR="008558A2" w:rsidRPr="00163505" w:rsidRDefault="008558A2" w:rsidP="0024269C">
            <w:pPr>
              <w:rPr>
                <w:sz w:val="20"/>
                <w:szCs w:val="20"/>
              </w:rPr>
            </w:pPr>
            <w:r w:rsidRPr="00163505">
              <w:rPr>
                <w:sz w:val="20"/>
                <w:szCs w:val="20"/>
              </w:rPr>
              <w:t>Breakfast cereal, mixed grain, with fruit and/or nuts, fortified  </w:t>
            </w:r>
          </w:p>
        </w:tc>
        <w:tc>
          <w:tcPr>
            <w:tcW w:w="1557" w:type="dxa"/>
            <w:tcBorders>
              <w:top w:val="nil"/>
              <w:left w:val="nil"/>
              <w:bottom w:val="single" w:sz="4" w:space="0" w:color="auto"/>
              <w:right w:val="single" w:sz="4" w:space="0" w:color="auto"/>
            </w:tcBorders>
            <w:shd w:val="clear" w:color="000000" w:fill="FFFFFF"/>
            <w:hideMark/>
          </w:tcPr>
          <w:p w14:paraId="261258D0"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28E5DA43" w14:textId="77777777" w:rsidR="008558A2" w:rsidRPr="00163505" w:rsidRDefault="008558A2" w:rsidP="0024269C">
            <w:pPr>
              <w:rPr>
                <w:sz w:val="20"/>
                <w:szCs w:val="20"/>
              </w:rPr>
            </w:pPr>
            <w:r w:rsidRPr="00163505">
              <w:rPr>
                <w:sz w:val="20"/>
                <w:szCs w:val="20"/>
              </w:rPr>
              <w:t>Total sugars &gt;20g/100g</w:t>
            </w:r>
            <w:r w:rsidRPr="00163505">
              <w:rPr>
                <w:sz w:val="20"/>
                <w:szCs w:val="20"/>
              </w:rPr>
              <w:br/>
              <w:t>Fibre &lt;10g/100g</w:t>
            </w:r>
            <w:r w:rsidRPr="00163505">
              <w:rPr>
                <w:sz w:val="20"/>
                <w:szCs w:val="20"/>
              </w:rPr>
              <w:br/>
              <w:t>Protein &gt;10g/100g</w:t>
            </w:r>
            <w:r w:rsidRPr="00163505">
              <w:rPr>
                <w:sz w:val="20"/>
                <w:szCs w:val="20"/>
              </w:rPr>
              <w:br/>
              <w:t>Wholegrain &gt;70%</w:t>
            </w:r>
          </w:p>
        </w:tc>
        <w:tc>
          <w:tcPr>
            <w:tcW w:w="1222" w:type="dxa"/>
            <w:tcBorders>
              <w:top w:val="nil"/>
              <w:left w:val="nil"/>
              <w:bottom w:val="single" w:sz="4" w:space="0" w:color="auto"/>
              <w:right w:val="single" w:sz="4" w:space="0" w:color="auto"/>
            </w:tcBorders>
            <w:shd w:val="clear" w:color="000000" w:fill="FFFFFF"/>
          </w:tcPr>
          <w:p w14:paraId="14F306BF" w14:textId="757F649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A568F06" w14:textId="3343A73D"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5B9B783"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76C79C83"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0089E63"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45B12EAE" w14:textId="77777777" w:rsidR="008558A2" w:rsidRPr="00163505" w:rsidRDefault="008558A2" w:rsidP="0024269C">
            <w:pPr>
              <w:rPr>
                <w:sz w:val="20"/>
                <w:szCs w:val="20"/>
              </w:rPr>
            </w:pPr>
            <w:r w:rsidRPr="00163505">
              <w:rPr>
                <w:sz w:val="20"/>
                <w:szCs w:val="20"/>
              </w:rPr>
              <w:t>Breakfast cereal, mixed grain</w:t>
            </w:r>
          </w:p>
        </w:tc>
        <w:tc>
          <w:tcPr>
            <w:tcW w:w="1557" w:type="dxa"/>
            <w:tcBorders>
              <w:top w:val="nil"/>
              <w:left w:val="nil"/>
              <w:bottom w:val="single" w:sz="4" w:space="0" w:color="auto"/>
              <w:right w:val="single" w:sz="4" w:space="0" w:color="auto"/>
            </w:tcBorders>
            <w:shd w:val="clear" w:color="000000" w:fill="FFFFFF"/>
            <w:hideMark/>
          </w:tcPr>
          <w:p w14:paraId="3958A693"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18FB1552" w14:textId="77777777" w:rsidR="008558A2" w:rsidRPr="00163505" w:rsidRDefault="008558A2" w:rsidP="0024269C">
            <w:pPr>
              <w:rPr>
                <w:sz w:val="20"/>
                <w:szCs w:val="20"/>
              </w:rPr>
            </w:pPr>
            <w:r w:rsidRPr="00163505">
              <w:rPr>
                <w:sz w:val="20"/>
                <w:szCs w:val="20"/>
              </w:rPr>
              <w:t>Total sugars &lt;1g/100g</w:t>
            </w:r>
            <w:r w:rsidRPr="00163505">
              <w:rPr>
                <w:sz w:val="20"/>
                <w:szCs w:val="20"/>
              </w:rPr>
              <w:br/>
              <w:t>Fibre &gt;10g/100g</w:t>
            </w:r>
            <w:r w:rsidRPr="00163505">
              <w:rPr>
                <w:sz w:val="20"/>
                <w:szCs w:val="20"/>
              </w:rPr>
              <w:br/>
              <w:t>Protein &gt;10g/100g</w:t>
            </w:r>
            <w:r w:rsidRPr="00163505">
              <w:rPr>
                <w:sz w:val="20"/>
                <w:szCs w:val="20"/>
              </w:rPr>
              <w:br/>
              <w:t>Wholegrain &gt;90%</w:t>
            </w:r>
          </w:p>
        </w:tc>
        <w:tc>
          <w:tcPr>
            <w:tcW w:w="1222" w:type="dxa"/>
            <w:tcBorders>
              <w:top w:val="nil"/>
              <w:left w:val="nil"/>
              <w:bottom w:val="single" w:sz="4" w:space="0" w:color="auto"/>
              <w:right w:val="single" w:sz="4" w:space="0" w:color="auto"/>
            </w:tcBorders>
            <w:shd w:val="clear" w:color="000000" w:fill="FFFFFF"/>
          </w:tcPr>
          <w:p w14:paraId="736D9BF0" w14:textId="17A2E2D7"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F044C62" w14:textId="7F9A8884"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2F331BA" w14:textId="77777777" w:rsidR="008558A2" w:rsidRPr="00163505" w:rsidRDefault="008558A2" w:rsidP="0024269C">
            <w:pPr>
              <w:rPr>
                <w:sz w:val="20"/>
                <w:szCs w:val="20"/>
              </w:rPr>
            </w:pPr>
            <w:r w:rsidRPr="00163505">
              <w:rPr>
                <w:sz w:val="20"/>
                <w:szCs w:val="20"/>
              </w:rPr>
              <w:t>Increase due to inclusion of wholegrain</w:t>
            </w:r>
          </w:p>
        </w:tc>
      </w:tr>
      <w:tr w:rsidR="008558A2" w:rsidRPr="00163505" w14:paraId="10B0CCD3"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2CC35D0"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4F395FE0" w14:textId="7B49CCF7" w:rsidR="008558A2" w:rsidRPr="00163505" w:rsidRDefault="008558A2" w:rsidP="0024269C">
            <w:pPr>
              <w:rPr>
                <w:sz w:val="20"/>
                <w:szCs w:val="20"/>
              </w:rPr>
            </w:pPr>
            <w:r w:rsidRPr="00163505">
              <w:rPr>
                <w:sz w:val="20"/>
                <w:szCs w:val="20"/>
              </w:rPr>
              <w:t>Breakfast cereal, whe</w:t>
            </w:r>
            <w:r w:rsidR="00F3315D" w:rsidRPr="00163505">
              <w:rPr>
                <w:sz w:val="20"/>
                <w:szCs w:val="20"/>
              </w:rPr>
              <w:t>at based, fortified, sugars ≤20</w:t>
            </w:r>
            <w:r w:rsidRPr="00163505">
              <w:rPr>
                <w:sz w:val="20"/>
                <w:szCs w:val="20"/>
              </w:rPr>
              <w:t>g/100g </w:t>
            </w:r>
          </w:p>
        </w:tc>
        <w:tc>
          <w:tcPr>
            <w:tcW w:w="1557" w:type="dxa"/>
            <w:tcBorders>
              <w:top w:val="nil"/>
              <w:left w:val="nil"/>
              <w:bottom w:val="single" w:sz="4" w:space="0" w:color="auto"/>
              <w:right w:val="single" w:sz="4" w:space="0" w:color="auto"/>
            </w:tcBorders>
            <w:shd w:val="clear" w:color="000000" w:fill="FFFFFF"/>
            <w:hideMark/>
          </w:tcPr>
          <w:p w14:paraId="6720031E"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52248192" w14:textId="77777777" w:rsidR="008558A2" w:rsidRPr="00163505" w:rsidRDefault="008558A2" w:rsidP="0024269C">
            <w:pPr>
              <w:rPr>
                <w:sz w:val="20"/>
                <w:szCs w:val="20"/>
              </w:rPr>
            </w:pPr>
            <w:r w:rsidRPr="00163505">
              <w:rPr>
                <w:sz w:val="20"/>
                <w:szCs w:val="20"/>
              </w:rPr>
              <w:t>Saturated fat &gt;2.5g/100g</w:t>
            </w:r>
            <w:r w:rsidRPr="00163505">
              <w:rPr>
                <w:sz w:val="20"/>
                <w:szCs w:val="20"/>
              </w:rPr>
              <w:br/>
              <w:t>Total sugars &gt;7.5g/100g</w:t>
            </w:r>
            <w:r w:rsidRPr="00163505">
              <w:rPr>
                <w:sz w:val="20"/>
                <w:szCs w:val="20"/>
              </w:rPr>
              <w:br/>
              <w:t>Fibre &gt;17.5g/100g</w:t>
            </w:r>
            <w:r w:rsidRPr="00163505">
              <w:rPr>
                <w:sz w:val="20"/>
                <w:szCs w:val="20"/>
              </w:rPr>
              <w:br/>
              <w:t>Protein &gt;10g/100g</w:t>
            </w:r>
            <w:r w:rsidRPr="00163505">
              <w:rPr>
                <w:sz w:val="20"/>
                <w:szCs w:val="20"/>
              </w:rPr>
              <w:br/>
              <w:t>Wholegrain &gt;50%</w:t>
            </w:r>
          </w:p>
        </w:tc>
        <w:tc>
          <w:tcPr>
            <w:tcW w:w="1222" w:type="dxa"/>
            <w:tcBorders>
              <w:top w:val="nil"/>
              <w:left w:val="nil"/>
              <w:bottom w:val="single" w:sz="4" w:space="0" w:color="auto"/>
              <w:right w:val="single" w:sz="4" w:space="0" w:color="auto"/>
            </w:tcBorders>
            <w:shd w:val="clear" w:color="000000" w:fill="FFFFFF"/>
          </w:tcPr>
          <w:p w14:paraId="5D8B988D" w14:textId="5EE51145"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F68433F" w14:textId="11544CB2"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DE8A28C" w14:textId="3202FA48"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00CE2CFA" w:rsidRPr="00163505">
              <w:rPr>
                <w:sz w:val="20"/>
                <w:szCs w:val="20"/>
              </w:rPr>
              <w:t xml:space="preserve">based on </w:t>
            </w:r>
            <w:r w:rsidRPr="00163505">
              <w:rPr>
                <w:sz w:val="20"/>
                <w:szCs w:val="20"/>
              </w:rPr>
              <w:t>saturated fat, sugars), partially offset by increase due to inclusion of wholegrain</w:t>
            </w:r>
          </w:p>
        </w:tc>
      </w:tr>
      <w:tr w:rsidR="008558A2" w:rsidRPr="00163505" w14:paraId="76BB32A5"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9AE66C8"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62AA0655" w14:textId="77777777" w:rsidR="008558A2" w:rsidRPr="00163505" w:rsidRDefault="008558A2" w:rsidP="0024269C">
            <w:pPr>
              <w:rPr>
                <w:sz w:val="20"/>
                <w:szCs w:val="20"/>
              </w:rPr>
            </w:pPr>
            <w:r w:rsidRPr="00163505">
              <w:rPr>
                <w:sz w:val="20"/>
                <w:szCs w:val="20"/>
              </w:rPr>
              <w:t>Grains (other than rice) and grain fractions </w:t>
            </w:r>
          </w:p>
        </w:tc>
        <w:tc>
          <w:tcPr>
            <w:tcW w:w="1557" w:type="dxa"/>
            <w:tcBorders>
              <w:top w:val="nil"/>
              <w:left w:val="nil"/>
              <w:bottom w:val="single" w:sz="4" w:space="0" w:color="auto"/>
              <w:right w:val="single" w:sz="4" w:space="0" w:color="auto"/>
            </w:tcBorders>
            <w:shd w:val="clear" w:color="000000" w:fill="FFFFFF"/>
            <w:hideMark/>
          </w:tcPr>
          <w:p w14:paraId="2FC1D880" w14:textId="77777777" w:rsidR="008558A2" w:rsidRPr="00163505" w:rsidRDefault="008558A2" w:rsidP="0024269C">
            <w:pPr>
              <w:rPr>
                <w:sz w:val="20"/>
                <w:szCs w:val="20"/>
              </w:rPr>
            </w:pPr>
            <w:r w:rsidRPr="00163505">
              <w:rPr>
                <w:sz w:val="20"/>
                <w:szCs w:val="20"/>
              </w:rPr>
              <w:t>Porridge</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3A9B7660" w14:textId="77777777" w:rsidR="008558A2" w:rsidRPr="00163505" w:rsidRDefault="008558A2" w:rsidP="0024269C">
            <w:pPr>
              <w:rPr>
                <w:sz w:val="20"/>
                <w:szCs w:val="20"/>
              </w:rPr>
            </w:pPr>
            <w:r w:rsidRPr="00163505">
              <w:rPr>
                <w:sz w:val="20"/>
                <w:szCs w:val="20"/>
              </w:rPr>
              <w:t>Saturated fat &gt;7.5g/100g</w:t>
            </w:r>
            <w:r w:rsidRPr="00163505">
              <w:rPr>
                <w:sz w:val="20"/>
                <w:szCs w:val="20"/>
              </w:rPr>
              <w:br/>
              <w:t>Total sugars &lt;1g/100g</w:t>
            </w:r>
            <w:r w:rsidRPr="00163505">
              <w:rPr>
                <w:sz w:val="20"/>
                <w:szCs w:val="20"/>
              </w:rPr>
              <w:br/>
              <w:t>Fibre &gt;15g/100g</w:t>
            </w:r>
            <w:r w:rsidRPr="00163505">
              <w:rPr>
                <w:sz w:val="20"/>
                <w:szCs w:val="20"/>
              </w:rPr>
              <w:br/>
              <w:t>Protein &gt;10g/100g</w:t>
            </w:r>
            <w:r w:rsidRPr="00163505">
              <w:rPr>
                <w:sz w:val="20"/>
                <w:szCs w:val="20"/>
              </w:rPr>
              <w:br/>
              <w:t>Wholegrain 100%</w:t>
            </w:r>
          </w:p>
        </w:tc>
        <w:tc>
          <w:tcPr>
            <w:tcW w:w="1222" w:type="dxa"/>
            <w:tcBorders>
              <w:top w:val="nil"/>
              <w:left w:val="nil"/>
              <w:bottom w:val="single" w:sz="4" w:space="0" w:color="auto"/>
              <w:right w:val="single" w:sz="4" w:space="0" w:color="auto"/>
            </w:tcBorders>
            <w:shd w:val="clear" w:color="000000" w:fill="FFFFFF"/>
          </w:tcPr>
          <w:p w14:paraId="79190C79" w14:textId="347FFDA2"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510088B9" w14:textId="3DB00DE8"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C8A0A55" w14:textId="37485F5E"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00CE2CFA" w:rsidRPr="00163505">
              <w:rPr>
                <w:sz w:val="20"/>
                <w:szCs w:val="20"/>
              </w:rPr>
              <w:t xml:space="preserve">based on </w:t>
            </w:r>
            <w:r w:rsidRPr="00163505">
              <w:rPr>
                <w:sz w:val="20"/>
                <w:szCs w:val="20"/>
              </w:rPr>
              <w:t>saturated fat)</w:t>
            </w:r>
          </w:p>
        </w:tc>
      </w:tr>
      <w:tr w:rsidR="008558A2" w:rsidRPr="00163505" w14:paraId="33D98E75"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692E6FF" w14:textId="77777777" w:rsidR="008558A2" w:rsidRPr="00163505" w:rsidRDefault="008558A2" w:rsidP="0024269C">
            <w:pPr>
              <w:rPr>
                <w:sz w:val="20"/>
                <w:szCs w:val="20"/>
              </w:rPr>
            </w:pPr>
            <w:r w:rsidRPr="00163505">
              <w:rPr>
                <w:sz w:val="20"/>
                <w:szCs w:val="20"/>
              </w:rPr>
              <w:t>FFG Cereals - pasta/flour/grains</w:t>
            </w:r>
          </w:p>
        </w:tc>
        <w:tc>
          <w:tcPr>
            <w:tcW w:w="3371" w:type="dxa"/>
            <w:tcBorders>
              <w:top w:val="single" w:sz="4" w:space="0" w:color="auto"/>
              <w:left w:val="nil"/>
              <w:bottom w:val="single" w:sz="4" w:space="0" w:color="auto"/>
              <w:right w:val="single" w:sz="4" w:space="0" w:color="auto"/>
            </w:tcBorders>
            <w:shd w:val="clear" w:color="auto" w:fill="auto"/>
            <w:hideMark/>
          </w:tcPr>
          <w:p w14:paraId="4CB46C46" w14:textId="77777777" w:rsidR="008558A2" w:rsidRPr="00163505" w:rsidRDefault="008558A2" w:rsidP="0024269C">
            <w:pPr>
              <w:rPr>
                <w:sz w:val="20"/>
                <w:szCs w:val="20"/>
              </w:rPr>
            </w:pPr>
            <w:r w:rsidRPr="00163505">
              <w:rPr>
                <w:sz w:val="20"/>
                <w:szCs w:val="20"/>
              </w:rPr>
              <w:t>Rice and rice grain fractions </w:t>
            </w:r>
          </w:p>
        </w:tc>
        <w:tc>
          <w:tcPr>
            <w:tcW w:w="1557" w:type="dxa"/>
            <w:tcBorders>
              <w:top w:val="single" w:sz="4" w:space="0" w:color="auto"/>
              <w:left w:val="nil"/>
              <w:bottom w:val="single" w:sz="4" w:space="0" w:color="auto"/>
              <w:right w:val="single" w:sz="4" w:space="0" w:color="auto"/>
            </w:tcBorders>
            <w:shd w:val="clear" w:color="auto" w:fill="auto"/>
            <w:hideMark/>
          </w:tcPr>
          <w:p w14:paraId="40AA96A4" w14:textId="77777777" w:rsidR="008558A2" w:rsidRPr="00163505" w:rsidRDefault="008558A2" w:rsidP="0024269C">
            <w:pPr>
              <w:rPr>
                <w:sz w:val="20"/>
                <w:szCs w:val="20"/>
              </w:rPr>
            </w:pPr>
            <w:r w:rsidRPr="00163505">
              <w:rPr>
                <w:sz w:val="20"/>
                <w:szCs w:val="20"/>
              </w:rPr>
              <w:t>Brown rice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B61E9EB" w14:textId="77777777" w:rsidR="008558A2" w:rsidRPr="00163505" w:rsidRDefault="008558A2" w:rsidP="0024269C">
            <w:pPr>
              <w:rPr>
                <w:sz w:val="20"/>
                <w:szCs w:val="20"/>
              </w:rPr>
            </w:pPr>
            <w:r w:rsidRPr="00163505">
              <w:rPr>
                <w:sz w:val="20"/>
                <w:szCs w:val="20"/>
              </w:rPr>
              <w:t>Total sugars &lt;1g/100g</w:t>
            </w:r>
            <w:r w:rsidRPr="00163505">
              <w:rPr>
                <w:sz w:val="20"/>
                <w:szCs w:val="20"/>
              </w:rPr>
              <w:br/>
              <w:t>Fibre &lt;2.5g/100g</w:t>
            </w:r>
            <w:r w:rsidRPr="00163505">
              <w:rPr>
                <w:sz w:val="20"/>
                <w:szCs w:val="20"/>
              </w:rPr>
              <w:br/>
              <w:t>Protein &lt;5g/100g</w:t>
            </w:r>
            <w:r w:rsidRPr="00163505">
              <w:rPr>
                <w:sz w:val="20"/>
                <w:szCs w:val="20"/>
              </w:rPr>
              <w:br/>
              <w:t>Wholegrain 100%</w:t>
            </w:r>
          </w:p>
        </w:tc>
        <w:tc>
          <w:tcPr>
            <w:tcW w:w="1222" w:type="dxa"/>
            <w:tcBorders>
              <w:top w:val="single" w:sz="4" w:space="0" w:color="auto"/>
              <w:left w:val="nil"/>
              <w:bottom w:val="single" w:sz="4" w:space="0" w:color="auto"/>
              <w:right w:val="single" w:sz="4" w:space="0" w:color="auto"/>
            </w:tcBorders>
            <w:shd w:val="clear" w:color="auto" w:fill="auto"/>
          </w:tcPr>
          <w:p w14:paraId="2657BC22" w14:textId="20B37577"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0ED91D3A" w14:textId="5DE1B188"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3A42E860" w14:textId="77777777" w:rsidR="008558A2" w:rsidRPr="00163505" w:rsidRDefault="008558A2" w:rsidP="0024269C">
            <w:pPr>
              <w:rPr>
                <w:sz w:val="20"/>
                <w:szCs w:val="20"/>
              </w:rPr>
            </w:pPr>
            <w:r w:rsidRPr="00163505">
              <w:rPr>
                <w:sz w:val="20"/>
                <w:szCs w:val="20"/>
              </w:rPr>
              <w:t>Increase due to inclusion of wholegrain</w:t>
            </w:r>
          </w:p>
        </w:tc>
      </w:tr>
      <w:tr w:rsidR="008558A2" w:rsidRPr="00163505" w14:paraId="2F300F54"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C3AE157" w14:textId="77777777" w:rsidR="008558A2" w:rsidRPr="00163505" w:rsidRDefault="008558A2" w:rsidP="0024269C">
            <w:pPr>
              <w:rPr>
                <w:sz w:val="20"/>
                <w:szCs w:val="20"/>
              </w:rPr>
            </w:pPr>
            <w:r w:rsidRPr="00163505">
              <w:rPr>
                <w:sz w:val="20"/>
                <w:szCs w:val="20"/>
              </w:rPr>
              <w:t xml:space="preserve">FFG Dairy - </w:t>
            </w:r>
            <w:r w:rsidRPr="00163505">
              <w:rPr>
                <w:sz w:val="20"/>
                <w:szCs w:val="20"/>
              </w:rPr>
              <w:lastRenderedPageBreak/>
              <w:t>beverages</w:t>
            </w:r>
          </w:p>
        </w:tc>
        <w:tc>
          <w:tcPr>
            <w:tcW w:w="3371" w:type="dxa"/>
            <w:tcBorders>
              <w:top w:val="single" w:sz="4" w:space="0" w:color="auto"/>
              <w:left w:val="nil"/>
              <w:bottom w:val="single" w:sz="4" w:space="0" w:color="auto"/>
              <w:right w:val="single" w:sz="4" w:space="0" w:color="auto"/>
            </w:tcBorders>
            <w:shd w:val="clear" w:color="auto" w:fill="auto"/>
            <w:hideMark/>
          </w:tcPr>
          <w:p w14:paraId="39E3A158" w14:textId="77777777" w:rsidR="008558A2" w:rsidRPr="00163505" w:rsidRDefault="008558A2" w:rsidP="0024269C">
            <w:pPr>
              <w:rPr>
                <w:sz w:val="20"/>
                <w:szCs w:val="20"/>
              </w:rPr>
            </w:pPr>
            <w:r w:rsidRPr="00163505">
              <w:rPr>
                <w:sz w:val="20"/>
                <w:szCs w:val="20"/>
              </w:rPr>
              <w:lastRenderedPageBreak/>
              <w:t xml:space="preserve">Milk, coffee/chocolate flavoured and </w:t>
            </w:r>
            <w:r w:rsidRPr="00163505">
              <w:rPr>
                <w:sz w:val="20"/>
                <w:szCs w:val="20"/>
              </w:rPr>
              <w:lastRenderedPageBreak/>
              <w:t xml:space="preserve">milk-based drinks, full fat </w:t>
            </w:r>
          </w:p>
        </w:tc>
        <w:tc>
          <w:tcPr>
            <w:tcW w:w="1557" w:type="dxa"/>
            <w:tcBorders>
              <w:top w:val="single" w:sz="4" w:space="0" w:color="auto"/>
              <w:left w:val="nil"/>
              <w:bottom w:val="single" w:sz="4" w:space="0" w:color="auto"/>
              <w:right w:val="single" w:sz="4" w:space="0" w:color="auto"/>
            </w:tcBorders>
            <w:shd w:val="clear" w:color="auto" w:fill="auto"/>
            <w:hideMark/>
          </w:tcPr>
          <w:p w14:paraId="6CB18588" w14:textId="77777777" w:rsidR="008558A2" w:rsidRPr="00163505" w:rsidRDefault="008558A2" w:rsidP="0024269C">
            <w:pPr>
              <w:rPr>
                <w:sz w:val="20"/>
                <w:szCs w:val="20"/>
              </w:rPr>
            </w:pPr>
            <w:r w:rsidRPr="00163505">
              <w:rPr>
                <w:sz w:val="20"/>
                <w:szCs w:val="20"/>
              </w:rPr>
              <w:lastRenderedPageBreak/>
              <w:t>Flavoured milk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15CA711" w14:textId="77777777" w:rsidR="008558A2" w:rsidRPr="00163505" w:rsidRDefault="008558A2" w:rsidP="0024269C">
            <w:pPr>
              <w:rPr>
                <w:sz w:val="20"/>
                <w:szCs w:val="20"/>
              </w:rPr>
            </w:pPr>
            <w:r w:rsidRPr="00163505">
              <w:rPr>
                <w:sz w:val="20"/>
                <w:szCs w:val="20"/>
              </w:rPr>
              <w:t>Saturated fat &lt;5g/100g</w:t>
            </w:r>
            <w:r w:rsidRPr="00163505">
              <w:rPr>
                <w:sz w:val="20"/>
                <w:szCs w:val="20"/>
              </w:rPr>
              <w:br/>
            </w:r>
            <w:r w:rsidRPr="00163505">
              <w:rPr>
                <w:sz w:val="20"/>
                <w:szCs w:val="20"/>
              </w:rPr>
              <w:lastRenderedPageBreak/>
              <w:t>Total sugars &gt;5g/100g</w:t>
            </w:r>
            <w:r w:rsidRPr="00163505">
              <w:rPr>
                <w:sz w:val="20"/>
                <w:szCs w:val="20"/>
              </w:rPr>
              <w:br/>
              <w:t>Protein &lt;5g/100g</w:t>
            </w:r>
          </w:p>
        </w:tc>
        <w:tc>
          <w:tcPr>
            <w:tcW w:w="1222" w:type="dxa"/>
            <w:tcBorders>
              <w:top w:val="single" w:sz="4" w:space="0" w:color="auto"/>
              <w:left w:val="nil"/>
              <w:bottom w:val="single" w:sz="4" w:space="0" w:color="auto"/>
              <w:right w:val="single" w:sz="4" w:space="0" w:color="auto"/>
            </w:tcBorders>
            <w:shd w:val="clear" w:color="auto" w:fill="auto"/>
          </w:tcPr>
          <w:p w14:paraId="0A823057" w14:textId="2E5495EA" w:rsidR="008558A2" w:rsidRPr="00163505" w:rsidRDefault="003453F6" w:rsidP="0024269C">
            <w:pPr>
              <w:rPr>
                <w:sz w:val="20"/>
                <w:szCs w:val="20"/>
              </w:rPr>
            </w:pPr>
            <w:r w:rsidRPr="00163505">
              <w:rPr>
                <w:rFonts w:ascii="Segoe UI Symbol" w:hAnsi="Segoe UI Symbol" w:cs="Segoe UI Symbol"/>
                <w:sz w:val="20"/>
                <w:szCs w:val="20"/>
                <w:shd w:val="clear" w:color="auto" w:fill="FFFFFF"/>
              </w:rPr>
              <w:lastRenderedPageBreak/>
              <w:t>★</w:t>
            </w:r>
            <w:r w:rsidR="00F3315D"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3F852224" w14:textId="1F31779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717BA32E" w14:textId="77777777" w:rsidR="008558A2" w:rsidRPr="00163505" w:rsidRDefault="008558A2" w:rsidP="0024269C">
            <w:pPr>
              <w:rPr>
                <w:sz w:val="20"/>
                <w:szCs w:val="20"/>
              </w:rPr>
            </w:pPr>
            <w:r w:rsidRPr="00163505">
              <w:rPr>
                <w:sz w:val="20"/>
                <w:szCs w:val="20"/>
              </w:rPr>
              <w:t xml:space="preserve">Decrease due to change to </w:t>
            </w:r>
            <w:r w:rsidRPr="00163505">
              <w:rPr>
                <w:sz w:val="20"/>
                <w:szCs w:val="20"/>
              </w:rPr>
              <w:lastRenderedPageBreak/>
              <w:t>sugars</w:t>
            </w:r>
          </w:p>
        </w:tc>
      </w:tr>
      <w:tr w:rsidR="008558A2" w:rsidRPr="00163505" w14:paraId="11ED78D9"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1C8C77B" w14:textId="77777777" w:rsidR="008558A2" w:rsidRPr="00163505" w:rsidRDefault="008558A2" w:rsidP="0024269C">
            <w:pPr>
              <w:rPr>
                <w:sz w:val="20"/>
                <w:szCs w:val="20"/>
              </w:rPr>
            </w:pPr>
            <w:r w:rsidRPr="00163505">
              <w:rPr>
                <w:sz w:val="20"/>
                <w:szCs w:val="20"/>
              </w:rPr>
              <w:lastRenderedPageBreak/>
              <w:t>FFG Dairy - yoghurt, soft cheese</w:t>
            </w:r>
          </w:p>
        </w:tc>
        <w:tc>
          <w:tcPr>
            <w:tcW w:w="3371" w:type="dxa"/>
            <w:tcBorders>
              <w:top w:val="nil"/>
              <w:left w:val="nil"/>
              <w:bottom w:val="single" w:sz="4" w:space="0" w:color="auto"/>
              <w:right w:val="single" w:sz="4" w:space="0" w:color="auto"/>
            </w:tcBorders>
            <w:shd w:val="clear" w:color="auto" w:fill="auto"/>
            <w:hideMark/>
          </w:tcPr>
          <w:p w14:paraId="6E999BD6" w14:textId="15B80B17" w:rsidR="008558A2" w:rsidRPr="00163505" w:rsidRDefault="008558A2" w:rsidP="0024269C">
            <w:pPr>
              <w:rPr>
                <w:sz w:val="20"/>
                <w:szCs w:val="20"/>
              </w:rPr>
            </w:pPr>
            <w:r w:rsidRPr="00163505">
              <w:rPr>
                <w:sz w:val="20"/>
                <w:szCs w:val="20"/>
              </w:rPr>
              <w:t>Yoghurt, natural, regular fat and high</w:t>
            </w:r>
            <w:r w:rsidR="00F3315D" w:rsidRPr="00163505">
              <w:rPr>
                <w:sz w:val="20"/>
                <w:szCs w:val="20"/>
              </w:rPr>
              <w:t xml:space="preserve"> fat (&gt;4</w:t>
            </w:r>
            <w:r w:rsidRPr="00163505">
              <w:rPr>
                <w:sz w:val="20"/>
                <w:szCs w:val="20"/>
              </w:rPr>
              <w:t>g/100g fat)</w:t>
            </w:r>
          </w:p>
        </w:tc>
        <w:tc>
          <w:tcPr>
            <w:tcW w:w="1557" w:type="dxa"/>
            <w:tcBorders>
              <w:top w:val="nil"/>
              <w:left w:val="nil"/>
              <w:bottom w:val="single" w:sz="4" w:space="0" w:color="auto"/>
              <w:right w:val="single" w:sz="4" w:space="0" w:color="auto"/>
            </w:tcBorders>
            <w:shd w:val="clear" w:color="auto" w:fill="auto"/>
            <w:hideMark/>
          </w:tcPr>
          <w:p w14:paraId="15FC5F00" w14:textId="77777777" w:rsidR="008558A2" w:rsidRPr="00163505" w:rsidRDefault="008558A2" w:rsidP="0024269C">
            <w:pPr>
              <w:rPr>
                <w:sz w:val="20"/>
                <w:szCs w:val="20"/>
              </w:rPr>
            </w:pPr>
            <w:r w:rsidRPr="00163505">
              <w:rPr>
                <w:sz w:val="20"/>
                <w:szCs w:val="20"/>
              </w:rPr>
              <w:t>Natural yoghurt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DD53907" w14:textId="77777777" w:rsidR="008558A2" w:rsidRPr="00163505" w:rsidRDefault="008558A2" w:rsidP="0024269C">
            <w:pPr>
              <w:rPr>
                <w:sz w:val="20"/>
                <w:szCs w:val="20"/>
              </w:rPr>
            </w:pPr>
            <w:r w:rsidRPr="00163505">
              <w:rPr>
                <w:sz w:val="20"/>
                <w:szCs w:val="20"/>
              </w:rPr>
              <w:t>Saturated fat &lt;7.5g/100g</w:t>
            </w:r>
            <w:r w:rsidRPr="00163505">
              <w:rPr>
                <w:sz w:val="20"/>
                <w:szCs w:val="20"/>
              </w:rPr>
              <w:br/>
              <w:t>Total sugars &lt;5g/100g</w:t>
            </w:r>
            <w:r w:rsidRPr="00163505">
              <w:rPr>
                <w:sz w:val="20"/>
                <w:szCs w:val="20"/>
              </w:rPr>
              <w:br/>
              <w:t>Protein &lt;10g/100g</w:t>
            </w:r>
          </w:p>
        </w:tc>
        <w:tc>
          <w:tcPr>
            <w:tcW w:w="1222" w:type="dxa"/>
            <w:tcBorders>
              <w:top w:val="nil"/>
              <w:left w:val="nil"/>
              <w:bottom w:val="single" w:sz="4" w:space="0" w:color="auto"/>
              <w:right w:val="single" w:sz="4" w:space="0" w:color="auto"/>
            </w:tcBorders>
            <w:shd w:val="clear" w:color="auto" w:fill="auto"/>
          </w:tcPr>
          <w:p w14:paraId="47F97398" w14:textId="0F2241F9"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7D474F2" w14:textId="746459E5"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C9742E1" w14:textId="77777777" w:rsidR="008558A2" w:rsidRPr="00163505" w:rsidRDefault="008558A2" w:rsidP="0024269C">
            <w:pPr>
              <w:rPr>
                <w:sz w:val="20"/>
                <w:szCs w:val="20"/>
              </w:rPr>
            </w:pPr>
            <w:r w:rsidRPr="00163505">
              <w:rPr>
                <w:sz w:val="20"/>
                <w:szCs w:val="20"/>
              </w:rPr>
              <w:t>Increase due to change to Cat. 2D</w:t>
            </w:r>
          </w:p>
        </w:tc>
      </w:tr>
      <w:tr w:rsidR="008558A2" w:rsidRPr="00163505" w14:paraId="49F0030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E41DEC4" w14:textId="77777777" w:rsidR="008558A2" w:rsidRPr="00163505" w:rsidRDefault="008558A2" w:rsidP="0024269C">
            <w:pPr>
              <w:rPr>
                <w:sz w:val="20"/>
                <w:szCs w:val="20"/>
              </w:rPr>
            </w:pPr>
            <w:r w:rsidRPr="00163505">
              <w:rPr>
                <w:sz w:val="20"/>
                <w:szCs w:val="20"/>
              </w:rPr>
              <w:t>Dairy Non-core foods - cream</w:t>
            </w:r>
          </w:p>
        </w:tc>
        <w:tc>
          <w:tcPr>
            <w:tcW w:w="3371" w:type="dxa"/>
            <w:tcBorders>
              <w:top w:val="nil"/>
              <w:left w:val="nil"/>
              <w:bottom w:val="single" w:sz="4" w:space="0" w:color="auto"/>
              <w:right w:val="single" w:sz="4" w:space="0" w:color="auto"/>
            </w:tcBorders>
            <w:shd w:val="clear" w:color="auto" w:fill="auto"/>
            <w:hideMark/>
          </w:tcPr>
          <w:p w14:paraId="200BFF6A" w14:textId="77777777" w:rsidR="008558A2" w:rsidRPr="00163505" w:rsidRDefault="008558A2" w:rsidP="0024269C">
            <w:pPr>
              <w:rPr>
                <w:sz w:val="20"/>
                <w:szCs w:val="20"/>
              </w:rPr>
            </w:pPr>
            <w:r w:rsidRPr="00163505">
              <w:rPr>
                <w:sz w:val="20"/>
                <w:szCs w:val="20"/>
              </w:rPr>
              <w:t>Cream, reduced fat</w:t>
            </w:r>
          </w:p>
        </w:tc>
        <w:tc>
          <w:tcPr>
            <w:tcW w:w="1557" w:type="dxa"/>
            <w:tcBorders>
              <w:top w:val="nil"/>
              <w:left w:val="nil"/>
              <w:bottom w:val="single" w:sz="4" w:space="0" w:color="auto"/>
              <w:right w:val="single" w:sz="4" w:space="0" w:color="auto"/>
            </w:tcBorders>
            <w:shd w:val="clear" w:color="auto" w:fill="auto"/>
            <w:hideMark/>
          </w:tcPr>
          <w:p w14:paraId="075242CE" w14:textId="77777777" w:rsidR="008558A2" w:rsidRPr="00163505" w:rsidRDefault="008558A2" w:rsidP="0024269C">
            <w:pPr>
              <w:rPr>
                <w:sz w:val="20"/>
                <w:szCs w:val="20"/>
              </w:rPr>
            </w:pPr>
            <w:r w:rsidRPr="00163505">
              <w:rPr>
                <w:sz w:val="20"/>
                <w:szCs w:val="20"/>
              </w:rPr>
              <w:t>Cream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9D97C46" w14:textId="77777777" w:rsidR="008558A2" w:rsidRPr="00163505" w:rsidRDefault="008558A2" w:rsidP="0024269C">
            <w:pPr>
              <w:rPr>
                <w:sz w:val="20"/>
                <w:szCs w:val="20"/>
              </w:rPr>
            </w:pPr>
            <w:r w:rsidRPr="00163505">
              <w:rPr>
                <w:sz w:val="20"/>
                <w:szCs w:val="20"/>
              </w:rPr>
              <w:t>Saturated fat &gt;5g/100g</w:t>
            </w:r>
            <w:r w:rsidRPr="00163505">
              <w:rPr>
                <w:sz w:val="20"/>
                <w:szCs w:val="20"/>
              </w:rPr>
              <w:br/>
              <w:t>Protein&lt;10g/100g</w:t>
            </w:r>
          </w:p>
        </w:tc>
        <w:tc>
          <w:tcPr>
            <w:tcW w:w="1222" w:type="dxa"/>
            <w:tcBorders>
              <w:top w:val="nil"/>
              <w:left w:val="nil"/>
              <w:bottom w:val="single" w:sz="4" w:space="0" w:color="auto"/>
              <w:right w:val="single" w:sz="4" w:space="0" w:color="auto"/>
            </w:tcBorders>
            <w:shd w:val="clear" w:color="auto" w:fill="auto"/>
          </w:tcPr>
          <w:p w14:paraId="27818669" w14:textId="4B456AE2"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F0E4316" w14:textId="1BADBC2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1306DC5" w14:textId="6E7F705D"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w:t>
            </w:r>
          </w:p>
        </w:tc>
      </w:tr>
      <w:tr w:rsidR="008558A2" w:rsidRPr="00163505" w14:paraId="5F4014FE"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7B1AD17" w14:textId="77777777" w:rsidR="008558A2" w:rsidRPr="00163505" w:rsidRDefault="008558A2" w:rsidP="0024269C">
            <w:pPr>
              <w:rPr>
                <w:sz w:val="20"/>
                <w:szCs w:val="20"/>
              </w:rPr>
            </w:pPr>
            <w:r w:rsidRPr="00163505">
              <w:rPr>
                <w:sz w:val="20"/>
                <w:szCs w:val="20"/>
              </w:rPr>
              <w:t>Fats, oils &amp; oil based spreads</w:t>
            </w:r>
          </w:p>
        </w:tc>
        <w:tc>
          <w:tcPr>
            <w:tcW w:w="3371" w:type="dxa"/>
            <w:tcBorders>
              <w:top w:val="nil"/>
              <w:left w:val="nil"/>
              <w:bottom w:val="single" w:sz="4" w:space="0" w:color="auto"/>
              <w:right w:val="single" w:sz="4" w:space="0" w:color="auto"/>
            </w:tcBorders>
            <w:shd w:val="clear" w:color="auto" w:fill="auto"/>
            <w:hideMark/>
          </w:tcPr>
          <w:p w14:paraId="164A1B02" w14:textId="77777777" w:rsidR="008558A2" w:rsidRPr="00163505" w:rsidRDefault="008558A2" w:rsidP="0024269C">
            <w:pPr>
              <w:rPr>
                <w:sz w:val="20"/>
                <w:szCs w:val="20"/>
              </w:rPr>
            </w:pPr>
            <w:r w:rsidRPr="00163505">
              <w:rPr>
                <w:sz w:val="20"/>
                <w:szCs w:val="20"/>
              </w:rPr>
              <w:t xml:space="preserve">Monounsaturated oils </w:t>
            </w:r>
          </w:p>
        </w:tc>
        <w:tc>
          <w:tcPr>
            <w:tcW w:w="1557" w:type="dxa"/>
            <w:tcBorders>
              <w:top w:val="nil"/>
              <w:left w:val="nil"/>
              <w:bottom w:val="single" w:sz="4" w:space="0" w:color="auto"/>
              <w:right w:val="single" w:sz="4" w:space="0" w:color="auto"/>
            </w:tcBorders>
            <w:shd w:val="clear" w:color="auto" w:fill="auto"/>
            <w:hideMark/>
          </w:tcPr>
          <w:p w14:paraId="33FAD26D" w14:textId="77777777" w:rsidR="008558A2" w:rsidRPr="00163505" w:rsidRDefault="008558A2" w:rsidP="0024269C">
            <w:pPr>
              <w:rPr>
                <w:sz w:val="20"/>
                <w:szCs w:val="20"/>
              </w:rPr>
            </w:pPr>
            <w:r w:rsidRPr="00163505">
              <w:rPr>
                <w:sz w:val="20"/>
                <w:szCs w:val="20"/>
              </w:rPr>
              <w:t>Olive oil</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8676A01" w14:textId="77777777" w:rsidR="008558A2" w:rsidRPr="00163505" w:rsidRDefault="008558A2" w:rsidP="0024269C">
            <w:pPr>
              <w:rPr>
                <w:sz w:val="20"/>
                <w:szCs w:val="20"/>
              </w:rPr>
            </w:pPr>
            <w:r w:rsidRPr="00163505">
              <w:rPr>
                <w:sz w:val="20"/>
                <w:szCs w:val="20"/>
              </w:rPr>
              <w:t xml:space="preserve">Saturated fat &lt;15g/100g </w:t>
            </w:r>
          </w:p>
        </w:tc>
        <w:tc>
          <w:tcPr>
            <w:tcW w:w="1222" w:type="dxa"/>
            <w:tcBorders>
              <w:top w:val="nil"/>
              <w:left w:val="nil"/>
              <w:bottom w:val="single" w:sz="4" w:space="0" w:color="auto"/>
              <w:right w:val="single" w:sz="4" w:space="0" w:color="auto"/>
            </w:tcBorders>
            <w:shd w:val="clear" w:color="auto" w:fill="auto"/>
          </w:tcPr>
          <w:p w14:paraId="725A69FF" w14:textId="7C8D02D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1A16056" w14:textId="55A5675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6F99117" w14:textId="77777777" w:rsidR="008558A2" w:rsidRPr="00163505" w:rsidRDefault="008558A2" w:rsidP="0024269C">
            <w:pPr>
              <w:rPr>
                <w:sz w:val="20"/>
                <w:szCs w:val="20"/>
              </w:rPr>
            </w:pPr>
            <w:r w:rsidRPr="00163505">
              <w:rPr>
                <w:sz w:val="20"/>
                <w:szCs w:val="20"/>
              </w:rPr>
              <w:t>Increase due to change to Cat. 3</w:t>
            </w:r>
          </w:p>
        </w:tc>
      </w:tr>
      <w:tr w:rsidR="008558A2" w:rsidRPr="00163505" w14:paraId="64AB0DB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8723502" w14:textId="77777777" w:rsidR="008558A2" w:rsidRPr="00163505" w:rsidRDefault="008558A2" w:rsidP="0024269C">
            <w:pPr>
              <w:rPr>
                <w:sz w:val="20"/>
                <w:szCs w:val="20"/>
              </w:rPr>
            </w:pPr>
            <w:r w:rsidRPr="00163505">
              <w:rPr>
                <w:sz w:val="20"/>
                <w:szCs w:val="20"/>
              </w:rPr>
              <w:t>Fats, oils &amp; oil based spreads</w:t>
            </w:r>
          </w:p>
        </w:tc>
        <w:tc>
          <w:tcPr>
            <w:tcW w:w="3371" w:type="dxa"/>
            <w:tcBorders>
              <w:top w:val="nil"/>
              <w:left w:val="nil"/>
              <w:bottom w:val="single" w:sz="4" w:space="0" w:color="auto"/>
              <w:right w:val="single" w:sz="4" w:space="0" w:color="auto"/>
            </w:tcBorders>
            <w:shd w:val="clear" w:color="auto" w:fill="auto"/>
            <w:hideMark/>
          </w:tcPr>
          <w:p w14:paraId="10685450" w14:textId="77777777" w:rsidR="008558A2" w:rsidRPr="00163505" w:rsidRDefault="008558A2" w:rsidP="0024269C">
            <w:pPr>
              <w:rPr>
                <w:sz w:val="20"/>
                <w:szCs w:val="20"/>
              </w:rPr>
            </w:pPr>
            <w:r w:rsidRPr="00163505">
              <w:rPr>
                <w:sz w:val="20"/>
                <w:szCs w:val="20"/>
              </w:rPr>
              <w:t>Monounsaturated margarine spreads, fat content ≥65 g/100g</w:t>
            </w:r>
          </w:p>
        </w:tc>
        <w:tc>
          <w:tcPr>
            <w:tcW w:w="1557" w:type="dxa"/>
            <w:tcBorders>
              <w:top w:val="nil"/>
              <w:left w:val="nil"/>
              <w:bottom w:val="single" w:sz="4" w:space="0" w:color="auto"/>
              <w:right w:val="single" w:sz="4" w:space="0" w:color="auto"/>
            </w:tcBorders>
            <w:shd w:val="clear" w:color="auto" w:fill="auto"/>
            <w:hideMark/>
          </w:tcPr>
          <w:p w14:paraId="0D773896" w14:textId="77777777" w:rsidR="008558A2" w:rsidRPr="00163505" w:rsidRDefault="008558A2" w:rsidP="0024269C">
            <w:pPr>
              <w:rPr>
                <w:sz w:val="20"/>
                <w:szCs w:val="20"/>
              </w:rPr>
            </w:pPr>
            <w:r w:rsidRPr="00163505">
              <w:rPr>
                <w:sz w:val="20"/>
                <w:szCs w:val="20"/>
              </w:rPr>
              <w:t>Margarine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1C29CD2" w14:textId="77777777" w:rsidR="008558A2" w:rsidRPr="00163505" w:rsidRDefault="008558A2" w:rsidP="0024269C">
            <w:pPr>
              <w:rPr>
                <w:sz w:val="20"/>
                <w:szCs w:val="20"/>
              </w:rPr>
            </w:pPr>
            <w:r w:rsidRPr="00163505">
              <w:rPr>
                <w:sz w:val="20"/>
                <w:szCs w:val="20"/>
              </w:rPr>
              <w:t>Saturated fat &gt;15g/100g</w:t>
            </w:r>
            <w:r w:rsidRPr="00163505">
              <w:rPr>
                <w:sz w:val="20"/>
                <w:szCs w:val="20"/>
              </w:rPr>
              <w:br/>
              <w:t>Sodium &lt;400mg/100g</w:t>
            </w:r>
          </w:p>
        </w:tc>
        <w:tc>
          <w:tcPr>
            <w:tcW w:w="1222" w:type="dxa"/>
            <w:tcBorders>
              <w:top w:val="nil"/>
              <w:left w:val="nil"/>
              <w:bottom w:val="single" w:sz="4" w:space="0" w:color="auto"/>
              <w:right w:val="single" w:sz="4" w:space="0" w:color="auto"/>
            </w:tcBorders>
            <w:shd w:val="clear" w:color="auto" w:fill="auto"/>
          </w:tcPr>
          <w:p w14:paraId="12070553" w14:textId="73D3B73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263FD3F" w14:textId="05E8010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0F7274A" w14:textId="77777777" w:rsidR="008558A2" w:rsidRPr="00163505" w:rsidRDefault="008558A2" w:rsidP="0024269C">
            <w:pPr>
              <w:rPr>
                <w:sz w:val="20"/>
                <w:szCs w:val="20"/>
              </w:rPr>
            </w:pPr>
            <w:r w:rsidRPr="00163505">
              <w:rPr>
                <w:sz w:val="20"/>
                <w:szCs w:val="20"/>
              </w:rPr>
              <w:t>Increase due to change to Cat. 3</w:t>
            </w:r>
          </w:p>
        </w:tc>
      </w:tr>
      <w:tr w:rsidR="008558A2" w:rsidRPr="00163505" w14:paraId="622146F2"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139D211" w14:textId="77777777" w:rsidR="008558A2" w:rsidRPr="00163505" w:rsidRDefault="008558A2" w:rsidP="0024269C">
            <w:pPr>
              <w:rPr>
                <w:sz w:val="20"/>
                <w:szCs w:val="20"/>
              </w:rPr>
            </w:pPr>
            <w:r w:rsidRPr="00163505">
              <w:rPr>
                <w:sz w:val="20"/>
                <w:szCs w:val="20"/>
              </w:rPr>
              <w:t>Flavoured water</w:t>
            </w:r>
          </w:p>
        </w:tc>
        <w:tc>
          <w:tcPr>
            <w:tcW w:w="3371" w:type="dxa"/>
            <w:tcBorders>
              <w:top w:val="nil"/>
              <w:left w:val="nil"/>
              <w:bottom w:val="single" w:sz="4" w:space="0" w:color="auto"/>
              <w:right w:val="single" w:sz="4" w:space="0" w:color="auto"/>
            </w:tcBorders>
            <w:shd w:val="clear" w:color="auto" w:fill="auto"/>
            <w:hideMark/>
          </w:tcPr>
          <w:p w14:paraId="723C8C92" w14:textId="77777777" w:rsidR="008558A2" w:rsidRPr="00163505" w:rsidRDefault="008558A2" w:rsidP="0024269C">
            <w:pPr>
              <w:rPr>
                <w:sz w:val="20"/>
                <w:szCs w:val="20"/>
              </w:rPr>
            </w:pPr>
            <w:r w:rsidRPr="00163505">
              <w:rPr>
                <w:sz w:val="20"/>
                <w:szCs w:val="20"/>
              </w:rPr>
              <w:t xml:space="preserve">Flavoured mineral waters </w:t>
            </w:r>
          </w:p>
        </w:tc>
        <w:tc>
          <w:tcPr>
            <w:tcW w:w="1557" w:type="dxa"/>
            <w:tcBorders>
              <w:top w:val="nil"/>
              <w:left w:val="nil"/>
              <w:bottom w:val="single" w:sz="4" w:space="0" w:color="auto"/>
              <w:right w:val="single" w:sz="4" w:space="0" w:color="auto"/>
            </w:tcBorders>
            <w:shd w:val="clear" w:color="auto" w:fill="auto"/>
            <w:hideMark/>
          </w:tcPr>
          <w:p w14:paraId="17E9B84D" w14:textId="77777777" w:rsidR="008558A2" w:rsidRPr="00163505" w:rsidRDefault="008558A2" w:rsidP="0024269C">
            <w:pPr>
              <w:rPr>
                <w:sz w:val="20"/>
                <w:szCs w:val="20"/>
              </w:rPr>
            </w:pPr>
            <w:r w:rsidRPr="00163505">
              <w:rPr>
                <w:sz w:val="20"/>
                <w:szCs w:val="20"/>
              </w:rPr>
              <w:t>Flavoured mineral water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C500DCD" w14:textId="77777777" w:rsidR="008558A2" w:rsidRPr="00163505" w:rsidRDefault="008558A2" w:rsidP="0024269C">
            <w:pPr>
              <w:rPr>
                <w:sz w:val="20"/>
                <w:szCs w:val="20"/>
              </w:rPr>
            </w:pPr>
            <w:r w:rsidRPr="00163505">
              <w:rPr>
                <w:sz w:val="20"/>
                <w:szCs w:val="20"/>
              </w:rPr>
              <w:t>Total sugars &gt;7.5g/100mL</w:t>
            </w:r>
          </w:p>
        </w:tc>
        <w:tc>
          <w:tcPr>
            <w:tcW w:w="1222" w:type="dxa"/>
            <w:tcBorders>
              <w:top w:val="nil"/>
              <w:left w:val="nil"/>
              <w:bottom w:val="single" w:sz="4" w:space="0" w:color="auto"/>
              <w:right w:val="single" w:sz="4" w:space="0" w:color="auto"/>
            </w:tcBorders>
            <w:shd w:val="clear" w:color="auto" w:fill="auto"/>
          </w:tcPr>
          <w:p w14:paraId="262E7BA4" w14:textId="41223239"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604A1A51" w14:textId="519E3236"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5E08A2B"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4A3917C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1AB9C04" w14:textId="77777777" w:rsidR="008558A2" w:rsidRPr="00163505" w:rsidRDefault="008558A2" w:rsidP="0024269C">
            <w:pPr>
              <w:rPr>
                <w:sz w:val="20"/>
                <w:szCs w:val="20"/>
              </w:rPr>
            </w:pPr>
            <w:r w:rsidRPr="00163505">
              <w:rPr>
                <w:sz w:val="20"/>
                <w:szCs w:val="20"/>
              </w:rPr>
              <w:t>Fruit - other juices</w:t>
            </w:r>
          </w:p>
        </w:tc>
        <w:tc>
          <w:tcPr>
            <w:tcW w:w="3371" w:type="dxa"/>
            <w:tcBorders>
              <w:top w:val="nil"/>
              <w:left w:val="nil"/>
              <w:bottom w:val="single" w:sz="4" w:space="0" w:color="auto"/>
              <w:right w:val="single" w:sz="4" w:space="0" w:color="auto"/>
            </w:tcBorders>
            <w:shd w:val="clear" w:color="auto" w:fill="auto"/>
            <w:hideMark/>
          </w:tcPr>
          <w:p w14:paraId="1F8D00B9" w14:textId="77777777" w:rsidR="008558A2" w:rsidRPr="00163505" w:rsidRDefault="008558A2" w:rsidP="0024269C">
            <w:pPr>
              <w:rPr>
                <w:sz w:val="20"/>
                <w:szCs w:val="20"/>
              </w:rPr>
            </w:pPr>
            <w:r w:rsidRPr="00163505">
              <w:rPr>
                <w:sz w:val="20"/>
                <w:szCs w:val="20"/>
              </w:rPr>
              <w:t>Fruit drinks (ready to drink or made from concentrate)</w:t>
            </w:r>
          </w:p>
        </w:tc>
        <w:tc>
          <w:tcPr>
            <w:tcW w:w="1557" w:type="dxa"/>
            <w:tcBorders>
              <w:top w:val="nil"/>
              <w:left w:val="nil"/>
              <w:bottom w:val="single" w:sz="4" w:space="0" w:color="auto"/>
              <w:right w:val="single" w:sz="4" w:space="0" w:color="auto"/>
            </w:tcBorders>
            <w:shd w:val="clear" w:color="auto" w:fill="auto"/>
            <w:hideMark/>
          </w:tcPr>
          <w:p w14:paraId="7F6186AE" w14:textId="77777777" w:rsidR="008558A2" w:rsidRPr="00163505" w:rsidRDefault="008558A2" w:rsidP="0024269C">
            <w:pPr>
              <w:rPr>
                <w:sz w:val="20"/>
                <w:szCs w:val="20"/>
              </w:rPr>
            </w:pPr>
            <w:r w:rsidRPr="00163505">
              <w:rPr>
                <w:sz w:val="20"/>
                <w:szCs w:val="20"/>
              </w:rPr>
              <w:t>Fruit drink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B78BA5E" w14:textId="77777777" w:rsidR="008558A2" w:rsidRPr="00163505" w:rsidRDefault="008558A2" w:rsidP="0024269C">
            <w:pPr>
              <w:rPr>
                <w:sz w:val="20"/>
                <w:szCs w:val="20"/>
              </w:rPr>
            </w:pPr>
            <w:r w:rsidRPr="00163505">
              <w:rPr>
                <w:sz w:val="20"/>
                <w:szCs w:val="20"/>
              </w:rPr>
              <w:t>Total sugars &gt;10g/100mL</w:t>
            </w:r>
            <w:r w:rsidRPr="00163505">
              <w:rPr>
                <w:sz w:val="20"/>
                <w:szCs w:val="20"/>
              </w:rPr>
              <w:br/>
              <w:t>FVNL 25%</w:t>
            </w:r>
          </w:p>
        </w:tc>
        <w:tc>
          <w:tcPr>
            <w:tcW w:w="1222" w:type="dxa"/>
            <w:tcBorders>
              <w:top w:val="nil"/>
              <w:left w:val="nil"/>
              <w:bottom w:val="single" w:sz="4" w:space="0" w:color="auto"/>
              <w:right w:val="single" w:sz="4" w:space="0" w:color="auto"/>
            </w:tcBorders>
            <w:shd w:val="clear" w:color="auto" w:fill="auto"/>
          </w:tcPr>
          <w:p w14:paraId="41929D69" w14:textId="3CF914F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0ADA940" w14:textId="57ED918B"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142C981"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5DD560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B51224E" w14:textId="77777777" w:rsidR="008558A2" w:rsidRPr="00163505" w:rsidRDefault="008558A2" w:rsidP="0024269C">
            <w:pPr>
              <w:rPr>
                <w:sz w:val="20"/>
                <w:szCs w:val="20"/>
              </w:rPr>
            </w:pPr>
            <w:r w:rsidRPr="00163505">
              <w:rPr>
                <w:sz w:val="20"/>
                <w:szCs w:val="20"/>
              </w:rPr>
              <w:t>Fruit - processed</w:t>
            </w:r>
          </w:p>
        </w:tc>
        <w:tc>
          <w:tcPr>
            <w:tcW w:w="3371" w:type="dxa"/>
            <w:tcBorders>
              <w:top w:val="nil"/>
              <w:left w:val="nil"/>
              <w:bottom w:val="single" w:sz="4" w:space="0" w:color="auto"/>
              <w:right w:val="single" w:sz="4" w:space="0" w:color="auto"/>
            </w:tcBorders>
            <w:shd w:val="clear" w:color="auto" w:fill="auto"/>
            <w:hideMark/>
          </w:tcPr>
          <w:p w14:paraId="429DBFFC" w14:textId="77777777" w:rsidR="008558A2" w:rsidRPr="00163505" w:rsidRDefault="008558A2" w:rsidP="0024269C">
            <w:pPr>
              <w:rPr>
                <w:sz w:val="20"/>
                <w:szCs w:val="20"/>
              </w:rPr>
            </w:pPr>
            <w:r w:rsidRPr="00163505">
              <w:rPr>
                <w:sz w:val="20"/>
                <w:szCs w:val="20"/>
              </w:rPr>
              <w:t xml:space="preserve">Jams and conserves, sugar sweetened </w:t>
            </w:r>
          </w:p>
        </w:tc>
        <w:tc>
          <w:tcPr>
            <w:tcW w:w="1557" w:type="dxa"/>
            <w:tcBorders>
              <w:top w:val="nil"/>
              <w:left w:val="nil"/>
              <w:bottom w:val="single" w:sz="4" w:space="0" w:color="auto"/>
              <w:right w:val="single" w:sz="4" w:space="0" w:color="auto"/>
            </w:tcBorders>
            <w:shd w:val="clear" w:color="auto" w:fill="auto"/>
            <w:hideMark/>
          </w:tcPr>
          <w:p w14:paraId="38DB027C" w14:textId="77777777" w:rsidR="008558A2" w:rsidRPr="00163505" w:rsidRDefault="008558A2" w:rsidP="0024269C">
            <w:pPr>
              <w:rPr>
                <w:sz w:val="20"/>
                <w:szCs w:val="20"/>
              </w:rPr>
            </w:pPr>
            <w:r w:rsidRPr="00163505">
              <w:rPr>
                <w:sz w:val="20"/>
                <w:szCs w:val="20"/>
              </w:rPr>
              <w:t>Jam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4FB2404" w14:textId="77777777" w:rsidR="008558A2" w:rsidRPr="00163505" w:rsidRDefault="008558A2" w:rsidP="0024269C">
            <w:pPr>
              <w:rPr>
                <w:sz w:val="20"/>
                <w:szCs w:val="20"/>
              </w:rPr>
            </w:pPr>
            <w:r w:rsidRPr="00163505">
              <w:rPr>
                <w:sz w:val="20"/>
                <w:szCs w:val="20"/>
              </w:rPr>
              <w:t>Total sugars &gt;60g/100g</w:t>
            </w:r>
            <w:r w:rsidRPr="00163505">
              <w:rPr>
                <w:sz w:val="20"/>
                <w:szCs w:val="20"/>
              </w:rPr>
              <w:br/>
              <w:t>Fibre &lt;2.5g/100g</w:t>
            </w:r>
            <w:r w:rsidRPr="00163505">
              <w:rPr>
                <w:sz w:val="20"/>
                <w:szCs w:val="20"/>
              </w:rPr>
              <w:br/>
              <w:t>FVNL &gt;60%</w:t>
            </w:r>
          </w:p>
        </w:tc>
        <w:tc>
          <w:tcPr>
            <w:tcW w:w="1222" w:type="dxa"/>
            <w:tcBorders>
              <w:top w:val="nil"/>
              <w:left w:val="nil"/>
              <w:bottom w:val="single" w:sz="4" w:space="0" w:color="auto"/>
              <w:right w:val="single" w:sz="4" w:space="0" w:color="auto"/>
            </w:tcBorders>
            <w:shd w:val="clear" w:color="auto" w:fill="auto"/>
          </w:tcPr>
          <w:p w14:paraId="71A1868A" w14:textId="6A0D803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CB35B36" w14:textId="4FF55D5C"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7BF02DA"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3E7950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73A863D" w14:textId="77777777" w:rsidR="008558A2" w:rsidRPr="00163505" w:rsidRDefault="008558A2" w:rsidP="0024269C">
            <w:pPr>
              <w:rPr>
                <w:sz w:val="20"/>
                <w:szCs w:val="20"/>
              </w:rPr>
            </w:pPr>
            <w:r w:rsidRPr="00163505">
              <w:rPr>
                <w:sz w:val="20"/>
                <w:szCs w:val="20"/>
              </w:rPr>
              <w:t>Fruit - processed</w:t>
            </w:r>
          </w:p>
        </w:tc>
        <w:tc>
          <w:tcPr>
            <w:tcW w:w="3371" w:type="dxa"/>
            <w:tcBorders>
              <w:top w:val="nil"/>
              <w:left w:val="nil"/>
              <w:bottom w:val="single" w:sz="4" w:space="0" w:color="auto"/>
              <w:right w:val="single" w:sz="4" w:space="0" w:color="auto"/>
            </w:tcBorders>
            <w:shd w:val="clear" w:color="auto" w:fill="auto"/>
            <w:hideMark/>
          </w:tcPr>
          <w:p w14:paraId="5B3CAC5F" w14:textId="77777777" w:rsidR="008558A2" w:rsidRPr="00163505" w:rsidRDefault="008558A2" w:rsidP="0024269C">
            <w:pPr>
              <w:rPr>
                <w:sz w:val="20"/>
                <w:szCs w:val="20"/>
              </w:rPr>
            </w:pPr>
            <w:r w:rsidRPr="00163505">
              <w:rPr>
                <w:sz w:val="20"/>
                <w:szCs w:val="20"/>
              </w:rPr>
              <w:t>Other dried fruit including mixed dried fruit</w:t>
            </w:r>
          </w:p>
        </w:tc>
        <w:tc>
          <w:tcPr>
            <w:tcW w:w="1557" w:type="dxa"/>
            <w:tcBorders>
              <w:top w:val="nil"/>
              <w:left w:val="nil"/>
              <w:bottom w:val="single" w:sz="4" w:space="0" w:color="auto"/>
              <w:right w:val="single" w:sz="4" w:space="0" w:color="auto"/>
            </w:tcBorders>
            <w:shd w:val="clear" w:color="auto" w:fill="auto"/>
            <w:hideMark/>
          </w:tcPr>
          <w:p w14:paraId="41ADAD07" w14:textId="77777777" w:rsidR="008558A2" w:rsidRPr="00163505" w:rsidRDefault="008558A2" w:rsidP="0024269C">
            <w:pPr>
              <w:rPr>
                <w:sz w:val="20"/>
                <w:szCs w:val="20"/>
              </w:rPr>
            </w:pPr>
            <w:r w:rsidRPr="00163505">
              <w:rPr>
                <w:sz w:val="20"/>
                <w:szCs w:val="20"/>
              </w:rPr>
              <w:t>Dried fruit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ED3AA54" w14:textId="77777777" w:rsidR="008558A2" w:rsidRPr="00163505" w:rsidRDefault="008558A2" w:rsidP="0024269C">
            <w:pPr>
              <w:rPr>
                <w:sz w:val="20"/>
                <w:szCs w:val="20"/>
              </w:rPr>
            </w:pPr>
            <w:r w:rsidRPr="00163505">
              <w:rPr>
                <w:sz w:val="20"/>
                <w:szCs w:val="20"/>
              </w:rPr>
              <w:t>Total sugars &gt;70g/100g</w:t>
            </w:r>
            <w:r w:rsidRPr="00163505">
              <w:rPr>
                <w:sz w:val="20"/>
                <w:szCs w:val="20"/>
              </w:rPr>
              <w:br/>
              <w:t>Fibre &lt;10g/100g</w:t>
            </w:r>
            <w:r w:rsidRPr="00163505">
              <w:rPr>
                <w:sz w:val="20"/>
                <w:szCs w:val="20"/>
              </w:rPr>
              <w:br/>
              <w:t>Conc FVNL &gt;90%</w:t>
            </w:r>
          </w:p>
        </w:tc>
        <w:tc>
          <w:tcPr>
            <w:tcW w:w="1222" w:type="dxa"/>
            <w:tcBorders>
              <w:top w:val="nil"/>
              <w:left w:val="nil"/>
              <w:bottom w:val="single" w:sz="4" w:space="0" w:color="auto"/>
              <w:right w:val="single" w:sz="4" w:space="0" w:color="auto"/>
            </w:tcBorders>
            <w:shd w:val="clear" w:color="auto" w:fill="auto"/>
          </w:tcPr>
          <w:p w14:paraId="593A289D" w14:textId="130B606D"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734EF8B" w14:textId="2FCB42A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4D67F8A"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303D6042"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64CAA06" w14:textId="77777777" w:rsidR="008558A2" w:rsidRPr="00163505" w:rsidRDefault="008558A2" w:rsidP="0024269C">
            <w:pPr>
              <w:rPr>
                <w:sz w:val="20"/>
                <w:szCs w:val="20"/>
              </w:rPr>
            </w:pPr>
            <w:r w:rsidRPr="00163505">
              <w:rPr>
                <w:sz w:val="20"/>
                <w:szCs w:val="20"/>
              </w:rPr>
              <w:t>Fruit - unprocessed</w:t>
            </w:r>
          </w:p>
        </w:tc>
        <w:tc>
          <w:tcPr>
            <w:tcW w:w="3371" w:type="dxa"/>
            <w:tcBorders>
              <w:top w:val="nil"/>
              <w:left w:val="nil"/>
              <w:bottom w:val="single" w:sz="4" w:space="0" w:color="auto"/>
              <w:right w:val="single" w:sz="4" w:space="0" w:color="auto"/>
            </w:tcBorders>
            <w:shd w:val="clear" w:color="auto" w:fill="auto"/>
            <w:hideMark/>
          </w:tcPr>
          <w:p w14:paraId="46236D6A" w14:textId="77777777" w:rsidR="008558A2" w:rsidRPr="00163505" w:rsidRDefault="008558A2" w:rsidP="0024269C">
            <w:pPr>
              <w:rPr>
                <w:sz w:val="20"/>
                <w:szCs w:val="20"/>
              </w:rPr>
            </w:pPr>
            <w:r w:rsidRPr="00163505">
              <w:rPr>
                <w:sz w:val="20"/>
                <w:szCs w:val="20"/>
              </w:rPr>
              <w:t>Apples</w:t>
            </w:r>
          </w:p>
        </w:tc>
        <w:tc>
          <w:tcPr>
            <w:tcW w:w="1557" w:type="dxa"/>
            <w:tcBorders>
              <w:top w:val="nil"/>
              <w:left w:val="nil"/>
              <w:bottom w:val="single" w:sz="4" w:space="0" w:color="auto"/>
              <w:right w:val="single" w:sz="4" w:space="0" w:color="auto"/>
            </w:tcBorders>
            <w:shd w:val="clear" w:color="auto" w:fill="auto"/>
            <w:hideMark/>
          </w:tcPr>
          <w:p w14:paraId="58294F0D" w14:textId="77777777" w:rsidR="008558A2" w:rsidRPr="00163505" w:rsidRDefault="008558A2" w:rsidP="0024269C">
            <w:pPr>
              <w:rPr>
                <w:sz w:val="20"/>
                <w:szCs w:val="20"/>
              </w:rPr>
            </w:pPr>
            <w:r w:rsidRPr="00163505">
              <w:rPr>
                <w:sz w:val="20"/>
                <w:szCs w:val="20"/>
              </w:rPr>
              <w:t>Unprocessed fruit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3CA93DE" w14:textId="77777777" w:rsidR="008558A2" w:rsidRPr="00163505" w:rsidRDefault="008558A2" w:rsidP="0024269C">
            <w:pPr>
              <w:rPr>
                <w:sz w:val="20"/>
                <w:szCs w:val="20"/>
              </w:rPr>
            </w:pPr>
            <w:r w:rsidRPr="00163505">
              <w:rPr>
                <w:sz w:val="20"/>
                <w:szCs w:val="20"/>
              </w:rPr>
              <w:t>Total sugars &gt;10g/100g</w:t>
            </w:r>
            <w:r w:rsidRPr="00163505">
              <w:rPr>
                <w:sz w:val="20"/>
                <w:szCs w:val="20"/>
              </w:rPr>
              <w:br/>
              <w:t>Fibre &lt;5g/100g</w:t>
            </w:r>
            <w:r w:rsidRPr="00163505">
              <w:rPr>
                <w:sz w:val="20"/>
                <w:szCs w:val="20"/>
              </w:rPr>
              <w:br/>
              <w:t>FVNL100%</w:t>
            </w:r>
          </w:p>
        </w:tc>
        <w:tc>
          <w:tcPr>
            <w:tcW w:w="1222" w:type="dxa"/>
            <w:tcBorders>
              <w:top w:val="nil"/>
              <w:left w:val="nil"/>
              <w:bottom w:val="single" w:sz="4" w:space="0" w:color="auto"/>
              <w:right w:val="single" w:sz="4" w:space="0" w:color="auto"/>
            </w:tcBorders>
            <w:shd w:val="clear" w:color="auto" w:fill="auto"/>
          </w:tcPr>
          <w:p w14:paraId="4D9785F0" w14:textId="367EEC72"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8FA1D4E" w14:textId="1458948B"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E43205D" w14:textId="77777777" w:rsidR="008558A2" w:rsidRPr="00163505" w:rsidRDefault="008558A2" w:rsidP="0024269C">
            <w:pPr>
              <w:rPr>
                <w:sz w:val="20"/>
                <w:szCs w:val="20"/>
              </w:rPr>
            </w:pPr>
            <w:r w:rsidRPr="00163505">
              <w:rPr>
                <w:sz w:val="20"/>
                <w:szCs w:val="20"/>
              </w:rPr>
              <w:t>Increase due to automatic rating for unprocessed fruit/vegetables</w:t>
            </w:r>
          </w:p>
        </w:tc>
      </w:tr>
      <w:tr w:rsidR="008558A2" w:rsidRPr="00163505" w14:paraId="3753673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DA2A0F7" w14:textId="77777777" w:rsidR="008558A2" w:rsidRPr="00163505" w:rsidRDefault="008558A2" w:rsidP="0024269C">
            <w:pPr>
              <w:rPr>
                <w:sz w:val="20"/>
                <w:szCs w:val="20"/>
              </w:rPr>
            </w:pPr>
            <w:r w:rsidRPr="00163505">
              <w:rPr>
                <w:sz w:val="20"/>
                <w:szCs w:val="20"/>
              </w:rPr>
              <w:t>Non-core foods - biscuits</w:t>
            </w:r>
          </w:p>
        </w:tc>
        <w:tc>
          <w:tcPr>
            <w:tcW w:w="3371" w:type="dxa"/>
            <w:tcBorders>
              <w:top w:val="nil"/>
              <w:left w:val="nil"/>
              <w:bottom w:val="single" w:sz="4" w:space="0" w:color="auto"/>
              <w:right w:val="single" w:sz="4" w:space="0" w:color="auto"/>
            </w:tcBorders>
            <w:shd w:val="clear" w:color="auto" w:fill="auto"/>
            <w:hideMark/>
          </w:tcPr>
          <w:p w14:paraId="2305E72B" w14:textId="77777777" w:rsidR="008558A2" w:rsidRPr="00163505" w:rsidRDefault="008558A2" w:rsidP="0024269C">
            <w:pPr>
              <w:rPr>
                <w:sz w:val="20"/>
                <w:szCs w:val="20"/>
              </w:rPr>
            </w:pPr>
            <w:r w:rsidRPr="00163505">
              <w:rPr>
                <w:sz w:val="20"/>
                <w:szCs w:val="20"/>
              </w:rPr>
              <w:t>Savoury biscuits, wheat based, plain, energy ≤1800 kJ per 100 g </w:t>
            </w:r>
          </w:p>
        </w:tc>
        <w:tc>
          <w:tcPr>
            <w:tcW w:w="1557" w:type="dxa"/>
            <w:tcBorders>
              <w:top w:val="nil"/>
              <w:left w:val="nil"/>
              <w:bottom w:val="single" w:sz="4" w:space="0" w:color="auto"/>
              <w:right w:val="single" w:sz="4" w:space="0" w:color="auto"/>
            </w:tcBorders>
            <w:shd w:val="clear" w:color="auto" w:fill="auto"/>
            <w:hideMark/>
          </w:tcPr>
          <w:p w14:paraId="34822261" w14:textId="77777777" w:rsidR="008558A2" w:rsidRPr="00163505" w:rsidRDefault="008558A2" w:rsidP="0024269C">
            <w:pPr>
              <w:rPr>
                <w:sz w:val="20"/>
                <w:szCs w:val="20"/>
              </w:rPr>
            </w:pPr>
            <w:r w:rsidRPr="00163505">
              <w:rPr>
                <w:sz w:val="20"/>
                <w:szCs w:val="20"/>
              </w:rPr>
              <w:t>Biscuits, savoury</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F6DC132" w14:textId="77777777" w:rsidR="008558A2" w:rsidRPr="00163505" w:rsidRDefault="008558A2" w:rsidP="0024269C">
            <w:pPr>
              <w:rPr>
                <w:sz w:val="20"/>
                <w:szCs w:val="20"/>
              </w:rPr>
            </w:pPr>
            <w:r w:rsidRPr="00163505">
              <w:rPr>
                <w:sz w:val="20"/>
                <w:szCs w:val="20"/>
              </w:rPr>
              <w:t>Sodium &gt;700mg/100g</w:t>
            </w:r>
            <w:r w:rsidRPr="00163505">
              <w:rPr>
                <w:sz w:val="20"/>
                <w:szCs w:val="20"/>
              </w:rPr>
              <w:br/>
              <w:t>Fibre &lt;5g/100g</w:t>
            </w:r>
            <w:r w:rsidRPr="00163505">
              <w:rPr>
                <w:sz w:val="20"/>
                <w:szCs w:val="20"/>
              </w:rPr>
              <w:br/>
              <w:t>Protein &gt;10g/100g</w:t>
            </w:r>
            <w:r w:rsidRPr="00163505">
              <w:rPr>
                <w:sz w:val="20"/>
                <w:szCs w:val="20"/>
              </w:rPr>
              <w:br/>
              <w:t>Wholegrain 0%</w:t>
            </w:r>
          </w:p>
        </w:tc>
        <w:tc>
          <w:tcPr>
            <w:tcW w:w="1222" w:type="dxa"/>
            <w:tcBorders>
              <w:top w:val="nil"/>
              <w:left w:val="nil"/>
              <w:bottom w:val="single" w:sz="4" w:space="0" w:color="auto"/>
              <w:right w:val="single" w:sz="4" w:space="0" w:color="auto"/>
            </w:tcBorders>
            <w:shd w:val="clear" w:color="auto" w:fill="auto"/>
          </w:tcPr>
          <w:p w14:paraId="309992D3" w14:textId="3E41A9C1"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EA285A4" w14:textId="781A30D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BEDA804" w14:textId="2A068A1C"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sodium)</w:t>
            </w:r>
          </w:p>
        </w:tc>
      </w:tr>
      <w:tr w:rsidR="008558A2" w:rsidRPr="00163505" w14:paraId="1A67E4A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15AB6095" w14:textId="77777777" w:rsidR="008558A2" w:rsidRPr="00163505" w:rsidRDefault="008558A2" w:rsidP="0024269C">
            <w:pPr>
              <w:rPr>
                <w:sz w:val="20"/>
                <w:szCs w:val="20"/>
              </w:rPr>
            </w:pPr>
            <w:r w:rsidRPr="00163505">
              <w:rPr>
                <w:sz w:val="20"/>
                <w:szCs w:val="20"/>
              </w:rPr>
              <w:t>Non-core foods - biscuits</w:t>
            </w:r>
          </w:p>
        </w:tc>
        <w:tc>
          <w:tcPr>
            <w:tcW w:w="3371" w:type="dxa"/>
            <w:tcBorders>
              <w:top w:val="nil"/>
              <w:left w:val="nil"/>
              <w:bottom w:val="single" w:sz="4" w:space="0" w:color="auto"/>
              <w:right w:val="single" w:sz="4" w:space="0" w:color="auto"/>
            </w:tcBorders>
            <w:shd w:val="clear" w:color="auto" w:fill="auto"/>
            <w:hideMark/>
          </w:tcPr>
          <w:p w14:paraId="6AA4DF0F" w14:textId="77777777" w:rsidR="008558A2" w:rsidRPr="00163505" w:rsidRDefault="008558A2" w:rsidP="0024269C">
            <w:pPr>
              <w:rPr>
                <w:sz w:val="20"/>
                <w:szCs w:val="20"/>
              </w:rPr>
            </w:pPr>
            <w:r w:rsidRPr="00163505">
              <w:rPr>
                <w:sz w:val="20"/>
                <w:szCs w:val="20"/>
              </w:rPr>
              <w:t>Sweet biscuits, plain with fruit or nuts  </w:t>
            </w:r>
          </w:p>
        </w:tc>
        <w:tc>
          <w:tcPr>
            <w:tcW w:w="1557" w:type="dxa"/>
            <w:tcBorders>
              <w:top w:val="nil"/>
              <w:left w:val="nil"/>
              <w:bottom w:val="single" w:sz="4" w:space="0" w:color="auto"/>
              <w:right w:val="single" w:sz="4" w:space="0" w:color="auto"/>
            </w:tcBorders>
            <w:shd w:val="clear" w:color="auto" w:fill="auto"/>
            <w:hideMark/>
          </w:tcPr>
          <w:p w14:paraId="520E45B9" w14:textId="77777777" w:rsidR="008558A2" w:rsidRPr="00163505" w:rsidRDefault="008558A2" w:rsidP="0024269C">
            <w:pPr>
              <w:rPr>
                <w:sz w:val="20"/>
                <w:szCs w:val="20"/>
              </w:rPr>
            </w:pPr>
            <w:r w:rsidRPr="00163505">
              <w:rPr>
                <w:sz w:val="20"/>
                <w:szCs w:val="20"/>
              </w:rPr>
              <w:t>Biscuits, sweet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895AD0B" w14:textId="77777777" w:rsidR="008558A2" w:rsidRPr="00163505" w:rsidRDefault="008558A2" w:rsidP="0024269C">
            <w:pPr>
              <w:rPr>
                <w:sz w:val="20"/>
                <w:szCs w:val="20"/>
              </w:rPr>
            </w:pPr>
            <w:r w:rsidRPr="00163505">
              <w:rPr>
                <w:sz w:val="20"/>
                <w:szCs w:val="20"/>
              </w:rPr>
              <w:t>Total sugars &gt;20g/100g</w:t>
            </w:r>
            <w:r w:rsidRPr="00163505">
              <w:rPr>
                <w:sz w:val="20"/>
                <w:szCs w:val="20"/>
              </w:rPr>
              <w:br/>
              <w:t>Fibre &lt;10g/100g</w:t>
            </w:r>
            <w:r w:rsidRPr="00163505">
              <w:rPr>
                <w:sz w:val="20"/>
                <w:szCs w:val="20"/>
              </w:rPr>
              <w:br/>
              <w:t>Protein &gt;5g/100g</w:t>
            </w:r>
            <w:r w:rsidRPr="00163505">
              <w:rPr>
                <w:sz w:val="20"/>
                <w:szCs w:val="20"/>
              </w:rPr>
              <w:br/>
              <w:t>Wholegrain &gt;20%</w:t>
            </w:r>
          </w:p>
        </w:tc>
        <w:tc>
          <w:tcPr>
            <w:tcW w:w="1222" w:type="dxa"/>
            <w:tcBorders>
              <w:top w:val="nil"/>
              <w:left w:val="nil"/>
              <w:bottom w:val="single" w:sz="4" w:space="0" w:color="auto"/>
              <w:right w:val="single" w:sz="4" w:space="0" w:color="auto"/>
            </w:tcBorders>
            <w:shd w:val="clear" w:color="auto" w:fill="auto"/>
          </w:tcPr>
          <w:p w14:paraId="711C2282" w14:textId="406EE0E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F64D92C" w14:textId="0D5E8E1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AEC683E" w14:textId="57ED246B" w:rsidR="008558A2" w:rsidRPr="00163505" w:rsidRDefault="008558A2" w:rsidP="0024269C">
            <w:pPr>
              <w:rPr>
                <w:sz w:val="20"/>
                <w:szCs w:val="20"/>
              </w:rPr>
            </w:pPr>
            <w:r w:rsidRPr="00163505">
              <w:rPr>
                <w:sz w:val="20"/>
                <w:szCs w:val="20"/>
              </w:rPr>
              <w:t>Decrease due to change to sugars, protein (</w:t>
            </w:r>
            <w:r w:rsidR="009172FE">
              <w:rPr>
                <w:sz w:val="20"/>
                <w:szCs w:val="20"/>
              </w:rPr>
              <w:t xml:space="preserve">for baseline points </w:t>
            </w:r>
            <w:r w:rsidRPr="00163505">
              <w:rPr>
                <w:sz w:val="20"/>
                <w:szCs w:val="20"/>
              </w:rPr>
              <w:t>based on sugars)</w:t>
            </w:r>
          </w:p>
        </w:tc>
      </w:tr>
      <w:tr w:rsidR="008558A2" w:rsidRPr="00163505" w14:paraId="5AC96DB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EBB6AC8" w14:textId="77777777" w:rsidR="008558A2" w:rsidRPr="00163505" w:rsidRDefault="008558A2" w:rsidP="0024269C">
            <w:pPr>
              <w:rPr>
                <w:sz w:val="20"/>
                <w:szCs w:val="20"/>
              </w:rPr>
            </w:pPr>
            <w:r w:rsidRPr="00163505">
              <w:rPr>
                <w:sz w:val="20"/>
                <w:szCs w:val="20"/>
              </w:rPr>
              <w:t xml:space="preserve">Non-core foods - carbonated </w:t>
            </w:r>
            <w:r w:rsidRPr="00163505">
              <w:rPr>
                <w:sz w:val="20"/>
                <w:szCs w:val="20"/>
              </w:rPr>
              <w:lastRenderedPageBreak/>
              <w:t>beverages</w:t>
            </w:r>
          </w:p>
        </w:tc>
        <w:tc>
          <w:tcPr>
            <w:tcW w:w="3371" w:type="dxa"/>
            <w:tcBorders>
              <w:top w:val="nil"/>
              <w:left w:val="nil"/>
              <w:bottom w:val="single" w:sz="4" w:space="0" w:color="auto"/>
              <w:right w:val="single" w:sz="4" w:space="0" w:color="auto"/>
            </w:tcBorders>
            <w:shd w:val="clear" w:color="auto" w:fill="auto"/>
            <w:hideMark/>
          </w:tcPr>
          <w:p w14:paraId="16FC3028" w14:textId="77777777" w:rsidR="008558A2" w:rsidRPr="00163505" w:rsidRDefault="008558A2" w:rsidP="0024269C">
            <w:pPr>
              <w:rPr>
                <w:sz w:val="20"/>
                <w:szCs w:val="20"/>
              </w:rPr>
            </w:pPr>
            <w:r w:rsidRPr="00163505">
              <w:rPr>
                <w:sz w:val="20"/>
                <w:szCs w:val="20"/>
              </w:rPr>
              <w:lastRenderedPageBreak/>
              <w:t xml:space="preserve">Soft drinks, non-cola </w:t>
            </w:r>
          </w:p>
        </w:tc>
        <w:tc>
          <w:tcPr>
            <w:tcW w:w="1557" w:type="dxa"/>
            <w:tcBorders>
              <w:top w:val="nil"/>
              <w:left w:val="nil"/>
              <w:bottom w:val="single" w:sz="4" w:space="0" w:color="auto"/>
              <w:right w:val="single" w:sz="4" w:space="0" w:color="auto"/>
            </w:tcBorders>
            <w:shd w:val="clear" w:color="auto" w:fill="auto"/>
            <w:hideMark/>
          </w:tcPr>
          <w:p w14:paraId="63D03C88" w14:textId="77777777" w:rsidR="008558A2" w:rsidRPr="00163505" w:rsidRDefault="008558A2" w:rsidP="0024269C">
            <w:pPr>
              <w:rPr>
                <w:sz w:val="20"/>
                <w:szCs w:val="20"/>
              </w:rPr>
            </w:pPr>
            <w:r w:rsidRPr="00163505">
              <w:rPr>
                <w:sz w:val="20"/>
                <w:szCs w:val="20"/>
              </w:rPr>
              <w:t>Soft drink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6AF0A9E" w14:textId="77777777" w:rsidR="008558A2" w:rsidRPr="00163505" w:rsidRDefault="008558A2" w:rsidP="0024269C">
            <w:pPr>
              <w:rPr>
                <w:sz w:val="20"/>
                <w:szCs w:val="20"/>
              </w:rPr>
            </w:pPr>
            <w:r w:rsidRPr="00163505">
              <w:rPr>
                <w:sz w:val="20"/>
                <w:szCs w:val="20"/>
              </w:rPr>
              <w:t>Total sugars &gt;10g/100g</w:t>
            </w:r>
          </w:p>
        </w:tc>
        <w:tc>
          <w:tcPr>
            <w:tcW w:w="1222" w:type="dxa"/>
            <w:tcBorders>
              <w:top w:val="nil"/>
              <w:left w:val="nil"/>
              <w:bottom w:val="single" w:sz="4" w:space="0" w:color="auto"/>
              <w:right w:val="single" w:sz="4" w:space="0" w:color="auto"/>
            </w:tcBorders>
            <w:shd w:val="clear" w:color="auto" w:fill="auto"/>
          </w:tcPr>
          <w:p w14:paraId="443727BD" w14:textId="7F7DD96D"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2FC5D6C" w14:textId="1FD1BA19"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698B0F4"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391D1587"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C83B11E" w14:textId="77777777" w:rsidR="008558A2" w:rsidRPr="00163505" w:rsidRDefault="008558A2" w:rsidP="0024269C">
            <w:pPr>
              <w:rPr>
                <w:sz w:val="20"/>
                <w:szCs w:val="20"/>
              </w:rPr>
            </w:pPr>
            <w:r w:rsidRPr="00163505">
              <w:rPr>
                <w:sz w:val="20"/>
                <w:szCs w:val="20"/>
              </w:rPr>
              <w:lastRenderedPageBreak/>
              <w:t>Non-core foods - confectionery</w:t>
            </w:r>
          </w:p>
        </w:tc>
        <w:tc>
          <w:tcPr>
            <w:tcW w:w="3371" w:type="dxa"/>
            <w:tcBorders>
              <w:top w:val="nil"/>
              <w:left w:val="nil"/>
              <w:bottom w:val="single" w:sz="4" w:space="0" w:color="auto"/>
              <w:right w:val="single" w:sz="4" w:space="0" w:color="auto"/>
            </w:tcBorders>
            <w:shd w:val="clear" w:color="auto" w:fill="auto"/>
            <w:hideMark/>
          </w:tcPr>
          <w:p w14:paraId="632EB459" w14:textId="77777777" w:rsidR="008558A2" w:rsidRPr="00163505" w:rsidRDefault="008558A2" w:rsidP="0024269C">
            <w:pPr>
              <w:rPr>
                <w:sz w:val="20"/>
                <w:szCs w:val="20"/>
              </w:rPr>
            </w:pPr>
            <w:r w:rsidRPr="00163505">
              <w:rPr>
                <w:sz w:val="20"/>
                <w:szCs w:val="20"/>
              </w:rPr>
              <w:t>Lollies and other confectionery, sugar sweetened</w:t>
            </w:r>
          </w:p>
        </w:tc>
        <w:tc>
          <w:tcPr>
            <w:tcW w:w="1557" w:type="dxa"/>
            <w:tcBorders>
              <w:top w:val="nil"/>
              <w:left w:val="nil"/>
              <w:bottom w:val="single" w:sz="4" w:space="0" w:color="auto"/>
              <w:right w:val="single" w:sz="4" w:space="0" w:color="auto"/>
            </w:tcBorders>
            <w:shd w:val="clear" w:color="auto" w:fill="auto"/>
            <w:hideMark/>
          </w:tcPr>
          <w:p w14:paraId="11C99C44" w14:textId="77777777" w:rsidR="008558A2" w:rsidRPr="00163505" w:rsidRDefault="008558A2" w:rsidP="0024269C">
            <w:pPr>
              <w:rPr>
                <w:sz w:val="20"/>
                <w:szCs w:val="20"/>
              </w:rPr>
            </w:pPr>
            <w:r w:rsidRPr="00163505">
              <w:rPr>
                <w:sz w:val="20"/>
                <w:szCs w:val="20"/>
              </w:rPr>
              <w:t>Lollies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E7C9FAF" w14:textId="77777777" w:rsidR="008558A2" w:rsidRPr="00163505" w:rsidRDefault="008558A2" w:rsidP="0024269C">
            <w:pPr>
              <w:rPr>
                <w:sz w:val="20"/>
                <w:szCs w:val="20"/>
              </w:rPr>
            </w:pPr>
            <w:r w:rsidRPr="00163505">
              <w:rPr>
                <w:sz w:val="20"/>
                <w:szCs w:val="20"/>
              </w:rPr>
              <w:t>Total sugars &gt;80g/100g</w:t>
            </w:r>
          </w:p>
        </w:tc>
        <w:tc>
          <w:tcPr>
            <w:tcW w:w="1222" w:type="dxa"/>
            <w:tcBorders>
              <w:top w:val="nil"/>
              <w:left w:val="nil"/>
              <w:bottom w:val="single" w:sz="4" w:space="0" w:color="auto"/>
              <w:right w:val="single" w:sz="4" w:space="0" w:color="auto"/>
            </w:tcBorders>
            <w:shd w:val="clear" w:color="auto" w:fill="auto"/>
          </w:tcPr>
          <w:p w14:paraId="0E070B9E" w14:textId="1A0B18F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F55566F" w14:textId="4BDD17E4"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7E1B657"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7EF042B7"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2BCFA16E"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5770B414" w14:textId="77777777" w:rsidR="008558A2" w:rsidRPr="00163505" w:rsidRDefault="008558A2" w:rsidP="0024269C">
            <w:pPr>
              <w:rPr>
                <w:sz w:val="20"/>
                <w:szCs w:val="20"/>
              </w:rPr>
            </w:pPr>
            <w:r w:rsidRPr="00163505">
              <w:rPr>
                <w:sz w:val="20"/>
                <w:szCs w:val="20"/>
              </w:rPr>
              <w:t xml:space="preserve">Dairy desserts, smooth or gelatin-based dairy desserts </w:t>
            </w:r>
          </w:p>
        </w:tc>
        <w:tc>
          <w:tcPr>
            <w:tcW w:w="1557" w:type="dxa"/>
            <w:tcBorders>
              <w:top w:val="nil"/>
              <w:left w:val="nil"/>
              <w:bottom w:val="single" w:sz="4" w:space="0" w:color="auto"/>
              <w:right w:val="single" w:sz="4" w:space="0" w:color="auto"/>
            </w:tcBorders>
            <w:shd w:val="clear" w:color="auto" w:fill="auto"/>
            <w:hideMark/>
          </w:tcPr>
          <w:p w14:paraId="19B9492C" w14:textId="77777777" w:rsidR="008558A2" w:rsidRPr="00163505" w:rsidRDefault="008558A2" w:rsidP="0024269C">
            <w:pPr>
              <w:rPr>
                <w:sz w:val="20"/>
                <w:szCs w:val="20"/>
              </w:rPr>
            </w:pPr>
            <w:r w:rsidRPr="00163505">
              <w:rPr>
                <w:sz w:val="20"/>
                <w:szCs w:val="20"/>
              </w:rPr>
              <w:t>Dairy dessert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438D1A8"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2D00E78" w14:textId="67626BF1"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2C7F5EC" w14:textId="5220133C"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C3240E5" w14:textId="77777777" w:rsidR="008558A2" w:rsidRPr="00163505" w:rsidRDefault="008558A2" w:rsidP="0024269C">
            <w:pPr>
              <w:rPr>
                <w:sz w:val="20"/>
                <w:szCs w:val="20"/>
              </w:rPr>
            </w:pPr>
            <w:r w:rsidRPr="00163505">
              <w:rPr>
                <w:sz w:val="20"/>
                <w:szCs w:val="20"/>
              </w:rPr>
              <w:t>Decrease due to change to Cat. 2D, sugars</w:t>
            </w:r>
          </w:p>
        </w:tc>
      </w:tr>
      <w:tr w:rsidR="008558A2" w:rsidRPr="00163505" w14:paraId="1819E53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23C6927"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429AF4FA" w14:textId="77777777" w:rsidR="008558A2" w:rsidRPr="00163505" w:rsidRDefault="008558A2" w:rsidP="0024269C">
            <w:pPr>
              <w:rPr>
                <w:sz w:val="20"/>
                <w:szCs w:val="20"/>
              </w:rPr>
            </w:pPr>
            <w:r w:rsidRPr="00163505">
              <w:rPr>
                <w:sz w:val="20"/>
                <w:szCs w:val="20"/>
              </w:rPr>
              <w:t xml:space="preserve">Dairy desserts, smooth or gelatin-based dairy desserts </w:t>
            </w:r>
          </w:p>
        </w:tc>
        <w:tc>
          <w:tcPr>
            <w:tcW w:w="1557" w:type="dxa"/>
            <w:tcBorders>
              <w:top w:val="nil"/>
              <w:left w:val="nil"/>
              <w:bottom w:val="single" w:sz="4" w:space="0" w:color="auto"/>
              <w:right w:val="single" w:sz="4" w:space="0" w:color="auto"/>
            </w:tcBorders>
            <w:shd w:val="clear" w:color="auto" w:fill="auto"/>
            <w:hideMark/>
          </w:tcPr>
          <w:p w14:paraId="4DB505AB" w14:textId="77777777" w:rsidR="008558A2" w:rsidRPr="00163505" w:rsidRDefault="008558A2" w:rsidP="0024269C">
            <w:pPr>
              <w:rPr>
                <w:sz w:val="20"/>
                <w:szCs w:val="20"/>
              </w:rPr>
            </w:pPr>
            <w:r w:rsidRPr="00163505">
              <w:rPr>
                <w:sz w:val="20"/>
                <w:szCs w:val="20"/>
              </w:rPr>
              <w:t>Dairy dessert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4A74BB6" w14:textId="77777777" w:rsidR="008558A2" w:rsidRPr="00163505" w:rsidRDefault="008558A2" w:rsidP="0024269C">
            <w:pPr>
              <w:rPr>
                <w:sz w:val="20"/>
                <w:szCs w:val="20"/>
              </w:rPr>
            </w:pPr>
            <w:r w:rsidRPr="00163505">
              <w:rPr>
                <w:sz w:val="20"/>
                <w:szCs w:val="20"/>
              </w:rPr>
              <w:t>Saturated fat &lt;1g/100g</w:t>
            </w:r>
            <w:r w:rsidRPr="00163505">
              <w:rPr>
                <w:sz w:val="20"/>
                <w:szCs w:val="20"/>
              </w:rPr>
              <w:br/>
              <w:t>Total sugars &lt;10g/100g</w:t>
            </w:r>
          </w:p>
        </w:tc>
        <w:tc>
          <w:tcPr>
            <w:tcW w:w="1222" w:type="dxa"/>
            <w:tcBorders>
              <w:top w:val="nil"/>
              <w:left w:val="nil"/>
              <w:bottom w:val="single" w:sz="4" w:space="0" w:color="auto"/>
              <w:right w:val="single" w:sz="4" w:space="0" w:color="auto"/>
            </w:tcBorders>
            <w:shd w:val="clear" w:color="auto" w:fill="auto"/>
          </w:tcPr>
          <w:p w14:paraId="11104FC0" w14:textId="45D3DEC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9D028EE" w14:textId="7BEA524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1BF0470" w14:textId="77777777" w:rsidR="008558A2" w:rsidRPr="00163505" w:rsidRDefault="008558A2" w:rsidP="0024269C">
            <w:pPr>
              <w:rPr>
                <w:sz w:val="20"/>
                <w:szCs w:val="20"/>
              </w:rPr>
            </w:pPr>
            <w:r w:rsidRPr="00163505">
              <w:rPr>
                <w:sz w:val="20"/>
                <w:szCs w:val="20"/>
              </w:rPr>
              <w:t>Increase due to change to Cat. 2D</w:t>
            </w:r>
          </w:p>
        </w:tc>
      </w:tr>
      <w:tr w:rsidR="008558A2" w:rsidRPr="00163505" w14:paraId="427F9FC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47B9FD1"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05AED2D2" w14:textId="77777777" w:rsidR="008558A2" w:rsidRPr="00163505" w:rsidRDefault="008558A2" w:rsidP="0024269C">
            <w:pPr>
              <w:rPr>
                <w:sz w:val="20"/>
                <w:szCs w:val="20"/>
              </w:rPr>
            </w:pPr>
            <w:r w:rsidRPr="00163505">
              <w:rPr>
                <w:sz w:val="20"/>
                <w:szCs w:val="20"/>
              </w:rPr>
              <w:t>Frozen dairy desserts, other</w:t>
            </w:r>
          </w:p>
        </w:tc>
        <w:tc>
          <w:tcPr>
            <w:tcW w:w="1557" w:type="dxa"/>
            <w:tcBorders>
              <w:top w:val="nil"/>
              <w:left w:val="nil"/>
              <w:bottom w:val="single" w:sz="4" w:space="0" w:color="auto"/>
              <w:right w:val="single" w:sz="4" w:space="0" w:color="auto"/>
            </w:tcBorders>
            <w:shd w:val="clear" w:color="auto" w:fill="auto"/>
            <w:hideMark/>
          </w:tcPr>
          <w:p w14:paraId="1EDA771E" w14:textId="77777777" w:rsidR="008558A2" w:rsidRPr="00163505" w:rsidRDefault="008558A2" w:rsidP="0024269C">
            <w:pPr>
              <w:rPr>
                <w:sz w:val="20"/>
                <w:szCs w:val="20"/>
              </w:rPr>
            </w:pPr>
            <w:r w:rsidRPr="00163505">
              <w:rPr>
                <w:sz w:val="20"/>
                <w:szCs w:val="20"/>
              </w:rPr>
              <w:t>Dairy dessert, frozen</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E186F8C"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A7C29CC" w14:textId="6C167D8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85C4C15" w14:textId="35DA0925"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27DF745B" w14:textId="77777777" w:rsidR="008558A2" w:rsidRPr="00163505" w:rsidRDefault="008558A2" w:rsidP="0024269C">
            <w:pPr>
              <w:rPr>
                <w:sz w:val="20"/>
                <w:szCs w:val="20"/>
              </w:rPr>
            </w:pPr>
            <w:r w:rsidRPr="00163505">
              <w:rPr>
                <w:sz w:val="20"/>
                <w:szCs w:val="20"/>
              </w:rPr>
              <w:t>Decrease due to change to Cat. 2D, sugars</w:t>
            </w:r>
          </w:p>
        </w:tc>
      </w:tr>
      <w:tr w:rsidR="008558A2" w:rsidRPr="00163505" w14:paraId="4E4ECA4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5214B2B" w14:textId="77777777" w:rsidR="008558A2" w:rsidRPr="00163505" w:rsidRDefault="008558A2" w:rsidP="0024269C">
            <w:pPr>
              <w:rPr>
                <w:sz w:val="20"/>
                <w:szCs w:val="20"/>
              </w:rPr>
            </w:pPr>
            <w:r w:rsidRPr="00163505">
              <w:rPr>
                <w:sz w:val="20"/>
                <w:szCs w:val="20"/>
              </w:rPr>
              <w:t>Non-core foods - ice confectionery</w:t>
            </w:r>
          </w:p>
        </w:tc>
        <w:tc>
          <w:tcPr>
            <w:tcW w:w="3371" w:type="dxa"/>
            <w:tcBorders>
              <w:top w:val="nil"/>
              <w:left w:val="nil"/>
              <w:bottom w:val="single" w:sz="4" w:space="0" w:color="auto"/>
              <w:right w:val="single" w:sz="4" w:space="0" w:color="auto"/>
            </w:tcBorders>
            <w:shd w:val="clear" w:color="auto" w:fill="auto"/>
            <w:hideMark/>
          </w:tcPr>
          <w:p w14:paraId="594D7B19" w14:textId="77777777" w:rsidR="008558A2" w:rsidRPr="00163505" w:rsidRDefault="008558A2" w:rsidP="0024269C">
            <w:pPr>
              <w:rPr>
                <w:sz w:val="20"/>
                <w:szCs w:val="20"/>
              </w:rPr>
            </w:pPr>
            <w:r w:rsidRPr="00163505">
              <w:rPr>
                <w:sz w:val="20"/>
                <w:szCs w:val="20"/>
              </w:rPr>
              <w:t xml:space="preserve">Water ice confection, gelato, sorbet </w:t>
            </w:r>
          </w:p>
        </w:tc>
        <w:tc>
          <w:tcPr>
            <w:tcW w:w="1557" w:type="dxa"/>
            <w:tcBorders>
              <w:top w:val="nil"/>
              <w:left w:val="nil"/>
              <w:bottom w:val="single" w:sz="4" w:space="0" w:color="auto"/>
              <w:right w:val="single" w:sz="4" w:space="0" w:color="auto"/>
            </w:tcBorders>
            <w:shd w:val="clear" w:color="auto" w:fill="auto"/>
            <w:hideMark/>
          </w:tcPr>
          <w:p w14:paraId="0C785D0E" w14:textId="77777777" w:rsidR="008558A2" w:rsidRPr="00163505" w:rsidRDefault="008558A2" w:rsidP="0024269C">
            <w:pPr>
              <w:rPr>
                <w:sz w:val="20"/>
                <w:szCs w:val="20"/>
              </w:rPr>
            </w:pPr>
            <w:r w:rsidRPr="00163505">
              <w:rPr>
                <w:sz w:val="20"/>
                <w:szCs w:val="20"/>
              </w:rPr>
              <w:t>Sorbet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09695F1" w14:textId="77777777" w:rsidR="008558A2" w:rsidRPr="00163505" w:rsidRDefault="008558A2" w:rsidP="0024269C">
            <w:pPr>
              <w:rPr>
                <w:sz w:val="20"/>
                <w:szCs w:val="20"/>
              </w:rPr>
            </w:pPr>
            <w:r w:rsidRPr="00163505">
              <w:rPr>
                <w:sz w:val="20"/>
                <w:szCs w:val="20"/>
              </w:rPr>
              <w:t>Total sugars &gt;25g/100g</w:t>
            </w:r>
          </w:p>
        </w:tc>
        <w:tc>
          <w:tcPr>
            <w:tcW w:w="1222" w:type="dxa"/>
            <w:tcBorders>
              <w:top w:val="nil"/>
              <w:left w:val="nil"/>
              <w:bottom w:val="single" w:sz="4" w:space="0" w:color="auto"/>
              <w:right w:val="single" w:sz="4" w:space="0" w:color="auto"/>
            </w:tcBorders>
            <w:shd w:val="clear" w:color="auto" w:fill="auto"/>
          </w:tcPr>
          <w:p w14:paraId="2C02E657" w14:textId="770FBFC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64B5C65" w14:textId="089DA257"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42443EE" w14:textId="77777777" w:rsidR="008558A2" w:rsidRPr="00163505" w:rsidRDefault="008558A2" w:rsidP="0024269C">
            <w:pPr>
              <w:rPr>
                <w:sz w:val="20"/>
                <w:szCs w:val="20"/>
              </w:rPr>
            </w:pPr>
            <w:r w:rsidRPr="00163505">
              <w:rPr>
                <w:sz w:val="20"/>
                <w:szCs w:val="20"/>
              </w:rPr>
              <w:t>Decrease due to change to Cat. 1, sugars</w:t>
            </w:r>
          </w:p>
        </w:tc>
      </w:tr>
      <w:tr w:rsidR="008558A2" w:rsidRPr="00163505" w14:paraId="5E6CD0EB"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FB1F811" w14:textId="77777777" w:rsidR="008558A2" w:rsidRPr="00163505" w:rsidRDefault="008558A2" w:rsidP="0024269C">
            <w:pPr>
              <w:rPr>
                <w:sz w:val="20"/>
                <w:szCs w:val="20"/>
              </w:rPr>
            </w:pPr>
            <w:r w:rsidRPr="00163505">
              <w:rPr>
                <w:sz w:val="20"/>
                <w:szCs w:val="20"/>
              </w:rPr>
              <w:t>Non-core foods - ice cream</w:t>
            </w:r>
          </w:p>
        </w:tc>
        <w:tc>
          <w:tcPr>
            <w:tcW w:w="3371" w:type="dxa"/>
            <w:tcBorders>
              <w:top w:val="nil"/>
              <w:left w:val="nil"/>
              <w:bottom w:val="single" w:sz="4" w:space="0" w:color="auto"/>
              <w:right w:val="single" w:sz="4" w:space="0" w:color="auto"/>
            </w:tcBorders>
            <w:shd w:val="clear" w:color="auto" w:fill="auto"/>
            <w:hideMark/>
          </w:tcPr>
          <w:p w14:paraId="29867B3F" w14:textId="77777777" w:rsidR="008558A2" w:rsidRPr="00163505" w:rsidRDefault="008558A2" w:rsidP="0024269C">
            <w:pPr>
              <w:rPr>
                <w:sz w:val="20"/>
                <w:szCs w:val="20"/>
              </w:rPr>
            </w:pPr>
            <w:r w:rsidRPr="00163505">
              <w:rPr>
                <w:sz w:val="20"/>
                <w:szCs w:val="20"/>
              </w:rPr>
              <w:t>Ice cream, tub varieties, fat content &gt;10 g/100 g</w:t>
            </w:r>
          </w:p>
        </w:tc>
        <w:tc>
          <w:tcPr>
            <w:tcW w:w="1557" w:type="dxa"/>
            <w:tcBorders>
              <w:top w:val="nil"/>
              <w:left w:val="nil"/>
              <w:bottom w:val="single" w:sz="4" w:space="0" w:color="auto"/>
              <w:right w:val="single" w:sz="4" w:space="0" w:color="auto"/>
            </w:tcBorders>
            <w:shd w:val="clear" w:color="auto" w:fill="auto"/>
            <w:hideMark/>
          </w:tcPr>
          <w:p w14:paraId="2732D5E9" w14:textId="77777777" w:rsidR="008558A2" w:rsidRPr="00163505" w:rsidRDefault="008558A2" w:rsidP="0024269C">
            <w:pPr>
              <w:rPr>
                <w:sz w:val="20"/>
                <w:szCs w:val="20"/>
              </w:rPr>
            </w:pPr>
            <w:r w:rsidRPr="00163505">
              <w:rPr>
                <w:sz w:val="20"/>
                <w:szCs w:val="20"/>
              </w:rPr>
              <w:t>Ice cream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445240F"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B853A2D" w14:textId="19622589"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115AB4F" w14:textId="2269AB8A"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759E32B"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5793DF9D"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F97C195" w14:textId="77777777" w:rsidR="008558A2" w:rsidRPr="00163505" w:rsidRDefault="008558A2" w:rsidP="0024269C">
            <w:pPr>
              <w:rPr>
                <w:sz w:val="20"/>
                <w:szCs w:val="20"/>
              </w:rPr>
            </w:pPr>
            <w:r w:rsidRPr="00163505">
              <w:rPr>
                <w:sz w:val="20"/>
                <w:szCs w:val="20"/>
              </w:rPr>
              <w:t>Non-core foods - meals/meal bases</w:t>
            </w:r>
          </w:p>
        </w:tc>
        <w:tc>
          <w:tcPr>
            <w:tcW w:w="3371" w:type="dxa"/>
            <w:tcBorders>
              <w:top w:val="nil"/>
              <w:left w:val="nil"/>
              <w:bottom w:val="single" w:sz="4" w:space="0" w:color="auto"/>
              <w:right w:val="single" w:sz="4" w:space="0" w:color="auto"/>
            </w:tcBorders>
            <w:shd w:val="clear" w:color="auto" w:fill="auto"/>
            <w:hideMark/>
          </w:tcPr>
          <w:p w14:paraId="4BEA2E6B" w14:textId="77777777" w:rsidR="008558A2" w:rsidRPr="00163505" w:rsidRDefault="008558A2" w:rsidP="0024269C">
            <w:pPr>
              <w:rPr>
                <w:sz w:val="20"/>
                <w:szCs w:val="20"/>
              </w:rPr>
            </w:pPr>
            <w:r w:rsidRPr="00163505">
              <w:rPr>
                <w:sz w:val="20"/>
                <w:szCs w:val="20"/>
              </w:rPr>
              <w:t>Savoury pasta/noodle and sauce dishes, saturated fat ≤5 g/100 g</w:t>
            </w:r>
          </w:p>
        </w:tc>
        <w:tc>
          <w:tcPr>
            <w:tcW w:w="1557" w:type="dxa"/>
            <w:tcBorders>
              <w:top w:val="nil"/>
              <w:left w:val="nil"/>
              <w:bottom w:val="single" w:sz="4" w:space="0" w:color="auto"/>
              <w:right w:val="single" w:sz="4" w:space="0" w:color="auto"/>
            </w:tcBorders>
            <w:shd w:val="clear" w:color="auto" w:fill="auto"/>
            <w:hideMark/>
          </w:tcPr>
          <w:p w14:paraId="7203AF09" w14:textId="77777777" w:rsidR="008558A2" w:rsidRPr="00163505" w:rsidRDefault="008558A2" w:rsidP="0024269C">
            <w:pPr>
              <w:rPr>
                <w:sz w:val="20"/>
                <w:szCs w:val="20"/>
              </w:rPr>
            </w:pPr>
            <w:r w:rsidRPr="00163505">
              <w:rPr>
                <w:sz w:val="20"/>
                <w:szCs w:val="20"/>
              </w:rPr>
              <w:t>RTE pasta and sauce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25EE941" w14:textId="77777777" w:rsidR="008558A2" w:rsidRPr="00163505" w:rsidRDefault="008558A2" w:rsidP="0024269C">
            <w:pPr>
              <w:rPr>
                <w:sz w:val="20"/>
                <w:szCs w:val="20"/>
              </w:rPr>
            </w:pPr>
            <w:r w:rsidRPr="00163505">
              <w:rPr>
                <w:sz w:val="20"/>
                <w:szCs w:val="20"/>
              </w:rPr>
              <w:t>Total sugars &gt;7.5g/100g</w:t>
            </w:r>
            <w:r w:rsidRPr="00163505">
              <w:rPr>
                <w:sz w:val="20"/>
                <w:szCs w:val="20"/>
              </w:rPr>
              <w:br/>
              <w:t>Sodium &gt;500mg/100g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5E271530" w14:textId="3B402A61"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C64C395" w14:textId="34A0929C"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0AFE93E" w14:textId="3A0DF23A" w:rsidR="008558A2" w:rsidRPr="00163505" w:rsidRDefault="009172FE" w:rsidP="0024269C">
            <w:pPr>
              <w:rPr>
                <w:sz w:val="20"/>
                <w:szCs w:val="20"/>
              </w:rPr>
            </w:pPr>
            <w:r>
              <w:rPr>
                <w:sz w:val="20"/>
                <w:szCs w:val="20"/>
              </w:rPr>
              <w:t>for baseline points</w:t>
            </w:r>
          </w:p>
        </w:tc>
      </w:tr>
      <w:tr w:rsidR="008558A2" w:rsidRPr="00163505" w14:paraId="3C04399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EF6800C" w14:textId="77777777" w:rsidR="008558A2" w:rsidRPr="00163505" w:rsidRDefault="008558A2" w:rsidP="0024269C">
            <w:pPr>
              <w:rPr>
                <w:sz w:val="20"/>
                <w:szCs w:val="20"/>
              </w:rPr>
            </w:pPr>
            <w:r w:rsidRPr="00163505">
              <w:rPr>
                <w:sz w:val="20"/>
                <w:szCs w:val="20"/>
              </w:rPr>
              <w:t>Non-core foods - miscellaneous</w:t>
            </w:r>
          </w:p>
        </w:tc>
        <w:tc>
          <w:tcPr>
            <w:tcW w:w="3371" w:type="dxa"/>
            <w:tcBorders>
              <w:top w:val="nil"/>
              <w:left w:val="nil"/>
              <w:bottom w:val="single" w:sz="4" w:space="0" w:color="auto"/>
              <w:right w:val="single" w:sz="4" w:space="0" w:color="auto"/>
            </w:tcBorders>
            <w:shd w:val="clear" w:color="auto" w:fill="auto"/>
            <w:hideMark/>
          </w:tcPr>
          <w:p w14:paraId="319B296C" w14:textId="77777777" w:rsidR="008558A2" w:rsidRPr="00163505" w:rsidRDefault="008558A2" w:rsidP="0024269C">
            <w:pPr>
              <w:rPr>
                <w:sz w:val="20"/>
                <w:szCs w:val="20"/>
              </w:rPr>
            </w:pPr>
            <w:r w:rsidRPr="00163505">
              <w:rPr>
                <w:sz w:val="20"/>
                <w:szCs w:val="20"/>
              </w:rPr>
              <w:t xml:space="preserve">Milk, evaporated or condensed, undiluted </w:t>
            </w:r>
          </w:p>
        </w:tc>
        <w:tc>
          <w:tcPr>
            <w:tcW w:w="1557" w:type="dxa"/>
            <w:tcBorders>
              <w:top w:val="nil"/>
              <w:left w:val="nil"/>
              <w:bottom w:val="single" w:sz="4" w:space="0" w:color="auto"/>
              <w:right w:val="single" w:sz="4" w:space="0" w:color="auto"/>
            </w:tcBorders>
            <w:shd w:val="clear" w:color="auto" w:fill="auto"/>
            <w:hideMark/>
          </w:tcPr>
          <w:p w14:paraId="2890DEA4" w14:textId="77777777" w:rsidR="008558A2" w:rsidRPr="00163505" w:rsidRDefault="008558A2" w:rsidP="0024269C">
            <w:pPr>
              <w:rPr>
                <w:sz w:val="20"/>
                <w:szCs w:val="20"/>
              </w:rPr>
            </w:pPr>
            <w:r w:rsidRPr="00163505">
              <w:rPr>
                <w:sz w:val="20"/>
                <w:szCs w:val="20"/>
              </w:rPr>
              <w:t>Condensed milk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8B9FB37" w14:textId="77777777" w:rsidR="008558A2" w:rsidRPr="00163505" w:rsidRDefault="008558A2" w:rsidP="0024269C">
            <w:pPr>
              <w:rPr>
                <w:sz w:val="20"/>
                <w:szCs w:val="20"/>
              </w:rPr>
            </w:pPr>
            <w:r w:rsidRPr="00163505">
              <w:rPr>
                <w:sz w:val="20"/>
                <w:szCs w:val="20"/>
              </w:rPr>
              <w:t>Saturated fat &lt;1g/100g</w:t>
            </w:r>
            <w:r w:rsidRPr="00163505">
              <w:rPr>
                <w:sz w:val="20"/>
                <w:szCs w:val="20"/>
              </w:rPr>
              <w:br/>
              <w:t>Total sugars &gt;40g/100g</w:t>
            </w:r>
          </w:p>
        </w:tc>
        <w:tc>
          <w:tcPr>
            <w:tcW w:w="1222" w:type="dxa"/>
            <w:tcBorders>
              <w:top w:val="nil"/>
              <w:left w:val="nil"/>
              <w:bottom w:val="single" w:sz="4" w:space="0" w:color="auto"/>
              <w:right w:val="single" w:sz="4" w:space="0" w:color="auto"/>
            </w:tcBorders>
            <w:shd w:val="clear" w:color="auto" w:fill="auto"/>
          </w:tcPr>
          <w:p w14:paraId="71E74B50" w14:textId="3FF0A17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1413033" w14:textId="08E68175"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CE30359"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1662DB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922EC11" w14:textId="77777777" w:rsidR="008558A2" w:rsidRPr="00163505" w:rsidRDefault="008558A2" w:rsidP="0024269C">
            <w:pPr>
              <w:rPr>
                <w:sz w:val="20"/>
                <w:szCs w:val="20"/>
              </w:rPr>
            </w:pPr>
            <w:r w:rsidRPr="00163505">
              <w:rPr>
                <w:sz w:val="20"/>
                <w:szCs w:val="20"/>
              </w:rPr>
              <w:t>Non-core foods - sauces/condiments</w:t>
            </w:r>
          </w:p>
        </w:tc>
        <w:tc>
          <w:tcPr>
            <w:tcW w:w="3371" w:type="dxa"/>
            <w:tcBorders>
              <w:top w:val="nil"/>
              <w:left w:val="nil"/>
              <w:bottom w:val="single" w:sz="4" w:space="0" w:color="auto"/>
              <w:right w:val="single" w:sz="4" w:space="0" w:color="auto"/>
            </w:tcBorders>
            <w:shd w:val="clear" w:color="auto" w:fill="auto"/>
            <w:hideMark/>
          </w:tcPr>
          <w:p w14:paraId="1BC70C37" w14:textId="77777777" w:rsidR="008558A2" w:rsidRPr="00163505" w:rsidRDefault="008558A2" w:rsidP="0024269C">
            <w:pPr>
              <w:rPr>
                <w:sz w:val="20"/>
                <w:szCs w:val="20"/>
              </w:rPr>
            </w:pPr>
            <w:r w:rsidRPr="00163505">
              <w:rPr>
                <w:sz w:val="20"/>
                <w:szCs w:val="20"/>
              </w:rPr>
              <w:t>Savoury sauces, tomato based, commercial</w:t>
            </w:r>
          </w:p>
        </w:tc>
        <w:tc>
          <w:tcPr>
            <w:tcW w:w="1557" w:type="dxa"/>
            <w:tcBorders>
              <w:top w:val="nil"/>
              <w:left w:val="nil"/>
              <w:bottom w:val="single" w:sz="4" w:space="0" w:color="auto"/>
              <w:right w:val="single" w:sz="4" w:space="0" w:color="auto"/>
            </w:tcBorders>
            <w:shd w:val="clear" w:color="auto" w:fill="auto"/>
            <w:hideMark/>
          </w:tcPr>
          <w:p w14:paraId="3E2C4AC2" w14:textId="77777777" w:rsidR="008558A2" w:rsidRPr="00163505" w:rsidRDefault="008558A2" w:rsidP="0024269C">
            <w:pPr>
              <w:rPr>
                <w:sz w:val="20"/>
                <w:szCs w:val="20"/>
              </w:rPr>
            </w:pPr>
            <w:r w:rsidRPr="00163505">
              <w:rPr>
                <w:sz w:val="20"/>
                <w:szCs w:val="20"/>
              </w:rPr>
              <w:t>Barbecue sauce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43CD7D5" w14:textId="77777777" w:rsidR="008558A2" w:rsidRPr="00163505" w:rsidRDefault="008558A2" w:rsidP="0024269C">
            <w:pPr>
              <w:rPr>
                <w:sz w:val="20"/>
                <w:szCs w:val="20"/>
              </w:rPr>
            </w:pPr>
            <w:r w:rsidRPr="00163505">
              <w:rPr>
                <w:sz w:val="20"/>
                <w:szCs w:val="20"/>
              </w:rPr>
              <w:t>Total sugars &gt;45g/100g</w:t>
            </w:r>
            <w:r w:rsidRPr="00163505">
              <w:rPr>
                <w:sz w:val="20"/>
                <w:szCs w:val="20"/>
              </w:rPr>
              <w:br/>
              <w:t>Sodium &gt;1100mg/100g</w:t>
            </w:r>
          </w:p>
        </w:tc>
        <w:tc>
          <w:tcPr>
            <w:tcW w:w="1222" w:type="dxa"/>
            <w:tcBorders>
              <w:top w:val="nil"/>
              <w:left w:val="nil"/>
              <w:bottom w:val="single" w:sz="4" w:space="0" w:color="auto"/>
              <w:right w:val="single" w:sz="4" w:space="0" w:color="auto"/>
            </w:tcBorders>
            <w:shd w:val="clear" w:color="auto" w:fill="auto"/>
          </w:tcPr>
          <w:p w14:paraId="6D30DAAC" w14:textId="0D6EFD2B"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641DF97" w14:textId="0F254663" w:rsidR="008558A2" w:rsidRPr="00163505" w:rsidRDefault="00CE2CFA"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282B54EF" w14:textId="77777777" w:rsidR="008558A2" w:rsidRPr="00163505" w:rsidRDefault="008558A2" w:rsidP="0024269C">
            <w:pPr>
              <w:rPr>
                <w:sz w:val="20"/>
                <w:szCs w:val="20"/>
              </w:rPr>
            </w:pPr>
            <w:r w:rsidRPr="00163505">
              <w:rPr>
                <w:sz w:val="20"/>
                <w:szCs w:val="20"/>
              </w:rPr>
              <w:t>Decrease due to change to sugars, sodium</w:t>
            </w:r>
          </w:p>
        </w:tc>
      </w:tr>
      <w:tr w:rsidR="008558A2" w:rsidRPr="00163505" w14:paraId="390FE20B"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7F3A31C" w14:textId="77777777" w:rsidR="008558A2" w:rsidRPr="00163505" w:rsidRDefault="008558A2" w:rsidP="0024269C">
            <w:pPr>
              <w:rPr>
                <w:sz w:val="20"/>
                <w:szCs w:val="20"/>
              </w:rPr>
            </w:pPr>
            <w:r w:rsidRPr="00163505">
              <w:rPr>
                <w:sz w:val="20"/>
                <w:szCs w:val="20"/>
              </w:rPr>
              <w:t>Non-core foods - sauces/condiments</w:t>
            </w:r>
          </w:p>
        </w:tc>
        <w:tc>
          <w:tcPr>
            <w:tcW w:w="3371" w:type="dxa"/>
            <w:tcBorders>
              <w:top w:val="nil"/>
              <w:left w:val="nil"/>
              <w:bottom w:val="single" w:sz="4" w:space="0" w:color="auto"/>
              <w:right w:val="single" w:sz="4" w:space="0" w:color="auto"/>
            </w:tcBorders>
            <w:shd w:val="clear" w:color="auto" w:fill="auto"/>
            <w:hideMark/>
          </w:tcPr>
          <w:p w14:paraId="08C551C7" w14:textId="77777777" w:rsidR="008558A2" w:rsidRPr="00163505" w:rsidRDefault="008558A2" w:rsidP="0024269C">
            <w:pPr>
              <w:rPr>
                <w:sz w:val="20"/>
                <w:szCs w:val="20"/>
              </w:rPr>
            </w:pPr>
            <w:r w:rsidRPr="00163505">
              <w:rPr>
                <w:sz w:val="20"/>
                <w:szCs w:val="20"/>
              </w:rPr>
              <w:t>Dry savoury sauces and casserole bases and dry mixes</w:t>
            </w:r>
          </w:p>
        </w:tc>
        <w:tc>
          <w:tcPr>
            <w:tcW w:w="1557" w:type="dxa"/>
            <w:tcBorders>
              <w:top w:val="nil"/>
              <w:left w:val="nil"/>
              <w:bottom w:val="single" w:sz="4" w:space="0" w:color="auto"/>
              <w:right w:val="single" w:sz="4" w:space="0" w:color="auto"/>
            </w:tcBorders>
            <w:shd w:val="clear" w:color="auto" w:fill="auto"/>
            <w:hideMark/>
          </w:tcPr>
          <w:p w14:paraId="14DEE24A" w14:textId="77777777" w:rsidR="008558A2" w:rsidRPr="00163505" w:rsidRDefault="008558A2" w:rsidP="0024269C">
            <w:pPr>
              <w:rPr>
                <w:sz w:val="20"/>
                <w:szCs w:val="20"/>
              </w:rPr>
            </w:pPr>
            <w:r w:rsidRPr="00163505">
              <w:rPr>
                <w:sz w:val="20"/>
                <w:szCs w:val="20"/>
              </w:rPr>
              <w:t>Dry meal base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59BDDB1"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&lt;5g/100g</w:t>
            </w:r>
            <w:r w:rsidRPr="00163505">
              <w:rPr>
                <w:sz w:val="20"/>
                <w:szCs w:val="20"/>
              </w:rPr>
              <w:br/>
              <w:t>Sodium &gt;400mg/100g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07949A9C" w14:textId="5C17C820"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6AFBF4D6" w14:textId="27F45664"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EECAF59" w14:textId="44125FB4"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 sodium)</w:t>
            </w:r>
          </w:p>
        </w:tc>
      </w:tr>
      <w:tr w:rsidR="008558A2" w:rsidRPr="00163505" w14:paraId="677EBFE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15F8B60"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3972B160" w14:textId="77777777" w:rsidR="008558A2" w:rsidRPr="00163505" w:rsidRDefault="008558A2" w:rsidP="0024269C">
            <w:pPr>
              <w:rPr>
                <w:sz w:val="20"/>
                <w:szCs w:val="20"/>
              </w:rPr>
            </w:pPr>
            <w:r w:rsidRPr="00163505">
              <w:rPr>
                <w:sz w:val="20"/>
                <w:szCs w:val="20"/>
              </w:rPr>
              <w:t>Muesli and cereal style bars, no fruit </w:t>
            </w:r>
          </w:p>
        </w:tc>
        <w:tc>
          <w:tcPr>
            <w:tcW w:w="1557" w:type="dxa"/>
            <w:tcBorders>
              <w:top w:val="nil"/>
              <w:left w:val="nil"/>
              <w:bottom w:val="single" w:sz="4" w:space="0" w:color="auto"/>
              <w:right w:val="single" w:sz="4" w:space="0" w:color="auto"/>
            </w:tcBorders>
            <w:shd w:val="clear" w:color="auto" w:fill="auto"/>
            <w:hideMark/>
          </w:tcPr>
          <w:p w14:paraId="000B7F01"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413F5A5" w14:textId="77777777" w:rsidR="008558A2" w:rsidRPr="00163505" w:rsidRDefault="008558A2" w:rsidP="0024269C">
            <w:pPr>
              <w:rPr>
                <w:sz w:val="20"/>
                <w:szCs w:val="20"/>
              </w:rPr>
            </w:pPr>
            <w:r w:rsidRPr="00163505">
              <w:rPr>
                <w:sz w:val="20"/>
                <w:szCs w:val="20"/>
              </w:rPr>
              <w:t>Total sugars &gt;10g/100g</w:t>
            </w:r>
            <w:r w:rsidRPr="00163505">
              <w:rPr>
                <w:sz w:val="20"/>
                <w:szCs w:val="20"/>
              </w:rPr>
              <w:br/>
              <w:t>Fibre &gt;10g/100g</w:t>
            </w:r>
            <w:r w:rsidRPr="00163505">
              <w:rPr>
                <w:sz w:val="20"/>
                <w:szCs w:val="20"/>
              </w:rPr>
              <w:br/>
              <w:t>Protein &gt;15g/100g</w:t>
            </w:r>
            <w:r w:rsidRPr="00163505">
              <w:rPr>
                <w:sz w:val="20"/>
                <w:szCs w:val="20"/>
              </w:rPr>
              <w:br/>
              <w:t>FVNL 70%</w:t>
            </w:r>
            <w:r w:rsidRPr="00163505">
              <w:rPr>
                <w:sz w:val="20"/>
                <w:szCs w:val="20"/>
              </w:rPr>
              <w:br/>
              <w:t>Wholegrain 0%</w:t>
            </w:r>
          </w:p>
        </w:tc>
        <w:tc>
          <w:tcPr>
            <w:tcW w:w="1222" w:type="dxa"/>
            <w:tcBorders>
              <w:top w:val="nil"/>
              <w:left w:val="nil"/>
              <w:bottom w:val="single" w:sz="4" w:space="0" w:color="auto"/>
              <w:right w:val="single" w:sz="4" w:space="0" w:color="auto"/>
            </w:tcBorders>
            <w:shd w:val="clear" w:color="auto" w:fill="auto"/>
          </w:tcPr>
          <w:p w14:paraId="1CC3A232" w14:textId="240A0408"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83224D2" w14:textId="2F4965FF"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6BB38CC" w14:textId="0FEE64EB"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sugars)</w:t>
            </w:r>
          </w:p>
        </w:tc>
      </w:tr>
      <w:tr w:rsidR="008558A2" w:rsidRPr="00163505" w14:paraId="62FB8F2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494D9F0"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5D797792" w14:textId="77777777" w:rsidR="008558A2" w:rsidRPr="00163505" w:rsidRDefault="008558A2" w:rsidP="0024269C">
            <w:pPr>
              <w:rPr>
                <w:sz w:val="20"/>
                <w:szCs w:val="20"/>
              </w:rPr>
            </w:pPr>
            <w:r w:rsidRPr="00163505">
              <w:rPr>
                <w:sz w:val="20"/>
                <w:szCs w:val="20"/>
              </w:rPr>
              <w:t>Muesli and cereal style bars, no fruit</w:t>
            </w:r>
          </w:p>
        </w:tc>
        <w:tc>
          <w:tcPr>
            <w:tcW w:w="1557" w:type="dxa"/>
            <w:tcBorders>
              <w:top w:val="nil"/>
              <w:left w:val="nil"/>
              <w:bottom w:val="single" w:sz="4" w:space="0" w:color="auto"/>
              <w:right w:val="single" w:sz="4" w:space="0" w:color="auto"/>
            </w:tcBorders>
            <w:shd w:val="clear" w:color="auto" w:fill="auto"/>
            <w:hideMark/>
          </w:tcPr>
          <w:p w14:paraId="17ECFC66"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99B9F28" w14:textId="77777777" w:rsidR="008558A2" w:rsidRPr="00163505" w:rsidRDefault="008558A2" w:rsidP="0024269C">
            <w:pPr>
              <w:rPr>
                <w:sz w:val="20"/>
                <w:szCs w:val="20"/>
              </w:rPr>
            </w:pPr>
            <w:r w:rsidRPr="00163505">
              <w:rPr>
                <w:sz w:val="20"/>
                <w:szCs w:val="20"/>
              </w:rPr>
              <w:t>Saturated fat &gt;7.5g/100g</w:t>
            </w:r>
            <w:r w:rsidRPr="00163505">
              <w:rPr>
                <w:sz w:val="20"/>
                <w:szCs w:val="20"/>
              </w:rPr>
              <w:br/>
              <w:t>Total sugars &gt;35g/100g</w:t>
            </w:r>
            <w:r w:rsidRPr="00163505">
              <w:rPr>
                <w:sz w:val="20"/>
                <w:szCs w:val="20"/>
              </w:rPr>
              <w:br/>
              <w:t>Fibre &lt;1g/100g</w:t>
            </w:r>
            <w:r w:rsidRPr="00163505">
              <w:rPr>
                <w:sz w:val="20"/>
                <w:szCs w:val="20"/>
              </w:rPr>
              <w:br/>
              <w:t>Protein &lt;5g/100g</w:t>
            </w:r>
          </w:p>
        </w:tc>
        <w:tc>
          <w:tcPr>
            <w:tcW w:w="1222" w:type="dxa"/>
            <w:tcBorders>
              <w:top w:val="nil"/>
              <w:left w:val="nil"/>
              <w:bottom w:val="single" w:sz="4" w:space="0" w:color="auto"/>
              <w:right w:val="single" w:sz="4" w:space="0" w:color="auto"/>
            </w:tcBorders>
            <w:shd w:val="clear" w:color="auto" w:fill="auto"/>
          </w:tcPr>
          <w:p w14:paraId="6235B405" w14:textId="238C3464"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14812A3" w14:textId="2DDABF3B" w:rsidR="008558A2" w:rsidRPr="00163505" w:rsidRDefault="00CE2CFA"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4FFC37F"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1D682568"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7B028A7"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6C148C2C" w14:textId="77777777" w:rsidR="008558A2" w:rsidRPr="00163505" w:rsidRDefault="008558A2" w:rsidP="0024269C">
            <w:pPr>
              <w:rPr>
                <w:sz w:val="20"/>
                <w:szCs w:val="20"/>
              </w:rPr>
            </w:pPr>
            <w:r w:rsidRPr="00163505">
              <w:rPr>
                <w:sz w:val="20"/>
                <w:szCs w:val="20"/>
              </w:rPr>
              <w:t>Muesli and cereal style bars, with fruit and/or nuts </w:t>
            </w:r>
          </w:p>
        </w:tc>
        <w:tc>
          <w:tcPr>
            <w:tcW w:w="1557" w:type="dxa"/>
            <w:tcBorders>
              <w:top w:val="nil"/>
              <w:left w:val="nil"/>
              <w:bottom w:val="single" w:sz="4" w:space="0" w:color="auto"/>
              <w:right w:val="single" w:sz="4" w:space="0" w:color="auto"/>
            </w:tcBorders>
            <w:shd w:val="clear" w:color="auto" w:fill="auto"/>
            <w:hideMark/>
          </w:tcPr>
          <w:p w14:paraId="6B525756"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0ED790D" w14:textId="77777777" w:rsidR="008558A2" w:rsidRPr="00163505" w:rsidRDefault="008558A2" w:rsidP="0024269C">
            <w:pPr>
              <w:rPr>
                <w:sz w:val="20"/>
                <w:szCs w:val="20"/>
              </w:rPr>
            </w:pPr>
            <w:r w:rsidRPr="00163505">
              <w:rPr>
                <w:sz w:val="20"/>
                <w:szCs w:val="20"/>
              </w:rPr>
              <w:t>Saturated fat &lt;2.5g/100g</w:t>
            </w:r>
            <w:r w:rsidRPr="00163505">
              <w:rPr>
                <w:sz w:val="20"/>
                <w:szCs w:val="20"/>
              </w:rPr>
              <w:br/>
              <w:t>Total sugars &gt;20g/100g</w:t>
            </w:r>
            <w:r w:rsidRPr="00163505">
              <w:rPr>
                <w:sz w:val="20"/>
                <w:szCs w:val="20"/>
              </w:rPr>
              <w:br/>
            </w:r>
            <w:r w:rsidRPr="00163505">
              <w:rPr>
                <w:sz w:val="20"/>
                <w:szCs w:val="20"/>
              </w:rPr>
              <w:lastRenderedPageBreak/>
              <w:t>Fibre &lt;7.5g/100g</w:t>
            </w:r>
            <w:r w:rsidRPr="00163505">
              <w:rPr>
                <w:sz w:val="20"/>
                <w:szCs w:val="20"/>
              </w:rPr>
              <w:br/>
              <w:t>Protein &gt;7.5g/100g</w:t>
            </w:r>
            <w:r w:rsidRPr="00163505">
              <w:rPr>
                <w:sz w:val="20"/>
                <w:szCs w:val="20"/>
              </w:rPr>
              <w:br/>
              <w:t>FVNL &lt;20%</w:t>
            </w:r>
            <w:r w:rsidRPr="00163505">
              <w:rPr>
                <w:sz w:val="20"/>
                <w:szCs w:val="20"/>
              </w:rPr>
              <w:br/>
              <w:t xml:space="preserve">Wholegrain &gt;30%  </w:t>
            </w:r>
          </w:p>
        </w:tc>
        <w:tc>
          <w:tcPr>
            <w:tcW w:w="1222" w:type="dxa"/>
            <w:tcBorders>
              <w:top w:val="nil"/>
              <w:left w:val="nil"/>
              <w:bottom w:val="single" w:sz="4" w:space="0" w:color="auto"/>
              <w:right w:val="single" w:sz="4" w:space="0" w:color="auto"/>
            </w:tcBorders>
            <w:shd w:val="clear" w:color="auto" w:fill="auto"/>
          </w:tcPr>
          <w:p w14:paraId="4149B679" w14:textId="6EA79DBA" w:rsidR="008558A2" w:rsidRPr="00163505" w:rsidRDefault="001E55A8" w:rsidP="0024269C">
            <w:pPr>
              <w:rPr>
                <w:sz w:val="20"/>
                <w:szCs w:val="20"/>
              </w:rPr>
            </w:pPr>
            <w:r w:rsidRPr="00163505">
              <w:rPr>
                <w:rFonts w:ascii="Segoe UI Symbol" w:hAnsi="Segoe UI Symbol" w:cs="Segoe UI Symbol"/>
                <w:sz w:val="20"/>
                <w:szCs w:val="20"/>
                <w:shd w:val="clear" w:color="auto" w:fill="FFFFFF"/>
              </w:rPr>
              <w:lastRenderedPageBreak/>
              <w:t>★★★★</w:t>
            </w:r>
          </w:p>
        </w:tc>
        <w:tc>
          <w:tcPr>
            <w:tcW w:w="1843" w:type="dxa"/>
            <w:tcBorders>
              <w:top w:val="nil"/>
              <w:left w:val="nil"/>
              <w:bottom w:val="single" w:sz="4" w:space="0" w:color="auto"/>
              <w:right w:val="single" w:sz="4" w:space="0" w:color="auto"/>
            </w:tcBorders>
            <w:shd w:val="clear" w:color="auto" w:fill="auto"/>
          </w:tcPr>
          <w:p w14:paraId="43EA1620" w14:textId="09E1E65A"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65F9F1F" w14:textId="47A24DC2"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lastRenderedPageBreak/>
              <w:t>based on sugars)</w:t>
            </w:r>
          </w:p>
        </w:tc>
      </w:tr>
      <w:tr w:rsidR="008558A2" w:rsidRPr="00163505" w14:paraId="12707A3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F6FC2A6" w14:textId="77777777" w:rsidR="008558A2" w:rsidRPr="00163505" w:rsidRDefault="008558A2" w:rsidP="0024269C">
            <w:pPr>
              <w:rPr>
                <w:sz w:val="20"/>
                <w:szCs w:val="20"/>
              </w:rPr>
            </w:pPr>
            <w:r w:rsidRPr="00163505">
              <w:rPr>
                <w:sz w:val="20"/>
                <w:szCs w:val="20"/>
              </w:rPr>
              <w:lastRenderedPageBreak/>
              <w:t>Non-core foods - snacks</w:t>
            </w:r>
          </w:p>
        </w:tc>
        <w:tc>
          <w:tcPr>
            <w:tcW w:w="3371" w:type="dxa"/>
            <w:tcBorders>
              <w:top w:val="nil"/>
              <w:left w:val="nil"/>
              <w:bottom w:val="single" w:sz="4" w:space="0" w:color="auto"/>
              <w:right w:val="single" w:sz="4" w:space="0" w:color="auto"/>
            </w:tcBorders>
            <w:shd w:val="clear" w:color="auto" w:fill="auto"/>
            <w:hideMark/>
          </w:tcPr>
          <w:p w14:paraId="3D8B392A" w14:textId="77777777" w:rsidR="008558A2" w:rsidRPr="00163505" w:rsidRDefault="008558A2" w:rsidP="0024269C">
            <w:pPr>
              <w:rPr>
                <w:sz w:val="20"/>
                <w:szCs w:val="20"/>
              </w:rPr>
            </w:pPr>
            <w:r w:rsidRPr="00163505">
              <w:rPr>
                <w:sz w:val="20"/>
                <w:szCs w:val="20"/>
              </w:rPr>
              <w:t xml:space="preserve">Potato crisps </w:t>
            </w:r>
          </w:p>
        </w:tc>
        <w:tc>
          <w:tcPr>
            <w:tcW w:w="1557" w:type="dxa"/>
            <w:tcBorders>
              <w:top w:val="nil"/>
              <w:left w:val="nil"/>
              <w:bottom w:val="single" w:sz="4" w:space="0" w:color="auto"/>
              <w:right w:val="single" w:sz="4" w:space="0" w:color="auto"/>
            </w:tcBorders>
            <w:shd w:val="clear" w:color="auto" w:fill="auto"/>
            <w:hideMark/>
          </w:tcPr>
          <w:p w14:paraId="211CD873" w14:textId="77777777" w:rsidR="008558A2" w:rsidRPr="00163505" w:rsidRDefault="008558A2" w:rsidP="0024269C">
            <w:pPr>
              <w:rPr>
                <w:sz w:val="20"/>
                <w:szCs w:val="20"/>
              </w:rPr>
            </w:pPr>
            <w:r w:rsidRPr="00163505">
              <w:rPr>
                <w:sz w:val="20"/>
                <w:szCs w:val="20"/>
              </w:rPr>
              <w:t>Potato crisps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AA88599" w14:textId="77777777" w:rsidR="008558A2" w:rsidRPr="00163505" w:rsidRDefault="008558A2" w:rsidP="0024269C">
            <w:pPr>
              <w:rPr>
                <w:sz w:val="20"/>
                <w:szCs w:val="20"/>
              </w:rPr>
            </w:pPr>
            <w:r w:rsidRPr="00163505">
              <w:rPr>
                <w:sz w:val="20"/>
                <w:szCs w:val="20"/>
              </w:rPr>
              <w:t>Saturated fat &gt;2.5g/100g</w:t>
            </w:r>
            <w:r w:rsidRPr="00163505">
              <w:rPr>
                <w:sz w:val="20"/>
                <w:szCs w:val="20"/>
              </w:rPr>
              <w:br/>
              <w:t>Total sugars &gt;2.5g/100g</w:t>
            </w:r>
            <w:r w:rsidRPr="00163505">
              <w:rPr>
                <w:sz w:val="20"/>
                <w:szCs w:val="20"/>
              </w:rPr>
              <w:br/>
              <w:t>Sodium &gt;400mg/100g</w:t>
            </w:r>
            <w:r w:rsidRPr="00163505">
              <w:rPr>
                <w:sz w:val="20"/>
                <w:szCs w:val="20"/>
              </w:rPr>
              <w:br/>
              <w:t>FVNL &gt;60%</w:t>
            </w:r>
          </w:p>
        </w:tc>
        <w:tc>
          <w:tcPr>
            <w:tcW w:w="1222" w:type="dxa"/>
            <w:tcBorders>
              <w:top w:val="nil"/>
              <w:left w:val="nil"/>
              <w:bottom w:val="single" w:sz="4" w:space="0" w:color="auto"/>
              <w:right w:val="single" w:sz="4" w:space="0" w:color="auto"/>
            </w:tcBorders>
            <w:shd w:val="clear" w:color="auto" w:fill="auto"/>
          </w:tcPr>
          <w:p w14:paraId="5E1A25E8" w14:textId="49583FC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C2D21A1" w14:textId="3BE6FADF"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A6FE9FD" w14:textId="388DE2C5"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 sugars, sodium)</w:t>
            </w:r>
          </w:p>
        </w:tc>
      </w:tr>
      <w:tr w:rsidR="008558A2" w:rsidRPr="00163505" w14:paraId="0D9A0B0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00D214B"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12C2EC27" w14:textId="77777777" w:rsidR="008558A2" w:rsidRPr="00163505" w:rsidRDefault="008558A2" w:rsidP="0024269C">
            <w:pPr>
              <w:rPr>
                <w:sz w:val="20"/>
                <w:szCs w:val="20"/>
              </w:rPr>
            </w:pPr>
            <w:r w:rsidRPr="00163505">
              <w:rPr>
                <w:sz w:val="20"/>
                <w:szCs w:val="20"/>
              </w:rPr>
              <w:t xml:space="preserve">Extruded snacks </w:t>
            </w:r>
          </w:p>
        </w:tc>
        <w:tc>
          <w:tcPr>
            <w:tcW w:w="1557" w:type="dxa"/>
            <w:tcBorders>
              <w:top w:val="nil"/>
              <w:left w:val="nil"/>
              <w:bottom w:val="single" w:sz="4" w:space="0" w:color="auto"/>
              <w:right w:val="single" w:sz="4" w:space="0" w:color="auto"/>
            </w:tcBorders>
            <w:shd w:val="clear" w:color="auto" w:fill="auto"/>
            <w:hideMark/>
          </w:tcPr>
          <w:p w14:paraId="5AEA4698" w14:textId="77777777" w:rsidR="008558A2" w:rsidRPr="00163505" w:rsidRDefault="008558A2" w:rsidP="0024269C">
            <w:pPr>
              <w:rPr>
                <w:sz w:val="20"/>
                <w:szCs w:val="20"/>
              </w:rPr>
            </w:pPr>
            <w:r w:rsidRPr="00163505">
              <w:rPr>
                <w:sz w:val="20"/>
                <w:szCs w:val="20"/>
              </w:rPr>
              <w:t>Extruded snack, grain based</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8A32614" w14:textId="77777777" w:rsidR="008558A2" w:rsidRPr="00163505" w:rsidRDefault="008558A2" w:rsidP="0024269C">
            <w:pPr>
              <w:rPr>
                <w:sz w:val="20"/>
                <w:szCs w:val="20"/>
              </w:rPr>
            </w:pPr>
            <w:r w:rsidRPr="00163505">
              <w:rPr>
                <w:sz w:val="20"/>
                <w:szCs w:val="20"/>
              </w:rPr>
              <w:t>Saturated fat &lt;2.5g/100g</w:t>
            </w:r>
            <w:r w:rsidRPr="00163505">
              <w:rPr>
                <w:sz w:val="20"/>
                <w:szCs w:val="20"/>
              </w:rPr>
              <w:br/>
              <w:t>Total sugars &lt;5g/100g</w:t>
            </w:r>
            <w:r w:rsidRPr="00163505">
              <w:rPr>
                <w:sz w:val="20"/>
                <w:szCs w:val="20"/>
              </w:rPr>
              <w:br/>
              <w:t>Sodium &gt;400mg/100g</w:t>
            </w:r>
            <w:r w:rsidRPr="00163505">
              <w:rPr>
                <w:sz w:val="20"/>
                <w:szCs w:val="20"/>
              </w:rPr>
              <w:br/>
              <w:t>Fibre &gt;7.5g/100g</w:t>
            </w:r>
            <w:r w:rsidRPr="00163505">
              <w:rPr>
                <w:sz w:val="20"/>
                <w:szCs w:val="20"/>
              </w:rPr>
              <w:br/>
              <w:t>Protein &gt;5g/100g</w:t>
            </w:r>
            <w:r w:rsidRPr="00163505">
              <w:rPr>
                <w:sz w:val="20"/>
                <w:szCs w:val="20"/>
              </w:rPr>
              <w:br/>
              <w:t>Wholegrain &gt;60%</w:t>
            </w:r>
          </w:p>
        </w:tc>
        <w:tc>
          <w:tcPr>
            <w:tcW w:w="1222" w:type="dxa"/>
            <w:tcBorders>
              <w:top w:val="nil"/>
              <w:left w:val="nil"/>
              <w:bottom w:val="single" w:sz="4" w:space="0" w:color="auto"/>
              <w:right w:val="single" w:sz="4" w:space="0" w:color="auto"/>
            </w:tcBorders>
            <w:shd w:val="clear" w:color="auto" w:fill="auto"/>
          </w:tcPr>
          <w:p w14:paraId="55F8B45E" w14:textId="27331EF2"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12C5197" w14:textId="076A1E55"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C42E6B8" w14:textId="77777777" w:rsidR="008558A2" w:rsidRPr="00163505" w:rsidRDefault="008558A2" w:rsidP="0024269C">
            <w:pPr>
              <w:rPr>
                <w:sz w:val="20"/>
                <w:szCs w:val="20"/>
              </w:rPr>
            </w:pPr>
            <w:r w:rsidRPr="00163505">
              <w:rPr>
                <w:sz w:val="20"/>
                <w:szCs w:val="20"/>
              </w:rPr>
              <w:t>Increase due to wholegrain</w:t>
            </w:r>
          </w:p>
        </w:tc>
      </w:tr>
      <w:tr w:rsidR="008558A2" w:rsidRPr="00163505" w14:paraId="7E57DB69"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9A5810D" w14:textId="77777777" w:rsidR="008558A2" w:rsidRPr="00163505" w:rsidRDefault="008558A2" w:rsidP="0024269C">
            <w:pPr>
              <w:rPr>
                <w:sz w:val="20"/>
                <w:szCs w:val="20"/>
              </w:rPr>
            </w:pPr>
            <w:r w:rsidRPr="00163505">
              <w:rPr>
                <w:sz w:val="20"/>
                <w:szCs w:val="20"/>
              </w:rPr>
              <w:t>Protein - meats/fish</w:t>
            </w:r>
          </w:p>
        </w:tc>
        <w:tc>
          <w:tcPr>
            <w:tcW w:w="3371" w:type="dxa"/>
            <w:tcBorders>
              <w:top w:val="nil"/>
              <w:left w:val="nil"/>
              <w:bottom w:val="single" w:sz="4" w:space="0" w:color="auto"/>
              <w:right w:val="single" w:sz="4" w:space="0" w:color="auto"/>
            </w:tcBorders>
            <w:shd w:val="clear" w:color="auto" w:fill="auto"/>
            <w:hideMark/>
          </w:tcPr>
          <w:p w14:paraId="0D54BF72" w14:textId="77777777" w:rsidR="008558A2" w:rsidRPr="00163505" w:rsidRDefault="008558A2" w:rsidP="0024269C">
            <w:pPr>
              <w:rPr>
                <w:sz w:val="20"/>
                <w:szCs w:val="20"/>
              </w:rPr>
            </w:pPr>
            <w:r w:rsidRPr="00163505">
              <w:rPr>
                <w:sz w:val="20"/>
                <w:szCs w:val="20"/>
              </w:rPr>
              <w:t xml:space="preserve">Processed delicatessen meat, mammalian </w:t>
            </w:r>
          </w:p>
        </w:tc>
        <w:tc>
          <w:tcPr>
            <w:tcW w:w="1557" w:type="dxa"/>
            <w:tcBorders>
              <w:top w:val="nil"/>
              <w:left w:val="nil"/>
              <w:bottom w:val="single" w:sz="4" w:space="0" w:color="auto"/>
              <w:right w:val="single" w:sz="4" w:space="0" w:color="auto"/>
            </w:tcBorders>
            <w:shd w:val="clear" w:color="auto" w:fill="auto"/>
            <w:hideMark/>
          </w:tcPr>
          <w:p w14:paraId="0741253A" w14:textId="77777777" w:rsidR="008558A2" w:rsidRPr="00163505" w:rsidRDefault="008558A2" w:rsidP="0024269C">
            <w:pPr>
              <w:rPr>
                <w:sz w:val="20"/>
                <w:szCs w:val="20"/>
              </w:rPr>
            </w:pPr>
            <w:r w:rsidRPr="00163505">
              <w:rPr>
                <w:sz w:val="20"/>
                <w:szCs w:val="20"/>
              </w:rPr>
              <w:t xml:space="preserve">Processed meat </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93DC702" w14:textId="77777777" w:rsidR="008558A2" w:rsidRPr="00163505" w:rsidRDefault="008558A2" w:rsidP="0024269C">
            <w:pPr>
              <w:rPr>
                <w:sz w:val="20"/>
                <w:szCs w:val="20"/>
              </w:rPr>
            </w:pPr>
            <w:r w:rsidRPr="00163505">
              <w:rPr>
                <w:sz w:val="20"/>
                <w:szCs w:val="20"/>
              </w:rPr>
              <w:t>Saturated fat &lt;5g/100g</w:t>
            </w:r>
            <w:r w:rsidRPr="00163505">
              <w:rPr>
                <w:sz w:val="20"/>
                <w:szCs w:val="20"/>
              </w:rPr>
              <w:br/>
              <w:t>Sodium &gt;1000mg/100g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020886A0" w14:textId="1DE9371B"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C215502" w14:textId="21A85863"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5C70000" w14:textId="36416A7F"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sodium)</w:t>
            </w:r>
          </w:p>
        </w:tc>
      </w:tr>
      <w:tr w:rsidR="008558A2" w:rsidRPr="00163505" w14:paraId="428DA66B" w14:textId="77777777" w:rsidTr="007303C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B893C11" w14:textId="77777777" w:rsidR="008558A2" w:rsidRPr="00163505" w:rsidRDefault="008558A2" w:rsidP="0024269C">
            <w:pPr>
              <w:rPr>
                <w:sz w:val="20"/>
                <w:szCs w:val="20"/>
              </w:rPr>
            </w:pPr>
            <w:r w:rsidRPr="00163505">
              <w:rPr>
                <w:sz w:val="20"/>
                <w:szCs w:val="20"/>
              </w:rPr>
              <w:t>Protein - meats/fish</w:t>
            </w:r>
          </w:p>
        </w:tc>
        <w:tc>
          <w:tcPr>
            <w:tcW w:w="3371" w:type="dxa"/>
            <w:tcBorders>
              <w:top w:val="nil"/>
              <w:left w:val="nil"/>
              <w:bottom w:val="single" w:sz="4" w:space="0" w:color="auto"/>
              <w:right w:val="single" w:sz="4" w:space="0" w:color="auto"/>
            </w:tcBorders>
            <w:shd w:val="clear" w:color="auto" w:fill="auto"/>
            <w:hideMark/>
          </w:tcPr>
          <w:p w14:paraId="2AD20177" w14:textId="77777777" w:rsidR="008558A2" w:rsidRPr="00163505" w:rsidRDefault="008558A2" w:rsidP="0024269C">
            <w:pPr>
              <w:rPr>
                <w:sz w:val="20"/>
                <w:szCs w:val="20"/>
              </w:rPr>
            </w:pPr>
            <w:r w:rsidRPr="00163505">
              <w:rPr>
                <w:sz w:val="20"/>
                <w:szCs w:val="20"/>
              </w:rPr>
              <w:t xml:space="preserve">Ham </w:t>
            </w:r>
          </w:p>
        </w:tc>
        <w:tc>
          <w:tcPr>
            <w:tcW w:w="1557" w:type="dxa"/>
            <w:tcBorders>
              <w:top w:val="nil"/>
              <w:left w:val="nil"/>
              <w:bottom w:val="single" w:sz="4" w:space="0" w:color="auto"/>
              <w:right w:val="single" w:sz="4" w:space="0" w:color="auto"/>
            </w:tcBorders>
            <w:shd w:val="clear" w:color="auto" w:fill="auto"/>
            <w:hideMark/>
          </w:tcPr>
          <w:p w14:paraId="558EE8ED" w14:textId="77777777" w:rsidR="008558A2" w:rsidRPr="00163505" w:rsidRDefault="008558A2" w:rsidP="0024269C">
            <w:pPr>
              <w:rPr>
                <w:sz w:val="20"/>
                <w:szCs w:val="20"/>
              </w:rPr>
            </w:pPr>
            <w:r w:rsidRPr="00163505">
              <w:rPr>
                <w:sz w:val="20"/>
                <w:szCs w:val="20"/>
              </w:rPr>
              <w:t xml:space="preserve">Processed meat </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68ABCDD" w14:textId="77777777" w:rsidR="008558A2" w:rsidRPr="00163505" w:rsidRDefault="008558A2" w:rsidP="0024269C">
            <w:pPr>
              <w:rPr>
                <w:sz w:val="20"/>
                <w:szCs w:val="20"/>
              </w:rPr>
            </w:pPr>
            <w:r w:rsidRPr="00163505">
              <w:rPr>
                <w:sz w:val="20"/>
                <w:szCs w:val="20"/>
              </w:rPr>
              <w:t>Saturated fat &lt;1g/100g</w:t>
            </w:r>
            <w:r w:rsidRPr="00163505">
              <w:rPr>
                <w:sz w:val="20"/>
                <w:szCs w:val="20"/>
              </w:rPr>
              <w:br/>
              <w:t xml:space="preserve">Sodium &gt;1100mg/100g </w:t>
            </w:r>
            <w:r w:rsidRPr="00163505">
              <w:rPr>
                <w:sz w:val="20"/>
                <w:szCs w:val="20"/>
              </w:rPr>
              <w:br/>
              <w:t>Protein &gt;15g/100g</w:t>
            </w:r>
          </w:p>
        </w:tc>
        <w:tc>
          <w:tcPr>
            <w:tcW w:w="1222" w:type="dxa"/>
            <w:tcBorders>
              <w:top w:val="nil"/>
              <w:left w:val="nil"/>
              <w:bottom w:val="single" w:sz="4" w:space="0" w:color="auto"/>
              <w:right w:val="single" w:sz="4" w:space="0" w:color="auto"/>
            </w:tcBorders>
            <w:shd w:val="clear" w:color="auto" w:fill="auto"/>
          </w:tcPr>
          <w:p w14:paraId="737C5248" w14:textId="43F7A3A1"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36D98DC" w14:textId="435BAA53"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E8DD769" w14:textId="77777777" w:rsidR="008558A2" w:rsidRPr="00163505" w:rsidRDefault="008558A2" w:rsidP="0024269C">
            <w:pPr>
              <w:rPr>
                <w:sz w:val="20"/>
                <w:szCs w:val="20"/>
              </w:rPr>
            </w:pPr>
            <w:r w:rsidRPr="00163505">
              <w:rPr>
                <w:sz w:val="20"/>
                <w:szCs w:val="20"/>
              </w:rPr>
              <w:t>Decrease due to change to sodium</w:t>
            </w:r>
          </w:p>
        </w:tc>
      </w:tr>
      <w:tr w:rsidR="008558A2" w:rsidRPr="00163505" w14:paraId="7D90D8A7" w14:textId="77777777" w:rsidTr="007303C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4F363774" w14:textId="77777777" w:rsidR="008558A2" w:rsidRPr="00163505" w:rsidRDefault="008558A2" w:rsidP="0024269C">
            <w:pPr>
              <w:rPr>
                <w:sz w:val="20"/>
                <w:szCs w:val="20"/>
              </w:rPr>
            </w:pPr>
            <w:r w:rsidRPr="00163505">
              <w:rPr>
                <w:sz w:val="20"/>
                <w:szCs w:val="20"/>
              </w:rPr>
              <w:t>Vegetables - processed</w:t>
            </w:r>
          </w:p>
        </w:tc>
        <w:tc>
          <w:tcPr>
            <w:tcW w:w="3371" w:type="dxa"/>
            <w:tcBorders>
              <w:top w:val="single" w:sz="4" w:space="0" w:color="auto"/>
              <w:left w:val="single" w:sz="4" w:space="0" w:color="auto"/>
              <w:bottom w:val="single" w:sz="4" w:space="0" w:color="auto"/>
              <w:right w:val="single" w:sz="4" w:space="0" w:color="auto"/>
            </w:tcBorders>
            <w:shd w:val="clear" w:color="auto" w:fill="auto"/>
            <w:hideMark/>
          </w:tcPr>
          <w:p w14:paraId="6DFA3C26" w14:textId="77777777" w:rsidR="008558A2" w:rsidRPr="00163505" w:rsidRDefault="008558A2" w:rsidP="0024269C">
            <w:pPr>
              <w:rPr>
                <w:sz w:val="20"/>
                <w:szCs w:val="20"/>
              </w:rPr>
            </w:pPr>
            <w:r w:rsidRPr="00163505">
              <w:rPr>
                <w:sz w:val="20"/>
                <w:szCs w:val="20"/>
              </w:rPr>
              <w:t xml:space="preserve">Vegetable-based pickles, chutneys and relishes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3E263EF" w14:textId="77777777" w:rsidR="008558A2" w:rsidRPr="00163505" w:rsidRDefault="008558A2" w:rsidP="0024269C">
            <w:pPr>
              <w:rPr>
                <w:sz w:val="20"/>
                <w:szCs w:val="20"/>
              </w:rPr>
            </w:pPr>
            <w:r w:rsidRPr="00163505">
              <w:rPr>
                <w:sz w:val="20"/>
                <w:szCs w:val="20"/>
              </w:rPr>
              <w:t>Pickles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F20917B" w14:textId="77777777" w:rsidR="008558A2" w:rsidRPr="00163505" w:rsidRDefault="008558A2" w:rsidP="0024269C">
            <w:pPr>
              <w:rPr>
                <w:sz w:val="20"/>
                <w:szCs w:val="20"/>
              </w:rPr>
            </w:pPr>
            <w:r w:rsidRPr="00163505">
              <w:rPr>
                <w:sz w:val="20"/>
                <w:szCs w:val="20"/>
              </w:rPr>
              <w:t>Sodium &gt;2000mg/100g</w:t>
            </w:r>
            <w:r w:rsidRPr="00163505">
              <w:rPr>
                <w:sz w:val="20"/>
                <w:szCs w:val="20"/>
              </w:rPr>
              <w:br/>
              <w:t>FVNL &gt;50%</w:t>
            </w:r>
          </w:p>
        </w:tc>
        <w:tc>
          <w:tcPr>
            <w:tcW w:w="1222" w:type="dxa"/>
            <w:tcBorders>
              <w:top w:val="single" w:sz="4" w:space="0" w:color="auto"/>
              <w:left w:val="nil"/>
              <w:bottom w:val="single" w:sz="4" w:space="0" w:color="auto"/>
              <w:right w:val="single" w:sz="4" w:space="0" w:color="auto"/>
            </w:tcBorders>
            <w:shd w:val="clear" w:color="auto" w:fill="auto"/>
          </w:tcPr>
          <w:p w14:paraId="6F79E45D" w14:textId="6F36ECE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323AA4F8" w14:textId="197F2347"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0ED78833" w14:textId="77777777" w:rsidR="008558A2" w:rsidRPr="00163505" w:rsidRDefault="008558A2" w:rsidP="0024269C">
            <w:pPr>
              <w:rPr>
                <w:sz w:val="20"/>
                <w:szCs w:val="20"/>
              </w:rPr>
            </w:pPr>
            <w:r w:rsidRPr="00163505">
              <w:rPr>
                <w:sz w:val="20"/>
                <w:szCs w:val="20"/>
              </w:rPr>
              <w:t>Decrease due to change to sodium</w:t>
            </w:r>
          </w:p>
        </w:tc>
      </w:tr>
    </w:tbl>
    <w:p w14:paraId="3850238F" w14:textId="53EB328E" w:rsidR="008558A2" w:rsidRDefault="008558A2" w:rsidP="00266A17">
      <w:pPr>
        <w:pStyle w:val="mpcbullets1"/>
        <w:keepNext/>
        <w:numPr>
          <w:ilvl w:val="0"/>
          <w:numId w:val="0"/>
        </w:numPr>
        <w:rPr>
          <w:rFonts w:cstheme="minorHAnsi"/>
        </w:rPr>
        <w:sectPr w:rsidR="008558A2" w:rsidSect="00266A17">
          <w:footerReference w:type="default" r:id="rId45"/>
          <w:pgSz w:w="16840" w:h="11900" w:orient="landscape"/>
          <w:pgMar w:top="1077" w:right="1304" w:bottom="1077" w:left="1304" w:header="709" w:footer="709" w:gutter="0"/>
          <w:cols w:space="708"/>
          <w:docGrid w:linePitch="360"/>
        </w:sectPr>
      </w:pPr>
    </w:p>
    <w:p w14:paraId="442A7508" w14:textId="756B8166" w:rsidR="00620F95" w:rsidRPr="00AB3873" w:rsidRDefault="00620F95" w:rsidP="00266A17">
      <w:pPr>
        <w:pStyle w:val="mpcheading1"/>
        <w:spacing w:after="0"/>
        <w:rPr>
          <w:rFonts w:cstheme="minorHAnsi"/>
        </w:rPr>
      </w:pPr>
      <w:bookmarkStart w:id="200" w:name="Bibliography"/>
      <w:bookmarkStart w:id="201" w:name="_Toc527112924"/>
      <w:bookmarkEnd w:id="200"/>
      <w:r>
        <w:rPr>
          <w:rFonts w:cstheme="minorHAnsi"/>
        </w:rPr>
        <w:lastRenderedPageBreak/>
        <w:t>B</w:t>
      </w:r>
      <w:r w:rsidRPr="00AB3873">
        <w:rPr>
          <w:rFonts w:cstheme="minorHAnsi"/>
        </w:rPr>
        <w:t>ibliography</w:t>
      </w:r>
      <w:bookmarkEnd w:id="193"/>
      <w:bookmarkEnd w:id="201"/>
    </w:p>
    <w:p w14:paraId="2BD89743" w14:textId="77777777" w:rsidR="00620F95" w:rsidRPr="00AB3873" w:rsidRDefault="00620F95" w:rsidP="0024269C"/>
    <w:p w14:paraId="2F2FB9A3" w14:textId="77777777" w:rsidR="00620F95" w:rsidRPr="00163505" w:rsidRDefault="00620F95" w:rsidP="0024269C">
      <w:pPr>
        <w:pStyle w:val="mpcNormal"/>
        <w:rPr>
          <w:b/>
          <w:sz w:val="20"/>
          <w:szCs w:val="20"/>
        </w:rPr>
      </w:pPr>
      <w:r w:rsidRPr="00163505">
        <w:rPr>
          <w:b/>
          <w:sz w:val="20"/>
          <w:szCs w:val="20"/>
        </w:rPr>
        <w:t>Technical Advisory Group technical papers, October 2018</w:t>
      </w:r>
    </w:p>
    <w:p w14:paraId="54F162F4" w14:textId="77777777" w:rsidR="00620F95" w:rsidRPr="00163505" w:rsidRDefault="00620F95" w:rsidP="0024269C">
      <w:pPr>
        <w:pStyle w:val="mpcNormal"/>
        <w:rPr>
          <w:sz w:val="20"/>
          <w:szCs w:val="20"/>
        </w:rPr>
      </w:pPr>
    </w:p>
    <w:p w14:paraId="4B6E0215"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Alignment of the HSR system with the Australian and New Zealand Dietary Guidelines: Analysis of alignment and identification of outliers</w:t>
      </w:r>
    </w:p>
    <w:p w14:paraId="5652B87E"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Calcium</w:t>
      </w:r>
    </w:p>
    <w:p w14:paraId="3E7CA3F2"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Confectionery</w:t>
      </w:r>
    </w:p>
    <w:p w14:paraId="4EAA6383"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Fats, oils and oil-based spreads</w:t>
      </w:r>
    </w:p>
    <w:p w14:paraId="79B8884E"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Fibre</w:t>
      </w:r>
    </w:p>
    <w:p w14:paraId="375211DF"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Fruit, vegetable, nut and legume content</w:t>
      </w:r>
    </w:p>
    <w:p w14:paraId="7BD97E22" w14:textId="740E96C2" w:rsidR="004D1855" w:rsidRDefault="004D1855" w:rsidP="00B91EBF">
      <w:pPr>
        <w:pStyle w:val="mpcNormal"/>
        <w:numPr>
          <w:ilvl w:val="0"/>
          <w:numId w:val="25"/>
        </w:numPr>
        <w:rPr>
          <w:sz w:val="20"/>
          <w:szCs w:val="20"/>
          <w:lang w:val="en-GB"/>
        </w:rPr>
      </w:pPr>
      <w:r>
        <w:rPr>
          <w:sz w:val="20"/>
          <w:szCs w:val="20"/>
          <w:lang w:val="en-GB"/>
        </w:rPr>
        <w:t>Glossary</w:t>
      </w:r>
    </w:p>
    <w:p w14:paraId="62846376" w14:textId="040CD87A" w:rsidR="00620F95" w:rsidRPr="00163505" w:rsidRDefault="00620F95" w:rsidP="00B91EBF">
      <w:pPr>
        <w:pStyle w:val="mpcNormal"/>
        <w:numPr>
          <w:ilvl w:val="0"/>
          <w:numId w:val="25"/>
        </w:numPr>
        <w:rPr>
          <w:sz w:val="20"/>
          <w:szCs w:val="20"/>
          <w:lang w:val="en-GB"/>
        </w:rPr>
      </w:pPr>
      <w:r w:rsidRPr="00163505">
        <w:rPr>
          <w:sz w:val="20"/>
          <w:szCs w:val="20"/>
          <w:lang w:val="en-GB"/>
        </w:rPr>
        <w:t>History and development of the HSR algorithm</w:t>
      </w:r>
    </w:p>
    <w:p w14:paraId="0BE8A2B4"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Ice confection, jelly and frozen milk products</w:t>
      </w:r>
    </w:p>
    <w:p w14:paraId="76B6780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Non-dairy beverages</w:t>
      </w:r>
    </w:p>
    <w:p w14:paraId="51279DED"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Protein</w:t>
      </w:r>
    </w:p>
    <w:p w14:paraId="77E270D3"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Salty snacks and hot potato products</w:t>
      </w:r>
    </w:p>
    <w:p w14:paraId="450F45CA"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Saturated fat</w:t>
      </w:r>
    </w:p>
    <w:p w14:paraId="75F5290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Snack bars</w:t>
      </w:r>
    </w:p>
    <w:p w14:paraId="5933D8CB"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Sodium</w:t>
      </w:r>
    </w:p>
    <w:p w14:paraId="3510C946"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Sugars (added and total)</w:t>
      </w:r>
    </w:p>
    <w:p w14:paraId="600660FD"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Unprocessed fruits and vegetables</w:t>
      </w:r>
    </w:p>
    <w:p w14:paraId="6FC3AC9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Wholegrain</w:t>
      </w:r>
    </w:p>
    <w:p w14:paraId="40C0FF29" w14:textId="77777777" w:rsidR="00620F95" w:rsidRPr="00163505" w:rsidRDefault="00620F95" w:rsidP="0024269C">
      <w:pPr>
        <w:pStyle w:val="mpcNormal"/>
        <w:rPr>
          <w:sz w:val="20"/>
          <w:szCs w:val="20"/>
          <w:lang w:val="en-GB"/>
        </w:rPr>
      </w:pPr>
    </w:p>
    <w:p w14:paraId="4709ADB9" w14:textId="77777777" w:rsidR="00620F95" w:rsidRPr="00163505" w:rsidRDefault="00620F95" w:rsidP="0024269C">
      <w:pPr>
        <w:pStyle w:val="mpcNormal"/>
        <w:rPr>
          <w:sz w:val="20"/>
          <w:szCs w:val="20"/>
          <w:lang w:val="en-GB"/>
        </w:rPr>
      </w:pPr>
      <w:r w:rsidRPr="00163505">
        <w:rPr>
          <w:sz w:val="20"/>
          <w:szCs w:val="20"/>
          <w:lang w:val="en-GB"/>
        </w:rPr>
        <w:t>Additional modelling and data provided by the TAG as requested.</w:t>
      </w:r>
    </w:p>
    <w:p w14:paraId="595A6646" w14:textId="77777777" w:rsidR="00620F95" w:rsidRPr="00163505" w:rsidRDefault="00620F95" w:rsidP="0024269C">
      <w:pPr>
        <w:pStyle w:val="mpcNormal"/>
        <w:rPr>
          <w:sz w:val="20"/>
          <w:szCs w:val="20"/>
        </w:rPr>
      </w:pPr>
    </w:p>
    <w:p w14:paraId="7C1283FC" w14:textId="77777777" w:rsidR="00620F95" w:rsidRPr="00163505" w:rsidRDefault="00620F95" w:rsidP="0024269C">
      <w:pPr>
        <w:pStyle w:val="mpcNormal"/>
        <w:rPr>
          <w:b/>
          <w:sz w:val="20"/>
          <w:szCs w:val="20"/>
        </w:rPr>
      </w:pPr>
      <w:r w:rsidRPr="00163505">
        <w:rPr>
          <w:b/>
          <w:sz w:val="20"/>
          <w:szCs w:val="20"/>
        </w:rPr>
        <w:t>National data and statistics</w:t>
      </w:r>
    </w:p>
    <w:p w14:paraId="6D5E64B6" w14:textId="77777777" w:rsidR="00620F95" w:rsidRPr="00163505" w:rsidRDefault="00620F95" w:rsidP="0024269C">
      <w:pPr>
        <w:pStyle w:val="mpcNormal"/>
        <w:rPr>
          <w:sz w:val="20"/>
          <w:szCs w:val="20"/>
        </w:rPr>
      </w:pPr>
    </w:p>
    <w:p w14:paraId="594A9838" w14:textId="77777777" w:rsidR="00620F95" w:rsidRPr="00163505" w:rsidRDefault="00620F95" w:rsidP="0024269C">
      <w:pPr>
        <w:pStyle w:val="FootnoteText"/>
        <w:rPr>
          <w:sz w:val="20"/>
        </w:rPr>
      </w:pPr>
      <w:r w:rsidRPr="00163505">
        <w:rPr>
          <w:sz w:val="20"/>
        </w:rPr>
        <w:t xml:space="preserve">Australian Bureau of Statistics, </w:t>
      </w:r>
      <w:r w:rsidRPr="009172FE">
        <w:rPr>
          <w:i/>
          <w:sz w:val="20"/>
        </w:rPr>
        <w:t>Australian Health Survey 2011-12</w:t>
      </w:r>
    </w:p>
    <w:p w14:paraId="1DBE9129" w14:textId="77777777" w:rsidR="00620F95" w:rsidRPr="00163505" w:rsidRDefault="00620F95" w:rsidP="00620F95">
      <w:pPr>
        <w:pStyle w:val="NoSpacing"/>
        <w:rPr>
          <w:rFonts w:cstheme="minorHAnsi"/>
          <w:sz w:val="20"/>
          <w:szCs w:val="20"/>
          <w:lang w:val="en-GB"/>
        </w:rPr>
      </w:pPr>
    </w:p>
    <w:p w14:paraId="32D38C31"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Consumption of Added Sugars</w:t>
      </w:r>
      <w:r w:rsidRPr="00163505">
        <w:rPr>
          <w:rFonts w:cstheme="minorHAnsi"/>
          <w:sz w:val="20"/>
          <w:szCs w:val="20"/>
          <w:lang w:val="en-GB"/>
        </w:rPr>
        <w:t>, 2011-12</w:t>
      </w:r>
    </w:p>
    <w:p w14:paraId="78B5F369" w14:textId="77777777" w:rsidR="00620F95" w:rsidRPr="00163505" w:rsidRDefault="00620F95" w:rsidP="0024269C">
      <w:pPr>
        <w:pStyle w:val="FootnoteText"/>
        <w:rPr>
          <w:sz w:val="20"/>
        </w:rPr>
      </w:pPr>
    </w:p>
    <w:p w14:paraId="77480B83"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Consumption of food groups from the Australian Dietary Guidelines Australia 2011-12</w:t>
      </w:r>
    </w:p>
    <w:p w14:paraId="21EE90E9" w14:textId="77777777" w:rsidR="00620F95" w:rsidRPr="00163505" w:rsidRDefault="00620F95" w:rsidP="00620F95">
      <w:pPr>
        <w:pStyle w:val="NoSpacing"/>
        <w:rPr>
          <w:rFonts w:cstheme="minorHAnsi"/>
          <w:sz w:val="20"/>
          <w:szCs w:val="20"/>
          <w:lang w:val="en-GB"/>
        </w:rPr>
      </w:pPr>
    </w:p>
    <w:p w14:paraId="5839F8E9"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sz w:val="20"/>
          <w:szCs w:val="20"/>
          <w:lang w:val="en-GB"/>
        </w:rPr>
        <w:t>National Health Survey: First Results, 2014-15</w:t>
      </w:r>
    </w:p>
    <w:p w14:paraId="430EDA50" w14:textId="77777777" w:rsidR="00620F95" w:rsidRPr="00163505" w:rsidRDefault="00620F95" w:rsidP="00620F95">
      <w:pPr>
        <w:pStyle w:val="NoSpacing"/>
        <w:rPr>
          <w:rFonts w:cstheme="minorHAnsi"/>
          <w:sz w:val="20"/>
          <w:szCs w:val="20"/>
          <w:lang w:val="en-GB"/>
        </w:rPr>
      </w:pPr>
    </w:p>
    <w:p w14:paraId="2BD9F679" w14:textId="77777777" w:rsidR="00620F95" w:rsidRPr="00163505" w:rsidRDefault="00620F95" w:rsidP="00620F95">
      <w:pPr>
        <w:pStyle w:val="NoSpacing"/>
        <w:rPr>
          <w:rFonts w:cstheme="minorHAnsi"/>
          <w:i/>
          <w:sz w:val="20"/>
          <w:szCs w:val="20"/>
          <w:lang w:val="en-GB"/>
        </w:rPr>
      </w:pPr>
      <w:r w:rsidRPr="00163505">
        <w:rPr>
          <w:rFonts w:cstheme="minorHAnsi"/>
          <w:sz w:val="20"/>
          <w:szCs w:val="20"/>
          <w:lang w:val="en-GB"/>
        </w:rPr>
        <w:t>Australian Bureau of Statistics</w:t>
      </w:r>
      <w:r w:rsidRPr="00163505">
        <w:rPr>
          <w:rFonts w:cstheme="minorHAnsi"/>
          <w:sz w:val="20"/>
          <w:szCs w:val="20"/>
        </w:rPr>
        <w:t xml:space="preserve">, </w:t>
      </w:r>
      <w:r w:rsidRPr="00163505">
        <w:rPr>
          <w:rFonts w:cstheme="minorHAnsi"/>
          <w:i/>
          <w:sz w:val="20"/>
          <w:szCs w:val="20"/>
        </w:rPr>
        <w:t>Australian Health Survey: Users' Guide, 2011-13, Discretionary Foods</w:t>
      </w:r>
    </w:p>
    <w:p w14:paraId="63D13767" w14:textId="77777777" w:rsidR="00620F95" w:rsidRPr="00163505" w:rsidRDefault="00620F95" w:rsidP="00620F95">
      <w:pPr>
        <w:pStyle w:val="NoSpacing"/>
        <w:rPr>
          <w:rFonts w:cstheme="minorHAnsi"/>
          <w:b/>
          <w:bCs/>
          <w:sz w:val="20"/>
          <w:szCs w:val="20"/>
          <w:u w:val="single"/>
          <w:lang w:val="en-GB"/>
        </w:rPr>
      </w:pPr>
    </w:p>
    <w:p w14:paraId="6C475424"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Usual Nutrient Intakes</w:t>
      </w:r>
      <w:r w:rsidRPr="00163505">
        <w:rPr>
          <w:rFonts w:cstheme="minorHAnsi"/>
          <w:sz w:val="20"/>
          <w:szCs w:val="20"/>
          <w:lang w:val="en-GB"/>
        </w:rPr>
        <w:t>, 2011-12</w:t>
      </w:r>
    </w:p>
    <w:p w14:paraId="0773CE3C" w14:textId="77777777" w:rsidR="00620F95" w:rsidRPr="00163505" w:rsidRDefault="00620F95" w:rsidP="0024269C">
      <w:pPr>
        <w:pStyle w:val="FootnoteText"/>
        <w:rPr>
          <w:sz w:val="20"/>
        </w:rPr>
      </w:pPr>
    </w:p>
    <w:p w14:paraId="00BB8FAB"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Ministry of Health, </w:t>
      </w:r>
      <w:r w:rsidRPr="009172FE">
        <w:rPr>
          <w:rFonts w:cstheme="minorHAnsi"/>
          <w:i/>
          <w:sz w:val="20"/>
          <w:szCs w:val="20"/>
        </w:rPr>
        <w:t>A Focus on Nutrition: Key Findings of the 2008/09 New Zealand Adult Nutrition Survey</w:t>
      </w:r>
    </w:p>
    <w:p w14:paraId="36834B9E" w14:textId="77777777" w:rsidR="00620F95" w:rsidRPr="00163505" w:rsidRDefault="00620F95" w:rsidP="00620F95">
      <w:pPr>
        <w:pStyle w:val="NoSpacing"/>
        <w:rPr>
          <w:rFonts w:cstheme="minorHAnsi"/>
          <w:b/>
          <w:bCs/>
          <w:sz w:val="20"/>
          <w:szCs w:val="20"/>
          <w:u w:val="single"/>
          <w:lang w:val="en-GB"/>
        </w:rPr>
      </w:pPr>
    </w:p>
    <w:p w14:paraId="65F8C497" w14:textId="77777777" w:rsidR="00620F95" w:rsidRPr="00163505" w:rsidRDefault="00620F95" w:rsidP="0024269C">
      <w:pPr>
        <w:pStyle w:val="mpcNormal"/>
        <w:rPr>
          <w:b/>
          <w:sz w:val="20"/>
          <w:szCs w:val="20"/>
        </w:rPr>
      </w:pPr>
      <w:r w:rsidRPr="00163505">
        <w:rPr>
          <w:b/>
          <w:sz w:val="20"/>
          <w:szCs w:val="20"/>
        </w:rPr>
        <w:t>Dietary Guidelines</w:t>
      </w:r>
    </w:p>
    <w:p w14:paraId="139AB225" w14:textId="77777777" w:rsidR="00620F95" w:rsidRPr="00163505" w:rsidRDefault="00620F95" w:rsidP="0024269C">
      <w:pPr>
        <w:pStyle w:val="mpcNormal"/>
        <w:rPr>
          <w:sz w:val="20"/>
          <w:szCs w:val="20"/>
        </w:rPr>
      </w:pPr>
    </w:p>
    <w:p w14:paraId="30B0EE63" w14:textId="77777777" w:rsidR="00620F95" w:rsidRPr="00163505" w:rsidRDefault="00620F95" w:rsidP="0024269C">
      <w:pPr>
        <w:pStyle w:val="mpcNormal"/>
        <w:rPr>
          <w:sz w:val="20"/>
          <w:szCs w:val="20"/>
        </w:rPr>
      </w:pPr>
      <w:r w:rsidRPr="00163505">
        <w:rPr>
          <w:sz w:val="20"/>
          <w:szCs w:val="20"/>
        </w:rPr>
        <w:t xml:space="preserve">Ministry of Health, October 2015, </w:t>
      </w:r>
      <w:r w:rsidRPr="009172FE">
        <w:rPr>
          <w:i/>
          <w:sz w:val="20"/>
          <w:szCs w:val="20"/>
        </w:rPr>
        <w:t>Eating and Activity Guidelines for New Zealand Adults</w:t>
      </w:r>
      <w:r w:rsidRPr="00163505">
        <w:rPr>
          <w:sz w:val="20"/>
          <w:szCs w:val="20"/>
        </w:rPr>
        <w:t>, Wellington</w:t>
      </w:r>
    </w:p>
    <w:p w14:paraId="0EB6279B" w14:textId="77777777" w:rsidR="00620F95" w:rsidRPr="00163505" w:rsidRDefault="00620F95" w:rsidP="0024269C">
      <w:pPr>
        <w:pStyle w:val="mpcNormal"/>
        <w:rPr>
          <w:sz w:val="20"/>
          <w:szCs w:val="20"/>
        </w:rPr>
      </w:pPr>
    </w:p>
    <w:p w14:paraId="7D1A1E67" w14:textId="77777777" w:rsidR="00620F95" w:rsidRPr="00163505" w:rsidRDefault="00620F95" w:rsidP="0024269C">
      <w:pPr>
        <w:pStyle w:val="FootnoteText"/>
        <w:rPr>
          <w:sz w:val="20"/>
        </w:rPr>
      </w:pPr>
      <w:r w:rsidRPr="00163505">
        <w:rPr>
          <w:sz w:val="20"/>
        </w:rPr>
        <w:t xml:space="preserve">National Health and Medical Research Council, February 2013, </w:t>
      </w:r>
      <w:r w:rsidRPr="009172FE">
        <w:rPr>
          <w:i/>
          <w:sz w:val="20"/>
        </w:rPr>
        <w:t>Australian Dietary Guidelines – Providing the scientific evidence for healthier Australian diets</w:t>
      </w:r>
      <w:r w:rsidRPr="00163505">
        <w:rPr>
          <w:sz w:val="20"/>
        </w:rPr>
        <w:t>, Canberra</w:t>
      </w:r>
    </w:p>
    <w:p w14:paraId="6E0D3EFD" w14:textId="77777777" w:rsidR="00620F95" w:rsidRPr="00163505" w:rsidRDefault="00620F95" w:rsidP="0024269C">
      <w:pPr>
        <w:pStyle w:val="mpcNormal"/>
        <w:rPr>
          <w:sz w:val="20"/>
          <w:szCs w:val="20"/>
        </w:rPr>
      </w:pPr>
    </w:p>
    <w:p w14:paraId="0D366D91" w14:textId="193A94D6" w:rsidR="00620F95" w:rsidRPr="00163505" w:rsidRDefault="00163505" w:rsidP="0024269C">
      <w:pPr>
        <w:pStyle w:val="mpcNormal"/>
        <w:rPr>
          <w:b/>
          <w:sz w:val="20"/>
          <w:szCs w:val="20"/>
        </w:rPr>
      </w:pPr>
      <w:r>
        <w:rPr>
          <w:b/>
          <w:sz w:val="20"/>
          <w:szCs w:val="20"/>
        </w:rPr>
        <w:t>M</w:t>
      </w:r>
      <w:r w:rsidR="00620F95" w:rsidRPr="00163505">
        <w:rPr>
          <w:b/>
          <w:sz w:val="20"/>
          <w:szCs w:val="20"/>
        </w:rPr>
        <w:t>onitoring data</w:t>
      </w:r>
    </w:p>
    <w:p w14:paraId="7C161EAD" w14:textId="77777777" w:rsidR="00620F95" w:rsidRPr="00163505" w:rsidRDefault="00620F95" w:rsidP="00620F95">
      <w:pPr>
        <w:pStyle w:val="NoSpacing"/>
        <w:rPr>
          <w:rFonts w:cstheme="minorHAnsi"/>
          <w:sz w:val="20"/>
          <w:szCs w:val="20"/>
          <w:lang w:val="en-GB"/>
        </w:rPr>
      </w:pPr>
    </w:p>
    <w:p w14:paraId="07BB0D50" w14:textId="77777777" w:rsidR="005F0B88" w:rsidRPr="005F0B88" w:rsidRDefault="005F0B88" w:rsidP="005F0B88">
      <w:pPr>
        <w:pStyle w:val="FootnoteText"/>
        <w:rPr>
          <w:sz w:val="20"/>
        </w:rPr>
      </w:pPr>
      <w:r w:rsidRPr="005F0B88">
        <w:rPr>
          <w:sz w:val="20"/>
        </w:rPr>
        <w:t xml:space="preserve">Colmar Brunton, 2018, </w:t>
      </w:r>
      <w:r w:rsidRPr="005F0B88">
        <w:rPr>
          <w:i/>
          <w:sz w:val="20"/>
        </w:rPr>
        <w:t>2018 Health Star Rating monitoring and evaluation: Year 2 follow-up research report</w:t>
      </w:r>
      <w:r w:rsidRPr="005F0B88">
        <w:rPr>
          <w:sz w:val="20"/>
        </w:rPr>
        <w:t>, prepared for the Health Promotion Agency</w:t>
      </w:r>
    </w:p>
    <w:p w14:paraId="7B9E3A11" w14:textId="77777777" w:rsidR="005F0B88" w:rsidRPr="005F0B88" w:rsidRDefault="005F0B88" w:rsidP="0024269C">
      <w:pPr>
        <w:pStyle w:val="FootnoteText"/>
        <w:rPr>
          <w:sz w:val="20"/>
        </w:rPr>
      </w:pPr>
    </w:p>
    <w:p w14:paraId="708C6114" w14:textId="77777777" w:rsidR="005F0B88" w:rsidRPr="005F0B88" w:rsidRDefault="005F0B88" w:rsidP="005F0B88">
      <w:pPr>
        <w:pStyle w:val="FootnoteText"/>
        <w:rPr>
          <w:sz w:val="20"/>
        </w:rPr>
      </w:pPr>
      <w:r w:rsidRPr="005F0B88">
        <w:rPr>
          <w:rFonts w:cs="Arial"/>
          <w:sz w:val="20"/>
        </w:rPr>
        <w:lastRenderedPageBreak/>
        <w:t xml:space="preserve">National Heart Foundation, April 2018, </w:t>
      </w:r>
      <w:r w:rsidRPr="009172FE">
        <w:rPr>
          <w:i/>
          <w:sz w:val="20"/>
        </w:rPr>
        <w:t>Report for Wave 7 of additional (point-in-time) update monitoring of the Health Star Rating (HSR) System, in Australia. February-March 2018</w:t>
      </w:r>
      <w:r w:rsidRPr="005F0B88">
        <w:rPr>
          <w:sz w:val="20"/>
        </w:rPr>
        <w:t>, prepared for the Department of Health</w:t>
      </w:r>
    </w:p>
    <w:p w14:paraId="0CDBE047" w14:textId="77777777" w:rsidR="00620F95" w:rsidRPr="005F0B88" w:rsidRDefault="00620F95" w:rsidP="0024269C">
      <w:pPr>
        <w:pStyle w:val="mpcNormal"/>
        <w:rPr>
          <w:sz w:val="20"/>
          <w:szCs w:val="20"/>
        </w:rPr>
      </w:pPr>
    </w:p>
    <w:p w14:paraId="6A37B29F" w14:textId="26ABA607" w:rsidR="00620F95" w:rsidRPr="005F0B88" w:rsidRDefault="005F0B88" w:rsidP="0024269C">
      <w:pPr>
        <w:pStyle w:val="FootnoteText"/>
        <w:rPr>
          <w:sz w:val="20"/>
        </w:rPr>
      </w:pPr>
      <w:r w:rsidRPr="005F0B88">
        <w:rPr>
          <w:sz w:val="20"/>
        </w:rPr>
        <w:t xml:space="preserve">National Heart Foundation, April 2018, </w:t>
      </w:r>
      <w:r w:rsidR="00620F95" w:rsidRPr="005F0B88">
        <w:rPr>
          <w:i/>
          <w:sz w:val="20"/>
        </w:rPr>
        <w:t>Report on the monitoring of the implementation of the Health Star Rating system: Area of Enquiry 2 – Consumer awareness and ability to use the Health Star Rating system correctly</w:t>
      </w:r>
      <w:r w:rsidR="00620F95" w:rsidRPr="005F0B88">
        <w:rPr>
          <w:sz w:val="20"/>
        </w:rPr>
        <w:t xml:space="preserve">, </w:t>
      </w:r>
      <w:r w:rsidRPr="005F0B88">
        <w:rPr>
          <w:sz w:val="20"/>
        </w:rPr>
        <w:t>prepared for the Department of Health</w:t>
      </w:r>
    </w:p>
    <w:p w14:paraId="14493D11" w14:textId="77777777" w:rsidR="005F0B88" w:rsidRPr="005F0B88" w:rsidRDefault="005F0B88" w:rsidP="005F0B88">
      <w:pPr>
        <w:pStyle w:val="FootnoteText"/>
        <w:rPr>
          <w:sz w:val="20"/>
        </w:rPr>
      </w:pPr>
    </w:p>
    <w:p w14:paraId="58B8625B" w14:textId="77777777" w:rsidR="005F0B88" w:rsidRPr="005F0B88" w:rsidRDefault="005F0B88" w:rsidP="005F0B88">
      <w:pPr>
        <w:pStyle w:val="FootnoteText"/>
        <w:rPr>
          <w:sz w:val="20"/>
        </w:rPr>
      </w:pPr>
      <w:r w:rsidRPr="005F0B88">
        <w:rPr>
          <w:sz w:val="20"/>
        </w:rPr>
        <w:t xml:space="preserve">National Heart Foundation, August 2017, </w:t>
      </w:r>
      <w:r w:rsidRPr="005F0B88">
        <w:rPr>
          <w:i/>
          <w:sz w:val="20"/>
        </w:rPr>
        <w:t>Report on the monitoring of the implementation of the Health Star Rating system: Area of Enquiry 2 – Consumer awareness and ability to use the Health Star Rating system correctly</w:t>
      </w:r>
      <w:r w:rsidRPr="005F0B88">
        <w:rPr>
          <w:sz w:val="20"/>
        </w:rPr>
        <w:t>, prepared for the Department of Health</w:t>
      </w:r>
    </w:p>
    <w:p w14:paraId="4C60442E" w14:textId="77777777" w:rsidR="005F0B88" w:rsidRDefault="005F0B88" w:rsidP="005F0B88">
      <w:pPr>
        <w:pStyle w:val="FootnoteText"/>
        <w:rPr>
          <w:sz w:val="20"/>
        </w:rPr>
      </w:pPr>
    </w:p>
    <w:p w14:paraId="3E4EBDD4" w14:textId="3AD0E395" w:rsidR="00620F95" w:rsidRPr="005F0B88" w:rsidRDefault="005F0B88" w:rsidP="0024269C">
      <w:pPr>
        <w:pStyle w:val="FootnoteText"/>
        <w:rPr>
          <w:sz w:val="20"/>
        </w:rPr>
      </w:pPr>
      <w:r w:rsidRPr="005F0B88">
        <w:rPr>
          <w:sz w:val="20"/>
        </w:rPr>
        <w:t>National Heart Foundation, August 2018,</w:t>
      </w:r>
      <w:r w:rsidRPr="005F0B88">
        <w:rPr>
          <w:i/>
          <w:sz w:val="20"/>
        </w:rPr>
        <w:t xml:space="preserve"> </w:t>
      </w:r>
      <w:r w:rsidR="00620F95" w:rsidRPr="005F0B88">
        <w:rPr>
          <w:i/>
          <w:sz w:val="20"/>
        </w:rPr>
        <w:t>Report on the monitoring of the implementation of the Health Star Rating system: Area of Enquiry 2 – Consumer awareness and ability to use the Health Star Rating system correctly</w:t>
      </w:r>
      <w:r w:rsidR="00620F95" w:rsidRPr="005F0B88">
        <w:rPr>
          <w:sz w:val="20"/>
        </w:rPr>
        <w:t xml:space="preserve">, </w:t>
      </w:r>
      <w:r w:rsidRPr="005F0B88">
        <w:rPr>
          <w:sz w:val="20"/>
        </w:rPr>
        <w:t>prepared for the Department of Health</w:t>
      </w:r>
    </w:p>
    <w:p w14:paraId="6DD54B73" w14:textId="77777777" w:rsidR="00620F95" w:rsidRPr="00163505" w:rsidRDefault="00620F95" w:rsidP="0024269C">
      <w:pPr>
        <w:pStyle w:val="mpcNormal"/>
        <w:rPr>
          <w:sz w:val="20"/>
          <w:szCs w:val="20"/>
        </w:rPr>
      </w:pPr>
    </w:p>
    <w:p w14:paraId="2ABC6806" w14:textId="77777777" w:rsidR="00620F95" w:rsidRPr="00163505" w:rsidRDefault="00620F95" w:rsidP="0024269C">
      <w:pPr>
        <w:pStyle w:val="mpcNormal"/>
        <w:rPr>
          <w:b/>
          <w:sz w:val="20"/>
          <w:szCs w:val="20"/>
        </w:rPr>
      </w:pPr>
      <w:r w:rsidRPr="00163505">
        <w:rPr>
          <w:b/>
          <w:sz w:val="20"/>
          <w:szCs w:val="20"/>
        </w:rPr>
        <w:t>Health Star Rating System resources</w:t>
      </w:r>
    </w:p>
    <w:p w14:paraId="18EF81BA" w14:textId="77777777" w:rsidR="00620F95" w:rsidRPr="00163505" w:rsidRDefault="00620F95" w:rsidP="0024269C">
      <w:pPr>
        <w:pStyle w:val="mpcNormal"/>
        <w:rPr>
          <w:sz w:val="20"/>
          <w:szCs w:val="20"/>
        </w:rPr>
      </w:pPr>
    </w:p>
    <w:p w14:paraId="3750845A" w14:textId="77777777" w:rsidR="00620F95" w:rsidRPr="00163505" w:rsidRDefault="00620F95" w:rsidP="0024269C">
      <w:pPr>
        <w:pStyle w:val="mpcNormal"/>
        <w:rPr>
          <w:sz w:val="20"/>
          <w:szCs w:val="20"/>
        </w:rPr>
      </w:pPr>
      <w:r w:rsidRPr="009172FE">
        <w:rPr>
          <w:i/>
          <w:sz w:val="20"/>
          <w:szCs w:val="20"/>
        </w:rPr>
        <w:t>Guide for Industry to the Health Star Rating Calculator (HSRC) version 6</w:t>
      </w:r>
      <w:r w:rsidRPr="00163505">
        <w:rPr>
          <w:sz w:val="20"/>
          <w:szCs w:val="20"/>
        </w:rPr>
        <w:t>, February 2018, [http://www.healthstarrating.gov.au/internet/healthstarrating/publishing.nsf/Content/guide-for-industry-document]</w:t>
      </w:r>
    </w:p>
    <w:p w14:paraId="26F24AFC" w14:textId="77777777" w:rsidR="00620F95" w:rsidRPr="00163505" w:rsidRDefault="00620F95" w:rsidP="0024269C">
      <w:pPr>
        <w:pStyle w:val="mpcNormal"/>
        <w:rPr>
          <w:sz w:val="20"/>
          <w:szCs w:val="20"/>
        </w:rPr>
      </w:pPr>
    </w:p>
    <w:p w14:paraId="38337AAB" w14:textId="77777777" w:rsidR="00620F95" w:rsidRPr="00163505" w:rsidRDefault="00620F95" w:rsidP="0024269C">
      <w:pPr>
        <w:pStyle w:val="mpcNormal"/>
        <w:rPr>
          <w:sz w:val="20"/>
          <w:szCs w:val="20"/>
        </w:rPr>
      </w:pPr>
      <w:r w:rsidRPr="009172FE">
        <w:rPr>
          <w:i/>
          <w:sz w:val="20"/>
          <w:szCs w:val="20"/>
        </w:rPr>
        <w:t>Health Star Rating System Style Guide</w:t>
      </w:r>
      <w:r w:rsidRPr="00163505">
        <w:rPr>
          <w:sz w:val="20"/>
          <w:szCs w:val="20"/>
        </w:rPr>
        <w:t>, version 5, December 2017, [http://www.healthstarrating.gov.au/internet/healthstarrating/publishing.nsf/Content/style-guide]</w:t>
      </w:r>
    </w:p>
    <w:p w14:paraId="29F5B2C9" w14:textId="77777777" w:rsidR="00620F95" w:rsidRPr="00163505" w:rsidRDefault="00620F95" w:rsidP="0024269C">
      <w:pPr>
        <w:pStyle w:val="mpcNormal"/>
        <w:rPr>
          <w:sz w:val="20"/>
          <w:szCs w:val="20"/>
        </w:rPr>
      </w:pPr>
    </w:p>
    <w:p w14:paraId="51D8997E" w14:textId="7F5343E5" w:rsidR="00620F95" w:rsidRPr="00163505" w:rsidRDefault="00FD30D1" w:rsidP="0024269C">
      <w:pPr>
        <w:pStyle w:val="mpcNormal"/>
        <w:rPr>
          <w:b/>
          <w:sz w:val="20"/>
          <w:szCs w:val="20"/>
        </w:rPr>
      </w:pPr>
      <w:r w:rsidRPr="00163505">
        <w:rPr>
          <w:b/>
          <w:sz w:val="20"/>
          <w:szCs w:val="20"/>
        </w:rPr>
        <w:t>R</w:t>
      </w:r>
      <w:r w:rsidR="00620F95" w:rsidRPr="00163505">
        <w:rPr>
          <w:b/>
          <w:sz w:val="20"/>
          <w:szCs w:val="20"/>
        </w:rPr>
        <w:t xml:space="preserve">esearch regarding the HSR System </w:t>
      </w:r>
    </w:p>
    <w:p w14:paraId="7D8553C2" w14:textId="77777777" w:rsidR="00620F95" w:rsidRPr="00163505" w:rsidRDefault="00620F95" w:rsidP="00620F95">
      <w:pPr>
        <w:pStyle w:val="NoSpacing"/>
        <w:rPr>
          <w:rFonts w:cstheme="minorHAnsi"/>
          <w:b/>
          <w:bCs/>
          <w:sz w:val="20"/>
          <w:szCs w:val="20"/>
          <w:u w:val="single"/>
          <w:lang w:val="en-GB"/>
        </w:rPr>
      </w:pPr>
    </w:p>
    <w:p w14:paraId="7EEB2346" w14:textId="77777777" w:rsidR="00620F95" w:rsidRPr="00163505" w:rsidRDefault="00620F95" w:rsidP="0024269C">
      <w:pPr>
        <w:pStyle w:val="mpcNormal"/>
        <w:rPr>
          <w:sz w:val="20"/>
          <w:szCs w:val="20"/>
        </w:rPr>
      </w:pPr>
      <w:r w:rsidRPr="00163505">
        <w:rPr>
          <w:sz w:val="20"/>
          <w:szCs w:val="20"/>
        </w:rPr>
        <w:t xml:space="preserve">Brownbill, A, Miller, C, Braunack-Myer, A, 29 August </w:t>
      </w:r>
      <w:r w:rsidRPr="009172FE">
        <w:rPr>
          <w:i/>
          <w:sz w:val="20"/>
          <w:szCs w:val="20"/>
        </w:rPr>
        <w:t>2018, Health Star Ratings: What’s on the labels of Australian beverages?</w:t>
      </w:r>
      <w:r w:rsidRPr="00163505">
        <w:rPr>
          <w:sz w:val="20"/>
          <w:szCs w:val="20"/>
        </w:rPr>
        <w:t xml:space="preserve"> </w:t>
      </w:r>
      <w:r w:rsidRPr="009172FE">
        <w:rPr>
          <w:i/>
          <w:sz w:val="20"/>
          <w:szCs w:val="20"/>
        </w:rPr>
        <w:t>Health Promotion Journal of Australia</w:t>
      </w:r>
    </w:p>
    <w:p w14:paraId="1DB5208E" w14:textId="77777777" w:rsidR="00620F95" w:rsidRPr="00163505" w:rsidRDefault="00620F95" w:rsidP="0024269C">
      <w:pPr>
        <w:pStyle w:val="mpcNormal"/>
        <w:rPr>
          <w:sz w:val="20"/>
          <w:szCs w:val="20"/>
        </w:rPr>
      </w:pPr>
    </w:p>
    <w:p w14:paraId="48AE9F42" w14:textId="77777777" w:rsidR="00620F95" w:rsidRPr="00163505" w:rsidRDefault="00620F95" w:rsidP="0024269C">
      <w:pPr>
        <w:pStyle w:val="mpcNormal"/>
        <w:rPr>
          <w:sz w:val="20"/>
          <w:szCs w:val="20"/>
        </w:rPr>
      </w:pPr>
      <w:r w:rsidRPr="00163505">
        <w:rPr>
          <w:sz w:val="20"/>
          <w:szCs w:val="20"/>
        </w:rPr>
        <w:t xml:space="preserve">Carrad, AM, Louie, J.C., Yeatman, H.R., Dunford, E.K., Neal, B.C., Flood, V.M., ‘A nutrient profiling assessment of packaged foods using two star-based front-of-pack labels’, </w:t>
      </w:r>
      <w:r w:rsidRPr="00163505">
        <w:rPr>
          <w:i/>
          <w:sz w:val="20"/>
          <w:szCs w:val="20"/>
          <w:lang w:val="en-GB"/>
        </w:rPr>
        <w:t>Public Health Nutrition</w:t>
      </w:r>
      <w:r w:rsidRPr="00163505">
        <w:rPr>
          <w:sz w:val="20"/>
          <w:szCs w:val="20"/>
          <w:lang w:val="en-GB"/>
        </w:rPr>
        <w:t xml:space="preserve">, </w:t>
      </w:r>
      <w:r w:rsidRPr="00163505">
        <w:rPr>
          <w:sz w:val="20"/>
          <w:szCs w:val="20"/>
        </w:rPr>
        <w:t>19 August 2016</w:t>
      </w:r>
    </w:p>
    <w:p w14:paraId="6E207F3D" w14:textId="77777777" w:rsidR="00620F95" w:rsidRPr="00163505" w:rsidRDefault="00620F95" w:rsidP="0024269C">
      <w:pPr>
        <w:pStyle w:val="mpcNormal"/>
        <w:rPr>
          <w:sz w:val="20"/>
          <w:szCs w:val="20"/>
        </w:rPr>
      </w:pPr>
    </w:p>
    <w:p w14:paraId="6FBE4650" w14:textId="07458054"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Dunford, E, Cobcroft, M, Thomas, M, &amp; Wu, J.H. (2015) </w:t>
      </w:r>
      <w:r w:rsidRPr="00163505">
        <w:rPr>
          <w:rFonts w:cstheme="minorHAnsi"/>
          <w:i/>
          <w:iCs/>
          <w:sz w:val="20"/>
          <w:szCs w:val="20"/>
          <w:lang w:val="en-GB"/>
        </w:rPr>
        <w:t>Technical Report: Alignment of NSW Healthy Food Provision Policy with the Health Star Rating System</w:t>
      </w:r>
      <w:r w:rsidRPr="00163505">
        <w:rPr>
          <w:rFonts w:cstheme="minorHAnsi"/>
          <w:sz w:val="20"/>
          <w:szCs w:val="20"/>
          <w:lang w:val="en-GB"/>
        </w:rPr>
        <w:t xml:space="preserve">, Sydney, NSW: NSW Ministry of Health </w:t>
      </w:r>
    </w:p>
    <w:p w14:paraId="1058D4DC" w14:textId="484B0AF6" w:rsidR="00C81D0A" w:rsidRPr="00163505" w:rsidRDefault="00C81D0A" w:rsidP="00620F95">
      <w:pPr>
        <w:pStyle w:val="NoSpacing"/>
        <w:rPr>
          <w:rFonts w:cstheme="minorHAnsi"/>
          <w:sz w:val="20"/>
          <w:szCs w:val="20"/>
          <w:lang w:val="en-GB"/>
        </w:rPr>
      </w:pPr>
    </w:p>
    <w:p w14:paraId="2200D031" w14:textId="016E6E7D" w:rsidR="00C81D0A" w:rsidRPr="00163505" w:rsidRDefault="00C81D0A" w:rsidP="00C81D0A">
      <w:pPr>
        <w:pStyle w:val="NoSpacing"/>
        <w:rPr>
          <w:rFonts w:cstheme="minorHAnsi"/>
          <w:sz w:val="20"/>
          <w:szCs w:val="20"/>
          <w:lang w:val="en-GB"/>
        </w:rPr>
      </w:pPr>
      <w:r w:rsidRPr="00163505">
        <w:rPr>
          <w:rFonts w:cstheme="minorHAnsi"/>
          <w:sz w:val="20"/>
          <w:szCs w:val="20"/>
          <w:lang w:val="en-GB"/>
        </w:rPr>
        <w:t>Dunford, E.K., Huang, L., Peters, S.A.E</w:t>
      </w:r>
      <w:r w:rsidRPr="009172FE">
        <w:rPr>
          <w:rFonts w:cstheme="minorHAnsi"/>
          <w:sz w:val="20"/>
          <w:szCs w:val="20"/>
          <w:lang w:val="en-GB"/>
        </w:rPr>
        <w:t>., Crino, M.; Neal, B.C., Ni Mhurchu, C. Evaluation of Alignment between the Health Claims Nutrient Profiling Scoring Criterion (NPSC) and the Health Star Rating (HSR) Nutrient Profiling Models. </w:t>
      </w:r>
      <w:r w:rsidRPr="009172FE">
        <w:rPr>
          <w:rFonts w:cstheme="minorHAnsi"/>
          <w:i/>
          <w:sz w:val="20"/>
          <w:szCs w:val="20"/>
          <w:lang w:val="en-GB"/>
        </w:rPr>
        <w:t>Nutrients</w:t>
      </w:r>
      <w:r w:rsidRPr="009172FE">
        <w:rPr>
          <w:rFonts w:cstheme="minorHAnsi"/>
          <w:sz w:val="20"/>
          <w:szCs w:val="20"/>
          <w:lang w:val="en-GB"/>
        </w:rPr>
        <w:t> </w:t>
      </w:r>
      <w:r w:rsidRPr="00163505">
        <w:rPr>
          <w:rFonts w:cstheme="minorHAnsi"/>
          <w:sz w:val="20"/>
          <w:szCs w:val="20"/>
          <w:lang w:val="en-GB"/>
        </w:rPr>
        <w:t>2018, 10, 1065.</w:t>
      </w:r>
    </w:p>
    <w:p w14:paraId="719C4E57" w14:textId="77777777" w:rsidR="00620F95" w:rsidRPr="00163505" w:rsidRDefault="00620F95" w:rsidP="00620F95">
      <w:pPr>
        <w:pStyle w:val="NoSpacing"/>
        <w:rPr>
          <w:rFonts w:cstheme="minorHAnsi"/>
          <w:sz w:val="20"/>
          <w:szCs w:val="20"/>
          <w:lang w:val="en-GB"/>
        </w:rPr>
      </w:pPr>
    </w:p>
    <w:p w14:paraId="1476535F"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Jones, A, Radholm, K and Neal, B ‘Defining ‘Unhealthy’: a systematic analysis of alignment between the Australian Dietary Guidelines and the Health Star Rating System’, </w:t>
      </w:r>
      <w:r w:rsidRPr="00163505">
        <w:rPr>
          <w:rFonts w:cstheme="minorHAnsi"/>
          <w:i/>
          <w:iCs/>
          <w:sz w:val="20"/>
          <w:szCs w:val="20"/>
          <w:lang w:val="en-GB"/>
        </w:rPr>
        <w:t>Nutrients 2018</w:t>
      </w:r>
      <w:r w:rsidRPr="00163505">
        <w:rPr>
          <w:rFonts w:cstheme="minorHAnsi"/>
          <w:sz w:val="20"/>
          <w:szCs w:val="20"/>
          <w:lang w:val="en-GB"/>
        </w:rPr>
        <w:t>, 10, 501</w:t>
      </w:r>
    </w:p>
    <w:p w14:paraId="1A692F6B" w14:textId="77777777" w:rsidR="00620F95" w:rsidRPr="00163505" w:rsidRDefault="00620F95" w:rsidP="0024269C">
      <w:pPr>
        <w:pStyle w:val="mpcNormal"/>
        <w:rPr>
          <w:sz w:val="20"/>
          <w:szCs w:val="20"/>
        </w:rPr>
      </w:pPr>
    </w:p>
    <w:p w14:paraId="504CCF6C" w14:textId="77777777" w:rsidR="00620F95" w:rsidRPr="00163505" w:rsidRDefault="00620F95" w:rsidP="0024269C">
      <w:pPr>
        <w:pStyle w:val="mpcNormal"/>
        <w:rPr>
          <w:sz w:val="20"/>
          <w:szCs w:val="20"/>
        </w:rPr>
      </w:pPr>
      <w:r w:rsidRPr="00163505">
        <w:rPr>
          <w:sz w:val="20"/>
          <w:szCs w:val="20"/>
        </w:rPr>
        <w:t xml:space="preserve">Jones, A, Shahid, M &amp; Neal, B ‘Uptake of Australia’s Health Star Rating System’, </w:t>
      </w:r>
      <w:r w:rsidRPr="00163505">
        <w:rPr>
          <w:i/>
          <w:sz w:val="20"/>
          <w:szCs w:val="20"/>
        </w:rPr>
        <w:t>Nutrients</w:t>
      </w:r>
      <w:r w:rsidRPr="00163505">
        <w:rPr>
          <w:sz w:val="20"/>
          <w:szCs w:val="20"/>
        </w:rPr>
        <w:t>, July 2018, 10, 997.</w:t>
      </w:r>
    </w:p>
    <w:p w14:paraId="2DBE3AE0" w14:textId="77777777" w:rsidR="00620F95" w:rsidRPr="00163505" w:rsidRDefault="00620F95" w:rsidP="00620F95">
      <w:pPr>
        <w:pStyle w:val="NoSpacing"/>
        <w:rPr>
          <w:rFonts w:cstheme="minorHAnsi"/>
          <w:sz w:val="20"/>
          <w:szCs w:val="20"/>
          <w:lang w:val="en-GB"/>
        </w:rPr>
      </w:pPr>
    </w:p>
    <w:p w14:paraId="75E578A4"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Lawrence, M, Dickie, S and Woods, J. ‘Do nutrient-based front-of-pack labelling schemes support or undermine food-based dietary guideline recommendations? Lessons from the Australian Health Star Rating System’,</w:t>
      </w:r>
      <w:r w:rsidRPr="00163505">
        <w:rPr>
          <w:rFonts w:cstheme="minorHAnsi"/>
          <w:i/>
          <w:iCs/>
          <w:sz w:val="20"/>
          <w:szCs w:val="20"/>
          <w:lang w:val="en-GB"/>
        </w:rPr>
        <w:t xml:space="preserve"> Nutrients</w:t>
      </w:r>
      <w:r w:rsidRPr="00163505">
        <w:rPr>
          <w:rFonts w:cstheme="minorHAnsi"/>
          <w:sz w:val="20"/>
          <w:szCs w:val="20"/>
          <w:lang w:val="en-GB"/>
        </w:rPr>
        <w:t>, 5 January 2018</w:t>
      </w:r>
    </w:p>
    <w:p w14:paraId="7F52208A" w14:textId="77777777" w:rsidR="00620F95" w:rsidRPr="00163505" w:rsidRDefault="00620F95" w:rsidP="0024269C">
      <w:pPr>
        <w:pStyle w:val="mpcNormal"/>
        <w:rPr>
          <w:sz w:val="20"/>
          <w:szCs w:val="20"/>
        </w:rPr>
      </w:pPr>
    </w:p>
    <w:p w14:paraId="0CB73CCE" w14:textId="77777777" w:rsidR="00620F95" w:rsidRPr="00163505" w:rsidRDefault="00620F95" w:rsidP="0024269C">
      <w:pPr>
        <w:rPr>
          <w:sz w:val="20"/>
          <w:szCs w:val="20"/>
          <w:shd w:val="clear" w:color="auto" w:fill="FFFFFF"/>
        </w:rPr>
      </w:pPr>
      <w:r w:rsidRPr="00163505">
        <w:rPr>
          <w:sz w:val="20"/>
          <w:szCs w:val="20"/>
          <w:shd w:val="clear" w:color="auto" w:fill="FFFFFF"/>
        </w:rPr>
        <w:t>Mantilla Herrera, A.M., Crino, M., Erskine, H.E., Sacks, G., Ananthapavan, J., Mhurchu, C.N., Lee, Y.Y. Cost-Effectiveness of Product Reformulation in Response to the Health Star Rating Food Labelling System in Australia. </w:t>
      </w:r>
      <w:r w:rsidRPr="00163505">
        <w:rPr>
          <w:i/>
          <w:iCs/>
          <w:sz w:val="20"/>
          <w:szCs w:val="20"/>
        </w:rPr>
        <w:t>Nutrients</w:t>
      </w:r>
      <w:r w:rsidRPr="00163505">
        <w:rPr>
          <w:sz w:val="20"/>
          <w:szCs w:val="20"/>
          <w:shd w:val="clear" w:color="auto" w:fill="FFFFFF"/>
        </w:rPr>
        <w:t> </w:t>
      </w:r>
      <w:r w:rsidRPr="00163505">
        <w:rPr>
          <w:bCs/>
          <w:sz w:val="20"/>
          <w:szCs w:val="20"/>
        </w:rPr>
        <w:t>2018</w:t>
      </w:r>
      <w:r w:rsidRPr="00163505">
        <w:rPr>
          <w:sz w:val="20"/>
          <w:szCs w:val="20"/>
          <w:shd w:val="clear" w:color="auto" w:fill="FFFFFF"/>
        </w:rPr>
        <w:t>, </w:t>
      </w:r>
      <w:r w:rsidRPr="00163505">
        <w:rPr>
          <w:iCs/>
          <w:sz w:val="20"/>
          <w:szCs w:val="20"/>
        </w:rPr>
        <w:t>10</w:t>
      </w:r>
      <w:r w:rsidRPr="00163505">
        <w:rPr>
          <w:sz w:val="20"/>
          <w:szCs w:val="20"/>
          <w:shd w:val="clear" w:color="auto" w:fill="FFFFFF"/>
        </w:rPr>
        <w:t>, 614.</w:t>
      </w:r>
    </w:p>
    <w:p w14:paraId="6CA46940" w14:textId="77777777" w:rsidR="00620F95" w:rsidRPr="00163505" w:rsidRDefault="00620F95" w:rsidP="0024269C">
      <w:pPr>
        <w:rPr>
          <w:sz w:val="20"/>
          <w:szCs w:val="20"/>
        </w:rPr>
      </w:pPr>
    </w:p>
    <w:p w14:paraId="7A66A1D9"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Menday, H, Neal, B, Wu, J, Crino, M, +Baines, S &amp; Peterson, K. ‘Use of added sugars instead of total sugars may improve the capacity of the Health Star Rating system to discriminate between core and discretionary foods, </w:t>
      </w:r>
      <w:r w:rsidRPr="00163505">
        <w:rPr>
          <w:rFonts w:cstheme="minorHAnsi"/>
          <w:i/>
          <w:iCs/>
          <w:sz w:val="20"/>
          <w:szCs w:val="20"/>
        </w:rPr>
        <w:t>Journal of the Academy of Nutrition and Dietetics</w:t>
      </w:r>
      <w:r w:rsidRPr="00163505">
        <w:rPr>
          <w:rFonts w:cstheme="minorHAnsi"/>
          <w:sz w:val="20"/>
          <w:szCs w:val="20"/>
        </w:rPr>
        <w:t>, December 2017, Volume 117, No.12</w:t>
      </w:r>
    </w:p>
    <w:p w14:paraId="4E5C0DB9" w14:textId="77777777" w:rsidR="00620F95" w:rsidRPr="00163505" w:rsidRDefault="00620F95" w:rsidP="00620F95">
      <w:pPr>
        <w:pStyle w:val="NoSpacing"/>
        <w:rPr>
          <w:rFonts w:cstheme="minorHAnsi"/>
          <w:sz w:val="20"/>
          <w:szCs w:val="20"/>
        </w:rPr>
      </w:pPr>
    </w:p>
    <w:p w14:paraId="3C8750D8"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Ni Mhurchu, C, Eyles, H &amp; Choi, Y, ‘Effects of a Voluntary Front-of-Pack Nutrition Labelling System on packaged food reformulation: the Health Star Rating system in New Zealand’, </w:t>
      </w:r>
      <w:r w:rsidRPr="00163505">
        <w:rPr>
          <w:rFonts w:cstheme="minorHAnsi"/>
          <w:i/>
          <w:iCs/>
          <w:sz w:val="20"/>
          <w:szCs w:val="20"/>
          <w:lang w:val="en-GB"/>
        </w:rPr>
        <w:t>Nutrients</w:t>
      </w:r>
      <w:r w:rsidRPr="00163505">
        <w:rPr>
          <w:rFonts w:cstheme="minorHAnsi"/>
          <w:sz w:val="20"/>
          <w:szCs w:val="20"/>
          <w:lang w:val="en-GB"/>
        </w:rPr>
        <w:t>, (2017), 9, 918</w:t>
      </w:r>
    </w:p>
    <w:p w14:paraId="2E3531C1" w14:textId="77777777" w:rsidR="00620F95" w:rsidRPr="00163505" w:rsidRDefault="00620F95" w:rsidP="0024269C">
      <w:pPr>
        <w:pStyle w:val="mpcNormal"/>
        <w:rPr>
          <w:sz w:val="20"/>
          <w:szCs w:val="20"/>
        </w:rPr>
      </w:pPr>
    </w:p>
    <w:p w14:paraId="49C2974C"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Peters, S, Dunford, E, Jones, A, Ni Mhurchi, C, Crino, M, Taylor, F, Woodward, M &amp; Neal, B ‘Incorporating added sugar improves the performance of the Health Star Rating front-of-pack labelling system in Australia’, </w:t>
      </w:r>
      <w:r w:rsidRPr="00163505">
        <w:rPr>
          <w:rFonts w:cstheme="minorHAnsi"/>
          <w:i/>
          <w:iCs/>
          <w:sz w:val="20"/>
          <w:szCs w:val="20"/>
        </w:rPr>
        <w:t>Nutrients</w:t>
      </w:r>
      <w:r w:rsidRPr="00163505">
        <w:rPr>
          <w:rFonts w:cstheme="minorHAnsi"/>
          <w:sz w:val="20"/>
          <w:szCs w:val="20"/>
        </w:rPr>
        <w:t>, 2017, 9, 701, p.1-12</w:t>
      </w:r>
    </w:p>
    <w:p w14:paraId="493324D0" w14:textId="77777777" w:rsidR="00620F95" w:rsidRPr="00163505" w:rsidRDefault="00620F95" w:rsidP="0024269C">
      <w:pPr>
        <w:rPr>
          <w:sz w:val="20"/>
          <w:szCs w:val="20"/>
        </w:rPr>
      </w:pPr>
    </w:p>
    <w:p w14:paraId="157351E2" w14:textId="77777777" w:rsidR="003A6F52" w:rsidRPr="00163505" w:rsidRDefault="003A6F52" w:rsidP="0024269C">
      <w:pPr>
        <w:pStyle w:val="mpcNormal"/>
        <w:rPr>
          <w:sz w:val="20"/>
          <w:szCs w:val="20"/>
          <w:lang w:val="en-GB"/>
        </w:rPr>
      </w:pPr>
      <w:r w:rsidRPr="00163505">
        <w:rPr>
          <w:sz w:val="20"/>
          <w:szCs w:val="20"/>
          <w:lang w:val="en-GB"/>
        </w:rPr>
        <w:t xml:space="preserve">Wellard, L, Hughes, C, Watson, WL. ‘Investigating nutrient profiling and Health Star Ratings on core dairy products in Australia’, </w:t>
      </w:r>
      <w:r w:rsidRPr="00163505">
        <w:rPr>
          <w:i/>
          <w:sz w:val="20"/>
          <w:szCs w:val="20"/>
          <w:lang w:val="en-GB"/>
        </w:rPr>
        <w:t>Public Health Nutrition</w:t>
      </w:r>
      <w:r w:rsidRPr="00163505">
        <w:rPr>
          <w:sz w:val="20"/>
          <w:szCs w:val="20"/>
          <w:lang w:val="en-GB"/>
        </w:rPr>
        <w:t>, 2 May 2016, 19 (15) p. 2860-5</w:t>
      </w:r>
    </w:p>
    <w:p w14:paraId="182EE621" w14:textId="77777777" w:rsidR="00620F95" w:rsidRPr="00163505" w:rsidRDefault="00620F95" w:rsidP="0024269C">
      <w:pPr>
        <w:pStyle w:val="mpcNormal"/>
        <w:rPr>
          <w:sz w:val="20"/>
          <w:szCs w:val="20"/>
        </w:rPr>
      </w:pPr>
    </w:p>
    <w:p w14:paraId="5A3F3F4D" w14:textId="77777777" w:rsidR="00620F95" w:rsidRPr="005F0B88" w:rsidRDefault="00620F95" w:rsidP="0024269C">
      <w:pPr>
        <w:rPr>
          <w:b/>
          <w:sz w:val="20"/>
          <w:szCs w:val="20"/>
        </w:rPr>
      </w:pPr>
      <w:r w:rsidRPr="005F0B88">
        <w:rPr>
          <w:b/>
          <w:sz w:val="20"/>
          <w:szCs w:val="20"/>
        </w:rPr>
        <w:t>Additional resources</w:t>
      </w:r>
    </w:p>
    <w:p w14:paraId="476C5978" w14:textId="77777777" w:rsidR="00620F95" w:rsidRPr="00163505" w:rsidRDefault="00620F95" w:rsidP="0024269C">
      <w:pPr>
        <w:rPr>
          <w:sz w:val="20"/>
          <w:szCs w:val="20"/>
        </w:rPr>
      </w:pPr>
    </w:p>
    <w:p w14:paraId="22B12B09" w14:textId="69FAF58E" w:rsidR="00620F95" w:rsidRPr="00163505" w:rsidRDefault="00620F95" w:rsidP="0024269C">
      <w:pPr>
        <w:rPr>
          <w:sz w:val="20"/>
          <w:szCs w:val="20"/>
        </w:rPr>
      </w:pPr>
      <w:r w:rsidRPr="00163505">
        <w:rPr>
          <w:sz w:val="20"/>
          <w:szCs w:val="20"/>
        </w:rPr>
        <w:t xml:space="preserve">Department of Health and Food Standards Agency, </w:t>
      </w:r>
      <w:r w:rsidRPr="009172FE">
        <w:rPr>
          <w:i/>
          <w:sz w:val="20"/>
          <w:szCs w:val="20"/>
        </w:rPr>
        <w:t>Guide to creating a front of pack (FoP) nutrition labelfor pre-packaged products sold through retails outlets</w:t>
      </w:r>
      <w:r w:rsidRPr="00163505">
        <w:rPr>
          <w:sz w:val="20"/>
          <w:szCs w:val="20"/>
        </w:rPr>
        <w:t>, November 2016</w:t>
      </w:r>
    </w:p>
    <w:p w14:paraId="01CCB4F7" w14:textId="77777777" w:rsidR="00620F95" w:rsidRPr="00163505" w:rsidRDefault="00620F95" w:rsidP="0024269C">
      <w:pPr>
        <w:rPr>
          <w:sz w:val="20"/>
          <w:szCs w:val="20"/>
        </w:rPr>
      </w:pPr>
    </w:p>
    <w:p w14:paraId="25472027" w14:textId="77777777" w:rsidR="00620F95" w:rsidRPr="00163505" w:rsidRDefault="00620F95" w:rsidP="0024269C">
      <w:pPr>
        <w:rPr>
          <w:sz w:val="20"/>
          <w:szCs w:val="20"/>
        </w:rPr>
      </w:pPr>
      <w:r w:rsidRPr="00163505">
        <w:rPr>
          <w:sz w:val="20"/>
          <w:szCs w:val="20"/>
        </w:rPr>
        <w:t xml:space="preserve">Department of Health, 8 August 2018, </w:t>
      </w:r>
      <w:r w:rsidRPr="009172FE">
        <w:rPr>
          <w:i/>
          <w:sz w:val="20"/>
          <w:szCs w:val="20"/>
        </w:rPr>
        <w:t>Form of the Food (‘As Prepared’) Rules</w:t>
      </w:r>
      <w:r w:rsidRPr="00163505">
        <w:rPr>
          <w:sz w:val="20"/>
          <w:szCs w:val="20"/>
        </w:rPr>
        <w:t>, viewed on 27 August 2018</w:t>
      </w:r>
    </w:p>
    <w:p w14:paraId="34A94965" w14:textId="77777777" w:rsidR="00620F95" w:rsidRPr="00163505" w:rsidRDefault="00620F95" w:rsidP="0024269C">
      <w:pPr>
        <w:rPr>
          <w:sz w:val="20"/>
          <w:szCs w:val="20"/>
        </w:rPr>
      </w:pPr>
    </w:p>
    <w:p w14:paraId="5D716E46" w14:textId="77777777" w:rsidR="00620F95" w:rsidRPr="00163505" w:rsidRDefault="00620F95" w:rsidP="0024269C">
      <w:pPr>
        <w:rPr>
          <w:sz w:val="20"/>
          <w:szCs w:val="20"/>
        </w:rPr>
      </w:pPr>
      <w:r w:rsidRPr="00163505">
        <w:rPr>
          <w:sz w:val="20"/>
          <w:szCs w:val="20"/>
        </w:rPr>
        <w:t xml:space="preserve">Food Regulation Secretariat, Joint Food Regulation System, 11 July 2018, </w:t>
      </w:r>
      <w:r w:rsidRPr="00163505">
        <w:rPr>
          <w:i/>
          <w:sz w:val="20"/>
          <w:szCs w:val="20"/>
        </w:rPr>
        <w:t>Consultation Regulation Impact Statement: Labelling of sugars on packaged foods and drinks</w:t>
      </w:r>
      <w:r w:rsidRPr="00163505">
        <w:rPr>
          <w:sz w:val="20"/>
          <w:szCs w:val="20"/>
        </w:rPr>
        <w:t>, Department of Health</w:t>
      </w:r>
    </w:p>
    <w:p w14:paraId="63A05150" w14:textId="77777777" w:rsidR="00620F95" w:rsidRPr="00163505" w:rsidRDefault="00620F95" w:rsidP="0024269C">
      <w:pPr>
        <w:rPr>
          <w:sz w:val="20"/>
          <w:szCs w:val="20"/>
        </w:rPr>
      </w:pPr>
    </w:p>
    <w:p w14:paraId="185C5AC2" w14:textId="77777777" w:rsidR="00620F95" w:rsidRPr="00163505" w:rsidRDefault="00620F95" w:rsidP="0024269C">
      <w:pPr>
        <w:pStyle w:val="FootnoteText"/>
        <w:rPr>
          <w:sz w:val="20"/>
        </w:rPr>
      </w:pPr>
      <w:r w:rsidRPr="00163505">
        <w:rPr>
          <w:sz w:val="20"/>
        </w:rPr>
        <w:t xml:space="preserve">FSANZ, 2017, </w:t>
      </w:r>
      <w:r w:rsidRPr="009172FE">
        <w:rPr>
          <w:i/>
          <w:sz w:val="20"/>
        </w:rPr>
        <w:t>Australian and New Zealand Food Standards Code – Schedule 4 Nutrition, health and related claims</w:t>
      </w:r>
    </w:p>
    <w:p w14:paraId="2A127F26" w14:textId="77777777" w:rsidR="00620F95" w:rsidRPr="00163505" w:rsidRDefault="00620F95" w:rsidP="0024269C">
      <w:pPr>
        <w:pStyle w:val="FootnoteText"/>
        <w:rPr>
          <w:sz w:val="20"/>
        </w:rPr>
      </w:pPr>
    </w:p>
    <w:p w14:paraId="22A490E6" w14:textId="77777777" w:rsidR="00620F95" w:rsidRPr="00163505" w:rsidRDefault="00620F95" w:rsidP="0024269C">
      <w:pPr>
        <w:pStyle w:val="FootnoteText"/>
        <w:rPr>
          <w:sz w:val="20"/>
        </w:rPr>
      </w:pPr>
      <w:r w:rsidRPr="00163505">
        <w:rPr>
          <w:sz w:val="20"/>
        </w:rPr>
        <w:t xml:space="preserve">FSANZ, 2017, </w:t>
      </w:r>
      <w:r w:rsidRPr="009172FE">
        <w:rPr>
          <w:i/>
          <w:sz w:val="20"/>
        </w:rPr>
        <w:t>Australian and New Zealand Food Standards Code – Standard 1.2.8 – Nutrition information requirements</w:t>
      </w:r>
    </w:p>
    <w:p w14:paraId="1E5794F5" w14:textId="77777777" w:rsidR="00620F95" w:rsidRPr="00163505" w:rsidRDefault="00620F95" w:rsidP="0024269C">
      <w:pPr>
        <w:rPr>
          <w:sz w:val="20"/>
          <w:szCs w:val="20"/>
        </w:rPr>
      </w:pPr>
    </w:p>
    <w:p w14:paraId="02BD48EB" w14:textId="77777777" w:rsidR="00620F95" w:rsidRPr="00163505" w:rsidRDefault="00620F95" w:rsidP="0024269C">
      <w:pPr>
        <w:rPr>
          <w:sz w:val="20"/>
          <w:szCs w:val="20"/>
        </w:rPr>
      </w:pPr>
      <w:r w:rsidRPr="00163505">
        <w:rPr>
          <w:sz w:val="20"/>
          <w:szCs w:val="20"/>
        </w:rPr>
        <w:t xml:space="preserve">Grains &amp; Legumes Nutrition Council, June 2017, </w:t>
      </w:r>
      <w:r w:rsidRPr="009172FE">
        <w:rPr>
          <w:i/>
          <w:sz w:val="20"/>
          <w:szCs w:val="20"/>
        </w:rPr>
        <w:t>Code of Practice for Whole Grain Ingredient Content Claims</w:t>
      </w:r>
    </w:p>
    <w:p w14:paraId="32A30DE7" w14:textId="77777777" w:rsidR="00620F95" w:rsidRPr="00163505" w:rsidRDefault="00620F95" w:rsidP="0024269C">
      <w:pPr>
        <w:rPr>
          <w:sz w:val="20"/>
          <w:szCs w:val="20"/>
        </w:rPr>
      </w:pPr>
    </w:p>
    <w:p w14:paraId="3459290B" w14:textId="77777777" w:rsidR="00620F95" w:rsidRPr="00163505" w:rsidRDefault="00620F95" w:rsidP="0024269C">
      <w:pPr>
        <w:rPr>
          <w:sz w:val="20"/>
          <w:szCs w:val="20"/>
        </w:rPr>
      </w:pPr>
      <w:r w:rsidRPr="009172FE">
        <w:rPr>
          <w:i/>
          <w:sz w:val="20"/>
          <w:szCs w:val="20"/>
        </w:rPr>
        <w:t>Health Star Rating Advisory Committee anomalies table</w:t>
      </w:r>
      <w:r w:rsidRPr="00163505">
        <w:rPr>
          <w:sz w:val="20"/>
          <w:szCs w:val="20"/>
        </w:rPr>
        <w:t xml:space="preserve">, 11 March 2016, [http://www.healthstarrating.gov.au/internet/healthstarrating/publishing.nsf/Content/Applying-to-your-products#anomalies] </w:t>
      </w:r>
    </w:p>
    <w:p w14:paraId="5B885878" w14:textId="77777777" w:rsidR="00620F95" w:rsidRPr="00163505" w:rsidRDefault="00620F95" w:rsidP="0024269C">
      <w:pPr>
        <w:rPr>
          <w:sz w:val="20"/>
          <w:szCs w:val="20"/>
        </w:rPr>
      </w:pPr>
    </w:p>
    <w:p w14:paraId="18B6ECC1" w14:textId="77777777" w:rsidR="00620F95" w:rsidRPr="00163505" w:rsidRDefault="00620F95" w:rsidP="0024269C">
      <w:pPr>
        <w:rPr>
          <w:sz w:val="20"/>
          <w:szCs w:val="20"/>
        </w:rPr>
      </w:pPr>
      <w:r w:rsidRPr="00163505">
        <w:rPr>
          <w:sz w:val="20"/>
          <w:szCs w:val="20"/>
        </w:rPr>
        <w:t xml:space="preserve">Hess, J.; Latulippe, M.E.; Ayoob, K.; Slavin, J. The confusing world of dietary sugars: Definitions, intakes, food sources and international dietary recommendations. </w:t>
      </w:r>
      <w:r w:rsidRPr="009172FE">
        <w:rPr>
          <w:i/>
          <w:sz w:val="20"/>
          <w:szCs w:val="20"/>
        </w:rPr>
        <w:t>Food Funct</w:t>
      </w:r>
      <w:r w:rsidRPr="00163505">
        <w:rPr>
          <w:sz w:val="20"/>
          <w:szCs w:val="20"/>
        </w:rPr>
        <w:t>. 2012, 3, 477–486</w:t>
      </w:r>
    </w:p>
    <w:p w14:paraId="3CA576F0" w14:textId="77777777" w:rsidR="00620F95" w:rsidRPr="00163505" w:rsidRDefault="00620F95" w:rsidP="0024269C">
      <w:pPr>
        <w:rPr>
          <w:sz w:val="20"/>
          <w:szCs w:val="20"/>
        </w:rPr>
      </w:pPr>
    </w:p>
    <w:p w14:paraId="32D0B253" w14:textId="6D2E4ECA" w:rsidR="00620F95" w:rsidRPr="00163505" w:rsidRDefault="00620F95" w:rsidP="0024269C">
      <w:pPr>
        <w:rPr>
          <w:sz w:val="20"/>
          <w:szCs w:val="20"/>
        </w:rPr>
      </w:pPr>
      <w:r w:rsidRPr="00163505">
        <w:rPr>
          <w:iCs/>
          <w:sz w:val="20"/>
          <w:szCs w:val="20"/>
        </w:rPr>
        <w:t>Rayner, M., Scarborough, P. &amp; Lobstein, T</w:t>
      </w:r>
      <w:r w:rsidR="009172FE" w:rsidRPr="00163505">
        <w:rPr>
          <w:sz w:val="20"/>
          <w:szCs w:val="20"/>
        </w:rPr>
        <w:t xml:space="preserve">, </w:t>
      </w:r>
      <w:r w:rsidR="009172FE" w:rsidRPr="00163505">
        <w:rPr>
          <w:iCs/>
          <w:sz w:val="20"/>
          <w:szCs w:val="20"/>
        </w:rPr>
        <w:t>October 2009</w:t>
      </w:r>
      <w:r w:rsidR="009172FE">
        <w:rPr>
          <w:iCs/>
          <w:sz w:val="20"/>
          <w:szCs w:val="20"/>
        </w:rPr>
        <w:t xml:space="preserve">, </w:t>
      </w:r>
      <w:r w:rsidRPr="009172FE">
        <w:rPr>
          <w:i/>
          <w:sz w:val="20"/>
          <w:szCs w:val="20"/>
        </w:rPr>
        <w:t>The UK Ofcom Nutrient Profiling Model: Defining ‘healthy’ and ‘unhealthy’ foods and drinks for TV advertising for children</w:t>
      </w:r>
    </w:p>
    <w:p w14:paraId="0AABF64A" w14:textId="77777777" w:rsidR="005F0B88" w:rsidRDefault="005F0B88" w:rsidP="005F0B88">
      <w:pPr>
        <w:pStyle w:val="FootnoteText"/>
        <w:rPr>
          <w:sz w:val="20"/>
        </w:rPr>
      </w:pPr>
    </w:p>
    <w:p w14:paraId="6ED367F5" w14:textId="1C87393F" w:rsidR="005F0B88" w:rsidRPr="005F0B88" w:rsidRDefault="005F0B88" w:rsidP="005F0B88">
      <w:pPr>
        <w:pStyle w:val="FootnoteText"/>
        <w:rPr>
          <w:sz w:val="20"/>
        </w:rPr>
      </w:pPr>
      <w:r w:rsidRPr="005F0B88">
        <w:rPr>
          <w:sz w:val="20"/>
        </w:rPr>
        <w:t xml:space="preserve">Signal L N, Stanley J, Smith M, Barr M B, Chambers T J, Zhou J, Duane A, Gurrin C, Smeaton A F, McKerchar C, Pearson A L, Hoek J, Jenkin G L S, Ni Mhurchu C, </w:t>
      </w:r>
      <w:r w:rsidRPr="005F0B88">
        <w:rPr>
          <w:i/>
          <w:sz w:val="20"/>
        </w:rPr>
        <w:t>Children’s everyday exposure to food marketing: an objective analysis using wearable cameras</w:t>
      </w:r>
      <w:r w:rsidRPr="005F0B88">
        <w:rPr>
          <w:sz w:val="20"/>
        </w:rPr>
        <w:t>, International Journal of Behavioural Nutrition and Physical Activity, 14 (137)</w:t>
      </w:r>
    </w:p>
    <w:p w14:paraId="3F48134C" w14:textId="77777777" w:rsidR="005F0B88" w:rsidRDefault="005F0B88" w:rsidP="005F0B88">
      <w:pPr>
        <w:rPr>
          <w:sz w:val="20"/>
          <w:szCs w:val="20"/>
        </w:rPr>
      </w:pPr>
    </w:p>
    <w:p w14:paraId="4B1916A9" w14:textId="77777777" w:rsidR="005F0B88" w:rsidRPr="005F0B88" w:rsidRDefault="005F0B88" w:rsidP="005F0B88">
      <w:pPr>
        <w:rPr>
          <w:sz w:val="20"/>
          <w:szCs w:val="20"/>
        </w:rPr>
      </w:pPr>
      <w:r w:rsidRPr="005F0B88">
        <w:rPr>
          <w:sz w:val="20"/>
          <w:szCs w:val="20"/>
        </w:rPr>
        <w:t xml:space="preserve">Vandevijvere S, Swinburn B, 3 July 2015, </w:t>
      </w:r>
      <w:r w:rsidRPr="005F0B88">
        <w:rPr>
          <w:i/>
          <w:sz w:val="20"/>
          <w:szCs w:val="20"/>
        </w:rPr>
        <w:t>Getting serious about protecting New Zealand children against unhealthy food marketing</w:t>
      </w:r>
      <w:r w:rsidRPr="005F0B88">
        <w:rPr>
          <w:sz w:val="20"/>
          <w:szCs w:val="20"/>
        </w:rPr>
        <w:t>, New Zealand Medical Association, 128 (1417)</w:t>
      </w:r>
    </w:p>
    <w:p w14:paraId="0B55EB87" w14:textId="77777777" w:rsidR="00620F95" w:rsidRPr="00163505" w:rsidRDefault="00620F95" w:rsidP="0024269C">
      <w:pPr>
        <w:rPr>
          <w:sz w:val="20"/>
          <w:szCs w:val="20"/>
        </w:rPr>
      </w:pPr>
    </w:p>
    <w:p w14:paraId="7A39578E" w14:textId="77777777" w:rsidR="00620F95" w:rsidRPr="00163505" w:rsidRDefault="00620F95" w:rsidP="0024269C">
      <w:pPr>
        <w:rPr>
          <w:sz w:val="20"/>
          <w:szCs w:val="20"/>
        </w:rPr>
      </w:pPr>
      <w:r w:rsidRPr="00163505">
        <w:rPr>
          <w:sz w:val="20"/>
          <w:szCs w:val="20"/>
        </w:rPr>
        <w:t xml:space="preserve">World Health Organization, 24 August 2018, </w:t>
      </w:r>
      <w:r w:rsidRPr="00163505">
        <w:rPr>
          <w:i/>
          <w:sz w:val="20"/>
          <w:szCs w:val="20"/>
        </w:rPr>
        <w:t>Healthy Diet</w:t>
      </w:r>
      <w:r w:rsidRPr="00163505">
        <w:rPr>
          <w:sz w:val="20"/>
          <w:szCs w:val="20"/>
        </w:rPr>
        <w:t>, [http://www.who.int/news-room/fact-sheets/detail/healthy-diet]</w:t>
      </w:r>
    </w:p>
    <w:p w14:paraId="04E0E7AA" w14:textId="77777777" w:rsidR="00620F95" w:rsidRPr="00163505" w:rsidRDefault="00620F95" w:rsidP="0024269C">
      <w:pPr>
        <w:rPr>
          <w:sz w:val="20"/>
          <w:szCs w:val="20"/>
        </w:rPr>
      </w:pPr>
    </w:p>
    <w:p w14:paraId="3F0F8399" w14:textId="28993D24" w:rsidR="005F0B88" w:rsidRPr="005F0B88" w:rsidRDefault="009172FE" w:rsidP="0024269C">
      <w:pPr>
        <w:rPr>
          <w:sz w:val="20"/>
          <w:szCs w:val="20"/>
        </w:rPr>
      </w:pPr>
      <w:r>
        <w:rPr>
          <w:sz w:val="20"/>
          <w:szCs w:val="20"/>
        </w:rPr>
        <w:t>World Health Organiz</w:t>
      </w:r>
      <w:r w:rsidR="00620F95" w:rsidRPr="00163505">
        <w:rPr>
          <w:sz w:val="20"/>
          <w:szCs w:val="20"/>
        </w:rPr>
        <w:t xml:space="preserve">ation, </w:t>
      </w:r>
      <w:r w:rsidR="00620F95" w:rsidRPr="009172FE">
        <w:rPr>
          <w:i/>
          <w:sz w:val="20"/>
          <w:szCs w:val="20"/>
        </w:rPr>
        <w:t>Guideline: Sugars intake for adults and children</w:t>
      </w:r>
      <w:r w:rsidR="00620F95" w:rsidRPr="00163505">
        <w:rPr>
          <w:sz w:val="20"/>
          <w:szCs w:val="20"/>
        </w:rPr>
        <w:t>, Geneva, 2015</w:t>
      </w:r>
    </w:p>
    <w:p w14:paraId="4255C743" w14:textId="77777777" w:rsidR="005F0B88" w:rsidRPr="005F0B88" w:rsidRDefault="005F0B88">
      <w:pPr>
        <w:rPr>
          <w:sz w:val="20"/>
          <w:szCs w:val="20"/>
        </w:rPr>
      </w:pPr>
    </w:p>
    <w:sectPr w:rsidR="005F0B88" w:rsidRPr="005F0B88" w:rsidSect="00E50026">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FFEB" w14:textId="77777777" w:rsidR="00C33EA2" w:rsidRDefault="00C33EA2" w:rsidP="0024269C">
      <w:r>
        <w:separator/>
      </w:r>
    </w:p>
  </w:endnote>
  <w:endnote w:type="continuationSeparator" w:id="0">
    <w:p w14:paraId="591578AF" w14:textId="77777777" w:rsidR="00C33EA2" w:rsidRDefault="00C33EA2" w:rsidP="002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Body)">
    <w:charset w:val="00"/>
    <w:family w:val="roman"/>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5C7" w14:textId="77777777" w:rsidR="009D621A" w:rsidRPr="0003409A" w:rsidRDefault="009D621A" w:rsidP="00242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978A" w14:textId="77777777" w:rsidR="009D621A" w:rsidRDefault="009D621A" w:rsidP="00A313E3">
    <w:pPr>
      <w:pStyle w:val="Footer"/>
      <w:pBdr>
        <w:top w:val="single" w:sz="4" w:space="1" w:color="auto"/>
      </w:pBdr>
      <w:jc w:val="center"/>
      <w:rPr>
        <w:sz w:val="20"/>
        <w:szCs w:val="20"/>
      </w:rPr>
    </w:pPr>
  </w:p>
  <w:p w14:paraId="3C099914" w14:textId="35A454C2" w:rsidR="009D621A" w:rsidRPr="0024269C" w:rsidRDefault="009D621A" w:rsidP="00A313E3">
    <w:pPr>
      <w:pStyle w:val="Footer"/>
      <w:pBdr>
        <w:top w:val="single" w:sz="4" w:space="1" w:color="auto"/>
      </w:pBdr>
      <w:jc w:val="center"/>
      <w:rPr>
        <w:sz w:val="20"/>
        <w:szCs w:val="20"/>
      </w:rPr>
    </w:pPr>
    <w:r w:rsidRPr="0024269C">
      <w:rPr>
        <w:sz w:val="20"/>
        <w:szCs w:val="20"/>
      </w:rPr>
      <w:t xml:space="preserve">Five Year Review of the Health Star Rating </w:t>
    </w:r>
    <w:r>
      <w:rPr>
        <w:sz w:val="20"/>
        <w:szCs w:val="20"/>
      </w:rPr>
      <w:t>S</w:t>
    </w:r>
    <w:r w:rsidRPr="0024269C">
      <w:rPr>
        <w:sz w:val="20"/>
        <w:szCs w:val="20"/>
      </w:rPr>
      <w:t>ystem: Consultation Paper</w:t>
    </w:r>
    <w:r>
      <w:rPr>
        <w:sz w:val="20"/>
        <w:szCs w:val="20"/>
      </w:rPr>
      <w:t>, October 2018</w:t>
    </w:r>
    <w:r w:rsidRPr="0024269C">
      <w:rPr>
        <w:sz w:val="20"/>
        <w:szCs w:val="20"/>
      </w:rPr>
      <w:tab/>
    </w:r>
    <w:r w:rsidRPr="0024269C">
      <w:rPr>
        <w:rStyle w:val="PageNumber"/>
        <w:color w:val="000000" w:themeColor="text1"/>
        <w:sz w:val="20"/>
        <w:szCs w:val="20"/>
      </w:rPr>
      <w:t xml:space="preserve">Page </w:t>
    </w:r>
    <w:r w:rsidRPr="0024269C">
      <w:rPr>
        <w:rStyle w:val="PageNumber"/>
        <w:color w:val="000000" w:themeColor="text1"/>
        <w:sz w:val="20"/>
        <w:szCs w:val="20"/>
      </w:rPr>
      <w:fldChar w:fldCharType="begin"/>
    </w:r>
    <w:r w:rsidRPr="0024269C">
      <w:rPr>
        <w:rStyle w:val="PageNumber"/>
        <w:color w:val="000000" w:themeColor="text1"/>
        <w:sz w:val="20"/>
        <w:szCs w:val="20"/>
      </w:rPr>
      <w:instrText xml:space="preserve"> PAGE  \* MERGEFORMAT </w:instrText>
    </w:r>
    <w:r w:rsidRPr="0024269C">
      <w:rPr>
        <w:rStyle w:val="PageNumber"/>
        <w:color w:val="000000" w:themeColor="text1"/>
        <w:sz w:val="20"/>
        <w:szCs w:val="20"/>
      </w:rPr>
      <w:fldChar w:fldCharType="separate"/>
    </w:r>
    <w:r w:rsidR="00F17EE9">
      <w:rPr>
        <w:rStyle w:val="PageNumber"/>
        <w:noProof/>
        <w:color w:val="000000" w:themeColor="text1"/>
        <w:sz w:val="20"/>
        <w:szCs w:val="20"/>
      </w:rPr>
      <w:t>58</w:t>
    </w:r>
    <w:r w:rsidRPr="0024269C">
      <w:rPr>
        <w:rStyle w:val="PageNumber"/>
        <w:color w:val="000000" w:themeColor="text1"/>
        <w:sz w:val="20"/>
        <w:szCs w:val="20"/>
      </w:rPr>
      <w:fldChar w:fldCharType="end"/>
    </w:r>
    <w:r w:rsidRPr="0024269C">
      <w:rPr>
        <w:rStyle w:val="PageNumber"/>
        <w:color w:val="000000" w:themeColor="text1"/>
        <w:sz w:val="20"/>
        <w:szCs w:val="20"/>
      </w:rPr>
      <w:t xml:space="preserve"> of </w:t>
    </w:r>
    <w:r w:rsidRPr="0024269C">
      <w:rPr>
        <w:rStyle w:val="PageNumber"/>
        <w:color w:val="000000" w:themeColor="text1"/>
        <w:sz w:val="20"/>
        <w:szCs w:val="20"/>
      </w:rPr>
      <w:fldChar w:fldCharType="begin"/>
    </w:r>
    <w:r w:rsidRPr="0024269C">
      <w:rPr>
        <w:rStyle w:val="PageNumber"/>
        <w:color w:val="000000" w:themeColor="text1"/>
        <w:sz w:val="20"/>
        <w:szCs w:val="20"/>
      </w:rPr>
      <w:instrText xml:space="preserve"> NUMPAGES  \* MERGEFORMAT </w:instrText>
    </w:r>
    <w:r w:rsidRPr="0024269C">
      <w:rPr>
        <w:rStyle w:val="PageNumber"/>
        <w:color w:val="000000" w:themeColor="text1"/>
        <w:sz w:val="20"/>
        <w:szCs w:val="20"/>
      </w:rPr>
      <w:fldChar w:fldCharType="separate"/>
    </w:r>
    <w:r w:rsidR="00F17EE9">
      <w:rPr>
        <w:rStyle w:val="PageNumber"/>
        <w:noProof/>
        <w:color w:val="000000" w:themeColor="text1"/>
        <w:sz w:val="20"/>
        <w:szCs w:val="20"/>
      </w:rPr>
      <w:t>77</w:t>
    </w:r>
    <w:r w:rsidRPr="0024269C">
      <w:rPr>
        <w:rStyle w:val="PageNumber"/>
        <w:color w:val="000000" w:themeColor="tex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43C5" w14:textId="77777777" w:rsidR="009D621A" w:rsidRDefault="009D621A" w:rsidP="00163505">
    <w:pPr>
      <w:pStyle w:val="Footer"/>
      <w:pBdr>
        <w:top w:val="single" w:sz="4" w:space="1" w:color="auto"/>
      </w:pBdr>
      <w:jc w:val="center"/>
      <w:rPr>
        <w:sz w:val="20"/>
        <w:szCs w:val="20"/>
      </w:rPr>
    </w:pPr>
  </w:p>
  <w:p w14:paraId="5A9DD6B9" w14:textId="10F44448" w:rsidR="009D621A" w:rsidRPr="00163505" w:rsidRDefault="009D621A" w:rsidP="00163505">
    <w:pPr>
      <w:pStyle w:val="Footer"/>
      <w:pBdr>
        <w:top w:val="single" w:sz="4" w:space="1" w:color="auto"/>
      </w:pBdr>
      <w:jc w:val="center"/>
      <w:rPr>
        <w:sz w:val="20"/>
        <w:szCs w:val="20"/>
      </w:rPr>
    </w:pPr>
    <w:r w:rsidRPr="00163505">
      <w:rPr>
        <w:sz w:val="20"/>
        <w:szCs w:val="20"/>
      </w:rPr>
      <w:t>Five Year Review of the Health Star Rating System: Consultation Paper, October 2018</w:t>
    </w:r>
    <w:r w:rsidRPr="00163505">
      <w:rPr>
        <w:sz w:val="20"/>
        <w:szCs w:val="20"/>
      </w:rPr>
      <w:tab/>
    </w:r>
    <w:r w:rsidRPr="00163505">
      <w:rPr>
        <w:rStyle w:val="PageNumber"/>
        <w:color w:val="000000" w:themeColor="text1"/>
        <w:sz w:val="20"/>
        <w:szCs w:val="20"/>
      </w:rPr>
      <w:t xml:space="preserve">Page </w:t>
    </w:r>
    <w:r w:rsidRPr="00163505">
      <w:rPr>
        <w:rStyle w:val="PageNumber"/>
        <w:color w:val="000000" w:themeColor="text1"/>
        <w:sz w:val="20"/>
        <w:szCs w:val="20"/>
      </w:rPr>
      <w:fldChar w:fldCharType="begin"/>
    </w:r>
    <w:r w:rsidRPr="00163505">
      <w:rPr>
        <w:rStyle w:val="PageNumber"/>
        <w:color w:val="000000" w:themeColor="text1"/>
        <w:sz w:val="20"/>
        <w:szCs w:val="20"/>
      </w:rPr>
      <w:instrText xml:space="preserve"> PAGE  \* MERGEFORMAT </w:instrText>
    </w:r>
    <w:r w:rsidRPr="00163505">
      <w:rPr>
        <w:rStyle w:val="PageNumber"/>
        <w:color w:val="000000" w:themeColor="text1"/>
        <w:sz w:val="20"/>
        <w:szCs w:val="20"/>
      </w:rPr>
      <w:fldChar w:fldCharType="separate"/>
    </w:r>
    <w:r w:rsidR="00F17EE9">
      <w:rPr>
        <w:rStyle w:val="PageNumber"/>
        <w:noProof/>
        <w:color w:val="000000" w:themeColor="text1"/>
        <w:sz w:val="20"/>
        <w:szCs w:val="20"/>
      </w:rPr>
      <w:t>74</w:t>
    </w:r>
    <w:r w:rsidRPr="00163505">
      <w:rPr>
        <w:rStyle w:val="PageNumber"/>
        <w:color w:val="000000" w:themeColor="text1"/>
        <w:sz w:val="20"/>
        <w:szCs w:val="20"/>
      </w:rPr>
      <w:fldChar w:fldCharType="end"/>
    </w:r>
    <w:r w:rsidRPr="00163505">
      <w:rPr>
        <w:rStyle w:val="PageNumber"/>
        <w:color w:val="000000" w:themeColor="text1"/>
        <w:sz w:val="20"/>
        <w:szCs w:val="20"/>
      </w:rPr>
      <w:t xml:space="preserve"> of </w:t>
    </w:r>
    <w:r w:rsidRPr="00163505">
      <w:rPr>
        <w:rStyle w:val="PageNumber"/>
        <w:color w:val="000000" w:themeColor="text1"/>
        <w:sz w:val="20"/>
        <w:szCs w:val="20"/>
      </w:rPr>
      <w:fldChar w:fldCharType="begin"/>
    </w:r>
    <w:r w:rsidRPr="00163505">
      <w:rPr>
        <w:rStyle w:val="PageNumber"/>
        <w:color w:val="000000" w:themeColor="text1"/>
        <w:sz w:val="20"/>
        <w:szCs w:val="20"/>
      </w:rPr>
      <w:instrText xml:space="preserve"> NUMPAGES  \* MERGEFORMAT </w:instrText>
    </w:r>
    <w:r w:rsidRPr="00163505">
      <w:rPr>
        <w:rStyle w:val="PageNumber"/>
        <w:color w:val="000000" w:themeColor="text1"/>
        <w:sz w:val="20"/>
        <w:szCs w:val="20"/>
      </w:rPr>
      <w:fldChar w:fldCharType="separate"/>
    </w:r>
    <w:r w:rsidR="00F17EE9">
      <w:rPr>
        <w:rStyle w:val="PageNumber"/>
        <w:noProof/>
        <w:color w:val="000000" w:themeColor="text1"/>
        <w:sz w:val="20"/>
        <w:szCs w:val="20"/>
      </w:rPr>
      <w:t>77</w:t>
    </w:r>
    <w:r w:rsidRPr="00163505">
      <w:rPr>
        <w:rStyle w:val="PageNumbe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C0F9B" w14:textId="77777777" w:rsidR="00C33EA2" w:rsidRDefault="00C33EA2" w:rsidP="0024269C">
      <w:r>
        <w:separator/>
      </w:r>
    </w:p>
  </w:footnote>
  <w:footnote w:type="continuationSeparator" w:id="0">
    <w:p w14:paraId="60330285" w14:textId="77777777" w:rsidR="00C33EA2" w:rsidRDefault="00C33EA2" w:rsidP="0024269C">
      <w:r>
        <w:continuationSeparator/>
      </w:r>
    </w:p>
  </w:footnote>
  <w:footnote w:id="1">
    <w:p w14:paraId="4BF71F9E" w14:textId="77777777" w:rsidR="009D621A" w:rsidRPr="002D17A9" w:rsidRDefault="009D621A" w:rsidP="0024269C">
      <w:pPr>
        <w:pStyle w:val="FootnoteText"/>
      </w:pPr>
      <w:r w:rsidRPr="002D17A9">
        <w:rPr>
          <w:rStyle w:val="FootnoteReference"/>
          <w:szCs w:val="18"/>
        </w:rPr>
        <w:footnoteRef/>
      </w:r>
      <w:r w:rsidRPr="002D17A9">
        <w:t xml:space="preserve"> National Health and Medical Research Council, February 2013, </w:t>
      </w:r>
      <w:r w:rsidRPr="005F0B88">
        <w:rPr>
          <w:i/>
        </w:rPr>
        <w:t>Australian Dietary Guidelines – Providing the scientific evidence for healthier Australian diets</w:t>
      </w:r>
      <w:r w:rsidRPr="002D17A9">
        <w:t>, Canberra</w:t>
      </w:r>
    </w:p>
  </w:footnote>
  <w:footnote w:id="2">
    <w:p w14:paraId="6284E0B7" w14:textId="77777777" w:rsidR="009D621A" w:rsidRPr="002D17A9" w:rsidRDefault="009D621A" w:rsidP="0024269C">
      <w:pPr>
        <w:pStyle w:val="FootnoteText"/>
      </w:pPr>
      <w:r w:rsidRPr="002D17A9">
        <w:rPr>
          <w:rStyle w:val="FootnoteReference"/>
          <w:szCs w:val="18"/>
        </w:rPr>
        <w:footnoteRef/>
      </w:r>
      <w:r w:rsidRPr="002D17A9">
        <w:t xml:space="preserve"> Ministry of Health, October 2015, </w:t>
      </w:r>
      <w:r w:rsidRPr="005F0B88">
        <w:rPr>
          <w:i/>
        </w:rPr>
        <w:t>Eating and Activity Guidelines for New Zealand Adults</w:t>
      </w:r>
      <w:r w:rsidRPr="002D17A9">
        <w:t>, Wellington</w:t>
      </w:r>
    </w:p>
  </w:footnote>
  <w:footnote w:id="3">
    <w:p w14:paraId="64434369" w14:textId="77777777" w:rsidR="009D621A" w:rsidRPr="009C669C" w:rsidRDefault="009D621A" w:rsidP="0024269C">
      <w:pPr>
        <w:pStyle w:val="FootnoteText"/>
      </w:pPr>
      <w:r w:rsidRPr="009C669C">
        <w:rPr>
          <w:rStyle w:val="FootnoteReference"/>
          <w:szCs w:val="18"/>
        </w:rPr>
        <w:footnoteRef/>
      </w:r>
      <w:r w:rsidRPr="009C669C">
        <w:t xml:space="preserve"> Australian Bureau of Statistics, </w:t>
      </w:r>
      <w:r w:rsidRPr="005F0B88">
        <w:rPr>
          <w:i/>
        </w:rPr>
        <w:t>Australian Health Survey 2011-12</w:t>
      </w:r>
    </w:p>
  </w:footnote>
  <w:footnote w:id="4">
    <w:p w14:paraId="037E106E" w14:textId="77777777" w:rsidR="009D621A" w:rsidRDefault="009D621A" w:rsidP="0024269C">
      <w:pPr>
        <w:pStyle w:val="FootnoteText"/>
      </w:pPr>
      <w:r w:rsidRPr="009C669C">
        <w:rPr>
          <w:rStyle w:val="FootnoteReference"/>
          <w:szCs w:val="18"/>
        </w:rPr>
        <w:footnoteRef/>
      </w:r>
      <w:r w:rsidRPr="009C669C">
        <w:t xml:space="preserve"> Ministry of Health, </w:t>
      </w:r>
      <w:r w:rsidRPr="005F0B88">
        <w:rPr>
          <w:i/>
        </w:rPr>
        <w:t>A Focus on Nutrition: Key Findings of the 2008/09 New Zealand Adult Nutrition Survey</w:t>
      </w:r>
    </w:p>
  </w:footnote>
  <w:footnote w:id="5">
    <w:p w14:paraId="2E6E1FCB" w14:textId="77777777" w:rsidR="009D621A" w:rsidRDefault="009D621A" w:rsidP="0024269C">
      <w:pPr>
        <w:pStyle w:val="FootnoteText"/>
      </w:pPr>
      <w:r>
        <w:rPr>
          <w:rStyle w:val="FootnoteReference"/>
        </w:rPr>
        <w:footnoteRef/>
      </w:r>
      <w:r>
        <w:t xml:space="preserve"> </w:t>
      </w:r>
      <w:r w:rsidRPr="00BD6BE7">
        <w:rPr>
          <w:lang w:val="en-GB"/>
        </w:rPr>
        <w:t>Australian Bureau of Statistics</w:t>
      </w:r>
      <w:r w:rsidRPr="00BD6BE7">
        <w:t xml:space="preserve">, 9 May 2014, </w:t>
      </w:r>
      <w:r w:rsidRPr="005F0B88">
        <w:rPr>
          <w:i/>
        </w:rPr>
        <w:t>4363.0.55.001 - Australian Health Survey: Users' Guide, 2011-13, Discretionary Foods</w:t>
      </w:r>
    </w:p>
  </w:footnote>
  <w:footnote w:id="6">
    <w:p w14:paraId="326ACF78" w14:textId="667C14C7" w:rsidR="009D621A" w:rsidRPr="000C24FC" w:rsidRDefault="009D621A" w:rsidP="0024269C">
      <w:pPr>
        <w:pStyle w:val="FootnoteText"/>
      </w:pPr>
      <w:r w:rsidRPr="000C24FC">
        <w:rPr>
          <w:rStyle w:val="FootnoteReference"/>
          <w:szCs w:val="18"/>
        </w:rPr>
        <w:footnoteRef/>
      </w:r>
      <w:r w:rsidRPr="000C24FC">
        <w:t xml:space="preserve"> </w:t>
      </w:r>
      <w:r>
        <w:t xml:space="preserve">Uptake figures for Australia as at end March 2018. </w:t>
      </w:r>
      <w:r w:rsidRPr="000C24FC">
        <w:rPr>
          <w:rFonts w:cs="Arial"/>
        </w:rPr>
        <w:t>National Heart Foundation, April 2018</w:t>
      </w:r>
      <w:r w:rsidRPr="005F0B88">
        <w:rPr>
          <w:rFonts w:cs="Arial"/>
          <w:i/>
        </w:rPr>
        <w:t xml:space="preserve">, </w:t>
      </w:r>
      <w:r>
        <w:rPr>
          <w:i/>
        </w:rPr>
        <w:t>Report for Wave 7 of additional</w:t>
      </w:r>
      <w:r w:rsidRPr="005F0B88">
        <w:rPr>
          <w:i/>
        </w:rPr>
        <w:t xml:space="preserve"> update monitoring of the Health Star Rating (HSR) System, in Australia. February-March 2018</w:t>
      </w:r>
      <w:r>
        <w:t>, prepared for the Department of Health</w:t>
      </w:r>
    </w:p>
  </w:footnote>
  <w:footnote w:id="7">
    <w:p w14:paraId="3BEC3201" w14:textId="5697E8BA" w:rsidR="009D621A" w:rsidRPr="000C24FC" w:rsidRDefault="009D621A" w:rsidP="0024269C">
      <w:pPr>
        <w:pStyle w:val="FootnoteText"/>
      </w:pPr>
      <w:r w:rsidRPr="00227CF0">
        <w:rPr>
          <w:rStyle w:val="FootnoteReference"/>
          <w:szCs w:val="18"/>
        </w:rPr>
        <w:footnoteRef/>
      </w:r>
      <w:r w:rsidRPr="00227CF0">
        <w:t xml:space="preserve"> </w:t>
      </w:r>
      <w:r>
        <w:t xml:space="preserve">Uptake figures for New Zealand as at end June 2018. Data provided by industry to the </w:t>
      </w:r>
      <w:r w:rsidRPr="00227CF0">
        <w:t xml:space="preserve">Ministry of Primary Industries, </w:t>
      </w:r>
      <w:r>
        <w:t>24 September</w:t>
      </w:r>
      <w:r w:rsidRPr="00227CF0">
        <w:t xml:space="preserve"> 2018</w:t>
      </w:r>
    </w:p>
  </w:footnote>
  <w:footnote w:id="8">
    <w:p w14:paraId="48BD19DD" w14:textId="36C26E4C" w:rsidR="009D621A" w:rsidRPr="009E7EA4" w:rsidRDefault="009D621A" w:rsidP="0024269C">
      <w:pPr>
        <w:pStyle w:val="FootnoteText"/>
        <w:rPr>
          <w:szCs w:val="18"/>
        </w:rPr>
      </w:pPr>
      <w:r w:rsidRPr="000C24FC">
        <w:rPr>
          <w:rStyle w:val="FootnoteReference"/>
          <w:szCs w:val="18"/>
        </w:rPr>
        <w:footnoteRef/>
      </w:r>
      <w:r w:rsidRPr="000C24FC">
        <w:rPr>
          <w:szCs w:val="18"/>
        </w:rPr>
        <w:t xml:space="preserve"> Jones, A, Shahid, M &amp; Neal, B ‘Uptake of Australia’s Health Star Rating System’, </w:t>
      </w:r>
      <w:r w:rsidRPr="000C24FC">
        <w:rPr>
          <w:i/>
          <w:szCs w:val="18"/>
        </w:rPr>
        <w:t>Nutrients</w:t>
      </w:r>
      <w:r>
        <w:rPr>
          <w:szCs w:val="18"/>
        </w:rPr>
        <w:t>, July 2018</w:t>
      </w:r>
    </w:p>
  </w:footnote>
  <w:footnote w:id="9">
    <w:p w14:paraId="76ACCF66" w14:textId="0EF06C2D" w:rsidR="009D621A" w:rsidRPr="000C24FC" w:rsidRDefault="009D621A" w:rsidP="0024269C">
      <w:pPr>
        <w:pStyle w:val="FootnoteText"/>
      </w:pPr>
      <w:r w:rsidRPr="000C24FC">
        <w:rPr>
          <w:rStyle w:val="FootnoteReference"/>
          <w:szCs w:val="18"/>
        </w:rPr>
        <w:footnoteRef/>
      </w:r>
      <w:r w:rsidRPr="000C24FC">
        <w:t xml:space="preserve"> </w:t>
      </w:r>
      <w:r w:rsidRPr="001E5F1C">
        <w:t xml:space="preserve">Colmar Brunton, 2018, </w:t>
      </w:r>
      <w:r w:rsidRPr="0098128C">
        <w:rPr>
          <w:i/>
        </w:rPr>
        <w:t>2018 Health Star Rating monitoring and evaluation: Year 2 follow-up research report</w:t>
      </w:r>
      <w:r w:rsidRPr="001E5F1C">
        <w:t>, prepared for the Health Promotion Agency</w:t>
      </w:r>
    </w:p>
  </w:footnote>
  <w:footnote w:id="10">
    <w:p w14:paraId="16A57D5F" w14:textId="73C78E2C" w:rsidR="009D621A" w:rsidRPr="000C24FC" w:rsidRDefault="009D621A" w:rsidP="0024269C">
      <w:pPr>
        <w:pStyle w:val="FootnoteText"/>
      </w:pPr>
      <w:r w:rsidRPr="000C24FC">
        <w:rPr>
          <w:rStyle w:val="FootnoteReference"/>
          <w:szCs w:val="18"/>
        </w:rPr>
        <w:footnoteRef/>
      </w:r>
      <w:r w:rsidRPr="000C24FC">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0C24FC">
        <w:t xml:space="preserve">, </w:t>
      </w:r>
      <w:r>
        <w:t>prepared for the Department of Health</w:t>
      </w:r>
    </w:p>
  </w:footnote>
  <w:footnote w:id="11">
    <w:p w14:paraId="42F4AAE1" w14:textId="77777777" w:rsidR="009D621A" w:rsidRPr="000C24FC" w:rsidRDefault="009D621A" w:rsidP="0024269C">
      <w:pPr>
        <w:pStyle w:val="FootnoteText"/>
      </w:pPr>
      <w:r w:rsidRPr="000C24FC">
        <w:rPr>
          <w:rStyle w:val="FootnoteReference"/>
          <w:szCs w:val="18"/>
        </w:rPr>
        <w:footnoteRef/>
      </w:r>
      <w:r w:rsidRPr="000C24FC">
        <w:t xml:space="preserve"> </w:t>
      </w:r>
      <w:r w:rsidRPr="001E5F1C">
        <w:t xml:space="preserve">Colmar Brunton, 2018, </w:t>
      </w:r>
      <w:r w:rsidRPr="0098128C">
        <w:rPr>
          <w:i/>
        </w:rPr>
        <w:t>2018 Health Star Rating monitoring and evaluation: Year 2 follow-up research report</w:t>
      </w:r>
      <w:r w:rsidRPr="001E5F1C">
        <w:t>, prepared for the Health Promotion Agency</w:t>
      </w:r>
    </w:p>
  </w:footnote>
  <w:footnote w:id="12">
    <w:p w14:paraId="6E7F5C36" w14:textId="000323B7" w:rsidR="009D621A" w:rsidRPr="0098128C" w:rsidRDefault="009D621A" w:rsidP="0024269C">
      <w:pPr>
        <w:pStyle w:val="FootnoteText"/>
        <w:rPr>
          <w:i/>
        </w:rPr>
      </w:pPr>
      <w:r w:rsidRPr="009E7EA4">
        <w:rPr>
          <w:rStyle w:val="FootnoteReference"/>
          <w:szCs w:val="18"/>
        </w:rPr>
        <w:footnoteRef/>
      </w:r>
      <w:r w:rsidRPr="009E7EA4">
        <w:t xml:space="preserve"> </w:t>
      </w:r>
      <w:r>
        <w:t xml:space="preserve">Health Star Rating Advisory Committee, April 2017, </w:t>
      </w:r>
      <w:r w:rsidRPr="0098128C">
        <w:rPr>
          <w:i/>
        </w:rPr>
        <w:t xml:space="preserve">Two year progress review report on the implementation of the Health </w:t>
      </w:r>
      <w:r>
        <w:rPr>
          <w:i/>
        </w:rPr>
        <w:t>Star Rating system – June 2014 -</w:t>
      </w:r>
      <w:r w:rsidRPr="0098128C">
        <w:rPr>
          <w:i/>
        </w:rPr>
        <w:t xml:space="preserve"> June 2016</w:t>
      </w:r>
    </w:p>
  </w:footnote>
  <w:footnote w:id="13">
    <w:p w14:paraId="0BD33B0B" w14:textId="77777777" w:rsidR="009D621A" w:rsidRPr="005F0C6B" w:rsidRDefault="009D621A" w:rsidP="0024269C">
      <w:pPr>
        <w:pStyle w:val="FootnoteText"/>
      </w:pPr>
      <w:r w:rsidRPr="009E7EA4">
        <w:rPr>
          <w:rStyle w:val="FootnoteReference"/>
          <w:szCs w:val="18"/>
        </w:rPr>
        <w:footnoteRef/>
      </w:r>
      <w:r w:rsidRPr="009E7EA4">
        <w:t xml:space="preserve"> </w:t>
      </w:r>
      <w:r w:rsidRPr="009E7EA4">
        <w:rPr>
          <w:shd w:val="clear" w:color="auto" w:fill="FFFFFF"/>
        </w:rPr>
        <w:t>Mantilla Herrera, A.M., Crino</w:t>
      </w:r>
      <w:r w:rsidRPr="005F0C6B">
        <w:rPr>
          <w:shd w:val="clear" w:color="auto" w:fill="FFFFFF"/>
        </w:rPr>
        <w:t>, M., Erskine, H.E., Sacks, G., Ananthapavan, J., Mhurchu, C.N., Lee, Y.Y. Cost-Effectiveness of Product Reformulation in Response to the Health Star Rating Food Labelling System in Australia. </w:t>
      </w:r>
      <w:r w:rsidRPr="005F0C6B">
        <w:rPr>
          <w:i/>
          <w:iCs/>
        </w:rPr>
        <w:t>Nutrients</w:t>
      </w:r>
      <w:r w:rsidRPr="005F0C6B">
        <w:rPr>
          <w:shd w:val="clear" w:color="auto" w:fill="FFFFFF"/>
        </w:rPr>
        <w:t> </w:t>
      </w:r>
      <w:r w:rsidRPr="005F0C6B">
        <w:rPr>
          <w:bCs/>
        </w:rPr>
        <w:t>2018</w:t>
      </w:r>
      <w:r w:rsidRPr="005F0C6B">
        <w:rPr>
          <w:shd w:val="clear" w:color="auto" w:fill="FFFFFF"/>
        </w:rPr>
        <w:t>, </w:t>
      </w:r>
      <w:r w:rsidRPr="005F0C6B">
        <w:rPr>
          <w:iCs/>
        </w:rPr>
        <w:t>10</w:t>
      </w:r>
      <w:r w:rsidRPr="005F0C6B">
        <w:rPr>
          <w:shd w:val="clear" w:color="auto" w:fill="FFFFFF"/>
        </w:rPr>
        <w:t>, 614.</w:t>
      </w:r>
    </w:p>
  </w:footnote>
  <w:footnote w:id="14">
    <w:p w14:paraId="418CCBC5" w14:textId="77777777" w:rsidR="009D621A" w:rsidRPr="005F0C6B" w:rsidRDefault="009D621A" w:rsidP="0024269C">
      <w:pPr>
        <w:pStyle w:val="FootnoteText"/>
        <w:rPr>
          <w:szCs w:val="18"/>
          <w:lang w:val="en-GB"/>
        </w:rPr>
      </w:pPr>
      <w:r w:rsidRPr="005F0C6B">
        <w:rPr>
          <w:rStyle w:val="FootnoteReference"/>
          <w:szCs w:val="18"/>
        </w:rPr>
        <w:footnoteRef/>
      </w:r>
      <w:r w:rsidRPr="005F0C6B">
        <w:rPr>
          <w:szCs w:val="18"/>
        </w:rPr>
        <w:t xml:space="preserve"> </w:t>
      </w:r>
      <w:r w:rsidRPr="005F0C6B">
        <w:rPr>
          <w:szCs w:val="18"/>
          <w:lang w:val="en-GB"/>
        </w:rPr>
        <w:t xml:space="preserve">Ni Mhurchu, C, Eyles, H &amp; Choi, Y, ‘Effects of a Voluntary Front-of-Pack Nutrition Labelling System on packaged food reformulation: the Health Star Rating system in New Zealand’, </w:t>
      </w:r>
      <w:r w:rsidRPr="005F0C6B">
        <w:rPr>
          <w:i/>
          <w:iCs/>
          <w:szCs w:val="18"/>
          <w:lang w:val="en-GB"/>
        </w:rPr>
        <w:t>Nutrients</w:t>
      </w:r>
      <w:r w:rsidRPr="005F0C6B">
        <w:rPr>
          <w:szCs w:val="18"/>
          <w:lang w:val="en-GB"/>
        </w:rPr>
        <w:t>, (2017), 9, 918</w:t>
      </w:r>
    </w:p>
  </w:footnote>
  <w:footnote w:id="15">
    <w:p w14:paraId="6D1448D8" w14:textId="6EBA685B" w:rsidR="009D621A" w:rsidRPr="00992B01" w:rsidRDefault="009D621A" w:rsidP="0024269C">
      <w:pPr>
        <w:pStyle w:val="FootnoteText"/>
      </w:pPr>
      <w:r w:rsidRPr="00992B01">
        <w:rPr>
          <w:rStyle w:val="FootnoteReference"/>
          <w:szCs w:val="18"/>
        </w:rPr>
        <w:footnoteRef/>
      </w:r>
      <w:r w:rsidRPr="00992B01">
        <w:t xml:space="preserve"> </w:t>
      </w:r>
      <w:r w:rsidRPr="00491C45">
        <w:t xml:space="preserve">TAG technical paper, October 2018, </w:t>
      </w:r>
      <w:r w:rsidRPr="0098128C">
        <w:rPr>
          <w:i/>
        </w:rPr>
        <w:t>History and development of the HSR algorithm</w:t>
      </w:r>
      <w:r>
        <w:t>, p.11</w:t>
      </w:r>
    </w:p>
  </w:footnote>
  <w:footnote w:id="16">
    <w:p w14:paraId="24C6229F" w14:textId="5C44F5A8" w:rsidR="009D621A" w:rsidRDefault="009D621A" w:rsidP="0024269C">
      <w:pPr>
        <w:pStyle w:val="FootnoteText"/>
      </w:pPr>
      <w:r>
        <w:rPr>
          <w:rStyle w:val="FootnoteReference"/>
        </w:rPr>
        <w:footnoteRef/>
      </w:r>
      <w:r>
        <w:t xml:space="preserve"> </w:t>
      </w:r>
      <w:r w:rsidRPr="009E7EA4">
        <w:t>National Heart Foundation, August 201</w:t>
      </w:r>
      <w:r>
        <w:t xml:space="preserve">8, </w:t>
      </w:r>
      <w:r w:rsidRPr="0098128C">
        <w:rPr>
          <w:i/>
        </w:rPr>
        <w:t>Report on the monitoring of the implementation of the Health Star Rating system: Area of Enquiry 2 – Consumer awareness and ability to use the Health Star Rating system correctly</w:t>
      </w:r>
      <w:r w:rsidRPr="009E7EA4">
        <w:t xml:space="preserve">, </w:t>
      </w:r>
      <w:r>
        <w:t>prepared for the Department of Health</w:t>
      </w:r>
    </w:p>
  </w:footnote>
  <w:footnote w:id="17">
    <w:p w14:paraId="517215F0" w14:textId="77777777" w:rsidR="009D621A" w:rsidRPr="009E7EA4" w:rsidRDefault="009D621A" w:rsidP="0024269C">
      <w:pPr>
        <w:pStyle w:val="FootnoteText"/>
        <w:rPr>
          <w:szCs w:val="18"/>
          <w:lang w:val="en-GB"/>
        </w:rPr>
      </w:pPr>
      <w:r w:rsidRPr="009E7EA4">
        <w:rPr>
          <w:rStyle w:val="FootnoteReference"/>
          <w:szCs w:val="18"/>
        </w:rPr>
        <w:footnoteRef/>
      </w:r>
      <w:r w:rsidRPr="009E7EA4">
        <w:rPr>
          <w:szCs w:val="18"/>
        </w:rPr>
        <w:t xml:space="preserve"> </w:t>
      </w:r>
      <w:r w:rsidRPr="009E7EA4">
        <w:rPr>
          <w:szCs w:val="18"/>
          <w:lang w:val="en-GB"/>
        </w:rPr>
        <w:t xml:space="preserve">Jones, A, Radholm, K and Neal, B ‘Defining ‘Unhealthy’: a systematic analysis of alignment between the Australian Dietary Guidelines and the Health Star Rating System’, </w:t>
      </w:r>
      <w:r w:rsidRPr="009E7EA4">
        <w:rPr>
          <w:i/>
          <w:iCs/>
          <w:szCs w:val="18"/>
          <w:lang w:val="en-GB"/>
        </w:rPr>
        <w:t>Nutrients 2018</w:t>
      </w:r>
      <w:r w:rsidRPr="009E7EA4">
        <w:rPr>
          <w:szCs w:val="18"/>
          <w:lang w:val="en-GB"/>
        </w:rPr>
        <w:t>, 10, 501</w:t>
      </w:r>
    </w:p>
  </w:footnote>
  <w:footnote w:id="18">
    <w:p w14:paraId="20C07C12" w14:textId="77777777" w:rsidR="009D621A" w:rsidRPr="009E7EA4" w:rsidRDefault="009D621A" w:rsidP="0024269C">
      <w:pPr>
        <w:pStyle w:val="FootnoteText"/>
        <w:rPr>
          <w:szCs w:val="18"/>
          <w:lang w:val="en-GB"/>
        </w:rPr>
      </w:pPr>
      <w:r w:rsidRPr="009E7EA4">
        <w:rPr>
          <w:rStyle w:val="FootnoteReference"/>
          <w:szCs w:val="18"/>
        </w:rPr>
        <w:footnoteRef/>
      </w:r>
      <w:r w:rsidRPr="009E7EA4">
        <w:rPr>
          <w:szCs w:val="18"/>
        </w:rPr>
        <w:t xml:space="preserve"> </w:t>
      </w:r>
      <w:r w:rsidRPr="009E7EA4">
        <w:rPr>
          <w:szCs w:val="18"/>
          <w:lang w:val="en-GB"/>
        </w:rPr>
        <w:t>Lawrence, M, Dickie, S and Woods, J. ‘Do nutrient-based front-of-pack labelling schemes support or undermine food-based dietary guideline recommendations? Lessons from the Australian Health Star Rating System’,</w:t>
      </w:r>
      <w:r w:rsidRPr="009E7EA4">
        <w:rPr>
          <w:i/>
          <w:iCs/>
          <w:szCs w:val="18"/>
          <w:lang w:val="en-GB"/>
        </w:rPr>
        <w:t xml:space="preserve"> Nutrients</w:t>
      </w:r>
      <w:r w:rsidRPr="009E7EA4">
        <w:rPr>
          <w:szCs w:val="18"/>
          <w:lang w:val="en-GB"/>
        </w:rPr>
        <w:t>, 5 January 2018</w:t>
      </w:r>
    </w:p>
  </w:footnote>
  <w:footnote w:id="19">
    <w:p w14:paraId="136476E3" w14:textId="77777777" w:rsidR="009D621A" w:rsidRPr="009E7EA4" w:rsidRDefault="009D621A" w:rsidP="0024269C">
      <w:pPr>
        <w:pStyle w:val="FootnoteText"/>
        <w:rPr>
          <w:lang w:val="en-GB"/>
        </w:rPr>
      </w:pPr>
      <w:r w:rsidRPr="009E7EA4">
        <w:rPr>
          <w:rStyle w:val="FootnoteReference"/>
          <w:szCs w:val="18"/>
        </w:rPr>
        <w:footnoteRef/>
      </w:r>
      <w:r w:rsidRPr="009E7EA4">
        <w:t xml:space="preserve"> </w:t>
      </w:r>
      <w:r w:rsidRPr="009E7EA4">
        <w:rPr>
          <w:lang w:val="en-GB"/>
        </w:rPr>
        <w:t xml:space="preserve">Dunford, E, Cobcroft, M, Thomas, M, &amp; Wu, J.H. (2015) </w:t>
      </w:r>
      <w:r w:rsidRPr="0098128C">
        <w:rPr>
          <w:i/>
          <w:lang w:val="en-GB"/>
        </w:rPr>
        <w:t>Technical Report: Alignment of NSW Healthy Food Provision Policy with the Health Star Rating System</w:t>
      </w:r>
      <w:r w:rsidRPr="009E7EA4">
        <w:rPr>
          <w:lang w:val="en-GB"/>
        </w:rPr>
        <w:t>, Sydney, NSW: NSW Ministry of Health</w:t>
      </w:r>
    </w:p>
  </w:footnote>
  <w:footnote w:id="20">
    <w:p w14:paraId="1031ACB9" w14:textId="06B17622" w:rsidR="009D621A" w:rsidRPr="009E7EA4" w:rsidRDefault="009D621A" w:rsidP="0024269C">
      <w:pPr>
        <w:pStyle w:val="FootnoteText"/>
        <w:rPr>
          <w:szCs w:val="18"/>
          <w:lang w:val="en-GB"/>
        </w:rPr>
      </w:pPr>
      <w:r w:rsidRPr="009E7EA4">
        <w:rPr>
          <w:szCs w:val="18"/>
          <w:vertAlign w:val="superscript"/>
          <w:lang w:val="en-GB"/>
        </w:rPr>
        <w:footnoteRef/>
      </w:r>
      <w:r w:rsidRPr="009E7EA4">
        <w:rPr>
          <w:szCs w:val="18"/>
          <w:vertAlign w:val="superscript"/>
          <w:lang w:val="en-GB"/>
        </w:rPr>
        <w:t xml:space="preserve"> </w:t>
      </w:r>
      <w:r w:rsidRPr="009E7EA4">
        <w:rPr>
          <w:szCs w:val="18"/>
          <w:lang w:val="en-GB"/>
        </w:rPr>
        <w:t xml:space="preserve">Wellard, L, Hughes, C, Watson, WL. ‘Investigating nutrient profiling and Health Star Ratings on core dairy products in Australia’, </w:t>
      </w:r>
      <w:r w:rsidRPr="009E7EA4">
        <w:rPr>
          <w:i/>
          <w:szCs w:val="18"/>
          <w:lang w:val="en-GB"/>
        </w:rPr>
        <w:t>Public Health Nutrition</w:t>
      </w:r>
      <w:r w:rsidRPr="009E7EA4">
        <w:rPr>
          <w:szCs w:val="18"/>
          <w:lang w:val="en-GB"/>
        </w:rPr>
        <w:t>, 2 May 2016</w:t>
      </w:r>
      <w:r>
        <w:rPr>
          <w:szCs w:val="18"/>
          <w:lang w:val="en-GB"/>
        </w:rPr>
        <w:t>, 19 (15) p. 2860-5</w:t>
      </w:r>
    </w:p>
  </w:footnote>
  <w:footnote w:id="21">
    <w:p w14:paraId="5CBBE8E8" w14:textId="77777777" w:rsidR="009D621A" w:rsidRPr="009E7EA4" w:rsidRDefault="009D621A" w:rsidP="0024269C">
      <w:pPr>
        <w:pStyle w:val="FootnoteText"/>
      </w:pPr>
      <w:r w:rsidRPr="009E7EA4">
        <w:rPr>
          <w:rStyle w:val="FootnoteReference"/>
          <w:szCs w:val="18"/>
        </w:rPr>
        <w:footnoteRef/>
      </w:r>
      <w:r w:rsidRPr="009E7EA4">
        <w:t xml:space="preserve"> Carrad, AM, Louie, J.C., Yeatman, H.R., Dunford, E.K., Neal, B.C., Flood, V.M., ‘A nutrient profiling assessment of packaged foods using two star-based front-of-pack labels’, </w:t>
      </w:r>
      <w:r w:rsidRPr="009E7EA4">
        <w:rPr>
          <w:i/>
          <w:lang w:val="en-GB"/>
        </w:rPr>
        <w:t>Public Health Nutrition</w:t>
      </w:r>
      <w:r w:rsidRPr="009E7EA4">
        <w:rPr>
          <w:lang w:val="en-GB"/>
        </w:rPr>
        <w:t xml:space="preserve">, </w:t>
      </w:r>
      <w:r w:rsidRPr="009E7EA4">
        <w:t>19 August 2016</w:t>
      </w:r>
    </w:p>
  </w:footnote>
  <w:footnote w:id="22">
    <w:p w14:paraId="4ACDE906" w14:textId="6911A8B6" w:rsidR="009D621A" w:rsidRDefault="009D621A" w:rsidP="0024269C">
      <w:pPr>
        <w:pStyle w:val="FootnoteText"/>
      </w:pPr>
      <w:r w:rsidRPr="00A17A95">
        <w:rPr>
          <w:rStyle w:val="FootnoteReference"/>
        </w:rPr>
        <w:footnoteRef/>
      </w:r>
      <w:r w:rsidRPr="00A17A95">
        <w:t xml:space="preserve"> </w:t>
      </w:r>
      <w:hyperlink r:id="rId1" w:history="1"/>
      <w:r>
        <w:t xml:space="preserve">Department of Health, 8 August 2018, </w:t>
      </w:r>
      <w:r w:rsidRPr="0098128C">
        <w:rPr>
          <w:i/>
        </w:rPr>
        <w:t>Form of the Food (‘As Prepared’) Rules</w:t>
      </w:r>
      <w:r>
        <w:t>, viewed on 27 August 2018</w:t>
      </w:r>
    </w:p>
  </w:footnote>
  <w:footnote w:id="23">
    <w:p w14:paraId="60277DAC" w14:textId="7ECA68B2" w:rsidR="009D621A" w:rsidRDefault="009D621A" w:rsidP="0024269C">
      <w:pPr>
        <w:pStyle w:val="FootnoteText"/>
      </w:pPr>
      <w:r>
        <w:rPr>
          <w:rStyle w:val="FootnoteReference"/>
        </w:rPr>
        <w:footnoteRef/>
      </w:r>
      <w:r>
        <w:t xml:space="preserve"> </w:t>
      </w:r>
      <w:r w:rsidRPr="009E7EA4">
        <w:t>National Heart Foundation, August 2017</w:t>
      </w:r>
      <w:r>
        <w:t xml:space="preserve">, </w:t>
      </w:r>
      <w:r w:rsidRPr="0098128C">
        <w:rPr>
          <w:i/>
        </w:rPr>
        <w:t>Report on the monitoring of the implementation of the Health Star Rating system: Area of Enquiry 2 – Consumer awareness and ability to use the Health Star Rating system correctly</w:t>
      </w:r>
      <w:r w:rsidRPr="009E7EA4">
        <w:t xml:space="preserve">, </w:t>
      </w:r>
      <w:r>
        <w:t>prepared for the Department of Health</w:t>
      </w:r>
    </w:p>
  </w:footnote>
  <w:footnote w:id="24">
    <w:p w14:paraId="6E20993A" w14:textId="3B1A1FD2" w:rsidR="009D621A" w:rsidRPr="007D2CBD" w:rsidRDefault="009D621A" w:rsidP="0024269C">
      <w:pPr>
        <w:pStyle w:val="FootnoteText"/>
      </w:pPr>
      <w:r w:rsidRPr="007D2CBD">
        <w:rPr>
          <w:rStyle w:val="FootnoteReference"/>
          <w:szCs w:val="18"/>
        </w:rPr>
        <w:footnoteRef/>
      </w:r>
      <w:r w:rsidRPr="007D2CBD">
        <w:t xml:space="preserve"> HSRAC anomalies table, 11 March 2016</w:t>
      </w:r>
    </w:p>
  </w:footnote>
  <w:footnote w:id="25">
    <w:p w14:paraId="1617762E" w14:textId="4FDD98B5" w:rsidR="009D621A" w:rsidRPr="00977310" w:rsidRDefault="009D621A" w:rsidP="0024269C">
      <w:pPr>
        <w:pStyle w:val="FootnoteText"/>
      </w:pPr>
      <w:r w:rsidRPr="00977310">
        <w:rPr>
          <w:rStyle w:val="FootnoteReference"/>
          <w:szCs w:val="18"/>
        </w:rPr>
        <w:footnoteRef/>
      </w:r>
      <w:r w:rsidRPr="00977310">
        <w:t xml:space="preserve"> Australian Bureau of Statistics, </w:t>
      </w:r>
      <w:r w:rsidRPr="0098128C">
        <w:rPr>
          <w:i/>
        </w:rPr>
        <w:t>4364.0.55.001 - National Health Survey: First Results, 2014-15</w:t>
      </w:r>
    </w:p>
  </w:footnote>
  <w:footnote w:id="26">
    <w:p w14:paraId="1E4E2E38" w14:textId="1280DAEB" w:rsidR="009D621A" w:rsidRPr="00F1009B" w:rsidRDefault="009D621A" w:rsidP="0024269C">
      <w:pPr>
        <w:pStyle w:val="FootnoteText"/>
      </w:pPr>
      <w:r w:rsidRPr="00F1009B">
        <w:rPr>
          <w:rStyle w:val="FootnoteReference"/>
          <w:szCs w:val="18"/>
        </w:rPr>
        <w:footnoteRef/>
      </w:r>
      <w:r w:rsidRPr="00F1009B">
        <w:t xml:space="preserve"> Brownbill, A, Miller, C, Braunack-Myer, A, 29 August 2018, </w:t>
      </w:r>
      <w:r w:rsidRPr="00F1009B">
        <w:rPr>
          <w:i/>
        </w:rPr>
        <w:t>Health Star Ratings: What’s on the labels of Australian beverages?</w:t>
      </w:r>
      <w:r w:rsidRPr="00F1009B">
        <w:t xml:space="preserve"> Health Promotion Journal of Australia</w:t>
      </w:r>
    </w:p>
  </w:footnote>
  <w:footnote w:id="27">
    <w:p w14:paraId="43B1A3AC" w14:textId="4B67FD94" w:rsidR="009D621A" w:rsidRPr="008B066F" w:rsidRDefault="009D621A" w:rsidP="0024269C">
      <w:pPr>
        <w:pStyle w:val="FootnoteText"/>
      </w:pPr>
      <w:r w:rsidRPr="008B066F">
        <w:rPr>
          <w:rStyle w:val="FootnoteReference"/>
          <w:szCs w:val="18"/>
        </w:rPr>
        <w:footnoteRef/>
      </w:r>
      <w:r w:rsidRPr="008B066F">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28">
    <w:p w14:paraId="7A260C73" w14:textId="689467A0" w:rsidR="009D621A" w:rsidRDefault="009D621A" w:rsidP="0024269C">
      <w:pPr>
        <w:pStyle w:val="FootnoteText"/>
      </w:pPr>
      <w:r>
        <w:rPr>
          <w:rStyle w:val="FootnoteReference"/>
        </w:rPr>
        <w:footnoteRef/>
      </w:r>
      <w:r>
        <w:t xml:space="preserve"> </w:t>
      </w:r>
      <w:r w:rsidRPr="008B066F">
        <w:t>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29">
    <w:p w14:paraId="284737A2" w14:textId="0351AAAB" w:rsidR="009D621A" w:rsidRDefault="009D621A" w:rsidP="0024269C">
      <w:pPr>
        <w:pStyle w:val="FootnoteText"/>
      </w:pPr>
      <w:r w:rsidRPr="004F3853">
        <w:rPr>
          <w:rStyle w:val="FootnoteReference"/>
        </w:rPr>
        <w:footnoteRef/>
      </w:r>
      <w:r w:rsidRPr="004F3853">
        <w:t xml:space="preserve"> </w:t>
      </w:r>
      <w:r>
        <w:t xml:space="preserve">The </w:t>
      </w:r>
      <w:r w:rsidRPr="004F3853">
        <w:t xml:space="preserve">George Institute for Global Health, 11 September 2018, </w:t>
      </w:r>
      <w:r w:rsidRPr="0098128C">
        <w:rPr>
          <w:i/>
        </w:rPr>
        <w:t>Uptake of the HSR System</w:t>
      </w:r>
    </w:p>
  </w:footnote>
  <w:footnote w:id="30">
    <w:p w14:paraId="0CD5CFC1" w14:textId="083A19CD" w:rsidR="009D621A" w:rsidRPr="008B066F" w:rsidRDefault="009D621A" w:rsidP="0024269C">
      <w:pPr>
        <w:pStyle w:val="FootnoteText"/>
      </w:pPr>
      <w:r w:rsidRPr="008B066F">
        <w:rPr>
          <w:rStyle w:val="FootnoteReference"/>
          <w:szCs w:val="18"/>
        </w:rPr>
        <w:footnoteRef/>
      </w:r>
      <w:r w:rsidRPr="008B066F">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31">
    <w:p w14:paraId="5AD3163F" w14:textId="1E6B0A53" w:rsidR="009D621A" w:rsidRPr="00936BFB" w:rsidRDefault="009D621A" w:rsidP="0024269C">
      <w:pPr>
        <w:pStyle w:val="FootnoteText"/>
        <w:rPr>
          <w:szCs w:val="18"/>
          <w:lang w:val="en-GB"/>
        </w:rPr>
      </w:pPr>
      <w:r w:rsidRPr="00936BFB">
        <w:rPr>
          <w:rStyle w:val="FootnoteReference"/>
          <w:szCs w:val="18"/>
        </w:rPr>
        <w:footnoteRef/>
      </w:r>
      <w:r w:rsidRPr="00936BFB">
        <w:rPr>
          <w:szCs w:val="18"/>
        </w:rPr>
        <w:t xml:space="preserve"> </w:t>
      </w:r>
      <w:r w:rsidRPr="00936BFB">
        <w:rPr>
          <w:szCs w:val="18"/>
          <w:lang w:val="en-GB"/>
        </w:rPr>
        <w:t xml:space="preserve">Jones, A, Radholm, K and Neal, B ‘Defining ‘Unhealthy’: a systematic analysis of alignment between the Australian Dietary Guidelines and the Health Star Rating System’, </w:t>
      </w:r>
      <w:r w:rsidRPr="00936BFB">
        <w:rPr>
          <w:i/>
          <w:iCs/>
          <w:szCs w:val="18"/>
          <w:lang w:val="en-GB"/>
        </w:rPr>
        <w:t>Nutrients 2018</w:t>
      </w:r>
      <w:r w:rsidRPr="00936BFB">
        <w:rPr>
          <w:szCs w:val="18"/>
          <w:lang w:val="en-GB"/>
        </w:rPr>
        <w:t>, 10, 501</w:t>
      </w:r>
    </w:p>
  </w:footnote>
  <w:footnote w:id="32">
    <w:p w14:paraId="4B21C016" w14:textId="218370AD" w:rsidR="009D621A" w:rsidRDefault="009D621A" w:rsidP="0024269C">
      <w:pPr>
        <w:pStyle w:val="FootnoteText"/>
      </w:pPr>
      <w:r w:rsidRPr="00936BFB">
        <w:rPr>
          <w:rStyle w:val="FootnoteReference"/>
          <w:szCs w:val="18"/>
        </w:rPr>
        <w:footnoteRef/>
      </w:r>
      <w:r w:rsidRPr="00936BFB">
        <w:t xml:space="preserve"> </w:t>
      </w:r>
      <w:r w:rsidRPr="00936BFB">
        <w:rPr>
          <w:lang w:val="en-GB"/>
        </w:rPr>
        <w:t>Dunford, E, Cobcroft, M, Thomas, M, &amp; Wu, J.H. (2015) Technical Report: Alignment of NSW Healthy Food Provision Policy with the Health Star Rating System, Sydney, NSW: NSW Ministry of Health</w:t>
      </w:r>
    </w:p>
  </w:footnote>
  <w:footnote w:id="33">
    <w:p w14:paraId="3CBD634A" w14:textId="77777777" w:rsidR="009D621A" w:rsidRPr="005B5CFF" w:rsidRDefault="009D621A" w:rsidP="0024269C">
      <w:pPr>
        <w:pStyle w:val="FootnoteText"/>
      </w:pPr>
      <w:r w:rsidRPr="005B5CFF">
        <w:rPr>
          <w:rStyle w:val="FootnoteReference"/>
          <w:szCs w:val="18"/>
        </w:rPr>
        <w:footnoteRef/>
      </w:r>
      <w:r w:rsidRPr="005B5CFF">
        <w:t xml:space="preserve"> Food Regulation Secretariat, Joint Food Regulation System, </w:t>
      </w:r>
      <w:r>
        <w:t xml:space="preserve">11 July 2018, </w:t>
      </w:r>
      <w:r w:rsidRPr="005B5CFF">
        <w:rPr>
          <w:i/>
        </w:rPr>
        <w:t>Consultation Regulation Impact Statement: Labelling of sugars on packaged foods and drinks</w:t>
      </w:r>
      <w:r w:rsidRPr="005B5CFF">
        <w:t>, Department of Health</w:t>
      </w:r>
    </w:p>
  </w:footnote>
  <w:footnote w:id="34">
    <w:p w14:paraId="2D5D18CF" w14:textId="18DEEAD4" w:rsidR="009D621A" w:rsidRPr="006B2F45" w:rsidRDefault="009D621A" w:rsidP="0024269C">
      <w:pPr>
        <w:pStyle w:val="FootnoteText"/>
      </w:pPr>
      <w:r w:rsidRPr="006B2F45">
        <w:rPr>
          <w:rStyle w:val="FootnoteReference"/>
          <w:szCs w:val="18"/>
        </w:rPr>
        <w:footnoteRef/>
      </w:r>
      <w:r w:rsidRPr="006B2F45">
        <w:t xml:space="preserve"> World Health Organisation, 2015, </w:t>
      </w:r>
      <w:r w:rsidRPr="00230480">
        <w:rPr>
          <w:i/>
        </w:rPr>
        <w:t>Guideline: Sugars intake for adults and children</w:t>
      </w:r>
      <w:r w:rsidRPr="006B2F45">
        <w:t>, Geneva</w:t>
      </w:r>
    </w:p>
  </w:footnote>
  <w:footnote w:id="35">
    <w:p w14:paraId="396915C4" w14:textId="77777777" w:rsidR="009D621A" w:rsidRPr="00C93430" w:rsidRDefault="009D621A" w:rsidP="0024269C">
      <w:pPr>
        <w:pStyle w:val="FootnoteText"/>
        <w:rPr>
          <w:sz w:val="22"/>
          <w:szCs w:val="22"/>
        </w:rPr>
      </w:pPr>
      <w:r w:rsidRPr="00C93430">
        <w:rPr>
          <w:rStyle w:val="FootnoteReference"/>
          <w:szCs w:val="18"/>
        </w:rPr>
        <w:footnoteRef/>
      </w:r>
      <w:r w:rsidRPr="00C93430">
        <w:t xml:space="preserve"> Department of Health and Food Standards Agency, </w:t>
      </w:r>
      <w:r w:rsidRPr="00230480">
        <w:rPr>
          <w:i/>
        </w:rPr>
        <w:t>Guide to creating a front of pack (FoP) nutrition label for pre-packaged products sold through retails outlets</w:t>
      </w:r>
      <w:r w:rsidRPr="00C93430">
        <w:t>, November 2016</w:t>
      </w:r>
    </w:p>
  </w:footnote>
  <w:footnote w:id="36">
    <w:p w14:paraId="3D3056FB" w14:textId="77777777" w:rsidR="009D621A" w:rsidRPr="00491C45" w:rsidRDefault="009D621A" w:rsidP="0024269C">
      <w:pPr>
        <w:pStyle w:val="FootnoteText"/>
      </w:pPr>
      <w:r w:rsidRPr="00491C45">
        <w:rPr>
          <w:rStyle w:val="FootnoteReference"/>
          <w:szCs w:val="18"/>
        </w:rPr>
        <w:footnoteRef/>
      </w:r>
      <w:r w:rsidRPr="00491C45">
        <w:t xml:space="preserve"> TAG technical paper, October 2018, </w:t>
      </w:r>
      <w:r w:rsidRPr="00230480">
        <w:rPr>
          <w:i/>
        </w:rPr>
        <w:t>History and development of the HSR algorithm</w:t>
      </w:r>
      <w:r w:rsidRPr="00491C45">
        <w:t>, p.13</w:t>
      </w:r>
    </w:p>
  </w:footnote>
  <w:footnote w:id="37">
    <w:p w14:paraId="312C881F" w14:textId="77777777" w:rsidR="009D621A" w:rsidRDefault="009D621A" w:rsidP="0024269C">
      <w:pPr>
        <w:pStyle w:val="FootnoteText"/>
      </w:pPr>
      <w:r>
        <w:rPr>
          <w:rStyle w:val="FootnoteReference"/>
        </w:rPr>
        <w:footnoteRef/>
      </w:r>
      <w:r>
        <w:t xml:space="preserve"> </w:t>
      </w:r>
      <w:r w:rsidRPr="005B5CFF">
        <w:t xml:space="preserve">Peters, S, Dunford, E, Jones, A, Ni Mhurchi, C, Crino, M, Taylor, F, Woodward, M &amp; Neal, B ‘Incorporating added sugar improves the performance of the Health Star Rating front-of-pack labelling system in Australia’, </w:t>
      </w:r>
      <w:r w:rsidRPr="005B5CFF">
        <w:rPr>
          <w:i/>
          <w:iCs/>
        </w:rPr>
        <w:t>Nutrients</w:t>
      </w:r>
      <w:r w:rsidRPr="005B5CFF">
        <w:t>, 2017, 9, 701, p.1-12</w:t>
      </w:r>
    </w:p>
  </w:footnote>
  <w:footnote w:id="38">
    <w:p w14:paraId="2DB055DD" w14:textId="4D2B18C0" w:rsidR="009D621A" w:rsidRPr="00327C43" w:rsidRDefault="009D621A" w:rsidP="0024269C">
      <w:pPr>
        <w:pStyle w:val="FootnoteText"/>
      </w:pPr>
      <w:r w:rsidRPr="00327C43">
        <w:rPr>
          <w:rStyle w:val="FootnoteReference"/>
          <w:szCs w:val="18"/>
        </w:rPr>
        <w:footnoteRef/>
      </w:r>
      <w:r w:rsidRPr="00327C43">
        <w:t xml:space="preserve"> As a product</w:t>
      </w:r>
      <w:r>
        <w:t>’</w:t>
      </w:r>
      <w:r w:rsidRPr="00327C43">
        <w:t xml:space="preserve">s added sugars will always be less than or equal to its total sugars, the sugars </w:t>
      </w:r>
      <w:r>
        <w:t xml:space="preserve">points </w:t>
      </w:r>
      <w:r w:rsidRPr="00327C43">
        <w:t xml:space="preserve">table would need to be adjusted to ensure more baseline points are </w:t>
      </w:r>
      <w:r>
        <w:t>awarded</w:t>
      </w:r>
      <w:r w:rsidRPr="00327C43">
        <w:t xml:space="preserve"> to a lower proportion of added sugars than currently exists for total sugars. </w:t>
      </w:r>
    </w:p>
  </w:footnote>
  <w:footnote w:id="39">
    <w:p w14:paraId="09DC82D9" w14:textId="77777777" w:rsidR="009D621A" w:rsidRPr="005B5CFF" w:rsidRDefault="009D621A" w:rsidP="0024269C">
      <w:pPr>
        <w:pStyle w:val="FootnoteText"/>
        <w:rPr>
          <w:szCs w:val="18"/>
        </w:rPr>
      </w:pPr>
      <w:r w:rsidRPr="005B5CFF">
        <w:rPr>
          <w:rStyle w:val="FootnoteReference"/>
          <w:szCs w:val="18"/>
        </w:rPr>
        <w:footnoteRef/>
      </w:r>
      <w:r w:rsidRPr="005B5CFF">
        <w:rPr>
          <w:szCs w:val="18"/>
        </w:rPr>
        <w:t xml:space="preserve"> Peters, S, Dunford, E, Jones, A, Ni Mhurchi, C, Crino, M, Taylor, F, Woodward, M &amp; Neal, B ‘Incorporating added sugar improves the performance of the Health Star Rating front-of-pack labelling system in Australia’, </w:t>
      </w:r>
      <w:r w:rsidRPr="005B5CFF">
        <w:rPr>
          <w:i/>
          <w:iCs/>
          <w:szCs w:val="18"/>
        </w:rPr>
        <w:t>Nutrients</w:t>
      </w:r>
      <w:r w:rsidRPr="005B5CFF">
        <w:rPr>
          <w:szCs w:val="18"/>
        </w:rPr>
        <w:t>, 2017, 9, 701, p.1-12</w:t>
      </w:r>
    </w:p>
  </w:footnote>
  <w:footnote w:id="40">
    <w:p w14:paraId="532618C3" w14:textId="5D479C2C" w:rsidR="009D621A" w:rsidRPr="0082247F" w:rsidRDefault="009D621A" w:rsidP="0024269C">
      <w:pPr>
        <w:pStyle w:val="FootnoteText"/>
      </w:pPr>
      <w:r w:rsidRPr="0082247F">
        <w:rPr>
          <w:rStyle w:val="FootnoteReference"/>
          <w:szCs w:val="18"/>
        </w:rPr>
        <w:footnoteRef/>
      </w:r>
      <w:r w:rsidRPr="0082247F">
        <w:t xml:space="preserve"> Public Health England, March 2018, Annex A: The 2018 review of the UK Nutrient Profiling Model</w:t>
      </w:r>
    </w:p>
  </w:footnote>
  <w:footnote w:id="41">
    <w:p w14:paraId="6B946CE9" w14:textId="401EADBD" w:rsidR="009D621A" w:rsidRDefault="009D621A" w:rsidP="0024269C">
      <w:pPr>
        <w:pStyle w:val="FootnoteText"/>
      </w:pPr>
      <w:r w:rsidRPr="005B5CFF">
        <w:rPr>
          <w:rStyle w:val="FootnoteReference"/>
          <w:szCs w:val="18"/>
        </w:rPr>
        <w:footnoteRef/>
      </w:r>
      <w:r w:rsidRPr="005B5CFF">
        <w:rPr>
          <w:szCs w:val="18"/>
        </w:rPr>
        <w:t xml:space="preserve"> Menday, H, Neal, B, Wu, J, Crino, M, Baines, S &amp; Peterson, K. ‘Use of added sugars instead of total sugars may improve the capacity of the Health Star Rating system to discriminate between core and discretionary foods</w:t>
      </w:r>
      <w:r>
        <w:rPr>
          <w:szCs w:val="18"/>
        </w:rPr>
        <w:t>’</w:t>
      </w:r>
      <w:r w:rsidRPr="005B5CFF">
        <w:rPr>
          <w:szCs w:val="18"/>
        </w:rPr>
        <w:t xml:space="preserve">, </w:t>
      </w:r>
      <w:r w:rsidRPr="00230480">
        <w:rPr>
          <w:i/>
          <w:szCs w:val="18"/>
        </w:rPr>
        <w:t>Journal of the Academy of Nutrition and Dietetics</w:t>
      </w:r>
      <w:r w:rsidRPr="005B5CFF">
        <w:rPr>
          <w:szCs w:val="18"/>
        </w:rPr>
        <w:t>, December 2017, Volume 117, No.12</w:t>
      </w:r>
    </w:p>
  </w:footnote>
  <w:footnote w:id="42">
    <w:p w14:paraId="38231BAF" w14:textId="2C286C01" w:rsidR="009D621A" w:rsidRPr="003547F9" w:rsidRDefault="009D621A" w:rsidP="0024269C">
      <w:pPr>
        <w:pStyle w:val="FootnoteText"/>
      </w:pPr>
      <w:r w:rsidRPr="003547F9">
        <w:rPr>
          <w:rStyle w:val="FootnoteReference"/>
          <w:szCs w:val="18"/>
        </w:rPr>
        <w:footnoteRef/>
      </w:r>
      <w:r w:rsidRPr="003547F9">
        <w:t xml:space="preserve"> </w:t>
      </w:r>
      <w:r w:rsidRPr="00327C43">
        <w:t>The Code does not define added sugars, however in outlining conditions for health claims of ‘no added sugars’ products must not contain: hexose monosaccharides and disaccharides, including dextrose, fructose,</w:t>
      </w:r>
      <w:r w:rsidRPr="000A227A">
        <w:rPr>
          <w:sz w:val="22"/>
          <w:szCs w:val="22"/>
        </w:rPr>
        <w:t xml:space="preserve"> </w:t>
      </w:r>
      <w:r w:rsidRPr="00327C43">
        <w:t>sucrose and lactose; starch hydrolysate; glucose syrups, maltodextrin and similar products; products derived at a sugars refinery, including brown sugar and molasses; icing sugar; invert sugar; fruit sugar syrup; honey, malt or malt extracts; or added concentrated fruit juice or deionised fruit juice.</w:t>
      </w:r>
    </w:p>
  </w:footnote>
  <w:footnote w:id="43">
    <w:p w14:paraId="6E4E0F64" w14:textId="4324B5C2" w:rsidR="009D621A" w:rsidRDefault="009D621A" w:rsidP="0024269C">
      <w:pPr>
        <w:pStyle w:val="FootnoteText"/>
      </w:pPr>
      <w:r>
        <w:rPr>
          <w:rStyle w:val="FootnoteReference"/>
        </w:rPr>
        <w:footnoteRef/>
      </w:r>
      <w:r>
        <w:t xml:space="preserve"> </w:t>
      </w:r>
      <w:r w:rsidRPr="00327C43">
        <w:t>FSANZ, 2017</w:t>
      </w:r>
      <w:r w:rsidRPr="003547F9">
        <w:t xml:space="preserve">, </w:t>
      </w:r>
      <w:r w:rsidRPr="00230480">
        <w:rPr>
          <w:i/>
        </w:rPr>
        <w:t>Australian and New Zealand Food Standards Code – Schedule 4 Nutrition, health and related claims</w:t>
      </w:r>
    </w:p>
  </w:footnote>
  <w:footnote w:id="44">
    <w:p w14:paraId="667EA689" w14:textId="6131B793" w:rsidR="009D621A" w:rsidRDefault="009D621A" w:rsidP="0024269C">
      <w:pPr>
        <w:pStyle w:val="FootnoteText"/>
      </w:pPr>
      <w:r w:rsidRPr="003768C3">
        <w:rPr>
          <w:szCs w:val="18"/>
          <w:vertAlign w:val="superscript"/>
        </w:rPr>
        <w:footnoteRef/>
      </w:r>
      <w:r>
        <w:rPr>
          <w:szCs w:val="18"/>
          <w:vertAlign w:val="superscript"/>
        </w:rPr>
        <w:t xml:space="preserve"> </w:t>
      </w:r>
      <w:r w:rsidRPr="003768C3">
        <w:rPr>
          <w:szCs w:val="18"/>
        </w:rPr>
        <w:t xml:space="preserve">Hess, J.; Latulippe, M.E.; Ayoob, K.; Slavin, J. The confusing world of dietary sugars: Definitions, intakes, food sources and international dietary recommendations. </w:t>
      </w:r>
      <w:r w:rsidRPr="00230480">
        <w:rPr>
          <w:i/>
          <w:szCs w:val="18"/>
        </w:rPr>
        <w:t>Food Funct</w:t>
      </w:r>
      <w:r w:rsidRPr="003768C3">
        <w:rPr>
          <w:szCs w:val="18"/>
        </w:rPr>
        <w:t>. 2012, 3, 477–486</w:t>
      </w:r>
    </w:p>
  </w:footnote>
  <w:footnote w:id="45">
    <w:p w14:paraId="0F39D080" w14:textId="77777777" w:rsidR="009D621A" w:rsidRPr="005B5CFF" w:rsidRDefault="009D621A" w:rsidP="0024269C">
      <w:pPr>
        <w:pStyle w:val="FootnoteText"/>
      </w:pPr>
      <w:r w:rsidRPr="005B5CFF">
        <w:rPr>
          <w:rStyle w:val="FootnoteReference"/>
          <w:szCs w:val="18"/>
        </w:rPr>
        <w:footnoteRef/>
      </w:r>
      <w:r w:rsidRPr="005B5CFF">
        <w:t xml:space="preserve"> Food Regulation Secretariat, Joint Food Regulation System, </w:t>
      </w:r>
      <w:r>
        <w:t xml:space="preserve">11 July 2018, </w:t>
      </w:r>
      <w:r w:rsidRPr="005B5CFF">
        <w:rPr>
          <w:i/>
        </w:rPr>
        <w:t>Consultation Regulation Impact Statement: Labelling of sugars on packaged foods and drinks</w:t>
      </w:r>
      <w:r w:rsidRPr="005B5CFF">
        <w:t>, Department of Health</w:t>
      </w:r>
    </w:p>
  </w:footnote>
  <w:footnote w:id="46">
    <w:p w14:paraId="30B8876C" w14:textId="63A2C6C0" w:rsidR="009D621A" w:rsidRDefault="009D621A" w:rsidP="0024269C">
      <w:pPr>
        <w:pStyle w:val="FootnoteText"/>
      </w:pPr>
      <w:r>
        <w:rPr>
          <w:rStyle w:val="FootnoteReference"/>
        </w:rPr>
        <w:footnoteRef/>
      </w:r>
      <w:r>
        <w:t xml:space="preserve"> </w:t>
      </w:r>
      <w:r w:rsidRPr="009C669C">
        <w:t xml:space="preserve">Australian Bureau of Statistics, </w:t>
      </w:r>
      <w:r w:rsidRPr="00230480">
        <w:rPr>
          <w:i/>
        </w:rPr>
        <w:t>Australian Health Survey 2011-12</w:t>
      </w:r>
    </w:p>
  </w:footnote>
  <w:footnote w:id="47">
    <w:p w14:paraId="1FF14577" w14:textId="2D7BFEAB" w:rsidR="009D621A" w:rsidRPr="00E56E40" w:rsidRDefault="009D621A" w:rsidP="0024269C">
      <w:pPr>
        <w:pStyle w:val="FootnoteText"/>
      </w:pPr>
      <w:r w:rsidRPr="00E56E40">
        <w:rPr>
          <w:rStyle w:val="FootnoteReference"/>
          <w:szCs w:val="18"/>
        </w:rPr>
        <w:footnoteRef/>
      </w:r>
      <w:r w:rsidRPr="00E56E40">
        <w:t xml:space="preserve"> Signal L N, Stanley J, Smith M, Barr M B, Chambers T J, Zhou J, Duane A, Gurrin C, Smeaton A F, McKerchar C, Pearson A L, Hoek J, Jenkin G L S, Ni Mhurchu C</w:t>
      </w:r>
      <w:r w:rsidRPr="00230480">
        <w:t>, Children’s everyday exposure to food marketing: an objective analysis using wearable cameras,</w:t>
      </w:r>
      <w:r w:rsidRPr="00E56E40">
        <w:t xml:space="preserve"> </w:t>
      </w:r>
      <w:r w:rsidRPr="00230480">
        <w:rPr>
          <w:i/>
        </w:rPr>
        <w:t>International Journal of Behavioural Nutrition and Physical Activity</w:t>
      </w:r>
      <w:r w:rsidRPr="00E56E40">
        <w:t>, 14 (137)</w:t>
      </w:r>
    </w:p>
  </w:footnote>
  <w:footnote w:id="48">
    <w:p w14:paraId="2B1E189C" w14:textId="48C2979C" w:rsidR="009D621A" w:rsidRDefault="009D621A" w:rsidP="0024269C">
      <w:pPr>
        <w:pStyle w:val="FootnoteText"/>
      </w:pPr>
      <w:r w:rsidRPr="00E56E40">
        <w:rPr>
          <w:rStyle w:val="FootnoteReference"/>
          <w:szCs w:val="18"/>
        </w:rPr>
        <w:footnoteRef/>
      </w:r>
      <w:r w:rsidRPr="00E56E40">
        <w:t xml:space="preserve"> Vandevijvere S, Swinburn B, 3 July 2015, </w:t>
      </w:r>
      <w:r w:rsidRPr="00230480">
        <w:t>Getting serious about protecting New Zealand children against unhealthy food marketing,</w:t>
      </w:r>
      <w:r w:rsidRPr="00E56E40">
        <w:t xml:space="preserve"> </w:t>
      </w:r>
      <w:r w:rsidRPr="00230480">
        <w:rPr>
          <w:i/>
        </w:rPr>
        <w:t>New Zealand Medical Association</w:t>
      </w:r>
      <w:r w:rsidRPr="00E56E40">
        <w:t>, 128 (1417)</w:t>
      </w:r>
    </w:p>
  </w:footnote>
  <w:footnote w:id="49">
    <w:p w14:paraId="36B1A2C6" w14:textId="3AE28447" w:rsidR="009D621A" w:rsidRPr="00047AB6" w:rsidRDefault="009D621A" w:rsidP="0024269C">
      <w:pPr>
        <w:pStyle w:val="FootnoteText"/>
      </w:pPr>
      <w:r w:rsidRPr="00047AB6">
        <w:rPr>
          <w:rStyle w:val="FootnoteReference"/>
          <w:szCs w:val="18"/>
        </w:rPr>
        <w:footnoteRef/>
      </w:r>
      <w:r w:rsidRPr="00047AB6">
        <w:t xml:space="preserve"> </w:t>
      </w:r>
      <w:r w:rsidRPr="00047AB6">
        <w:rPr>
          <w:iCs/>
        </w:rPr>
        <w:t>Rayner, M., Scarborough, P. &amp; Lobstein, T</w:t>
      </w:r>
      <w:r>
        <w:rPr>
          <w:iCs/>
        </w:rPr>
        <w:t>,</w:t>
      </w:r>
      <w:r w:rsidRPr="00047AB6">
        <w:t xml:space="preserve"> </w:t>
      </w:r>
      <w:r w:rsidRPr="00047AB6">
        <w:rPr>
          <w:iCs/>
        </w:rPr>
        <w:t>October 2009</w:t>
      </w:r>
      <w:r>
        <w:rPr>
          <w:iCs/>
        </w:rPr>
        <w:t xml:space="preserve">, </w:t>
      </w:r>
      <w:r w:rsidRPr="00230480">
        <w:rPr>
          <w:i/>
        </w:rPr>
        <w:t>The UK Ofcom Nutrient Profiling Model: Defining ‘healthy’ and ‘unhealthy’ foods and drinks for TV advertising for children</w:t>
      </w:r>
    </w:p>
  </w:footnote>
  <w:footnote w:id="50">
    <w:p w14:paraId="2A0576F7" w14:textId="11161C0A" w:rsidR="009D621A" w:rsidRPr="00102339" w:rsidRDefault="009D621A" w:rsidP="0024269C">
      <w:pPr>
        <w:pStyle w:val="FootnoteText"/>
      </w:pPr>
      <w:r w:rsidRPr="00102339">
        <w:rPr>
          <w:rStyle w:val="FootnoteReference"/>
          <w:szCs w:val="18"/>
        </w:rPr>
        <w:footnoteRef/>
      </w:r>
      <w:r w:rsidRPr="00102339">
        <w:t xml:space="preserve"> The George Institute for Global Health, 20 September</w:t>
      </w:r>
      <w:r>
        <w:t xml:space="preserve"> 2018, </w:t>
      </w:r>
      <w:r w:rsidRPr="00230480">
        <w:rPr>
          <w:i/>
        </w:rPr>
        <w:t>Uptake of the HSR System</w:t>
      </w:r>
    </w:p>
  </w:footnote>
  <w:footnote w:id="51">
    <w:p w14:paraId="7786C979" w14:textId="77777777" w:rsidR="009D621A" w:rsidRPr="00B03C72" w:rsidRDefault="009D621A" w:rsidP="0024269C">
      <w:pPr>
        <w:pStyle w:val="FootnoteText"/>
        <w:rPr>
          <w:szCs w:val="18"/>
          <w:lang w:val="en-GB"/>
        </w:rPr>
      </w:pPr>
      <w:r w:rsidRPr="00B03C72">
        <w:rPr>
          <w:rStyle w:val="FootnoteReference"/>
          <w:szCs w:val="18"/>
        </w:rPr>
        <w:footnoteRef/>
      </w:r>
      <w:r w:rsidRPr="00B03C72">
        <w:rPr>
          <w:szCs w:val="18"/>
        </w:rPr>
        <w:t xml:space="preserve"> </w:t>
      </w:r>
      <w:r w:rsidRPr="00B03C72">
        <w:rPr>
          <w:szCs w:val="18"/>
          <w:lang w:val="en-GB"/>
        </w:rPr>
        <w:t xml:space="preserve">Ni Mhurchu, C, Eyles, H &amp; Choi, Y, ‘Effects of a Voluntary Front-of-Pack Nutrition Labelling System on packaged food reformulation: the Health Star Rating system in New Zealand’, </w:t>
      </w:r>
      <w:r w:rsidRPr="00B03C72">
        <w:rPr>
          <w:i/>
          <w:iCs/>
          <w:szCs w:val="18"/>
          <w:lang w:val="en-GB"/>
        </w:rPr>
        <w:t>Nutrients</w:t>
      </w:r>
      <w:r w:rsidRPr="00B03C72">
        <w:rPr>
          <w:szCs w:val="18"/>
          <w:lang w:val="en-GB"/>
        </w:rPr>
        <w:t>, (2017), 9, 918</w:t>
      </w:r>
    </w:p>
  </w:footnote>
  <w:footnote w:id="52">
    <w:p w14:paraId="6945A390" w14:textId="1D7A3365" w:rsidR="009D621A" w:rsidRPr="000178E7" w:rsidRDefault="009D621A" w:rsidP="0024269C">
      <w:pPr>
        <w:pStyle w:val="FootnoteText"/>
      </w:pPr>
      <w:r w:rsidRPr="000178E7">
        <w:rPr>
          <w:rStyle w:val="FootnoteReference"/>
          <w:szCs w:val="18"/>
        </w:rPr>
        <w:footnoteRef/>
      </w:r>
      <w:r w:rsidRPr="000178E7">
        <w:t xml:space="preserve"> Grains &amp; Legumes Nutrition Council, June 2017, </w:t>
      </w:r>
      <w:r w:rsidRPr="00230480">
        <w:rPr>
          <w:i/>
        </w:rPr>
        <w:t>Code of Practice for Whole Grain Ingredient Content Claims</w:t>
      </w:r>
    </w:p>
  </w:footnote>
  <w:footnote w:id="53">
    <w:p w14:paraId="7B7A90EB" w14:textId="6F67C596" w:rsidR="009D621A" w:rsidRPr="00102339" w:rsidRDefault="009D621A" w:rsidP="0024269C">
      <w:pPr>
        <w:pStyle w:val="FootnoteText"/>
      </w:pPr>
      <w:r w:rsidRPr="00102339">
        <w:rPr>
          <w:rStyle w:val="FootnoteReference"/>
          <w:szCs w:val="18"/>
        </w:rPr>
        <w:footnoteRef/>
      </w:r>
      <w:r w:rsidRPr="00102339">
        <w:t xml:space="preserve"> The George Institute for Global Health, 20 September </w:t>
      </w:r>
      <w:r>
        <w:t xml:space="preserve">2018, </w:t>
      </w:r>
      <w:r w:rsidRPr="00230480">
        <w:rPr>
          <w:i/>
        </w:rPr>
        <w:t>Uptake of the HSR System</w:t>
      </w:r>
    </w:p>
  </w:footnote>
  <w:footnote w:id="54">
    <w:p w14:paraId="03AB722B" w14:textId="1EDB56FE" w:rsidR="009D621A" w:rsidRPr="00C81D0A" w:rsidRDefault="009D621A" w:rsidP="0024269C">
      <w:pPr>
        <w:pStyle w:val="FootnoteText"/>
        <w:rPr>
          <w:szCs w:val="18"/>
          <w:lang w:val="en-GB"/>
        </w:rPr>
      </w:pPr>
      <w:r w:rsidRPr="00C81D0A">
        <w:rPr>
          <w:rStyle w:val="FootnoteReference"/>
          <w:szCs w:val="18"/>
        </w:rPr>
        <w:footnoteRef/>
      </w:r>
      <w:r w:rsidRPr="00C81D0A">
        <w:rPr>
          <w:szCs w:val="18"/>
        </w:rPr>
        <w:t xml:space="preserve"> </w:t>
      </w:r>
      <w:r w:rsidRPr="00C81D0A">
        <w:rPr>
          <w:szCs w:val="18"/>
          <w:lang w:val="en-GB"/>
        </w:rPr>
        <w:t xml:space="preserve">Dunford, E.K., Huang, L., Peters, S.A.E., Crino, M.; Neal, B.C., Ni Mhurchu, C. </w:t>
      </w:r>
      <w:r w:rsidRPr="00230480">
        <w:rPr>
          <w:szCs w:val="18"/>
          <w:lang w:val="en-GB"/>
        </w:rPr>
        <w:t>Evaluation of Alignment between the Health Claims Nutrient Profiling Scoring Criterion (NPSC) and the Health Star Rating (HSR) Nutrient Profiling Models.</w:t>
      </w:r>
      <w:r w:rsidRPr="00C81D0A">
        <w:rPr>
          <w:szCs w:val="18"/>
          <w:lang w:val="en-GB"/>
        </w:rPr>
        <w:t> </w:t>
      </w:r>
      <w:r w:rsidRPr="00230480">
        <w:rPr>
          <w:i/>
          <w:szCs w:val="18"/>
          <w:lang w:val="en-GB"/>
        </w:rPr>
        <w:t>Nutrients</w:t>
      </w:r>
      <w:r w:rsidRPr="00C81D0A">
        <w:rPr>
          <w:szCs w:val="18"/>
          <w:lang w:val="en-GB"/>
        </w:rPr>
        <w:t> 2018, 10, 1065</w:t>
      </w:r>
    </w:p>
  </w:footnote>
  <w:footnote w:id="55">
    <w:p w14:paraId="781113E8" w14:textId="0A7A5536" w:rsidR="009D621A" w:rsidRPr="00426322" w:rsidRDefault="009D621A" w:rsidP="0024269C">
      <w:pPr>
        <w:pStyle w:val="FootnoteText"/>
      </w:pPr>
      <w:r w:rsidRPr="00426322">
        <w:rPr>
          <w:rStyle w:val="FootnoteReference"/>
          <w:szCs w:val="18"/>
        </w:rPr>
        <w:footnoteRef/>
      </w:r>
      <w:r w:rsidRPr="00426322">
        <w:t xml:space="preserve"> FSANZ, 2017, </w:t>
      </w:r>
      <w:r w:rsidRPr="00230480">
        <w:rPr>
          <w:i/>
        </w:rPr>
        <w:t>Australian and New Zealand Food Standards Code – Schedule 4 Nutrition, health and related claims</w:t>
      </w:r>
    </w:p>
  </w:footnote>
  <w:footnote w:id="56">
    <w:p w14:paraId="62B9E6ED" w14:textId="77777777" w:rsidR="009D621A" w:rsidRPr="009E7EA4" w:rsidRDefault="009D621A" w:rsidP="0024269C">
      <w:pPr>
        <w:pStyle w:val="FootnoteText"/>
      </w:pPr>
      <w:r w:rsidRPr="009E7EA4">
        <w:rPr>
          <w:rStyle w:val="FootnoteReference"/>
          <w:szCs w:val="18"/>
        </w:rPr>
        <w:footnoteRef/>
      </w:r>
      <w:r w:rsidRPr="009E7EA4">
        <w:t xml:space="preserve"> World Health Organization, 24 August 2018, </w:t>
      </w:r>
      <w:r w:rsidRPr="009E7EA4">
        <w:rPr>
          <w:i/>
        </w:rPr>
        <w:t>Healthy Diet</w:t>
      </w:r>
      <w:r w:rsidRPr="009E7EA4">
        <w:t>, [http://www.who.int/news-room/fact-sheets/detail/healthy-diet]</w:t>
      </w:r>
    </w:p>
  </w:footnote>
  <w:footnote w:id="57">
    <w:p w14:paraId="10DD0544" w14:textId="77777777" w:rsidR="009D621A" w:rsidRDefault="009D621A" w:rsidP="0024269C">
      <w:pPr>
        <w:pStyle w:val="FootnoteText"/>
      </w:pPr>
      <w:r>
        <w:rPr>
          <w:rStyle w:val="FootnoteReference"/>
        </w:rPr>
        <w:footnoteRef/>
      </w:r>
      <w:r>
        <w:t xml:space="preserve"> </w:t>
      </w:r>
      <w:r w:rsidRPr="009E7EA4">
        <w:rPr>
          <w:lang w:val="en-GB"/>
        </w:rPr>
        <w:t xml:space="preserve">Jones, A, Radholm, K and Neal, B ‘Defining ‘Unhealthy’: a systematic analysis of alignment between the Australian Dietary Guidelines and the Health Star Rating System’, </w:t>
      </w:r>
      <w:r w:rsidRPr="009E7EA4">
        <w:rPr>
          <w:i/>
          <w:iCs/>
          <w:lang w:val="en-GB"/>
        </w:rPr>
        <w:t>Nutrients 2018</w:t>
      </w:r>
      <w:r w:rsidRPr="009E7EA4">
        <w:rPr>
          <w:lang w:val="en-GB"/>
        </w:rPr>
        <w:t>, 10, 501</w:t>
      </w:r>
    </w:p>
  </w:footnote>
  <w:footnote w:id="58">
    <w:p w14:paraId="0A1FBC27" w14:textId="77777777" w:rsidR="009D621A" w:rsidRPr="009E7EA4" w:rsidRDefault="009D621A" w:rsidP="0024269C">
      <w:pPr>
        <w:pStyle w:val="FootnoteText"/>
      </w:pPr>
      <w:r w:rsidRPr="009E7EA4">
        <w:rPr>
          <w:rStyle w:val="FootnoteReference"/>
          <w:szCs w:val="18"/>
        </w:rPr>
        <w:footnoteRef/>
      </w:r>
      <w:r w:rsidRPr="009E7EA4">
        <w:t xml:space="preserve"> </w:t>
      </w:r>
      <w:r w:rsidRPr="009E7EA4">
        <w:rPr>
          <w:lang w:val="en-GB"/>
        </w:rPr>
        <w:t xml:space="preserve">Dunford, E, Cobcroft, M, Thomas, M, &amp; Wu, J.H. (2015) </w:t>
      </w:r>
      <w:r w:rsidRPr="00384B76">
        <w:rPr>
          <w:i/>
          <w:lang w:val="en-GB"/>
        </w:rPr>
        <w:t>Technical Report: Alignment of NSW Healthy Food Provision Policy with the Health Star Rating System</w:t>
      </w:r>
      <w:r w:rsidRPr="009E7EA4">
        <w:rPr>
          <w:lang w:val="en-GB"/>
        </w:rPr>
        <w:t>, Sydney, NSW: NSW Ministry of Health</w:t>
      </w:r>
    </w:p>
  </w:footnote>
  <w:footnote w:id="59">
    <w:p w14:paraId="30ADFFCF" w14:textId="77777777" w:rsidR="009D621A" w:rsidRPr="00C81D0A" w:rsidRDefault="009D621A" w:rsidP="0024269C">
      <w:pPr>
        <w:pStyle w:val="FootnoteText"/>
        <w:rPr>
          <w:szCs w:val="18"/>
          <w:lang w:val="en-GB"/>
        </w:rPr>
      </w:pPr>
      <w:r w:rsidRPr="00C81D0A">
        <w:rPr>
          <w:rStyle w:val="FootnoteReference"/>
          <w:szCs w:val="18"/>
        </w:rPr>
        <w:footnoteRef/>
      </w:r>
      <w:r w:rsidRPr="00C81D0A">
        <w:rPr>
          <w:szCs w:val="18"/>
        </w:rPr>
        <w:t xml:space="preserve"> </w:t>
      </w:r>
      <w:r w:rsidRPr="00C81D0A">
        <w:rPr>
          <w:szCs w:val="18"/>
          <w:lang w:val="en-GB"/>
        </w:rPr>
        <w:t xml:space="preserve">Dunford, E.K., Huang, L., Peters, S.A.E., Crino, M.; Neal, B.C., Ni Mhurchu, C. </w:t>
      </w:r>
      <w:r w:rsidRPr="00C81D0A">
        <w:rPr>
          <w:i/>
          <w:szCs w:val="18"/>
          <w:lang w:val="en-GB"/>
        </w:rPr>
        <w:t>Evaluation of Alignment between the Health Claims Nutrient Profiling Scoring Criterion (NPSC) and the Health Star Rating (HSR) Nutrient Profiling Models</w:t>
      </w:r>
      <w:r w:rsidRPr="00C81D0A">
        <w:rPr>
          <w:szCs w:val="18"/>
          <w:lang w:val="en-GB"/>
        </w:rPr>
        <w:t>. Nutrients 2018, 10, 1065</w:t>
      </w:r>
    </w:p>
  </w:footnote>
  <w:footnote w:id="60">
    <w:p w14:paraId="1E3B62A6" w14:textId="77777777" w:rsidR="009D621A" w:rsidRPr="00426322" w:rsidRDefault="009D621A" w:rsidP="0024269C">
      <w:pPr>
        <w:pStyle w:val="FootnoteText"/>
      </w:pPr>
      <w:r w:rsidRPr="00426322">
        <w:rPr>
          <w:rStyle w:val="FootnoteReference"/>
          <w:szCs w:val="18"/>
        </w:rPr>
        <w:footnoteRef/>
      </w:r>
      <w:r w:rsidRPr="00426322">
        <w:t xml:space="preserve"> FSANZ, 2017, </w:t>
      </w:r>
      <w:r w:rsidRPr="00384B76">
        <w:rPr>
          <w:i/>
        </w:rPr>
        <w:t>Australian and New Zealand Food Standards Code – Schedule 4 Nutrition, health and related claims</w:t>
      </w:r>
    </w:p>
  </w:footnote>
  <w:footnote w:id="61">
    <w:p w14:paraId="5BFDBF8C" w14:textId="5FA14762" w:rsidR="009D621A" w:rsidRDefault="009D621A">
      <w:pPr>
        <w:pStyle w:val="FootnoteText"/>
      </w:pPr>
      <w:r>
        <w:rPr>
          <w:rStyle w:val="FootnoteReference"/>
        </w:rPr>
        <w:footnoteRef/>
      </w:r>
      <w:r>
        <w:t xml:space="preserve"> </w:t>
      </w:r>
      <w:r w:rsidRPr="00385EB9">
        <w:t>Jones A, Shahid M, Neal B, 2018, Uptake of Australia’s Health Star Rating</w:t>
      </w:r>
      <w:r>
        <w:t xml:space="preserve"> System, </w:t>
      </w:r>
      <w:r w:rsidRPr="00FB3434">
        <w:rPr>
          <w:i/>
        </w:rPr>
        <w:t>Nutrients</w:t>
      </w:r>
      <w:r>
        <w:t>, 10(8), 997</w:t>
      </w:r>
    </w:p>
  </w:footnote>
  <w:footnote w:id="62">
    <w:p w14:paraId="19982050" w14:textId="22317D32" w:rsidR="009D621A" w:rsidRPr="003E0249" w:rsidRDefault="009D621A" w:rsidP="0024269C">
      <w:pPr>
        <w:pStyle w:val="FootnoteText"/>
      </w:pPr>
      <w:r w:rsidRPr="003E0249">
        <w:rPr>
          <w:rStyle w:val="FootnoteReference"/>
          <w:szCs w:val="18"/>
        </w:rPr>
        <w:footnoteRef/>
      </w:r>
      <w:r w:rsidRPr="003E0249">
        <w:t xml:space="preserve"> The Forum agreed in June 2018 to limit the application of the HSR System to the product ‘as sold.’ This decision will be implemented alongside and in the context of the Review.</w:t>
      </w:r>
    </w:p>
  </w:footnote>
  <w:footnote w:id="63">
    <w:p w14:paraId="767754CE" w14:textId="222E463B" w:rsidR="009D621A" w:rsidRPr="00385EB9" w:rsidRDefault="009D621A" w:rsidP="0024269C">
      <w:pPr>
        <w:pStyle w:val="FootnoteText"/>
      </w:pPr>
      <w:r w:rsidRPr="00385EB9">
        <w:rPr>
          <w:rStyle w:val="FootnoteReference"/>
          <w:szCs w:val="18"/>
        </w:rPr>
        <w:footnoteRef/>
      </w:r>
      <w:r w:rsidRPr="00385EB9">
        <w:t xml:space="preserve"> Jones A, Shahid M, Neal B, 2018, Uptake of Australia’s Health Star Rating</w:t>
      </w:r>
      <w:r>
        <w:t xml:space="preserve"> System, </w:t>
      </w:r>
      <w:r w:rsidRPr="00FB3434">
        <w:rPr>
          <w:i/>
        </w:rPr>
        <w:t>Nutrients</w:t>
      </w:r>
      <w:r>
        <w:t>, 10(8), 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C00C" w14:textId="77777777" w:rsidR="009D621A" w:rsidRDefault="009D621A" w:rsidP="0024269C">
    <w:pPr>
      <w:pStyle w:val="Header"/>
    </w:pPr>
    <w:r>
      <w:rPr>
        <w:noProof/>
        <w:lang w:eastAsia="en-AU"/>
      </w:rPr>
      <w:drawing>
        <wp:inline distT="0" distB="0" distL="0" distR="0" wp14:anchorId="1AB4B257" wp14:editId="18279AA3">
          <wp:extent cx="1454468" cy="255793"/>
          <wp:effectExtent l="0" t="0" r="0" b="0"/>
          <wp:docPr id="3" name="Picture 3"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9D621A" w:rsidRPr="002C2A25" w:rsidRDefault="009D621A" w:rsidP="00242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68E4E6"/>
    <w:lvl w:ilvl="0" w:tplc="C7965A9A">
      <w:start w:val="1"/>
      <w:numFmt w:val="bullet"/>
      <w:pStyle w:val="mpcbullets1"/>
      <w:lvlText w:val="•"/>
      <w:lvlJc w:val="left"/>
      <w:pPr>
        <w:ind w:left="360" w:hanging="360"/>
      </w:pPr>
      <w:rPr>
        <w:color w:val="000000" w:themeColor="text1"/>
        <w:sz w:val="22"/>
        <w:szCs w:val="22"/>
      </w:r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16C3"/>
    <w:multiLevelType w:val="hybridMultilevel"/>
    <w:tmpl w:val="D0E2EC06"/>
    <w:lvl w:ilvl="0" w:tplc="6B5AB52C">
      <w:start w:val="1"/>
      <w:numFmt w:val="bullet"/>
      <w:pStyle w:val="FSBullet"/>
      <w:lvlText w:val=""/>
      <w:lvlJc w:val="left"/>
      <w:pPr>
        <w:ind w:left="720"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607DC"/>
    <w:multiLevelType w:val="hybridMultilevel"/>
    <w:tmpl w:val="5CEE92D2"/>
    <w:lvl w:ilvl="0" w:tplc="04090001">
      <w:start w:val="1"/>
      <w:numFmt w:val="bullet"/>
      <w:lvlText w:val=""/>
      <w:lvlJc w:val="left"/>
      <w:pPr>
        <w:ind w:left="360" w:hanging="360"/>
      </w:pPr>
      <w:rPr>
        <w:rFonts w:ascii="Symbol" w:hAnsi="Symbol" w:hint="default"/>
      </w:rPr>
    </w:lvl>
    <w:lvl w:ilvl="1" w:tplc="81704BC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833DB5"/>
    <w:multiLevelType w:val="hybridMultilevel"/>
    <w:tmpl w:val="E66ECBD2"/>
    <w:lvl w:ilvl="0" w:tplc="C02E47CA">
      <w:start w:val="1"/>
      <w:numFmt w:val="lowerLetter"/>
      <w:lvlText w:val="%1)"/>
      <w:lvlJc w:val="left"/>
      <w:pPr>
        <w:ind w:left="360" w:hanging="360"/>
      </w:pPr>
      <w:rPr>
        <w:rFonts w:asciiTheme="minorHAnsi" w:eastAsia="Times New Roman" w:hAnsiTheme="minorHAnsi" w:cstheme="minorHAns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01D7F"/>
    <w:multiLevelType w:val="hybridMultilevel"/>
    <w:tmpl w:val="FDB82CDE"/>
    <w:lvl w:ilvl="0" w:tplc="9B4C3D8E">
      <w:start w:val="1"/>
      <w:numFmt w:val="decimal"/>
      <w:lvlText w:val="%1."/>
      <w:lvlJc w:val="left"/>
      <w:pPr>
        <w:ind w:left="360" w:hanging="360"/>
      </w:pPr>
      <w:rPr>
        <w:rFonts w:hint="default"/>
        <w:b/>
      </w:rPr>
    </w:lvl>
    <w:lvl w:ilvl="1" w:tplc="0C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0667B4"/>
    <w:multiLevelType w:val="hybridMultilevel"/>
    <w:tmpl w:val="3E5CD118"/>
    <w:lvl w:ilvl="0" w:tplc="DC58DCAA">
      <w:start w:val="1"/>
      <w:numFmt w:val="bullet"/>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3586A482">
      <w:start w:val="1"/>
      <w:numFmt w:val="bullet"/>
      <w:lvlText w:val="–"/>
      <w:lvlJc w:val="left"/>
      <w:pPr>
        <w:ind w:left="1080" w:hanging="360"/>
      </w:pPr>
      <w:rPr>
        <w:rFonts w:ascii="Cambria" w:hAnsi="Cambria" w:hint="default"/>
        <w:color w:val="000000" w:themeColor="text1"/>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9393F"/>
    <w:multiLevelType w:val="hybridMultilevel"/>
    <w:tmpl w:val="C5A25F3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356CF3"/>
    <w:multiLevelType w:val="hybridMultilevel"/>
    <w:tmpl w:val="095EA4EE"/>
    <w:lvl w:ilvl="0" w:tplc="CEE82A64">
      <w:start w:val="1"/>
      <w:numFmt w:val="decimal"/>
      <w:pStyle w:val="mpcnumberedlist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56A"/>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597B62"/>
    <w:multiLevelType w:val="hybridMultilevel"/>
    <w:tmpl w:val="3F7036B8"/>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F92CED"/>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D4580"/>
    <w:multiLevelType w:val="hybridMultilevel"/>
    <w:tmpl w:val="0D945B28"/>
    <w:lvl w:ilvl="0" w:tplc="7C8EDDD0">
      <w:start w:val="1"/>
      <w:numFmt w:val="lowerLetter"/>
      <w:lvlText w:val="%1)"/>
      <w:lvlJc w:val="left"/>
      <w:pPr>
        <w:ind w:left="360" w:hanging="360"/>
      </w:pPr>
      <w:rPr>
        <w:rFonts w:asciiTheme="minorHAnsi" w:eastAsia="Times New Roman" w:hAnsiTheme="minorHAnsi" w:cstheme="minorHAns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260D9"/>
    <w:multiLevelType w:val="hybridMultilevel"/>
    <w:tmpl w:val="3CD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90737"/>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250199"/>
    <w:multiLevelType w:val="hybridMultilevel"/>
    <w:tmpl w:val="61767060"/>
    <w:lvl w:ilvl="0" w:tplc="A9301810">
      <w:start w:val="1"/>
      <w:numFmt w:val="bullet"/>
      <w:pStyle w:val="mpc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50087"/>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757414"/>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CC4F24"/>
    <w:multiLevelType w:val="hybridMultilevel"/>
    <w:tmpl w:val="738050E4"/>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D4364A"/>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794A4C"/>
    <w:multiLevelType w:val="hybridMultilevel"/>
    <w:tmpl w:val="347618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4762F9"/>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FC05EC"/>
    <w:multiLevelType w:val="hybridMultilevel"/>
    <w:tmpl w:val="FBE89E44"/>
    <w:lvl w:ilvl="0" w:tplc="1DAA6CE2">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nsid w:val="47F01119"/>
    <w:multiLevelType w:val="hybridMultilevel"/>
    <w:tmpl w:val="445E49AA"/>
    <w:lvl w:ilvl="0" w:tplc="08090001">
      <w:start w:val="1"/>
      <w:numFmt w:val="bullet"/>
      <w:lvlText w:val=""/>
      <w:lvlJc w:val="left"/>
      <w:pPr>
        <w:ind w:left="360" w:hanging="360"/>
      </w:pPr>
      <w:rPr>
        <w:rFonts w:ascii="Symbol" w:hAnsi="Symbol" w:hint="default"/>
      </w:rPr>
    </w:lvl>
    <w:lvl w:ilvl="1" w:tplc="CD002E06">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E70112"/>
    <w:multiLevelType w:val="hybridMultilevel"/>
    <w:tmpl w:val="738050E4"/>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354F33"/>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EA3F08"/>
    <w:multiLevelType w:val="hybridMultilevel"/>
    <w:tmpl w:val="030C45E8"/>
    <w:lvl w:ilvl="0" w:tplc="6B6EDEEA">
      <w:start w:val="1"/>
      <w:numFmt w:val="bullet"/>
      <w:lvlText w:val=""/>
      <w:lvlJc w:val="left"/>
      <w:pPr>
        <w:ind w:left="360" w:hanging="360"/>
      </w:pPr>
      <w:rPr>
        <w:rFonts w:ascii="Symbol" w:hAnsi="Symbol" w:hint="default"/>
        <w:b w:val="0"/>
        <w:color w:val="000000" w:themeColor="text1"/>
        <w:sz w:val="20"/>
        <w:szCs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1B2F99"/>
    <w:multiLevelType w:val="hybridMultilevel"/>
    <w:tmpl w:val="043A9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07D42"/>
    <w:multiLevelType w:val="hybridMultilevel"/>
    <w:tmpl w:val="40EC3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B6071D"/>
    <w:multiLevelType w:val="hybridMultilevel"/>
    <w:tmpl w:val="4CD62C7C"/>
    <w:lvl w:ilvl="0" w:tplc="CD002E06">
      <w:start w:val="1"/>
      <w:numFmt w:val="bullet"/>
      <w:lvlText w:val=""/>
      <w:lvlJc w:val="left"/>
      <w:pPr>
        <w:ind w:left="720" w:hanging="360"/>
      </w:pPr>
      <w:rPr>
        <w:rFonts w:ascii="Symbol" w:hAnsi="Symbol" w:hint="default"/>
      </w:rPr>
    </w:lvl>
    <w:lvl w:ilvl="1" w:tplc="BE624216">
      <w:start w:val="1"/>
      <w:numFmt w:val="bullet"/>
      <w:lvlText w:val="—"/>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D92F6A"/>
    <w:multiLevelType w:val="hybridMultilevel"/>
    <w:tmpl w:val="E484531E"/>
    <w:lvl w:ilvl="0" w:tplc="CD002E06">
      <w:start w:val="1"/>
      <w:numFmt w:val="bullet"/>
      <w:lvlText w:val=""/>
      <w:lvlJc w:val="left"/>
      <w:pPr>
        <w:ind w:left="720" w:hanging="360"/>
      </w:pPr>
      <w:rPr>
        <w:rFonts w:ascii="Symbol" w:hAnsi="Symbol" w:hint="default"/>
      </w:rPr>
    </w:lvl>
    <w:lvl w:ilvl="1" w:tplc="30187A90">
      <w:start w:val="1"/>
      <w:numFmt w:val="bullet"/>
      <w:pStyle w:val="mpcbullets3"/>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26"/>
  </w:num>
  <w:num w:numId="5">
    <w:abstractNumId w:val="5"/>
  </w:num>
  <w:num w:numId="6">
    <w:abstractNumId w:val="25"/>
  </w:num>
  <w:num w:numId="7">
    <w:abstractNumId w:val="17"/>
  </w:num>
  <w:num w:numId="8">
    <w:abstractNumId w:val="23"/>
  </w:num>
  <w:num w:numId="9">
    <w:abstractNumId w:val="19"/>
  </w:num>
  <w:num w:numId="10">
    <w:abstractNumId w:val="8"/>
  </w:num>
  <w:num w:numId="11">
    <w:abstractNumId w:val="24"/>
  </w:num>
  <w:num w:numId="12">
    <w:abstractNumId w:val="15"/>
  </w:num>
  <w:num w:numId="13">
    <w:abstractNumId w:val="18"/>
  </w:num>
  <w:num w:numId="14">
    <w:abstractNumId w:val="3"/>
  </w:num>
  <w:num w:numId="15">
    <w:abstractNumId w:val="20"/>
  </w:num>
  <w:num w:numId="16">
    <w:abstractNumId w:val="16"/>
  </w:num>
  <w:num w:numId="17">
    <w:abstractNumId w:val="9"/>
  </w:num>
  <w:num w:numId="18">
    <w:abstractNumId w:val="6"/>
  </w:num>
  <w:num w:numId="19">
    <w:abstractNumId w:val="10"/>
  </w:num>
  <w:num w:numId="20">
    <w:abstractNumId w:val="27"/>
  </w:num>
  <w:num w:numId="21">
    <w:abstractNumId w:val="14"/>
  </w:num>
  <w:num w:numId="22">
    <w:abstractNumId w:val="28"/>
  </w:num>
  <w:num w:numId="23">
    <w:abstractNumId w:val="22"/>
  </w:num>
  <w:num w:numId="24">
    <w:abstractNumId w:val="11"/>
  </w:num>
  <w:num w:numId="25">
    <w:abstractNumId w:val="12"/>
  </w:num>
  <w:num w:numId="26">
    <w:abstractNumId w:val="13"/>
  </w:num>
  <w:num w:numId="27">
    <w:abstractNumId w:val="4"/>
  </w:num>
  <w:num w:numId="28">
    <w:abstractNumId w:val="29"/>
  </w:num>
  <w:num w:numId="29">
    <w:abstractNumId w:val="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3"/>
    <w:rsid w:val="00001A81"/>
    <w:rsid w:val="00001A9B"/>
    <w:rsid w:val="0000206D"/>
    <w:rsid w:val="00002F8A"/>
    <w:rsid w:val="00003147"/>
    <w:rsid w:val="00003AFD"/>
    <w:rsid w:val="000051B3"/>
    <w:rsid w:val="00011193"/>
    <w:rsid w:val="00013149"/>
    <w:rsid w:val="00013787"/>
    <w:rsid w:val="00013AD4"/>
    <w:rsid w:val="00013CC0"/>
    <w:rsid w:val="00014BFA"/>
    <w:rsid w:val="00014C16"/>
    <w:rsid w:val="00014E5C"/>
    <w:rsid w:val="00014F97"/>
    <w:rsid w:val="00015372"/>
    <w:rsid w:val="00015A2A"/>
    <w:rsid w:val="00016B6C"/>
    <w:rsid w:val="0001722D"/>
    <w:rsid w:val="00017396"/>
    <w:rsid w:val="000178E7"/>
    <w:rsid w:val="00020E9F"/>
    <w:rsid w:val="00022238"/>
    <w:rsid w:val="00022671"/>
    <w:rsid w:val="00022EAD"/>
    <w:rsid w:val="0002309E"/>
    <w:rsid w:val="00024D52"/>
    <w:rsid w:val="0002513E"/>
    <w:rsid w:val="000254CF"/>
    <w:rsid w:val="000257F6"/>
    <w:rsid w:val="000260FC"/>
    <w:rsid w:val="0002683E"/>
    <w:rsid w:val="000271B0"/>
    <w:rsid w:val="0002741C"/>
    <w:rsid w:val="00030256"/>
    <w:rsid w:val="00030B89"/>
    <w:rsid w:val="000327C9"/>
    <w:rsid w:val="0003295B"/>
    <w:rsid w:val="000329B3"/>
    <w:rsid w:val="000329EC"/>
    <w:rsid w:val="00032A7D"/>
    <w:rsid w:val="00033396"/>
    <w:rsid w:val="000349A6"/>
    <w:rsid w:val="00035465"/>
    <w:rsid w:val="000361A5"/>
    <w:rsid w:val="000368A9"/>
    <w:rsid w:val="00036921"/>
    <w:rsid w:val="00036E01"/>
    <w:rsid w:val="00037A83"/>
    <w:rsid w:val="00037EC7"/>
    <w:rsid w:val="000403E9"/>
    <w:rsid w:val="00040D45"/>
    <w:rsid w:val="00041542"/>
    <w:rsid w:val="0004294D"/>
    <w:rsid w:val="00043043"/>
    <w:rsid w:val="000451EB"/>
    <w:rsid w:val="00046381"/>
    <w:rsid w:val="000470B3"/>
    <w:rsid w:val="00047AB6"/>
    <w:rsid w:val="00047E4C"/>
    <w:rsid w:val="000514BE"/>
    <w:rsid w:val="0005197F"/>
    <w:rsid w:val="0005248A"/>
    <w:rsid w:val="000527DF"/>
    <w:rsid w:val="0005293E"/>
    <w:rsid w:val="0005335E"/>
    <w:rsid w:val="00054740"/>
    <w:rsid w:val="00054AE7"/>
    <w:rsid w:val="00056DE2"/>
    <w:rsid w:val="00057482"/>
    <w:rsid w:val="00060066"/>
    <w:rsid w:val="000622D1"/>
    <w:rsid w:val="00063CBC"/>
    <w:rsid w:val="00064293"/>
    <w:rsid w:val="000645B8"/>
    <w:rsid w:val="00066A82"/>
    <w:rsid w:val="00066EDF"/>
    <w:rsid w:val="00067682"/>
    <w:rsid w:val="000676F3"/>
    <w:rsid w:val="00067DF7"/>
    <w:rsid w:val="0007271B"/>
    <w:rsid w:val="000727E5"/>
    <w:rsid w:val="000732E9"/>
    <w:rsid w:val="00073649"/>
    <w:rsid w:val="00073AFE"/>
    <w:rsid w:val="00074753"/>
    <w:rsid w:val="00076CA8"/>
    <w:rsid w:val="00076D31"/>
    <w:rsid w:val="00077B17"/>
    <w:rsid w:val="00077B7B"/>
    <w:rsid w:val="00077E5F"/>
    <w:rsid w:val="00082A7F"/>
    <w:rsid w:val="00082D81"/>
    <w:rsid w:val="000832A0"/>
    <w:rsid w:val="0008341A"/>
    <w:rsid w:val="000836BC"/>
    <w:rsid w:val="0008467C"/>
    <w:rsid w:val="00086091"/>
    <w:rsid w:val="000870CC"/>
    <w:rsid w:val="00091DA8"/>
    <w:rsid w:val="00092F01"/>
    <w:rsid w:val="000937D1"/>
    <w:rsid w:val="00095744"/>
    <w:rsid w:val="00095B6E"/>
    <w:rsid w:val="000A09A2"/>
    <w:rsid w:val="000A2050"/>
    <w:rsid w:val="000A227A"/>
    <w:rsid w:val="000A35FE"/>
    <w:rsid w:val="000A3965"/>
    <w:rsid w:val="000A405C"/>
    <w:rsid w:val="000A69EB"/>
    <w:rsid w:val="000B0350"/>
    <w:rsid w:val="000B0855"/>
    <w:rsid w:val="000B1D6D"/>
    <w:rsid w:val="000B2044"/>
    <w:rsid w:val="000B288C"/>
    <w:rsid w:val="000B483D"/>
    <w:rsid w:val="000C1277"/>
    <w:rsid w:val="000C1913"/>
    <w:rsid w:val="000C24FC"/>
    <w:rsid w:val="000C2636"/>
    <w:rsid w:val="000C410C"/>
    <w:rsid w:val="000C4C98"/>
    <w:rsid w:val="000C5DBF"/>
    <w:rsid w:val="000D1254"/>
    <w:rsid w:val="000D16D8"/>
    <w:rsid w:val="000D1A07"/>
    <w:rsid w:val="000D3258"/>
    <w:rsid w:val="000D32EA"/>
    <w:rsid w:val="000D422C"/>
    <w:rsid w:val="000D4B12"/>
    <w:rsid w:val="000D5158"/>
    <w:rsid w:val="000D5419"/>
    <w:rsid w:val="000D5D35"/>
    <w:rsid w:val="000D5EC0"/>
    <w:rsid w:val="000D7B4C"/>
    <w:rsid w:val="000E0271"/>
    <w:rsid w:val="000E0D23"/>
    <w:rsid w:val="000E369D"/>
    <w:rsid w:val="000E3EC1"/>
    <w:rsid w:val="000E5810"/>
    <w:rsid w:val="000E5A98"/>
    <w:rsid w:val="000E5AA8"/>
    <w:rsid w:val="000E70D5"/>
    <w:rsid w:val="000E7F97"/>
    <w:rsid w:val="000F01AD"/>
    <w:rsid w:val="000F023D"/>
    <w:rsid w:val="000F0598"/>
    <w:rsid w:val="000F10DD"/>
    <w:rsid w:val="000F12E3"/>
    <w:rsid w:val="000F28DF"/>
    <w:rsid w:val="000F2904"/>
    <w:rsid w:val="000F391C"/>
    <w:rsid w:val="000F3BFE"/>
    <w:rsid w:val="000F3FD6"/>
    <w:rsid w:val="000F4D1D"/>
    <w:rsid w:val="000F567A"/>
    <w:rsid w:val="000F5DD3"/>
    <w:rsid w:val="000F7FB7"/>
    <w:rsid w:val="001007BA"/>
    <w:rsid w:val="001019E5"/>
    <w:rsid w:val="00102339"/>
    <w:rsid w:val="00103077"/>
    <w:rsid w:val="00105B75"/>
    <w:rsid w:val="00106F1D"/>
    <w:rsid w:val="001071F4"/>
    <w:rsid w:val="001071FF"/>
    <w:rsid w:val="00107488"/>
    <w:rsid w:val="00107576"/>
    <w:rsid w:val="00107901"/>
    <w:rsid w:val="0011085C"/>
    <w:rsid w:val="00114AB4"/>
    <w:rsid w:val="00114CC5"/>
    <w:rsid w:val="00115211"/>
    <w:rsid w:val="00115E37"/>
    <w:rsid w:val="001206CC"/>
    <w:rsid w:val="00120790"/>
    <w:rsid w:val="0012165C"/>
    <w:rsid w:val="0012167E"/>
    <w:rsid w:val="001220E4"/>
    <w:rsid w:val="00122130"/>
    <w:rsid w:val="0012242F"/>
    <w:rsid w:val="00122AFC"/>
    <w:rsid w:val="001243B2"/>
    <w:rsid w:val="001248FC"/>
    <w:rsid w:val="00124FD0"/>
    <w:rsid w:val="001252C6"/>
    <w:rsid w:val="001254D3"/>
    <w:rsid w:val="00126DAA"/>
    <w:rsid w:val="00127C5C"/>
    <w:rsid w:val="001302F5"/>
    <w:rsid w:val="00131699"/>
    <w:rsid w:val="00133D90"/>
    <w:rsid w:val="0013435E"/>
    <w:rsid w:val="00134A28"/>
    <w:rsid w:val="00134A68"/>
    <w:rsid w:val="001368AB"/>
    <w:rsid w:val="00137158"/>
    <w:rsid w:val="00137703"/>
    <w:rsid w:val="001402F9"/>
    <w:rsid w:val="0014126E"/>
    <w:rsid w:val="001419EB"/>
    <w:rsid w:val="00143271"/>
    <w:rsid w:val="0014352C"/>
    <w:rsid w:val="00144971"/>
    <w:rsid w:val="001452D2"/>
    <w:rsid w:val="001462E2"/>
    <w:rsid w:val="00150D25"/>
    <w:rsid w:val="00150F18"/>
    <w:rsid w:val="001511FE"/>
    <w:rsid w:val="00153F2C"/>
    <w:rsid w:val="00154E20"/>
    <w:rsid w:val="00155251"/>
    <w:rsid w:val="001553AF"/>
    <w:rsid w:val="00157D4B"/>
    <w:rsid w:val="00157DC4"/>
    <w:rsid w:val="001617F2"/>
    <w:rsid w:val="0016187D"/>
    <w:rsid w:val="00162A4C"/>
    <w:rsid w:val="00162C4D"/>
    <w:rsid w:val="00162E08"/>
    <w:rsid w:val="00163505"/>
    <w:rsid w:val="001635A5"/>
    <w:rsid w:val="001646C7"/>
    <w:rsid w:val="001651FA"/>
    <w:rsid w:val="00166ABD"/>
    <w:rsid w:val="00172062"/>
    <w:rsid w:val="00172E89"/>
    <w:rsid w:val="00175752"/>
    <w:rsid w:val="0017611B"/>
    <w:rsid w:val="00177365"/>
    <w:rsid w:val="001773F1"/>
    <w:rsid w:val="00177F14"/>
    <w:rsid w:val="0018075C"/>
    <w:rsid w:val="00180B9D"/>
    <w:rsid w:val="00182B2D"/>
    <w:rsid w:val="0018523D"/>
    <w:rsid w:val="00186657"/>
    <w:rsid w:val="00186A25"/>
    <w:rsid w:val="00186B86"/>
    <w:rsid w:val="00187245"/>
    <w:rsid w:val="001909E1"/>
    <w:rsid w:val="001911FE"/>
    <w:rsid w:val="00192237"/>
    <w:rsid w:val="00192A3F"/>
    <w:rsid w:val="00192DC0"/>
    <w:rsid w:val="00193B68"/>
    <w:rsid w:val="00195A74"/>
    <w:rsid w:val="00195DC3"/>
    <w:rsid w:val="00196593"/>
    <w:rsid w:val="0019665C"/>
    <w:rsid w:val="00196864"/>
    <w:rsid w:val="00196B0E"/>
    <w:rsid w:val="00197C06"/>
    <w:rsid w:val="001A0307"/>
    <w:rsid w:val="001A0508"/>
    <w:rsid w:val="001A1C97"/>
    <w:rsid w:val="001A2BD3"/>
    <w:rsid w:val="001A355C"/>
    <w:rsid w:val="001A391F"/>
    <w:rsid w:val="001A5C6E"/>
    <w:rsid w:val="001A5CCD"/>
    <w:rsid w:val="001B3174"/>
    <w:rsid w:val="001B3AA1"/>
    <w:rsid w:val="001B40DD"/>
    <w:rsid w:val="001B5089"/>
    <w:rsid w:val="001B55BB"/>
    <w:rsid w:val="001B671A"/>
    <w:rsid w:val="001B7DB3"/>
    <w:rsid w:val="001C1912"/>
    <w:rsid w:val="001C2AA0"/>
    <w:rsid w:val="001C4784"/>
    <w:rsid w:val="001C4ADD"/>
    <w:rsid w:val="001C4DFB"/>
    <w:rsid w:val="001C6688"/>
    <w:rsid w:val="001C74F7"/>
    <w:rsid w:val="001C774F"/>
    <w:rsid w:val="001D08D8"/>
    <w:rsid w:val="001D19FD"/>
    <w:rsid w:val="001D2331"/>
    <w:rsid w:val="001D2F86"/>
    <w:rsid w:val="001D37E9"/>
    <w:rsid w:val="001D5CF5"/>
    <w:rsid w:val="001D5FC5"/>
    <w:rsid w:val="001D6336"/>
    <w:rsid w:val="001D6A1D"/>
    <w:rsid w:val="001D6C12"/>
    <w:rsid w:val="001D6C4A"/>
    <w:rsid w:val="001D7397"/>
    <w:rsid w:val="001D7755"/>
    <w:rsid w:val="001D77BC"/>
    <w:rsid w:val="001E031F"/>
    <w:rsid w:val="001E0703"/>
    <w:rsid w:val="001E074E"/>
    <w:rsid w:val="001E13BA"/>
    <w:rsid w:val="001E16F8"/>
    <w:rsid w:val="001E18D8"/>
    <w:rsid w:val="001E1E1A"/>
    <w:rsid w:val="001E44D7"/>
    <w:rsid w:val="001E52C4"/>
    <w:rsid w:val="001E55A8"/>
    <w:rsid w:val="001E5AE6"/>
    <w:rsid w:val="001E5F1C"/>
    <w:rsid w:val="001E6523"/>
    <w:rsid w:val="001E6BBF"/>
    <w:rsid w:val="001F1302"/>
    <w:rsid w:val="001F130B"/>
    <w:rsid w:val="001F189B"/>
    <w:rsid w:val="001F1CA4"/>
    <w:rsid w:val="001F4551"/>
    <w:rsid w:val="001F5734"/>
    <w:rsid w:val="001F5A8C"/>
    <w:rsid w:val="001F72BF"/>
    <w:rsid w:val="001F7522"/>
    <w:rsid w:val="002007E2"/>
    <w:rsid w:val="00201B7D"/>
    <w:rsid w:val="00202DFE"/>
    <w:rsid w:val="00203E25"/>
    <w:rsid w:val="002063B9"/>
    <w:rsid w:val="00206CF4"/>
    <w:rsid w:val="002074C2"/>
    <w:rsid w:val="00211B9F"/>
    <w:rsid w:val="00212378"/>
    <w:rsid w:val="002127CD"/>
    <w:rsid w:val="00213DD8"/>
    <w:rsid w:val="00213E80"/>
    <w:rsid w:val="002148B3"/>
    <w:rsid w:val="00215320"/>
    <w:rsid w:val="00220B1A"/>
    <w:rsid w:val="00221D5A"/>
    <w:rsid w:val="00221EBB"/>
    <w:rsid w:val="0022378D"/>
    <w:rsid w:val="00223C58"/>
    <w:rsid w:val="00225101"/>
    <w:rsid w:val="00225354"/>
    <w:rsid w:val="002254C5"/>
    <w:rsid w:val="002268B7"/>
    <w:rsid w:val="00227CF0"/>
    <w:rsid w:val="00230480"/>
    <w:rsid w:val="002308E5"/>
    <w:rsid w:val="002331EF"/>
    <w:rsid w:val="0023503B"/>
    <w:rsid w:val="00235639"/>
    <w:rsid w:val="00235F37"/>
    <w:rsid w:val="0023657E"/>
    <w:rsid w:val="00236DB4"/>
    <w:rsid w:val="0024166E"/>
    <w:rsid w:val="0024181E"/>
    <w:rsid w:val="0024269C"/>
    <w:rsid w:val="00242B46"/>
    <w:rsid w:val="00243AB4"/>
    <w:rsid w:val="00243AF0"/>
    <w:rsid w:val="0024690C"/>
    <w:rsid w:val="00246933"/>
    <w:rsid w:val="00246A9B"/>
    <w:rsid w:val="00246BAA"/>
    <w:rsid w:val="002477B6"/>
    <w:rsid w:val="0024788E"/>
    <w:rsid w:val="00247967"/>
    <w:rsid w:val="0025067E"/>
    <w:rsid w:val="002512A4"/>
    <w:rsid w:val="002516A0"/>
    <w:rsid w:val="00251FA3"/>
    <w:rsid w:val="00252B83"/>
    <w:rsid w:val="002558E8"/>
    <w:rsid w:val="0025628E"/>
    <w:rsid w:val="00256EAF"/>
    <w:rsid w:val="00257359"/>
    <w:rsid w:val="00260393"/>
    <w:rsid w:val="0026108E"/>
    <w:rsid w:val="002611EC"/>
    <w:rsid w:val="0026160D"/>
    <w:rsid w:val="00261830"/>
    <w:rsid w:val="00261CC3"/>
    <w:rsid w:val="00261F39"/>
    <w:rsid w:val="00263BC9"/>
    <w:rsid w:val="0026437F"/>
    <w:rsid w:val="00264934"/>
    <w:rsid w:val="00266A17"/>
    <w:rsid w:val="00267BFB"/>
    <w:rsid w:val="00270B0D"/>
    <w:rsid w:val="0027138A"/>
    <w:rsid w:val="00271DD8"/>
    <w:rsid w:val="00272568"/>
    <w:rsid w:val="0027297B"/>
    <w:rsid w:val="00272A66"/>
    <w:rsid w:val="00272E78"/>
    <w:rsid w:val="00273920"/>
    <w:rsid w:val="00275EF2"/>
    <w:rsid w:val="002760DA"/>
    <w:rsid w:val="0027644B"/>
    <w:rsid w:val="00277BDB"/>
    <w:rsid w:val="00277D04"/>
    <w:rsid w:val="00280AD5"/>
    <w:rsid w:val="00282758"/>
    <w:rsid w:val="00282F3A"/>
    <w:rsid w:val="002830F1"/>
    <w:rsid w:val="00283874"/>
    <w:rsid w:val="00283F89"/>
    <w:rsid w:val="0028675F"/>
    <w:rsid w:val="0028763F"/>
    <w:rsid w:val="00287933"/>
    <w:rsid w:val="00287EDC"/>
    <w:rsid w:val="0029172A"/>
    <w:rsid w:val="00291DF1"/>
    <w:rsid w:val="00292132"/>
    <w:rsid w:val="002929BE"/>
    <w:rsid w:val="00292F25"/>
    <w:rsid w:val="00293B75"/>
    <w:rsid w:val="002941A9"/>
    <w:rsid w:val="002947D3"/>
    <w:rsid w:val="00295105"/>
    <w:rsid w:val="00295D38"/>
    <w:rsid w:val="00296F8F"/>
    <w:rsid w:val="002A0DBA"/>
    <w:rsid w:val="002A2BA3"/>
    <w:rsid w:val="002A44AD"/>
    <w:rsid w:val="002A68F1"/>
    <w:rsid w:val="002A6909"/>
    <w:rsid w:val="002A6B68"/>
    <w:rsid w:val="002A7436"/>
    <w:rsid w:val="002A7954"/>
    <w:rsid w:val="002B0455"/>
    <w:rsid w:val="002B0FA9"/>
    <w:rsid w:val="002B147E"/>
    <w:rsid w:val="002B1CBE"/>
    <w:rsid w:val="002B3A4E"/>
    <w:rsid w:val="002B3C8B"/>
    <w:rsid w:val="002B4239"/>
    <w:rsid w:val="002B46C9"/>
    <w:rsid w:val="002B4A75"/>
    <w:rsid w:val="002B4F9A"/>
    <w:rsid w:val="002B7855"/>
    <w:rsid w:val="002B7927"/>
    <w:rsid w:val="002C102D"/>
    <w:rsid w:val="002C1191"/>
    <w:rsid w:val="002C2712"/>
    <w:rsid w:val="002C375E"/>
    <w:rsid w:val="002C4BD5"/>
    <w:rsid w:val="002C644A"/>
    <w:rsid w:val="002C697B"/>
    <w:rsid w:val="002C6D5D"/>
    <w:rsid w:val="002C7695"/>
    <w:rsid w:val="002D0136"/>
    <w:rsid w:val="002D10A2"/>
    <w:rsid w:val="002D1235"/>
    <w:rsid w:val="002D14BA"/>
    <w:rsid w:val="002D17A9"/>
    <w:rsid w:val="002D231D"/>
    <w:rsid w:val="002D5016"/>
    <w:rsid w:val="002D580B"/>
    <w:rsid w:val="002D6D31"/>
    <w:rsid w:val="002E0AB5"/>
    <w:rsid w:val="002E2AE8"/>
    <w:rsid w:val="002E2E5D"/>
    <w:rsid w:val="002E3411"/>
    <w:rsid w:val="002E5A4E"/>
    <w:rsid w:val="002E6531"/>
    <w:rsid w:val="002E690E"/>
    <w:rsid w:val="002E6BD6"/>
    <w:rsid w:val="002E70ED"/>
    <w:rsid w:val="002E725C"/>
    <w:rsid w:val="002F02E1"/>
    <w:rsid w:val="002F0420"/>
    <w:rsid w:val="002F0426"/>
    <w:rsid w:val="002F13BB"/>
    <w:rsid w:val="002F3066"/>
    <w:rsid w:val="002F489F"/>
    <w:rsid w:val="002F7150"/>
    <w:rsid w:val="002F7646"/>
    <w:rsid w:val="002F7A09"/>
    <w:rsid w:val="003001A2"/>
    <w:rsid w:val="0030034B"/>
    <w:rsid w:val="003009D7"/>
    <w:rsid w:val="00302A16"/>
    <w:rsid w:val="00302E83"/>
    <w:rsid w:val="003052A3"/>
    <w:rsid w:val="00305FD5"/>
    <w:rsid w:val="00306C53"/>
    <w:rsid w:val="0031354B"/>
    <w:rsid w:val="00313572"/>
    <w:rsid w:val="003153F5"/>
    <w:rsid w:val="003164A2"/>
    <w:rsid w:val="00317EB7"/>
    <w:rsid w:val="00320D06"/>
    <w:rsid w:val="00320DBE"/>
    <w:rsid w:val="00320F69"/>
    <w:rsid w:val="003211BA"/>
    <w:rsid w:val="003217A7"/>
    <w:rsid w:val="00323E85"/>
    <w:rsid w:val="00324B11"/>
    <w:rsid w:val="00325139"/>
    <w:rsid w:val="003253B7"/>
    <w:rsid w:val="00325A79"/>
    <w:rsid w:val="0032757F"/>
    <w:rsid w:val="00327BF5"/>
    <w:rsid w:val="00327C43"/>
    <w:rsid w:val="00327ED0"/>
    <w:rsid w:val="00330CE4"/>
    <w:rsid w:val="003315C4"/>
    <w:rsid w:val="0033219C"/>
    <w:rsid w:val="003322AF"/>
    <w:rsid w:val="003323CE"/>
    <w:rsid w:val="00332C04"/>
    <w:rsid w:val="003334D5"/>
    <w:rsid w:val="00335DCC"/>
    <w:rsid w:val="00336212"/>
    <w:rsid w:val="00336CED"/>
    <w:rsid w:val="00336ECB"/>
    <w:rsid w:val="00337118"/>
    <w:rsid w:val="00337B2A"/>
    <w:rsid w:val="00337DD9"/>
    <w:rsid w:val="00340026"/>
    <w:rsid w:val="00340695"/>
    <w:rsid w:val="00340720"/>
    <w:rsid w:val="003418FD"/>
    <w:rsid w:val="0034199C"/>
    <w:rsid w:val="00342794"/>
    <w:rsid w:val="00342D56"/>
    <w:rsid w:val="003430B6"/>
    <w:rsid w:val="0034381F"/>
    <w:rsid w:val="00344136"/>
    <w:rsid w:val="0034476F"/>
    <w:rsid w:val="003453F6"/>
    <w:rsid w:val="003456BC"/>
    <w:rsid w:val="00345F40"/>
    <w:rsid w:val="00350C74"/>
    <w:rsid w:val="003527E9"/>
    <w:rsid w:val="00352D36"/>
    <w:rsid w:val="00352F36"/>
    <w:rsid w:val="003547F9"/>
    <w:rsid w:val="00354E25"/>
    <w:rsid w:val="00355664"/>
    <w:rsid w:val="00355E41"/>
    <w:rsid w:val="003561AB"/>
    <w:rsid w:val="00356354"/>
    <w:rsid w:val="00360A4B"/>
    <w:rsid w:val="00360AEF"/>
    <w:rsid w:val="0036132A"/>
    <w:rsid w:val="00361439"/>
    <w:rsid w:val="00361B4F"/>
    <w:rsid w:val="00361E85"/>
    <w:rsid w:val="00362A60"/>
    <w:rsid w:val="00363953"/>
    <w:rsid w:val="00365E1A"/>
    <w:rsid w:val="00371922"/>
    <w:rsid w:val="003728AA"/>
    <w:rsid w:val="00372F3A"/>
    <w:rsid w:val="0037327D"/>
    <w:rsid w:val="00373A48"/>
    <w:rsid w:val="00373B52"/>
    <w:rsid w:val="003743BD"/>
    <w:rsid w:val="003763CA"/>
    <w:rsid w:val="003768C3"/>
    <w:rsid w:val="00377E8A"/>
    <w:rsid w:val="00382472"/>
    <w:rsid w:val="00383319"/>
    <w:rsid w:val="00384936"/>
    <w:rsid w:val="00384B76"/>
    <w:rsid w:val="00385D93"/>
    <w:rsid w:val="00390C30"/>
    <w:rsid w:val="0039558F"/>
    <w:rsid w:val="003A0EC0"/>
    <w:rsid w:val="003A1D35"/>
    <w:rsid w:val="003A3509"/>
    <w:rsid w:val="003A4EC8"/>
    <w:rsid w:val="003A5C9E"/>
    <w:rsid w:val="003A62D7"/>
    <w:rsid w:val="003A6808"/>
    <w:rsid w:val="003A6F52"/>
    <w:rsid w:val="003A76BF"/>
    <w:rsid w:val="003A7943"/>
    <w:rsid w:val="003A7E9F"/>
    <w:rsid w:val="003B2134"/>
    <w:rsid w:val="003B479F"/>
    <w:rsid w:val="003B4AF9"/>
    <w:rsid w:val="003B6BB3"/>
    <w:rsid w:val="003B7484"/>
    <w:rsid w:val="003B7B49"/>
    <w:rsid w:val="003B7B74"/>
    <w:rsid w:val="003B7C48"/>
    <w:rsid w:val="003C00E3"/>
    <w:rsid w:val="003C06E5"/>
    <w:rsid w:val="003C07F6"/>
    <w:rsid w:val="003C0A52"/>
    <w:rsid w:val="003C1B1B"/>
    <w:rsid w:val="003C297A"/>
    <w:rsid w:val="003C2B54"/>
    <w:rsid w:val="003C2B8A"/>
    <w:rsid w:val="003C3010"/>
    <w:rsid w:val="003C3057"/>
    <w:rsid w:val="003C3082"/>
    <w:rsid w:val="003C3C70"/>
    <w:rsid w:val="003C3E8A"/>
    <w:rsid w:val="003C515C"/>
    <w:rsid w:val="003D0122"/>
    <w:rsid w:val="003D0E9A"/>
    <w:rsid w:val="003D0FFA"/>
    <w:rsid w:val="003D1840"/>
    <w:rsid w:val="003D420E"/>
    <w:rsid w:val="003D5023"/>
    <w:rsid w:val="003D584B"/>
    <w:rsid w:val="003D5E9B"/>
    <w:rsid w:val="003D65BF"/>
    <w:rsid w:val="003D6879"/>
    <w:rsid w:val="003D7ECF"/>
    <w:rsid w:val="003E0249"/>
    <w:rsid w:val="003E58EB"/>
    <w:rsid w:val="003E68C6"/>
    <w:rsid w:val="003E74B5"/>
    <w:rsid w:val="003F0285"/>
    <w:rsid w:val="003F1230"/>
    <w:rsid w:val="003F1255"/>
    <w:rsid w:val="003F1CC2"/>
    <w:rsid w:val="003F2A63"/>
    <w:rsid w:val="003F46C5"/>
    <w:rsid w:val="003F5250"/>
    <w:rsid w:val="003F661D"/>
    <w:rsid w:val="003F6E52"/>
    <w:rsid w:val="003F7423"/>
    <w:rsid w:val="003F7FF4"/>
    <w:rsid w:val="004018E6"/>
    <w:rsid w:val="00404992"/>
    <w:rsid w:val="00405972"/>
    <w:rsid w:val="00405B6B"/>
    <w:rsid w:val="00410060"/>
    <w:rsid w:val="00410C6F"/>
    <w:rsid w:val="0041106D"/>
    <w:rsid w:val="004118D5"/>
    <w:rsid w:val="00411EE3"/>
    <w:rsid w:val="00411F53"/>
    <w:rsid w:val="00413428"/>
    <w:rsid w:val="004139D3"/>
    <w:rsid w:val="00413DFF"/>
    <w:rsid w:val="004149B4"/>
    <w:rsid w:val="004154C0"/>
    <w:rsid w:val="00416545"/>
    <w:rsid w:val="00416945"/>
    <w:rsid w:val="00420527"/>
    <w:rsid w:val="00420839"/>
    <w:rsid w:val="004226B0"/>
    <w:rsid w:val="004226FF"/>
    <w:rsid w:val="004247A4"/>
    <w:rsid w:val="004256C9"/>
    <w:rsid w:val="00425D5C"/>
    <w:rsid w:val="00426322"/>
    <w:rsid w:val="004265B9"/>
    <w:rsid w:val="0042700F"/>
    <w:rsid w:val="00427567"/>
    <w:rsid w:val="00430F17"/>
    <w:rsid w:val="004312FF"/>
    <w:rsid w:val="00431A8B"/>
    <w:rsid w:val="00431CE9"/>
    <w:rsid w:val="00431EB2"/>
    <w:rsid w:val="0043213A"/>
    <w:rsid w:val="00432964"/>
    <w:rsid w:val="00433267"/>
    <w:rsid w:val="004354DC"/>
    <w:rsid w:val="00436E5E"/>
    <w:rsid w:val="004407B5"/>
    <w:rsid w:val="004415F0"/>
    <w:rsid w:val="00442DA2"/>
    <w:rsid w:val="004430BD"/>
    <w:rsid w:val="004436EE"/>
    <w:rsid w:val="00446CC4"/>
    <w:rsid w:val="00451D34"/>
    <w:rsid w:val="00454708"/>
    <w:rsid w:val="00455168"/>
    <w:rsid w:val="0045557C"/>
    <w:rsid w:val="004603F3"/>
    <w:rsid w:val="00460E06"/>
    <w:rsid w:val="0046138D"/>
    <w:rsid w:val="00462763"/>
    <w:rsid w:val="0046622F"/>
    <w:rsid w:val="004672E4"/>
    <w:rsid w:val="004702DC"/>
    <w:rsid w:val="00470921"/>
    <w:rsid w:val="00470D04"/>
    <w:rsid w:val="00470EAB"/>
    <w:rsid w:val="0047101D"/>
    <w:rsid w:val="0047180F"/>
    <w:rsid w:val="00471DFE"/>
    <w:rsid w:val="004737ED"/>
    <w:rsid w:val="00473A0E"/>
    <w:rsid w:val="004741D7"/>
    <w:rsid w:val="0047574F"/>
    <w:rsid w:val="00476FC7"/>
    <w:rsid w:val="00477397"/>
    <w:rsid w:val="004803CA"/>
    <w:rsid w:val="00480701"/>
    <w:rsid w:val="00480D19"/>
    <w:rsid w:val="004811EF"/>
    <w:rsid w:val="00484136"/>
    <w:rsid w:val="0048458B"/>
    <w:rsid w:val="004846A5"/>
    <w:rsid w:val="00484862"/>
    <w:rsid w:val="004849A2"/>
    <w:rsid w:val="00484CC0"/>
    <w:rsid w:val="00484E15"/>
    <w:rsid w:val="00485893"/>
    <w:rsid w:val="00486AFD"/>
    <w:rsid w:val="00491AEE"/>
    <w:rsid w:val="00491C45"/>
    <w:rsid w:val="00492EFF"/>
    <w:rsid w:val="0049313F"/>
    <w:rsid w:val="0049342C"/>
    <w:rsid w:val="00493895"/>
    <w:rsid w:val="00494516"/>
    <w:rsid w:val="00495093"/>
    <w:rsid w:val="00495473"/>
    <w:rsid w:val="00495FF7"/>
    <w:rsid w:val="0049686E"/>
    <w:rsid w:val="004972A4"/>
    <w:rsid w:val="0049752C"/>
    <w:rsid w:val="00497FBD"/>
    <w:rsid w:val="004A09DA"/>
    <w:rsid w:val="004A136F"/>
    <w:rsid w:val="004A2B3A"/>
    <w:rsid w:val="004A2F3A"/>
    <w:rsid w:val="004A32F7"/>
    <w:rsid w:val="004A331D"/>
    <w:rsid w:val="004A56B3"/>
    <w:rsid w:val="004A62C2"/>
    <w:rsid w:val="004A63F5"/>
    <w:rsid w:val="004B0C88"/>
    <w:rsid w:val="004B3722"/>
    <w:rsid w:val="004B38E8"/>
    <w:rsid w:val="004B3AF9"/>
    <w:rsid w:val="004B5799"/>
    <w:rsid w:val="004C1C9C"/>
    <w:rsid w:val="004C23BB"/>
    <w:rsid w:val="004C2A04"/>
    <w:rsid w:val="004C3055"/>
    <w:rsid w:val="004C337D"/>
    <w:rsid w:val="004C470B"/>
    <w:rsid w:val="004C6A39"/>
    <w:rsid w:val="004D0B41"/>
    <w:rsid w:val="004D0BE6"/>
    <w:rsid w:val="004D1855"/>
    <w:rsid w:val="004D1C45"/>
    <w:rsid w:val="004D3848"/>
    <w:rsid w:val="004D444F"/>
    <w:rsid w:val="004E0963"/>
    <w:rsid w:val="004E2120"/>
    <w:rsid w:val="004E223F"/>
    <w:rsid w:val="004E2574"/>
    <w:rsid w:val="004E6FED"/>
    <w:rsid w:val="004E7558"/>
    <w:rsid w:val="004E794D"/>
    <w:rsid w:val="004F0137"/>
    <w:rsid w:val="004F199F"/>
    <w:rsid w:val="004F1D35"/>
    <w:rsid w:val="004F2714"/>
    <w:rsid w:val="004F3853"/>
    <w:rsid w:val="004F3D6B"/>
    <w:rsid w:val="004F3DEA"/>
    <w:rsid w:val="004F43B9"/>
    <w:rsid w:val="004F57CA"/>
    <w:rsid w:val="004F5E9F"/>
    <w:rsid w:val="004F75C6"/>
    <w:rsid w:val="0050154E"/>
    <w:rsid w:val="005020E2"/>
    <w:rsid w:val="00503550"/>
    <w:rsid w:val="0050424A"/>
    <w:rsid w:val="005045F7"/>
    <w:rsid w:val="00504EA0"/>
    <w:rsid w:val="00505250"/>
    <w:rsid w:val="005058CA"/>
    <w:rsid w:val="00506CA6"/>
    <w:rsid w:val="00506EB1"/>
    <w:rsid w:val="005079CD"/>
    <w:rsid w:val="00507E46"/>
    <w:rsid w:val="00511A01"/>
    <w:rsid w:val="00511B97"/>
    <w:rsid w:val="005125C7"/>
    <w:rsid w:val="00513024"/>
    <w:rsid w:val="005134C5"/>
    <w:rsid w:val="00515118"/>
    <w:rsid w:val="00515409"/>
    <w:rsid w:val="00515795"/>
    <w:rsid w:val="005157CA"/>
    <w:rsid w:val="00515B26"/>
    <w:rsid w:val="005163DA"/>
    <w:rsid w:val="00516D86"/>
    <w:rsid w:val="00521642"/>
    <w:rsid w:val="005218D7"/>
    <w:rsid w:val="00521BB9"/>
    <w:rsid w:val="00522FDB"/>
    <w:rsid w:val="00523F66"/>
    <w:rsid w:val="00524E5A"/>
    <w:rsid w:val="00525780"/>
    <w:rsid w:val="005263DF"/>
    <w:rsid w:val="0052679D"/>
    <w:rsid w:val="00526DDF"/>
    <w:rsid w:val="005303E2"/>
    <w:rsid w:val="00531C07"/>
    <w:rsid w:val="0053390D"/>
    <w:rsid w:val="0053488F"/>
    <w:rsid w:val="00534AF2"/>
    <w:rsid w:val="005354F2"/>
    <w:rsid w:val="00535BF1"/>
    <w:rsid w:val="005374E4"/>
    <w:rsid w:val="0054469B"/>
    <w:rsid w:val="0055036F"/>
    <w:rsid w:val="005511CF"/>
    <w:rsid w:val="0055153C"/>
    <w:rsid w:val="00551587"/>
    <w:rsid w:val="00552610"/>
    <w:rsid w:val="00552F88"/>
    <w:rsid w:val="0055410A"/>
    <w:rsid w:val="00554F1D"/>
    <w:rsid w:val="00555017"/>
    <w:rsid w:val="00556977"/>
    <w:rsid w:val="00560E60"/>
    <w:rsid w:val="00560F9E"/>
    <w:rsid w:val="00561741"/>
    <w:rsid w:val="00561EC9"/>
    <w:rsid w:val="005644FC"/>
    <w:rsid w:val="0056482D"/>
    <w:rsid w:val="005650BD"/>
    <w:rsid w:val="00566386"/>
    <w:rsid w:val="00566B82"/>
    <w:rsid w:val="00567FB4"/>
    <w:rsid w:val="0057012A"/>
    <w:rsid w:val="00570539"/>
    <w:rsid w:val="00570A58"/>
    <w:rsid w:val="00570F04"/>
    <w:rsid w:val="0057170C"/>
    <w:rsid w:val="00572DE5"/>
    <w:rsid w:val="005738D4"/>
    <w:rsid w:val="00576068"/>
    <w:rsid w:val="0057645F"/>
    <w:rsid w:val="00577AE3"/>
    <w:rsid w:val="0058032B"/>
    <w:rsid w:val="005834C6"/>
    <w:rsid w:val="005842CC"/>
    <w:rsid w:val="005846A5"/>
    <w:rsid w:val="005860CA"/>
    <w:rsid w:val="0059016E"/>
    <w:rsid w:val="00590455"/>
    <w:rsid w:val="00591593"/>
    <w:rsid w:val="005917FB"/>
    <w:rsid w:val="00592AB7"/>
    <w:rsid w:val="00593B23"/>
    <w:rsid w:val="005940DD"/>
    <w:rsid w:val="00594FAA"/>
    <w:rsid w:val="005950BE"/>
    <w:rsid w:val="00595A02"/>
    <w:rsid w:val="00595DAC"/>
    <w:rsid w:val="00596750"/>
    <w:rsid w:val="00596873"/>
    <w:rsid w:val="005A114D"/>
    <w:rsid w:val="005A2568"/>
    <w:rsid w:val="005A5112"/>
    <w:rsid w:val="005A6F0A"/>
    <w:rsid w:val="005A7778"/>
    <w:rsid w:val="005A7792"/>
    <w:rsid w:val="005A7B3B"/>
    <w:rsid w:val="005B07F5"/>
    <w:rsid w:val="005B17F6"/>
    <w:rsid w:val="005B5CFF"/>
    <w:rsid w:val="005B7247"/>
    <w:rsid w:val="005B75B2"/>
    <w:rsid w:val="005B76FB"/>
    <w:rsid w:val="005B78B4"/>
    <w:rsid w:val="005C170C"/>
    <w:rsid w:val="005C188A"/>
    <w:rsid w:val="005C229D"/>
    <w:rsid w:val="005C3076"/>
    <w:rsid w:val="005C4A32"/>
    <w:rsid w:val="005C5B56"/>
    <w:rsid w:val="005C7CC4"/>
    <w:rsid w:val="005C7F71"/>
    <w:rsid w:val="005D0DE1"/>
    <w:rsid w:val="005D1C57"/>
    <w:rsid w:val="005D209A"/>
    <w:rsid w:val="005D2F68"/>
    <w:rsid w:val="005D3FEE"/>
    <w:rsid w:val="005D4A07"/>
    <w:rsid w:val="005D554B"/>
    <w:rsid w:val="005D5B0C"/>
    <w:rsid w:val="005D5D06"/>
    <w:rsid w:val="005D638C"/>
    <w:rsid w:val="005E0CF3"/>
    <w:rsid w:val="005E22BD"/>
    <w:rsid w:val="005E2472"/>
    <w:rsid w:val="005E370C"/>
    <w:rsid w:val="005E3F3D"/>
    <w:rsid w:val="005E5177"/>
    <w:rsid w:val="005E597A"/>
    <w:rsid w:val="005E59EA"/>
    <w:rsid w:val="005E670F"/>
    <w:rsid w:val="005E73F7"/>
    <w:rsid w:val="005E7D38"/>
    <w:rsid w:val="005F0314"/>
    <w:rsid w:val="005F0AC0"/>
    <w:rsid w:val="005F0B88"/>
    <w:rsid w:val="005F0C6B"/>
    <w:rsid w:val="005F410C"/>
    <w:rsid w:val="005F42E2"/>
    <w:rsid w:val="005F75F1"/>
    <w:rsid w:val="006000E2"/>
    <w:rsid w:val="0060390E"/>
    <w:rsid w:val="006043C8"/>
    <w:rsid w:val="006044C5"/>
    <w:rsid w:val="00604711"/>
    <w:rsid w:val="00604879"/>
    <w:rsid w:val="006052CC"/>
    <w:rsid w:val="00605EEB"/>
    <w:rsid w:val="006067B2"/>
    <w:rsid w:val="00607D1F"/>
    <w:rsid w:val="00610450"/>
    <w:rsid w:val="0061210C"/>
    <w:rsid w:val="006124B7"/>
    <w:rsid w:val="0061351C"/>
    <w:rsid w:val="00614506"/>
    <w:rsid w:val="00614E06"/>
    <w:rsid w:val="00615069"/>
    <w:rsid w:val="00615AAF"/>
    <w:rsid w:val="00620F95"/>
    <w:rsid w:val="00622B07"/>
    <w:rsid w:val="00623425"/>
    <w:rsid w:val="00624052"/>
    <w:rsid w:val="0062450D"/>
    <w:rsid w:val="0062506A"/>
    <w:rsid w:val="006254E5"/>
    <w:rsid w:val="006304A7"/>
    <w:rsid w:val="006305B6"/>
    <w:rsid w:val="006306D7"/>
    <w:rsid w:val="00632105"/>
    <w:rsid w:val="00634306"/>
    <w:rsid w:val="00635583"/>
    <w:rsid w:val="00636244"/>
    <w:rsid w:val="00636640"/>
    <w:rsid w:val="0063787E"/>
    <w:rsid w:val="0064018B"/>
    <w:rsid w:val="00640F5E"/>
    <w:rsid w:val="00641ED1"/>
    <w:rsid w:val="0064377B"/>
    <w:rsid w:val="00643C09"/>
    <w:rsid w:val="006448D8"/>
    <w:rsid w:val="00644A7E"/>
    <w:rsid w:val="006462DF"/>
    <w:rsid w:val="00647B75"/>
    <w:rsid w:val="00651326"/>
    <w:rsid w:val="00651D17"/>
    <w:rsid w:val="00652439"/>
    <w:rsid w:val="006524E4"/>
    <w:rsid w:val="00653BDA"/>
    <w:rsid w:val="0065510F"/>
    <w:rsid w:val="006554D3"/>
    <w:rsid w:val="00655BEA"/>
    <w:rsid w:val="00655F47"/>
    <w:rsid w:val="00660A58"/>
    <w:rsid w:val="006618CE"/>
    <w:rsid w:val="0066216D"/>
    <w:rsid w:val="0066399F"/>
    <w:rsid w:val="0066452B"/>
    <w:rsid w:val="00664B6C"/>
    <w:rsid w:val="0066693C"/>
    <w:rsid w:val="00666C4F"/>
    <w:rsid w:val="0066791A"/>
    <w:rsid w:val="00670F7E"/>
    <w:rsid w:val="00672995"/>
    <w:rsid w:val="00672C77"/>
    <w:rsid w:val="00673188"/>
    <w:rsid w:val="00675A4C"/>
    <w:rsid w:val="00676E45"/>
    <w:rsid w:val="00677587"/>
    <w:rsid w:val="006814B1"/>
    <w:rsid w:val="006825BF"/>
    <w:rsid w:val="006829C8"/>
    <w:rsid w:val="00683AE5"/>
    <w:rsid w:val="00686984"/>
    <w:rsid w:val="006878C4"/>
    <w:rsid w:val="00687C19"/>
    <w:rsid w:val="00690FB0"/>
    <w:rsid w:val="00690FBE"/>
    <w:rsid w:val="006929A0"/>
    <w:rsid w:val="00692F32"/>
    <w:rsid w:val="006959D7"/>
    <w:rsid w:val="00696C33"/>
    <w:rsid w:val="006A0D16"/>
    <w:rsid w:val="006A1C00"/>
    <w:rsid w:val="006A26F5"/>
    <w:rsid w:val="006A3B5F"/>
    <w:rsid w:val="006A44DC"/>
    <w:rsid w:val="006A53D2"/>
    <w:rsid w:val="006A606D"/>
    <w:rsid w:val="006A7BAA"/>
    <w:rsid w:val="006B0C0E"/>
    <w:rsid w:val="006B0D40"/>
    <w:rsid w:val="006B14BD"/>
    <w:rsid w:val="006B2F45"/>
    <w:rsid w:val="006B2FF4"/>
    <w:rsid w:val="006B356E"/>
    <w:rsid w:val="006B3901"/>
    <w:rsid w:val="006B3F14"/>
    <w:rsid w:val="006B3F1D"/>
    <w:rsid w:val="006B43AB"/>
    <w:rsid w:val="006B54AC"/>
    <w:rsid w:val="006B5BEE"/>
    <w:rsid w:val="006B6290"/>
    <w:rsid w:val="006B6F9F"/>
    <w:rsid w:val="006B7993"/>
    <w:rsid w:val="006B7EB9"/>
    <w:rsid w:val="006C0E30"/>
    <w:rsid w:val="006C15AF"/>
    <w:rsid w:val="006C15B5"/>
    <w:rsid w:val="006C188C"/>
    <w:rsid w:val="006C29BD"/>
    <w:rsid w:val="006C3D7B"/>
    <w:rsid w:val="006C3D8B"/>
    <w:rsid w:val="006C4C24"/>
    <w:rsid w:val="006C50E2"/>
    <w:rsid w:val="006C77BB"/>
    <w:rsid w:val="006D153A"/>
    <w:rsid w:val="006D18DF"/>
    <w:rsid w:val="006D3C12"/>
    <w:rsid w:val="006D413D"/>
    <w:rsid w:val="006D4949"/>
    <w:rsid w:val="006E0577"/>
    <w:rsid w:val="006E0849"/>
    <w:rsid w:val="006E11D3"/>
    <w:rsid w:val="006E2771"/>
    <w:rsid w:val="006E448D"/>
    <w:rsid w:val="006E503C"/>
    <w:rsid w:val="006E5B57"/>
    <w:rsid w:val="006E77FC"/>
    <w:rsid w:val="006F2031"/>
    <w:rsid w:val="006F3489"/>
    <w:rsid w:val="006F3D68"/>
    <w:rsid w:val="006F5EE5"/>
    <w:rsid w:val="006F5FD6"/>
    <w:rsid w:val="006F6F80"/>
    <w:rsid w:val="006F7283"/>
    <w:rsid w:val="007001D6"/>
    <w:rsid w:val="00700759"/>
    <w:rsid w:val="00700C4B"/>
    <w:rsid w:val="00700F39"/>
    <w:rsid w:val="0070283E"/>
    <w:rsid w:val="00702C4D"/>
    <w:rsid w:val="00702E4F"/>
    <w:rsid w:val="007049D8"/>
    <w:rsid w:val="0070641E"/>
    <w:rsid w:val="00707FE6"/>
    <w:rsid w:val="00712B52"/>
    <w:rsid w:val="007130A0"/>
    <w:rsid w:val="0071420D"/>
    <w:rsid w:val="007147A4"/>
    <w:rsid w:val="007147BC"/>
    <w:rsid w:val="00715444"/>
    <w:rsid w:val="00715BAB"/>
    <w:rsid w:val="00715FE1"/>
    <w:rsid w:val="007178C4"/>
    <w:rsid w:val="00717BB7"/>
    <w:rsid w:val="00721228"/>
    <w:rsid w:val="007215FF"/>
    <w:rsid w:val="0072236E"/>
    <w:rsid w:val="00722B9F"/>
    <w:rsid w:val="00723BD8"/>
    <w:rsid w:val="007247DD"/>
    <w:rsid w:val="00725A37"/>
    <w:rsid w:val="0072703C"/>
    <w:rsid w:val="00727BE2"/>
    <w:rsid w:val="007303C1"/>
    <w:rsid w:val="0073180F"/>
    <w:rsid w:val="007325ED"/>
    <w:rsid w:val="007332BA"/>
    <w:rsid w:val="0073447B"/>
    <w:rsid w:val="00734662"/>
    <w:rsid w:val="0073497D"/>
    <w:rsid w:val="00735BC7"/>
    <w:rsid w:val="00736A7B"/>
    <w:rsid w:val="00741BDE"/>
    <w:rsid w:val="00742486"/>
    <w:rsid w:val="00742604"/>
    <w:rsid w:val="00743DC3"/>
    <w:rsid w:val="00745092"/>
    <w:rsid w:val="00745715"/>
    <w:rsid w:val="007463E6"/>
    <w:rsid w:val="007467EE"/>
    <w:rsid w:val="00746E04"/>
    <w:rsid w:val="0074717E"/>
    <w:rsid w:val="0074764C"/>
    <w:rsid w:val="007479F9"/>
    <w:rsid w:val="00750D55"/>
    <w:rsid w:val="00751036"/>
    <w:rsid w:val="007510F0"/>
    <w:rsid w:val="007522A1"/>
    <w:rsid w:val="00752C4B"/>
    <w:rsid w:val="00753F7F"/>
    <w:rsid w:val="0075415D"/>
    <w:rsid w:val="00754F33"/>
    <w:rsid w:val="007553E8"/>
    <w:rsid w:val="00755B58"/>
    <w:rsid w:val="0075607D"/>
    <w:rsid w:val="0075707B"/>
    <w:rsid w:val="007575A0"/>
    <w:rsid w:val="0075789D"/>
    <w:rsid w:val="007617FF"/>
    <w:rsid w:val="007704B5"/>
    <w:rsid w:val="007715E6"/>
    <w:rsid w:val="00771924"/>
    <w:rsid w:val="00771948"/>
    <w:rsid w:val="00772CB1"/>
    <w:rsid w:val="00773051"/>
    <w:rsid w:val="00774263"/>
    <w:rsid w:val="00774400"/>
    <w:rsid w:val="007747D2"/>
    <w:rsid w:val="00775030"/>
    <w:rsid w:val="00776596"/>
    <w:rsid w:val="00776F8B"/>
    <w:rsid w:val="00781425"/>
    <w:rsid w:val="007817DA"/>
    <w:rsid w:val="0078238C"/>
    <w:rsid w:val="0078254F"/>
    <w:rsid w:val="00783301"/>
    <w:rsid w:val="00783D35"/>
    <w:rsid w:val="007841CA"/>
    <w:rsid w:val="007841EF"/>
    <w:rsid w:val="00784518"/>
    <w:rsid w:val="007848E4"/>
    <w:rsid w:val="00786492"/>
    <w:rsid w:val="00786973"/>
    <w:rsid w:val="007869A0"/>
    <w:rsid w:val="00787398"/>
    <w:rsid w:val="00790595"/>
    <w:rsid w:val="00790A93"/>
    <w:rsid w:val="00790EBF"/>
    <w:rsid w:val="007913ED"/>
    <w:rsid w:val="00791C3E"/>
    <w:rsid w:val="00791C6B"/>
    <w:rsid w:val="00791CEE"/>
    <w:rsid w:val="00791D73"/>
    <w:rsid w:val="007945A2"/>
    <w:rsid w:val="00794BF7"/>
    <w:rsid w:val="00795FB0"/>
    <w:rsid w:val="00797533"/>
    <w:rsid w:val="00797F2A"/>
    <w:rsid w:val="007A08C8"/>
    <w:rsid w:val="007A0A83"/>
    <w:rsid w:val="007A2B97"/>
    <w:rsid w:val="007A42D8"/>
    <w:rsid w:val="007A46E5"/>
    <w:rsid w:val="007A61C3"/>
    <w:rsid w:val="007A65FC"/>
    <w:rsid w:val="007A722C"/>
    <w:rsid w:val="007A79DA"/>
    <w:rsid w:val="007B074C"/>
    <w:rsid w:val="007B0D31"/>
    <w:rsid w:val="007B0ED6"/>
    <w:rsid w:val="007B21C1"/>
    <w:rsid w:val="007B5449"/>
    <w:rsid w:val="007B7EB8"/>
    <w:rsid w:val="007C0A9F"/>
    <w:rsid w:val="007C0F8A"/>
    <w:rsid w:val="007C22AA"/>
    <w:rsid w:val="007C34E7"/>
    <w:rsid w:val="007C5182"/>
    <w:rsid w:val="007C59A7"/>
    <w:rsid w:val="007C5D5D"/>
    <w:rsid w:val="007C6BA6"/>
    <w:rsid w:val="007C7761"/>
    <w:rsid w:val="007C7A7F"/>
    <w:rsid w:val="007C7D94"/>
    <w:rsid w:val="007D178C"/>
    <w:rsid w:val="007D1CF9"/>
    <w:rsid w:val="007D2CBD"/>
    <w:rsid w:val="007D4807"/>
    <w:rsid w:val="007D5001"/>
    <w:rsid w:val="007D6C0F"/>
    <w:rsid w:val="007E0073"/>
    <w:rsid w:val="007E06AF"/>
    <w:rsid w:val="007E194B"/>
    <w:rsid w:val="007E288D"/>
    <w:rsid w:val="007E31E8"/>
    <w:rsid w:val="007E500F"/>
    <w:rsid w:val="007E6515"/>
    <w:rsid w:val="007E7C30"/>
    <w:rsid w:val="007E7C62"/>
    <w:rsid w:val="007F0181"/>
    <w:rsid w:val="007F0661"/>
    <w:rsid w:val="007F0B5E"/>
    <w:rsid w:val="007F23D8"/>
    <w:rsid w:val="007F35B3"/>
    <w:rsid w:val="007F369E"/>
    <w:rsid w:val="007F4470"/>
    <w:rsid w:val="007F7945"/>
    <w:rsid w:val="007F7ED5"/>
    <w:rsid w:val="008001DA"/>
    <w:rsid w:val="00810B40"/>
    <w:rsid w:val="00811EFF"/>
    <w:rsid w:val="00813BC9"/>
    <w:rsid w:val="008140C7"/>
    <w:rsid w:val="00814137"/>
    <w:rsid w:val="008162A1"/>
    <w:rsid w:val="008162D9"/>
    <w:rsid w:val="0081763C"/>
    <w:rsid w:val="008210A8"/>
    <w:rsid w:val="0082247F"/>
    <w:rsid w:val="00822CAB"/>
    <w:rsid w:val="008241A7"/>
    <w:rsid w:val="00824E43"/>
    <w:rsid w:val="0082547C"/>
    <w:rsid w:val="008256E9"/>
    <w:rsid w:val="008267AF"/>
    <w:rsid w:val="00831DDA"/>
    <w:rsid w:val="00832A72"/>
    <w:rsid w:val="00835F56"/>
    <w:rsid w:val="00836269"/>
    <w:rsid w:val="00836F3D"/>
    <w:rsid w:val="00836FC8"/>
    <w:rsid w:val="0083717F"/>
    <w:rsid w:val="00837283"/>
    <w:rsid w:val="008374F1"/>
    <w:rsid w:val="00841185"/>
    <w:rsid w:val="00841DC2"/>
    <w:rsid w:val="00842480"/>
    <w:rsid w:val="008432ED"/>
    <w:rsid w:val="00843365"/>
    <w:rsid w:val="00843410"/>
    <w:rsid w:val="008458FA"/>
    <w:rsid w:val="00845B1A"/>
    <w:rsid w:val="00846C75"/>
    <w:rsid w:val="00852E73"/>
    <w:rsid w:val="00852F18"/>
    <w:rsid w:val="00853D17"/>
    <w:rsid w:val="00854982"/>
    <w:rsid w:val="0085528B"/>
    <w:rsid w:val="008558A2"/>
    <w:rsid w:val="008577D6"/>
    <w:rsid w:val="00861CC1"/>
    <w:rsid w:val="008622C7"/>
    <w:rsid w:val="008628A1"/>
    <w:rsid w:val="0086348C"/>
    <w:rsid w:val="00863A18"/>
    <w:rsid w:val="008648EB"/>
    <w:rsid w:val="00864B65"/>
    <w:rsid w:val="00865C69"/>
    <w:rsid w:val="00865E8E"/>
    <w:rsid w:val="0086677D"/>
    <w:rsid w:val="00871191"/>
    <w:rsid w:val="008725A5"/>
    <w:rsid w:val="00872B3F"/>
    <w:rsid w:val="008734A4"/>
    <w:rsid w:val="00873524"/>
    <w:rsid w:val="0087428A"/>
    <w:rsid w:val="0087564E"/>
    <w:rsid w:val="00881D9D"/>
    <w:rsid w:val="008850ED"/>
    <w:rsid w:val="00886514"/>
    <w:rsid w:val="008873AA"/>
    <w:rsid w:val="00887501"/>
    <w:rsid w:val="00887BBC"/>
    <w:rsid w:val="008909F8"/>
    <w:rsid w:val="0089221D"/>
    <w:rsid w:val="00892F20"/>
    <w:rsid w:val="00893D55"/>
    <w:rsid w:val="0089400E"/>
    <w:rsid w:val="008941F1"/>
    <w:rsid w:val="00895567"/>
    <w:rsid w:val="00895ED8"/>
    <w:rsid w:val="00896167"/>
    <w:rsid w:val="0089646D"/>
    <w:rsid w:val="008A0CFB"/>
    <w:rsid w:val="008A13C7"/>
    <w:rsid w:val="008A1B67"/>
    <w:rsid w:val="008A210E"/>
    <w:rsid w:val="008A24F7"/>
    <w:rsid w:val="008A2A19"/>
    <w:rsid w:val="008A2E98"/>
    <w:rsid w:val="008A3329"/>
    <w:rsid w:val="008A3C89"/>
    <w:rsid w:val="008A49D6"/>
    <w:rsid w:val="008A51B4"/>
    <w:rsid w:val="008A5408"/>
    <w:rsid w:val="008A547B"/>
    <w:rsid w:val="008A6B08"/>
    <w:rsid w:val="008A7C51"/>
    <w:rsid w:val="008B0084"/>
    <w:rsid w:val="008B066F"/>
    <w:rsid w:val="008B0993"/>
    <w:rsid w:val="008B28EE"/>
    <w:rsid w:val="008B349F"/>
    <w:rsid w:val="008B4998"/>
    <w:rsid w:val="008B63B1"/>
    <w:rsid w:val="008B72F8"/>
    <w:rsid w:val="008B7566"/>
    <w:rsid w:val="008B7BDF"/>
    <w:rsid w:val="008C06A3"/>
    <w:rsid w:val="008C0784"/>
    <w:rsid w:val="008C200D"/>
    <w:rsid w:val="008C2890"/>
    <w:rsid w:val="008C48FC"/>
    <w:rsid w:val="008C5014"/>
    <w:rsid w:val="008C5263"/>
    <w:rsid w:val="008C6580"/>
    <w:rsid w:val="008C6E6D"/>
    <w:rsid w:val="008C7E5D"/>
    <w:rsid w:val="008D163E"/>
    <w:rsid w:val="008D2739"/>
    <w:rsid w:val="008D2B46"/>
    <w:rsid w:val="008D3072"/>
    <w:rsid w:val="008D4A1D"/>
    <w:rsid w:val="008D611A"/>
    <w:rsid w:val="008E057D"/>
    <w:rsid w:val="008E1AD7"/>
    <w:rsid w:val="008E289E"/>
    <w:rsid w:val="008E2D65"/>
    <w:rsid w:val="008E410C"/>
    <w:rsid w:val="008E61B3"/>
    <w:rsid w:val="008E7B0B"/>
    <w:rsid w:val="008F0C30"/>
    <w:rsid w:val="008F416E"/>
    <w:rsid w:val="008F45D3"/>
    <w:rsid w:val="008F5D93"/>
    <w:rsid w:val="008F6AD8"/>
    <w:rsid w:val="008F72A5"/>
    <w:rsid w:val="0090031A"/>
    <w:rsid w:val="009004C4"/>
    <w:rsid w:val="009009F7"/>
    <w:rsid w:val="00900C15"/>
    <w:rsid w:val="00900C39"/>
    <w:rsid w:val="00901420"/>
    <w:rsid w:val="00902302"/>
    <w:rsid w:val="0090240E"/>
    <w:rsid w:val="0090354B"/>
    <w:rsid w:val="00903898"/>
    <w:rsid w:val="00903A11"/>
    <w:rsid w:val="00905392"/>
    <w:rsid w:val="00905493"/>
    <w:rsid w:val="009072F5"/>
    <w:rsid w:val="0090770A"/>
    <w:rsid w:val="00907AFD"/>
    <w:rsid w:val="00910E24"/>
    <w:rsid w:val="00912A97"/>
    <w:rsid w:val="00913642"/>
    <w:rsid w:val="009146D6"/>
    <w:rsid w:val="00916479"/>
    <w:rsid w:val="00916C1A"/>
    <w:rsid w:val="009172B6"/>
    <w:rsid w:val="009172FE"/>
    <w:rsid w:val="0091730A"/>
    <w:rsid w:val="0091776D"/>
    <w:rsid w:val="009179CB"/>
    <w:rsid w:val="00921A7C"/>
    <w:rsid w:val="00923653"/>
    <w:rsid w:val="00924BC3"/>
    <w:rsid w:val="00926664"/>
    <w:rsid w:val="00926B08"/>
    <w:rsid w:val="00927621"/>
    <w:rsid w:val="0092789D"/>
    <w:rsid w:val="00930D72"/>
    <w:rsid w:val="00931FB6"/>
    <w:rsid w:val="00932990"/>
    <w:rsid w:val="009345A8"/>
    <w:rsid w:val="0093610C"/>
    <w:rsid w:val="00936BFB"/>
    <w:rsid w:val="00937BA3"/>
    <w:rsid w:val="00937E40"/>
    <w:rsid w:val="00940C22"/>
    <w:rsid w:val="00941606"/>
    <w:rsid w:val="00945E33"/>
    <w:rsid w:val="00946524"/>
    <w:rsid w:val="00946A80"/>
    <w:rsid w:val="0095032C"/>
    <w:rsid w:val="009515D7"/>
    <w:rsid w:val="00952257"/>
    <w:rsid w:val="0095271E"/>
    <w:rsid w:val="0095345E"/>
    <w:rsid w:val="00953601"/>
    <w:rsid w:val="009546A4"/>
    <w:rsid w:val="00954705"/>
    <w:rsid w:val="009547A0"/>
    <w:rsid w:val="00954F18"/>
    <w:rsid w:val="00956586"/>
    <w:rsid w:val="00956601"/>
    <w:rsid w:val="00960AD6"/>
    <w:rsid w:val="00963F5F"/>
    <w:rsid w:val="00964212"/>
    <w:rsid w:val="00964AE1"/>
    <w:rsid w:val="0096529D"/>
    <w:rsid w:val="009654DE"/>
    <w:rsid w:val="00966401"/>
    <w:rsid w:val="0097036E"/>
    <w:rsid w:val="00971BCC"/>
    <w:rsid w:val="009720A2"/>
    <w:rsid w:val="009723C0"/>
    <w:rsid w:val="009728F1"/>
    <w:rsid w:val="0097302C"/>
    <w:rsid w:val="00973ADA"/>
    <w:rsid w:val="00974A98"/>
    <w:rsid w:val="009753C1"/>
    <w:rsid w:val="0097695C"/>
    <w:rsid w:val="0097703A"/>
    <w:rsid w:val="00977310"/>
    <w:rsid w:val="00977364"/>
    <w:rsid w:val="0098079E"/>
    <w:rsid w:val="0098128C"/>
    <w:rsid w:val="00981704"/>
    <w:rsid w:val="00982251"/>
    <w:rsid w:val="00985856"/>
    <w:rsid w:val="00985F15"/>
    <w:rsid w:val="00986747"/>
    <w:rsid w:val="00986FA3"/>
    <w:rsid w:val="00987B26"/>
    <w:rsid w:val="009924EA"/>
    <w:rsid w:val="00992580"/>
    <w:rsid w:val="00992796"/>
    <w:rsid w:val="00992B01"/>
    <w:rsid w:val="00992F11"/>
    <w:rsid w:val="00993698"/>
    <w:rsid w:val="00993C31"/>
    <w:rsid w:val="00993E10"/>
    <w:rsid w:val="00995063"/>
    <w:rsid w:val="00996855"/>
    <w:rsid w:val="00996B79"/>
    <w:rsid w:val="00996DC8"/>
    <w:rsid w:val="009A023E"/>
    <w:rsid w:val="009A1CDF"/>
    <w:rsid w:val="009A20C0"/>
    <w:rsid w:val="009A2863"/>
    <w:rsid w:val="009A3F60"/>
    <w:rsid w:val="009A5CC5"/>
    <w:rsid w:val="009A68D7"/>
    <w:rsid w:val="009A77CD"/>
    <w:rsid w:val="009B00C2"/>
    <w:rsid w:val="009B03FB"/>
    <w:rsid w:val="009B142D"/>
    <w:rsid w:val="009B183C"/>
    <w:rsid w:val="009B25E0"/>
    <w:rsid w:val="009B3DB1"/>
    <w:rsid w:val="009B3EB4"/>
    <w:rsid w:val="009B5BD7"/>
    <w:rsid w:val="009B5EF3"/>
    <w:rsid w:val="009B7827"/>
    <w:rsid w:val="009B7913"/>
    <w:rsid w:val="009C0B54"/>
    <w:rsid w:val="009C2EED"/>
    <w:rsid w:val="009C39D1"/>
    <w:rsid w:val="009C669C"/>
    <w:rsid w:val="009C727E"/>
    <w:rsid w:val="009D0978"/>
    <w:rsid w:val="009D0BF8"/>
    <w:rsid w:val="009D13DF"/>
    <w:rsid w:val="009D1E95"/>
    <w:rsid w:val="009D2A2D"/>
    <w:rsid w:val="009D37CF"/>
    <w:rsid w:val="009D397F"/>
    <w:rsid w:val="009D3B02"/>
    <w:rsid w:val="009D5966"/>
    <w:rsid w:val="009D621A"/>
    <w:rsid w:val="009D6B0F"/>
    <w:rsid w:val="009E13AB"/>
    <w:rsid w:val="009E277F"/>
    <w:rsid w:val="009E2890"/>
    <w:rsid w:val="009E5164"/>
    <w:rsid w:val="009E59B4"/>
    <w:rsid w:val="009E5C7B"/>
    <w:rsid w:val="009E5E7B"/>
    <w:rsid w:val="009E656C"/>
    <w:rsid w:val="009E6A1F"/>
    <w:rsid w:val="009E72B1"/>
    <w:rsid w:val="009E763A"/>
    <w:rsid w:val="009E7EA4"/>
    <w:rsid w:val="009F0F73"/>
    <w:rsid w:val="009F1C62"/>
    <w:rsid w:val="009F2D55"/>
    <w:rsid w:val="009F3850"/>
    <w:rsid w:val="009F3D25"/>
    <w:rsid w:val="009F5DB9"/>
    <w:rsid w:val="009F7E9C"/>
    <w:rsid w:val="009F7F35"/>
    <w:rsid w:val="00A002C0"/>
    <w:rsid w:val="00A00709"/>
    <w:rsid w:val="00A012F3"/>
    <w:rsid w:val="00A01669"/>
    <w:rsid w:val="00A02105"/>
    <w:rsid w:val="00A024C7"/>
    <w:rsid w:val="00A03058"/>
    <w:rsid w:val="00A03348"/>
    <w:rsid w:val="00A035DD"/>
    <w:rsid w:val="00A0469F"/>
    <w:rsid w:val="00A05327"/>
    <w:rsid w:val="00A05E73"/>
    <w:rsid w:val="00A06906"/>
    <w:rsid w:val="00A06F2E"/>
    <w:rsid w:val="00A107BB"/>
    <w:rsid w:val="00A10A92"/>
    <w:rsid w:val="00A11138"/>
    <w:rsid w:val="00A11A3B"/>
    <w:rsid w:val="00A11F42"/>
    <w:rsid w:val="00A121DC"/>
    <w:rsid w:val="00A121E9"/>
    <w:rsid w:val="00A12371"/>
    <w:rsid w:val="00A135AE"/>
    <w:rsid w:val="00A14113"/>
    <w:rsid w:val="00A15E92"/>
    <w:rsid w:val="00A177AD"/>
    <w:rsid w:val="00A17918"/>
    <w:rsid w:val="00A17A95"/>
    <w:rsid w:val="00A17ED1"/>
    <w:rsid w:val="00A20646"/>
    <w:rsid w:val="00A21488"/>
    <w:rsid w:val="00A214E1"/>
    <w:rsid w:val="00A21D25"/>
    <w:rsid w:val="00A24291"/>
    <w:rsid w:val="00A24AC9"/>
    <w:rsid w:val="00A25EDB"/>
    <w:rsid w:val="00A26810"/>
    <w:rsid w:val="00A27009"/>
    <w:rsid w:val="00A2712A"/>
    <w:rsid w:val="00A27CF6"/>
    <w:rsid w:val="00A30569"/>
    <w:rsid w:val="00A313E3"/>
    <w:rsid w:val="00A31F7C"/>
    <w:rsid w:val="00A3221E"/>
    <w:rsid w:val="00A32358"/>
    <w:rsid w:val="00A344E8"/>
    <w:rsid w:val="00A3540B"/>
    <w:rsid w:val="00A35873"/>
    <w:rsid w:val="00A35C3A"/>
    <w:rsid w:val="00A3782D"/>
    <w:rsid w:val="00A37A65"/>
    <w:rsid w:val="00A4098B"/>
    <w:rsid w:val="00A42DAB"/>
    <w:rsid w:val="00A42EB4"/>
    <w:rsid w:val="00A437BB"/>
    <w:rsid w:val="00A43A60"/>
    <w:rsid w:val="00A43BFD"/>
    <w:rsid w:val="00A445C9"/>
    <w:rsid w:val="00A44946"/>
    <w:rsid w:val="00A452A5"/>
    <w:rsid w:val="00A454F2"/>
    <w:rsid w:val="00A45B11"/>
    <w:rsid w:val="00A50525"/>
    <w:rsid w:val="00A5144B"/>
    <w:rsid w:val="00A51B6A"/>
    <w:rsid w:val="00A51BB3"/>
    <w:rsid w:val="00A524A2"/>
    <w:rsid w:val="00A52702"/>
    <w:rsid w:val="00A5335D"/>
    <w:rsid w:val="00A534BF"/>
    <w:rsid w:val="00A54C53"/>
    <w:rsid w:val="00A552EF"/>
    <w:rsid w:val="00A5545A"/>
    <w:rsid w:val="00A55C3C"/>
    <w:rsid w:val="00A573FA"/>
    <w:rsid w:val="00A57978"/>
    <w:rsid w:val="00A6076F"/>
    <w:rsid w:val="00A60882"/>
    <w:rsid w:val="00A6187A"/>
    <w:rsid w:val="00A619C8"/>
    <w:rsid w:val="00A61ACD"/>
    <w:rsid w:val="00A6237D"/>
    <w:rsid w:val="00A62DEC"/>
    <w:rsid w:val="00A63694"/>
    <w:rsid w:val="00A63BE4"/>
    <w:rsid w:val="00A64638"/>
    <w:rsid w:val="00A649A9"/>
    <w:rsid w:val="00A66312"/>
    <w:rsid w:val="00A6728E"/>
    <w:rsid w:val="00A67350"/>
    <w:rsid w:val="00A67D14"/>
    <w:rsid w:val="00A70360"/>
    <w:rsid w:val="00A70557"/>
    <w:rsid w:val="00A70F42"/>
    <w:rsid w:val="00A70FA3"/>
    <w:rsid w:val="00A7212B"/>
    <w:rsid w:val="00A724A1"/>
    <w:rsid w:val="00A7282B"/>
    <w:rsid w:val="00A7368A"/>
    <w:rsid w:val="00A73A18"/>
    <w:rsid w:val="00A73F26"/>
    <w:rsid w:val="00A7497A"/>
    <w:rsid w:val="00A751C7"/>
    <w:rsid w:val="00A76209"/>
    <w:rsid w:val="00A76C30"/>
    <w:rsid w:val="00A77D9B"/>
    <w:rsid w:val="00A77F0E"/>
    <w:rsid w:val="00A80CAC"/>
    <w:rsid w:val="00A80D21"/>
    <w:rsid w:val="00A80D26"/>
    <w:rsid w:val="00A82895"/>
    <w:rsid w:val="00A838C5"/>
    <w:rsid w:val="00A83A76"/>
    <w:rsid w:val="00A84370"/>
    <w:rsid w:val="00A84765"/>
    <w:rsid w:val="00A84EF4"/>
    <w:rsid w:val="00A85727"/>
    <w:rsid w:val="00A86C75"/>
    <w:rsid w:val="00A87EBF"/>
    <w:rsid w:val="00A90745"/>
    <w:rsid w:val="00A91995"/>
    <w:rsid w:val="00A91AEE"/>
    <w:rsid w:val="00A93452"/>
    <w:rsid w:val="00A93F3C"/>
    <w:rsid w:val="00A94023"/>
    <w:rsid w:val="00A9464C"/>
    <w:rsid w:val="00A9494B"/>
    <w:rsid w:val="00A96579"/>
    <w:rsid w:val="00A9698D"/>
    <w:rsid w:val="00A9702C"/>
    <w:rsid w:val="00A9704F"/>
    <w:rsid w:val="00AA1FFA"/>
    <w:rsid w:val="00AA2F86"/>
    <w:rsid w:val="00AA30AC"/>
    <w:rsid w:val="00AA3235"/>
    <w:rsid w:val="00AA3AA7"/>
    <w:rsid w:val="00AA3D8B"/>
    <w:rsid w:val="00AA41B8"/>
    <w:rsid w:val="00AA4822"/>
    <w:rsid w:val="00AA562C"/>
    <w:rsid w:val="00AA5900"/>
    <w:rsid w:val="00AA5D42"/>
    <w:rsid w:val="00AA6842"/>
    <w:rsid w:val="00AA7ADC"/>
    <w:rsid w:val="00AB06C5"/>
    <w:rsid w:val="00AB1341"/>
    <w:rsid w:val="00AB1834"/>
    <w:rsid w:val="00AB1B2E"/>
    <w:rsid w:val="00AB2B42"/>
    <w:rsid w:val="00AB2E78"/>
    <w:rsid w:val="00AB3873"/>
    <w:rsid w:val="00AB3CAA"/>
    <w:rsid w:val="00AB4632"/>
    <w:rsid w:val="00AB5CEF"/>
    <w:rsid w:val="00AB5F40"/>
    <w:rsid w:val="00AC247E"/>
    <w:rsid w:val="00AC4620"/>
    <w:rsid w:val="00AC5228"/>
    <w:rsid w:val="00AC593E"/>
    <w:rsid w:val="00AC5DE1"/>
    <w:rsid w:val="00AC66A6"/>
    <w:rsid w:val="00AD1F61"/>
    <w:rsid w:val="00AD2BAE"/>
    <w:rsid w:val="00AD4521"/>
    <w:rsid w:val="00AD5804"/>
    <w:rsid w:val="00AD5DAD"/>
    <w:rsid w:val="00AD7D69"/>
    <w:rsid w:val="00AE0016"/>
    <w:rsid w:val="00AE0392"/>
    <w:rsid w:val="00AE0BCE"/>
    <w:rsid w:val="00AE27C5"/>
    <w:rsid w:val="00AE406D"/>
    <w:rsid w:val="00AE5920"/>
    <w:rsid w:val="00AE66F2"/>
    <w:rsid w:val="00AE69E3"/>
    <w:rsid w:val="00AE7F9E"/>
    <w:rsid w:val="00AF0107"/>
    <w:rsid w:val="00AF07FE"/>
    <w:rsid w:val="00AF1697"/>
    <w:rsid w:val="00AF3481"/>
    <w:rsid w:val="00AF3617"/>
    <w:rsid w:val="00AF5102"/>
    <w:rsid w:val="00AF5A1D"/>
    <w:rsid w:val="00AF685C"/>
    <w:rsid w:val="00AF6FF5"/>
    <w:rsid w:val="00AF733D"/>
    <w:rsid w:val="00AF7ACE"/>
    <w:rsid w:val="00B03C72"/>
    <w:rsid w:val="00B040C9"/>
    <w:rsid w:val="00B042EF"/>
    <w:rsid w:val="00B045E2"/>
    <w:rsid w:val="00B04723"/>
    <w:rsid w:val="00B051F8"/>
    <w:rsid w:val="00B05834"/>
    <w:rsid w:val="00B07104"/>
    <w:rsid w:val="00B10147"/>
    <w:rsid w:val="00B1103F"/>
    <w:rsid w:val="00B1128E"/>
    <w:rsid w:val="00B11930"/>
    <w:rsid w:val="00B11DBC"/>
    <w:rsid w:val="00B12114"/>
    <w:rsid w:val="00B13977"/>
    <w:rsid w:val="00B14F28"/>
    <w:rsid w:val="00B17128"/>
    <w:rsid w:val="00B173E0"/>
    <w:rsid w:val="00B17537"/>
    <w:rsid w:val="00B221D5"/>
    <w:rsid w:val="00B249B8"/>
    <w:rsid w:val="00B24F69"/>
    <w:rsid w:val="00B255C3"/>
    <w:rsid w:val="00B270BE"/>
    <w:rsid w:val="00B3038C"/>
    <w:rsid w:val="00B308E3"/>
    <w:rsid w:val="00B30B14"/>
    <w:rsid w:val="00B324AE"/>
    <w:rsid w:val="00B326FC"/>
    <w:rsid w:val="00B3301A"/>
    <w:rsid w:val="00B33095"/>
    <w:rsid w:val="00B33EE3"/>
    <w:rsid w:val="00B3719A"/>
    <w:rsid w:val="00B37AFB"/>
    <w:rsid w:val="00B41081"/>
    <w:rsid w:val="00B413F9"/>
    <w:rsid w:val="00B414FA"/>
    <w:rsid w:val="00B42A76"/>
    <w:rsid w:val="00B44157"/>
    <w:rsid w:val="00B4452E"/>
    <w:rsid w:val="00B4486B"/>
    <w:rsid w:val="00B44BA9"/>
    <w:rsid w:val="00B45452"/>
    <w:rsid w:val="00B46D18"/>
    <w:rsid w:val="00B4791D"/>
    <w:rsid w:val="00B513AB"/>
    <w:rsid w:val="00B51EE9"/>
    <w:rsid w:val="00B5421F"/>
    <w:rsid w:val="00B5548A"/>
    <w:rsid w:val="00B57976"/>
    <w:rsid w:val="00B6115B"/>
    <w:rsid w:val="00B628F2"/>
    <w:rsid w:val="00B63BBB"/>
    <w:rsid w:val="00B63DF7"/>
    <w:rsid w:val="00B6507E"/>
    <w:rsid w:val="00B6624A"/>
    <w:rsid w:val="00B66C26"/>
    <w:rsid w:val="00B67791"/>
    <w:rsid w:val="00B67ADE"/>
    <w:rsid w:val="00B67AEF"/>
    <w:rsid w:val="00B703DC"/>
    <w:rsid w:val="00B705EC"/>
    <w:rsid w:val="00B70BDA"/>
    <w:rsid w:val="00B70F0B"/>
    <w:rsid w:val="00B717D8"/>
    <w:rsid w:val="00B71BA2"/>
    <w:rsid w:val="00B72FE0"/>
    <w:rsid w:val="00B7346B"/>
    <w:rsid w:val="00B7666D"/>
    <w:rsid w:val="00B7723B"/>
    <w:rsid w:val="00B80073"/>
    <w:rsid w:val="00B8131D"/>
    <w:rsid w:val="00B8178B"/>
    <w:rsid w:val="00B81C91"/>
    <w:rsid w:val="00B8238A"/>
    <w:rsid w:val="00B85ABC"/>
    <w:rsid w:val="00B85AF4"/>
    <w:rsid w:val="00B85F49"/>
    <w:rsid w:val="00B91EBF"/>
    <w:rsid w:val="00B9285D"/>
    <w:rsid w:val="00B92AA2"/>
    <w:rsid w:val="00B92F54"/>
    <w:rsid w:val="00B93EA2"/>
    <w:rsid w:val="00B93F2B"/>
    <w:rsid w:val="00B95FC2"/>
    <w:rsid w:val="00B9683C"/>
    <w:rsid w:val="00B96F22"/>
    <w:rsid w:val="00B979DC"/>
    <w:rsid w:val="00B97E4C"/>
    <w:rsid w:val="00BA0058"/>
    <w:rsid w:val="00BA06D2"/>
    <w:rsid w:val="00BA0828"/>
    <w:rsid w:val="00BA1074"/>
    <w:rsid w:val="00BA55D7"/>
    <w:rsid w:val="00BB06AD"/>
    <w:rsid w:val="00BB1774"/>
    <w:rsid w:val="00BB1CD5"/>
    <w:rsid w:val="00BB437B"/>
    <w:rsid w:val="00BB50FD"/>
    <w:rsid w:val="00BB5C02"/>
    <w:rsid w:val="00BB658B"/>
    <w:rsid w:val="00BB6A29"/>
    <w:rsid w:val="00BB7312"/>
    <w:rsid w:val="00BB7789"/>
    <w:rsid w:val="00BB7F55"/>
    <w:rsid w:val="00BC04C6"/>
    <w:rsid w:val="00BC0AA2"/>
    <w:rsid w:val="00BC0D2A"/>
    <w:rsid w:val="00BC39B5"/>
    <w:rsid w:val="00BC619F"/>
    <w:rsid w:val="00BC639D"/>
    <w:rsid w:val="00BC674D"/>
    <w:rsid w:val="00BC6A16"/>
    <w:rsid w:val="00BD007F"/>
    <w:rsid w:val="00BD1125"/>
    <w:rsid w:val="00BD1C42"/>
    <w:rsid w:val="00BD4218"/>
    <w:rsid w:val="00BD42C4"/>
    <w:rsid w:val="00BD64AB"/>
    <w:rsid w:val="00BD69B7"/>
    <w:rsid w:val="00BD6BE7"/>
    <w:rsid w:val="00BD6DF1"/>
    <w:rsid w:val="00BD7093"/>
    <w:rsid w:val="00BD70A7"/>
    <w:rsid w:val="00BD7627"/>
    <w:rsid w:val="00BD7CBA"/>
    <w:rsid w:val="00BE07D8"/>
    <w:rsid w:val="00BE2234"/>
    <w:rsid w:val="00BE2405"/>
    <w:rsid w:val="00BE308B"/>
    <w:rsid w:val="00BE335C"/>
    <w:rsid w:val="00BE36E5"/>
    <w:rsid w:val="00BE3B91"/>
    <w:rsid w:val="00BE5104"/>
    <w:rsid w:val="00BE52B6"/>
    <w:rsid w:val="00BE54D4"/>
    <w:rsid w:val="00BE5690"/>
    <w:rsid w:val="00BE61A6"/>
    <w:rsid w:val="00BE78FC"/>
    <w:rsid w:val="00BF1780"/>
    <w:rsid w:val="00BF1EAB"/>
    <w:rsid w:val="00BF270B"/>
    <w:rsid w:val="00BF276B"/>
    <w:rsid w:val="00BF38AE"/>
    <w:rsid w:val="00BF3FF6"/>
    <w:rsid w:val="00BF4209"/>
    <w:rsid w:val="00BF433B"/>
    <w:rsid w:val="00BF592A"/>
    <w:rsid w:val="00BF7023"/>
    <w:rsid w:val="00BF7028"/>
    <w:rsid w:val="00BF7691"/>
    <w:rsid w:val="00BF777B"/>
    <w:rsid w:val="00C00573"/>
    <w:rsid w:val="00C00BC5"/>
    <w:rsid w:val="00C01565"/>
    <w:rsid w:val="00C047FE"/>
    <w:rsid w:val="00C05A9C"/>
    <w:rsid w:val="00C068C9"/>
    <w:rsid w:val="00C074A8"/>
    <w:rsid w:val="00C100C5"/>
    <w:rsid w:val="00C10873"/>
    <w:rsid w:val="00C123FC"/>
    <w:rsid w:val="00C17BEA"/>
    <w:rsid w:val="00C213D5"/>
    <w:rsid w:val="00C21A5A"/>
    <w:rsid w:val="00C23724"/>
    <w:rsid w:val="00C23E18"/>
    <w:rsid w:val="00C24363"/>
    <w:rsid w:val="00C26059"/>
    <w:rsid w:val="00C26F6C"/>
    <w:rsid w:val="00C27FBF"/>
    <w:rsid w:val="00C3066A"/>
    <w:rsid w:val="00C3078C"/>
    <w:rsid w:val="00C31764"/>
    <w:rsid w:val="00C331C0"/>
    <w:rsid w:val="00C3393C"/>
    <w:rsid w:val="00C33D34"/>
    <w:rsid w:val="00C33EA2"/>
    <w:rsid w:val="00C34763"/>
    <w:rsid w:val="00C3554B"/>
    <w:rsid w:val="00C360EE"/>
    <w:rsid w:val="00C36A86"/>
    <w:rsid w:val="00C37E18"/>
    <w:rsid w:val="00C37F06"/>
    <w:rsid w:val="00C37F9F"/>
    <w:rsid w:val="00C41380"/>
    <w:rsid w:val="00C41D3C"/>
    <w:rsid w:val="00C45BBD"/>
    <w:rsid w:val="00C464BA"/>
    <w:rsid w:val="00C506B7"/>
    <w:rsid w:val="00C50FA1"/>
    <w:rsid w:val="00C516AA"/>
    <w:rsid w:val="00C516AC"/>
    <w:rsid w:val="00C52B2C"/>
    <w:rsid w:val="00C53C4B"/>
    <w:rsid w:val="00C5485C"/>
    <w:rsid w:val="00C567D4"/>
    <w:rsid w:val="00C60252"/>
    <w:rsid w:val="00C616A3"/>
    <w:rsid w:val="00C61836"/>
    <w:rsid w:val="00C61889"/>
    <w:rsid w:val="00C624D1"/>
    <w:rsid w:val="00C63021"/>
    <w:rsid w:val="00C6304C"/>
    <w:rsid w:val="00C63D5A"/>
    <w:rsid w:val="00C65AF4"/>
    <w:rsid w:val="00C65DCE"/>
    <w:rsid w:val="00C667AD"/>
    <w:rsid w:val="00C6743D"/>
    <w:rsid w:val="00C67B94"/>
    <w:rsid w:val="00C67F53"/>
    <w:rsid w:val="00C70562"/>
    <w:rsid w:val="00C708E2"/>
    <w:rsid w:val="00C72F6C"/>
    <w:rsid w:val="00C738D1"/>
    <w:rsid w:val="00C755BF"/>
    <w:rsid w:val="00C75EB9"/>
    <w:rsid w:val="00C771A6"/>
    <w:rsid w:val="00C77380"/>
    <w:rsid w:val="00C77A3B"/>
    <w:rsid w:val="00C77DF0"/>
    <w:rsid w:val="00C81D0A"/>
    <w:rsid w:val="00C81EA5"/>
    <w:rsid w:val="00C82FA5"/>
    <w:rsid w:val="00C849D4"/>
    <w:rsid w:val="00C84AB3"/>
    <w:rsid w:val="00C84F80"/>
    <w:rsid w:val="00C87B4C"/>
    <w:rsid w:val="00C90609"/>
    <w:rsid w:val="00C913D4"/>
    <w:rsid w:val="00C92BED"/>
    <w:rsid w:val="00C93430"/>
    <w:rsid w:val="00C936B5"/>
    <w:rsid w:val="00C96EA9"/>
    <w:rsid w:val="00C978E0"/>
    <w:rsid w:val="00CA367F"/>
    <w:rsid w:val="00CA4840"/>
    <w:rsid w:val="00CA4C8E"/>
    <w:rsid w:val="00CA69BF"/>
    <w:rsid w:val="00CB13E6"/>
    <w:rsid w:val="00CB16AF"/>
    <w:rsid w:val="00CB17E1"/>
    <w:rsid w:val="00CB2133"/>
    <w:rsid w:val="00CB2B62"/>
    <w:rsid w:val="00CB2D89"/>
    <w:rsid w:val="00CB2FFA"/>
    <w:rsid w:val="00CB37A8"/>
    <w:rsid w:val="00CB5CD6"/>
    <w:rsid w:val="00CB6019"/>
    <w:rsid w:val="00CB6158"/>
    <w:rsid w:val="00CB705B"/>
    <w:rsid w:val="00CB7E6C"/>
    <w:rsid w:val="00CC273E"/>
    <w:rsid w:val="00CC2E42"/>
    <w:rsid w:val="00CC324F"/>
    <w:rsid w:val="00CC410F"/>
    <w:rsid w:val="00CC5985"/>
    <w:rsid w:val="00CC6153"/>
    <w:rsid w:val="00CC65E1"/>
    <w:rsid w:val="00CD002F"/>
    <w:rsid w:val="00CD0096"/>
    <w:rsid w:val="00CD057C"/>
    <w:rsid w:val="00CD44AD"/>
    <w:rsid w:val="00CD6992"/>
    <w:rsid w:val="00CD69AE"/>
    <w:rsid w:val="00CD6B62"/>
    <w:rsid w:val="00CD6D42"/>
    <w:rsid w:val="00CD7049"/>
    <w:rsid w:val="00CD7A54"/>
    <w:rsid w:val="00CE0569"/>
    <w:rsid w:val="00CE1A28"/>
    <w:rsid w:val="00CE2AD9"/>
    <w:rsid w:val="00CE2CFA"/>
    <w:rsid w:val="00CE4E7A"/>
    <w:rsid w:val="00CE5554"/>
    <w:rsid w:val="00CE5F55"/>
    <w:rsid w:val="00CE68A9"/>
    <w:rsid w:val="00CF4A1B"/>
    <w:rsid w:val="00CF532F"/>
    <w:rsid w:val="00CF6080"/>
    <w:rsid w:val="00CF62B5"/>
    <w:rsid w:val="00CF6D99"/>
    <w:rsid w:val="00D00B0E"/>
    <w:rsid w:val="00D0252F"/>
    <w:rsid w:val="00D0257F"/>
    <w:rsid w:val="00D02CB7"/>
    <w:rsid w:val="00D0445E"/>
    <w:rsid w:val="00D04CC9"/>
    <w:rsid w:val="00D07921"/>
    <w:rsid w:val="00D07B6B"/>
    <w:rsid w:val="00D1016A"/>
    <w:rsid w:val="00D103D4"/>
    <w:rsid w:val="00D10721"/>
    <w:rsid w:val="00D10A68"/>
    <w:rsid w:val="00D13928"/>
    <w:rsid w:val="00D144E6"/>
    <w:rsid w:val="00D144F7"/>
    <w:rsid w:val="00D15A3C"/>
    <w:rsid w:val="00D1653B"/>
    <w:rsid w:val="00D17418"/>
    <w:rsid w:val="00D1768A"/>
    <w:rsid w:val="00D2142B"/>
    <w:rsid w:val="00D21F55"/>
    <w:rsid w:val="00D23397"/>
    <w:rsid w:val="00D23510"/>
    <w:rsid w:val="00D23B85"/>
    <w:rsid w:val="00D24524"/>
    <w:rsid w:val="00D24E4B"/>
    <w:rsid w:val="00D25A4F"/>
    <w:rsid w:val="00D2672A"/>
    <w:rsid w:val="00D3038D"/>
    <w:rsid w:val="00D30C9E"/>
    <w:rsid w:val="00D30CCA"/>
    <w:rsid w:val="00D3266F"/>
    <w:rsid w:val="00D32E48"/>
    <w:rsid w:val="00D33546"/>
    <w:rsid w:val="00D359AB"/>
    <w:rsid w:val="00D37090"/>
    <w:rsid w:val="00D37907"/>
    <w:rsid w:val="00D40450"/>
    <w:rsid w:val="00D41135"/>
    <w:rsid w:val="00D42693"/>
    <w:rsid w:val="00D42F80"/>
    <w:rsid w:val="00D433AC"/>
    <w:rsid w:val="00D448FA"/>
    <w:rsid w:val="00D45899"/>
    <w:rsid w:val="00D459D0"/>
    <w:rsid w:val="00D45C82"/>
    <w:rsid w:val="00D45CC7"/>
    <w:rsid w:val="00D464AE"/>
    <w:rsid w:val="00D465A7"/>
    <w:rsid w:val="00D46E91"/>
    <w:rsid w:val="00D50409"/>
    <w:rsid w:val="00D50DF5"/>
    <w:rsid w:val="00D52094"/>
    <w:rsid w:val="00D520DF"/>
    <w:rsid w:val="00D52B73"/>
    <w:rsid w:val="00D54DAC"/>
    <w:rsid w:val="00D55491"/>
    <w:rsid w:val="00D565CB"/>
    <w:rsid w:val="00D57EC9"/>
    <w:rsid w:val="00D6106C"/>
    <w:rsid w:val="00D637B8"/>
    <w:rsid w:val="00D648A1"/>
    <w:rsid w:val="00D66188"/>
    <w:rsid w:val="00D66661"/>
    <w:rsid w:val="00D67CDC"/>
    <w:rsid w:val="00D701A2"/>
    <w:rsid w:val="00D71361"/>
    <w:rsid w:val="00D725AF"/>
    <w:rsid w:val="00D7577F"/>
    <w:rsid w:val="00D758FC"/>
    <w:rsid w:val="00D7624D"/>
    <w:rsid w:val="00D762E9"/>
    <w:rsid w:val="00D77543"/>
    <w:rsid w:val="00D80236"/>
    <w:rsid w:val="00D80447"/>
    <w:rsid w:val="00D8166C"/>
    <w:rsid w:val="00D8179D"/>
    <w:rsid w:val="00D860BB"/>
    <w:rsid w:val="00D877DF"/>
    <w:rsid w:val="00D904F7"/>
    <w:rsid w:val="00D91E3D"/>
    <w:rsid w:val="00D920C7"/>
    <w:rsid w:val="00D921C6"/>
    <w:rsid w:val="00D94106"/>
    <w:rsid w:val="00D95ACB"/>
    <w:rsid w:val="00D96E71"/>
    <w:rsid w:val="00DA04CF"/>
    <w:rsid w:val="00DA1C0C"/>
    <w:rsid w:val="00DA1D12"/>
    <w:rsid w:val="00DA3342"/>
    <w:rsid w:val="00DA3F04"/>
    <w:rsid w:val="00DA4597"/>
    <w:rsid w:val="00DA4DCF"/>
    <w:rsid w:val="00DA5604"/>
    <w:rsid w:val="00DB1548"/>
    <w:rsid w:val="00DB1788"/>
    <w:rsid w:val="00DB3B17"/>
    <w:rsid w:val="00DB42F9"/>
    <w:rsid w:val="00DB62A1"/>
    <w:rsid w:val="00DB719C"/>
    <w:rsid w:val="00DC28B4"/>
    <w:rsid w:val="00DC4377"/>
    <w:rsid w:val="00DC442E"/>
    <w:rsid w:val="00DC4672"/>
    <w:rsid w:val="00DC49CC"/>
    <w:rsid w:val="00DC5016"/>
    <w:rsid w:val="00DC5143"/>
    <w:rsid w:val="00DC6DAF"/>
    <w:rsid w:val="00DD03DD"/>
    <w:rsid w:val="00DD0D28"/>
    <w:rsid w:val="00DD1950"/>
    <w:rsid w:val="00DD47B0"/>
    <w:rsid w:val="00DD53C4"/>
    <w:rsid w:val="00DD5CAB"/>
    <w:rsid w:val="00DD7123"/>
    <w:rsid w:val="00DD73A4"/>
    <w:rsid w:val="00DD754B"/>
    <w:rsid w:val="00DD7F59"/>
    <w:rsid w:val="00DE09F8"/>
    <w:rsid w:val="00DE172B"/>
    <w:rsid w:val="00DE2DA2"/>
    <w:rsid w:val="00DE31BD"/>
    <w:rsid w:val="00DE51C0"/>
    <w:rsid w:val="00DE5AA8"/>
    <w:rsid w:val="00DE5ED4"/>
    <w:rsid w:val="00DE7F65"/>
    <w:rsid w:val="00DF166B"/>
    <w:rsid w:val="00DF1B32"/>
    <w:rsid w:val="00DF1F22"/>
    <w:rsid w:val="00DF2CCA"/>
    <w:rsid w:val="00DF4424"/>
    <w:rsid w:val="00DF52D2"/>
    <w:rsid w:val="00DF5C03"/>
    <w:rsid w:val="00DF5F40"/>
    <w:rsid w:val="00DF6C4C"/>
    <w:rsid w:val="00DF767C"/>
    <w:rsid w:val="00E00A93"/>
    <w:rsid w:val="00E00D3E"/>
    <w:rsid w:val="00E0134B"/>
    <w:rsid w:val="00E01EEF"/>
    <w:rsid w:val="00E0209C"/>
    <w:rsid w:val="00E0324C"/>
    <w:rsid w:val="00E045F7"/>
    <w:rsid w:val="00E04821"/>
    <w:rsid w:val="00E0528A"/>
    <w:rsid w:val="00E05D01"/>
    <w:rsid w:val="00E05F73"/>
    <w:rsid w:val="00E06ABB"/>
    <w:rsid w:val="00E06BBD"/>
    <w:rsid w:val="00E06D22"/>
    <w:rsid w:val="00E103FE"/>
    <w:rsid w:val="00E10BF4"/>
    <w:rsid w:val="00E1217D"/>
    <w:rsid w:val="00E135D0"/>
    <w:rsid w:val="00E16A47"/>
    <w:rsid w:val="00E171FA"/>
    <w:rsid w:val="00E204D6"/>
    <w:rsid w:val="00E20D5D"/>
    <w:rsid w:val="00E23E4F"/>
    <w:rsid w:val="00E24423"/>
    <w:rsid w:val="00E24939"/>
    <w:rsid w:val="00E25B82"/>
    <w:rsid w:val="00E2649F"/>
    <w:rsid w:val="00E27B2C"/>
    <w:rsid w:val="00E302C7"/>
    <w:rsid w:val="00E30E5C"/>
    <w:rsid w:val="00E31994"/>
    <w:rsid w:val="00E323BD"/>
    <w:rsid w:val="00E3244B"/>
    <w:rsid w:val="00E32DB5"/>
    <w:rsid w:val="00E3437E"/>
    <w:rsid w:val="00E35A89"/>
    <w:rsid w:val="00E37206"/>
    <w:rsid w:val="00E4061C"/>
    <w:rsid w:val="00E4192F"/>
    <w:rsid w:val="00E422C9"/>
    <w:rsid w:val="00E42DA8"/>
    <w:rsid w:val="00E42EFB"/>
    <w:rsid w:val="00E442BB"/>
    <w:rsid w:val="00E44EE3"/>
    <w:rsid w:val="00E452E4"/>
    <w:rsid w:val="00E45731"/>
    <w:rsid w:val="00E46DDA"/>
    <w:rsid w:val="00E50026"/>
    <w:rsid w:val="00E50558"/>
    <w:rsid w:val="00E50B4A"/>
    <w:rsid w:val="00E50CBB"/>
    <w:rsid w:val="00E520D6"/>
    <w:rsid w:val="00E5280C"/>
    <w:rsid w:val="00E52966"/>
    <w:rsid w:val="00E533D2"/>
    <w:rsid w:val="00E53F11"/>
    <w:rsid w:val="00E5420D"/>
    <w:rsid w:val="00E54211"/>
    <w:rsid w:val="00E55075"/>
    <w:rsid w:val="00E56E40"/>
    <w:rsid w:val="00E5765D"/>
    <w:rsid w:val="00E57696"/>
    <w:rsid w:val="00E57F15"/>
    <w:rsid w:val="00E613C8"/>
    <w:rsid w:val="00E61F18"/>
    <w:rsid w:val="00E622AE"/>
    <w:rsid w:val="00E62F77"/>
    <w:rsid w:val="00E6379D"/>
    <w:rsid w:val="00E662A1"/>
    <w:rsid w:val="00E66409"/>
    <w:rsid w:val="00E6680A"/>
    <w:rsid w:val="00E670C1"/>
    <w:rsid w:val="00E67624"/>
    <w:rsid w:val="00E70099"/>
    <w:rsid w:val="00E729B6"/>
    <w:rsid w:val="00E73BDE"/>
    <w:rsid w:val="00E74177"/>
    <w:rsid w:val="00E752F5"/>
    <w:rsid w:val="00E75932"/>
    <w:rsid w:val="00E767AC"/>
    <w:rsid w:val="00E76C03"/>
    <w:rsid w:val="00E77425"/>
    <w:rsid w:val="00E77F4C"/>
    <w:rsid w:val="00E806F6"/>
    <w:rsid w:val="00E81A16"/>
    <w:rsid w:val="00E8206E"/>
    <w:rsid w:val="00E8541B"/>
    <w:rsid w:val="00E85EEA"/>
    <w:rsid w:val="00E86DC2"/>
    <w:rsid w:val="00E91CF7"/>
    <w:rsid w:val="00E93CC4"/>
    <w:rsid w:val="00E95248"/>
    <w:rsid w:val="00E9726B"/>
    <w:rsid w:val="00E973A1"/>
    <w:rsid w:val="00E975F3"/>
    <w:rsid w:val="00EA03F0"/>
    <w:rsid w:val="00EA1857"/>
    <w:rsid w:val="00EA197A"/>
    <w:rsid w:val="00EA353D"/>
    <w:rsid w:val="00EA421A"/>
    <w:rsid w:val="00EA42C5"/>
    <w:rsid w:val="00EA46CC"/>
    <w:rsid w:val="00EA6564"/>
    <w:rsid w:val="00EA7255"/>
    <w:rsid w:val="00EA769B"/>
    <w:rsid w:val="00EA7D17"/>
    <w:rsid w:val="00EB0ACC"/>
    <w:rsid w:val="00EB2844"/>
    <w:rsid w:val="00EB456A"/>
    <w:rsid w:val="00EB491F"/>
    <w:rsid w:val="00EB50A5"/>
    <w:rsid w:val="00EB5B26"/>
    <w:rsid w:val="00EC0C51"/>
    <w:rsid w:val="00EC1993"/>
    <w:rsid w:val="00EC19D0"/>
    <w:rsid w:val="00EC3CB0"/>
    <w:rsid w:val="00EC48FC"/>
    <w:rsid w:val="00EC5708"/>
    <w:rsid w:val="00EC6486"/>
    <w:rsid w:val="00EC669C"/>
    <w:rsid w:val="00EC71E3"/>
    <w:rsid w:val="00ED0586"/>
    <w:rsid w:val="00ED07D1"/>
    <w:rsid w:val="00ED087A"/>
    <w:rsid w:val="00ED1F73"/>
    <w:rsid w:val="00ED297A"/>
    <w:rsid w:val="00ED321F"/>
    <w:rsid w:val="00ED5B6F"/>
    <w:rsid w:val="00ED63A2"/>
    <w:rsid w:val="00ED6D34"/>
    <w:rsid w:val="00EE0342"/>
    <w:rsid w:val="00EE0569"/>
    <w:rsid w:val="00EE0946"/>
    <w:rsid w:val="00EE0968"/>
    <w:rsid w:val="00EE0AC5"/>
    <w:rsid w:val="00EE0E08"/>
    <w:rsid w:val="00EE26F3"/>
    <w:rsid w:val="00EE36B0"/>
    <w:rsid w:val="00EE5EC4"/>
    <w:rsid w:val="00EE6045"/>
    <w:rsid w:val="00EE6284"/>
    <w:rsid w:val="00EE79ED"/>
    <w:rsid w:val="00EE7A43"/>
    <w:rsid w:val="00EF0618"/>
    <w:rsid w:val="00EF0775"/>
    <w:rsid w:val="00EF13E7"/>
    <w:rsid w:val="00EF3476"/>
    <w:rsid w:val="00EF47C0"/>
    <w:rsid w:val="00EF4B74"/>
    <w:rsid w:val="00EF605D"/>
    <w:rsid w:val="00EF64EB"/>
    <w:rsid w:val="00EF6A6D"/>
    <w:rsid w:val="00EF6FF3"/>
    <w:rsid w:val="00EF7848"/>
    <w:rsid w:val="00F01E88"/>
    <w:rsid w:val="00F023E5"/>
    <w:rsid w:val="00F02C22"/>
    <w:rsid w:val="00F03198"/>
    <w:rsid w:val="00F039A5"/>
    <w:rsid w:val="00F03BD4"/>
    <w:rsid w:val="00F049CE"/>
    <w:rsid w:val="00F05A76"/>
    <w:rsid w:val="00F05E86"/>
    <w:rsid w:val="00F06143"/>
    <w:rsid w:val="00F06495"/>
    <w:rsid w:val="00F07287"/>
    <w:rsid w:val="00F077F7"/>
    <w:rsid w:val="00F07827"/>
    <w:rsid w:val="00F1009B"/>
    <w:rsid w:val="00F10D97"/>
    <w:rsid w:val="00F1118E"/>
    <w:rsid w:val="00F12C93"/>
    <w:rsid w:val="00F1341C"/>
    <w:rsid w:val="00F13C68"/>
    <w:rsid w:val="00F13CE2"/>
    <w:rsid w:val="00F13EA7"/>
    <w:rsid w:val="00F148F2"/>
    <w:rsid w:val="00F152F8"/>
    <w:rsid w:val="00F154BC"/>
    <w:rsid w:val="00F15579"/>
    <w:rsid w:val="00F15C55"/>
    <w:rsid w:val="00F17EE9"/>
    <w:rsid w:val="00F20210"/>
    <w:rsid w:val="00F210F8"/>
    <w:rsid w:val="00F21F83"/>
    <w:rsid w:val="00F2385B"/>
    <w:rsid w:val="00F2656A"/>
    <w:rsid w:val="00F267D7"/>
    <w:rsid w:val="00F274CF"/>
    <w:rsid w:val="00F3303A"/>
    <w:rsid w:val="00F3315D"/>
    <w:rsid w:val="00F342E5"/>
    <w:rsid w:val="00F36C81"/>
    <w:rsid w:val="00F374FA"/>
    <w:rsid w:val="00F41023"/>
    <w:rsid w:val="00F42635"/>
    <w:rsid w:val="00F42FB1"/>
    <w:rsid w:val="00F43D79"/>
    <w:rsid w:val="00F43DD0"/>
    <w:rsid w:val="00F4421D"/>
    <w:rsid w:val="00F44392"/>
    <w:rsid w:val="00F44AC5"/>
    <w:rsid w:val="00F44BC3"/>
    <w:rsid w:val="00F450E0"/>
    <w:rsid w:val="00F4559C"/>
    <w:rsid w:val="00F4620B"/>
    <w:rsid w:val="00F464C6"/>
    <w:rsid w:val="00F46BDC"/>
    <w:rsid w:val="00F4752A"/>
    <w:rsid w:val="00F4785F"/>
    <w:rsid w:val="00F47A2A"/>
    <w:rsid w:val="00F47F2A"/>
    <w:rsid w:val="00F5026B"/>
    <w:rsid w:val="00F502F9"/>
    <w:rsid w:val="00F5332F"/>
    <w:rsid w:val="00F53A94"/>
    <w:rsid w:val="00F54945"/>
    <w:rsid w:val="00F5688B"/>
    <w:rsid w:val="00F573D8"/>
    <w:rsid w:val="00F574F8"/>
    <w:rsid w:val="00F61479"/>
    <w:rsid w:val="00F61F35"/>
    <w:rsid w:val="00F62EE6"/>
    <w:rsid w:val="00F64633"/>
    <w:rsid w:val="00F6489B"/>
    <w:rsid w:val="00F65F2F"/>
    <w:rsid w:val="00F6676C"/>
    <w:rsid w:val="00F67422"/>
    <w:rsid w:val="00F67AD3"/>
    <w:rsid w:val="00F67EC4"/>
    <w:rsid w:val="00F7011E"/>
    <w:rsid w:val="00F71A2E"/>
    <w:rsid w:val="00F7249A"/>
    <w:rsid w:val="00F72A2E"/>
    <w:rsid w:val="00F7343B"/>
    <w:rsid w:val="00F73D46"/>
    <w:rsid w:val="00F744EE"/>
    <w:rsid w:val="00F7534E"/>
    <w:rsid w:val="00F77CD1"/>
    <w:rsid w:val="00F80B9B"/>
    <w:rsid w:val="00F8142E"/>
    <w:rsid w:val="00F81DF8"/>
    <w:rsid w:val="00F83638"/>
    <w:rsid w:val="00F83859"/>
    <w:rsid w:val="00F83F00"/>
    <w:rsid w:val="00F844EB"/>
    <w:rsid w:val="00F85531"/>
    <w:rsid w:val="00F8568A"/>
    <w:rsid w:val="00F85E21"/>
    <w:rsid w:val="00F864C9"/>
    <w:rsid w:val="00F86D30"/>
    <w:rsid w:val="00F87BAC"/>
    <w:rsid w:val="00F901BB"/>
    <w:rsid w:val="00F9022C"/>
    <w:rsid w:val="00F90623"/>
    <w:rsid w:val="00F928A0"/>
    <w:rsid w:val="00F93D0B"/>
    <w:rsid w:val="00F94C70"/>
    <w:rsid w:val="00FA070B"/>
    <w:rsid w:val="00FA1D32"/>
    <w:rsid w:val="00FA2802"/>
    <w:rsid w:val="00FA564B"/>
    <w:rsid w:val="00FA7E2B"/>
    <w:rsid w:val="00FB0DF5"/>
    <w:rsid w:val="00FB10BF"/>
    <w:rsid w:val="00FB1629"/>
    <w:rsid w:val="00FB2105"/>
    <w:rsid w:val="00FB2907"/>
    <w:rsid w:val="00FB3296"/>
    <w:rsid w:val="00FB3434"/>
    <w:rsid w:val="00FB4CA2"/>
    <w:rsid w:val="00FB5B0D"/>
    <w:rsid w:val="00FB6D77"/>
    <w:rsid w:val="00FB707A"/>
    <w:rsid w:val="00FB7473"/>
    <w:rsid w:val="00FC0A14"/>
    <w:rsid w:val="00FC28D2"/>
    <w:rsid w:val="00FC40E8"/>
    <w:rsid w:val="00FC45F5"/>
    <w:rsid w:val="00FC4D41"/>
    <w:rsid w:val="00FC5354"/>
    <w:rsid w:val="00FC7B03"/>
    <w:rsid w:val="00FD207F"/>
    <w:rsid w:val="00FD2FD6"/>
    <w:rsid w:val="00FD30D1"/>
    <w:rsid w:val="00FD6F65"/>
    <w:rsid w:val="00FD7497"/>
    <w:rsid w:val="00FE1A1D"/>
    <w:rsid w:val="00FE2802"/>
    <w:rsid w:val="00FE2A78"/>
    <w:rsid w:val="00FE2B0A"/>
    <w:rsid w:val="00FE3CA8"/>
    <w:rsid w:val="00FE45B1"/>
    <w:rsid w:val="00FE61A2"/>
    <w:rsid w:val="00FE6630"/>
    <w:rsid w:val="00FF0CD4"/>
    <w:rsid w:val="00FF15B1"/>
    <w:rsid w:val="00FF15B4"/>
    <w:rsid w:val="00FF2659"/>
    <w:rsid w:val="00FF280A"/>
    <w:rsid w:val="00FF5BDD"/>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269C"/>
    <w:rPr>
      <w:rFonts w:eastAsia="Times New Roman" w:cstheme="minorHAnsi"/>
      <w:sz w:val="22"/>
      <w:lang w:val="en-AU"/>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17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A214E1"/>
    <w:pPr>
      <w:pBdr>
        <w:top w:val="single" w:sz="4" w:space="1" w:color="auto"/>
        <w:left w:val="single" w:sz="4" w:space="4" w:color="auto"/>
        <w:bottom w:val="single" w:sz="4" w:space="1" w:color="auto"/>
        <w:right w:val="single" w:sz="4" w:space="4" w:color="auto"/>
      </w:pBdr>
      <w:shd w:val="clear" w:color="auto" w:fill="4CB99B"/>
    </w:pPr>
    <w:rPr>
      <w:rFonts w:eastAsia="Cambria" w:cs="Times New Roman"/>
      <w:b/>
      <w:bCs/>
      <w:iCs/>
      <w:color w:val="FFFFFF"/>
      <w:sz w:val="28"/>
      <w:szCs w:val="28"/>
      <w:lang w:val="en-AU"/>
    </w:rPr>
  </w:style>
  <w:style w:type="paragraph" w:customStyle="1" w:styleId="mpcbullets1">
    <w:name w:val="mpc bullets 1"/>
    <w:qFormat/>
    <w:rsid w:val="00411EE3"/>
    <w:pPr>
      <w:numPr>
        <w:numId w:val="1"/>
      </w:numPr>
    </w:pPr>
    <w:rPr>
      <w:sz w:val="22"/>
      <w:lang w:val="en-AU"/>
    </w:rPr>
  </w:style>
  <w:style w:type="paragraph" w:customStyle="1" w:styleId="mpcbullets2">
    <w:name w:val="mpc bullets 2"/>
    <w:basedOn w:val="mpcbullets1"/>
    <w:qFormat/>
    <w:rsid w:val="0024269C"/>
    <w:pPr>
      <w:numPr>
        <w:numId w:val="21"/>
      </w:numPr>
      <w:contextualSpacing/>
    </w:pPr>
    <w:rPr>
      <w:rFonts w:cstheme="minorHAnsi"/>
    </w:rPr>
  </w:style>
  <w:style w:type="paragraph" w:customStyle="1" w:styleId="mpcbullets3">
    <w:name w:val="mpc bullets 3"/>
    <w:basedOn w:val="mpcbullets1"/>
    <w:qFormat/>
    <w:rsid w:val="0024269C"/>
    <w:pPr>
      <w:numPr>
        <w:ilvl w:val="1"/>
        <w:numId w:val="28"/>
      </w:numPr>
      <w:ind w:left="1134" w:hanging="425"/>
      <w:contextualSpacing/>
    </w:pPr>
    <w:rPr>
      <w:rFonts w:cstheme="minorHAnsi"/>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basedOn w:val="Normal"/>
    <w:qFormat/>
    <w:rsid w:val="0024269C"/>
  </w:style>
  <w:style w:type="paragraph" w:customStyle="1" w:styleId="mpcheading3">
    <w:name w:val="mpc heading 3"/>
    <w:qFormat/>
    <w:rsid w:val="00F61F35"/>
    <w:pPr>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basedOn w:val="Normal"/>
    <w:qFormat/>
    <w:rsid w:val="002A7954"/>
    <w:pPr>
      <w:spacing w:after="240"/>
    </w:pPr>
    <w:rPr>
      <w:b/>
    </w:rPr>
  </w:style>
  <w:style w:type="paragraph" w:styleId="TOC1">
    <w:name w:val="toc 1"/>
    <w:basedOn w:val="Normal"/>
    <w:next w:val="Normal"/>
    <w:autoRedefine/>
    <w:uiPriority w:val="39"/>
    <w:unhideWhenUsed/>
    <w:rsid w:val="00A9702C"/>
    <w:pPr>
      <w:tabs>
        <w:tab w:val="right" w:leader="dot" w:pos="9736"/>
      </w:tabs>
      <w:spacing w:before="120"/>
    </w:pPr>
    <w:rPr>
      <w:b/>
      <w:bCs/>
    </w:rPr>
  </w:style>
  <w:style w:type="paragraph" w:styleId="TOC2">
    <w:name w:val="toc 2"/>
    <w:basedOn w:val="Normal"/>
    <w:next w:val="Normal"/>
    <w:autoRedefine/>
    <w:uiPriority w:val="39"/>
    <w:unhideWhenUsed/>
    <w:rsid w:val="00C41380"/>
    <w:pPr>
      <w:ind w:left="240"/>
    </w:pPr>
    <w:rPr>
      <w:b/>
      <w:bCs/>
      <w:szCs w:val="22"/>
    </w:rPr>
  </w:style>
  <w:style w:type="paragraph" w:styleId="TOC3">
    <w:name w:val="toc 3"/>
    <w:basedOn w:val="Normal"/>
    <w:next w:val="Normal"/>
    <w:autoRedefine/>
    <w:uiPriority w:val="39"/>
    <w:unhideWhenUsed/>
    <w:rsid w:val="00C41380"/>
    <w:pPr>
      <w:ind w:left="480"/>
    </w:pPr>
    <w:rPr>
      <w:szCs w:val="22"/>
    </w:rPr>
  </w:style>
  <w:style w:type="paragraph" w:customStyle="1" w:styleId="mpcheading5">
    <w:name w:val="mpc heading 5"/>
    <w:basedOn w:val="Normal"/>
    <w:qFormat/>
    <w:rsid w:val="002A7954"/>
    <w:pPr>
      <w:spacing w:after="240"/>
    </w:pPr>
    <w:rPr>
      <w:i/>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qFormat/>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style>
  <w:style w:type="paragraph" w:styleId="TOC5">
    <w:name w:val="toc 5"/>
    <w:basedOn w:val="Normal"/>
    <w:next w:val="Normal"/>
    <w:autoRedefine/>
    <w:uiPriority w:val="39"/>
    <w:unhideWhenUsed/>
    <w:rsid w:val="0026108E"/>
    <w:pPr>
      <w:ind w:left="960"/>
    </w:pPr>
  </w:style>
  <w:style w:type="paragraph" w:styleId="TOC6">
    <w:name w:val="toc 6"/>
    <w:basedOn w:val="Normal"/>
    <w:next w:val="Normal"/>
    <w:autoRedefine/>
    <w:uiPriority w:val="39"/>
    <w:unhideWhenUsed/>
    <w:rsid w:val="0026108E"/>
    <w:pPr>
      <w:ind w:left="1200"/>
    </w:pPr>
  </w:style>
  <w:style w:type="paragraph" w:styleId="TOC7">
    <w:name w:val="toc 7"/>
    <w:basedOn w:val="Normal"/>
    <w:next w:val="Normal"/>
    <w:autoRedefine/>
    <w:uiPriority w:val="39"/>
    <w:unhideWhenUsed/>
    <w:rsid w:val="0026108E"/>
    <w:pPr>
      <w:ind w:left="1440"/>
    </w:pPr>
  </w:style>
  <w:style w:type="paragraph" w:styleId="TOC8">
    <w:name w:val="toc 8"/>
    <w:basedOn w:val="Normal"/>
    <w:next w:val="Normal"/>
    <w:autoRedefine/>
    <w:uiPriority w:val="39"/>
    <w:unhideWhenUsed/>
    <w:rsid w:val="0026108E"/>
    <w:pPr>
      <w:ind w:left="1680"/>
    </w:pPr>
  </w:style>
  <w:style w:type="paragraph" w:styleId="TOC9">
    <w:name w:val="toc 9"/>
    <w:basedOn w:val="Normal"/>
    <w:next w:val="Normal"/>
    <w:autoRedefine/>
    <w:uiPriority w:val="39"/>
    <w:unhideWhenUsed/>
    <w:rsid w:val="0026108E"/>
    <w:pPr>
      <w:ind w:left="1920"/>
    </w:pPr>
  </w:style>
  <w:style w:type="paragraph" w:customStyle="1" w:styleId="mpcnumberedlist2">
    <w:name w:val="mpc numbered list 2"/>
    <w:next w:val="mpcnumberedlist1"/>
    <w:qFormat/>
    <w:rsid w:val="00A9464C"/>
    <w:pPr>
      <w:numPr>
        <w:numId w:val="3"/>
      </w:numPr>
    </w:pPr>
    <w:rPr>
      <w:lang w:val="en-AU"/>
    </w:rPr>
  </w:style>
  <w:style w:type="paragraph" w:styleId="FootnoteText">
    <w:name w:val="footnote text"/>
    <w:aliases w:val="Footnotes Text,FSFootnotes Text"/>
    <w:basedOn w:val="Normal"/>
    <w:link w:val="FootnoteTextChar"/>
    <w:autoRedefine/>
    <w:unhideWhenUsed/>
    <w:qFormat/>
    <w:rsid w:val="0024269C"/>
    <w:rPr>
      <w:sz w:val="18"/>
      <w:szCs w:val="20"/>
    </w:rPr>
  </w:style>
  <w:style w:type="character" w:customStyle="1" w:styleId="FootnoteTextChar">
    <w:name w:val="Footnote Text Char"/>
    <w:aliases w:val="Footnotes Text Char,FSFootnotes Text Char"/>
    <w:basedOn w:val="DefaultParagraphFont"/>
    <w:link w:val="FootnoteText"/>
    <w:rsid w:val="0024269C"/>
    <w:rPr>
      <w:rFonts w:eastAsia="Times New Roman" w:cstheme="minorHAnsi"/>
      <w:sz w:val="18"/>
      <w:szCs w:val="20"/>
      <w:lang w:val="en-AU"/>
    </w:rPr>
  </w:style>
  <w:style w:type="character" w:styleId="FootnoteReference">
    <w:name w:val="footnote reference"/>
    <w:basedOn w:val="DefaultParagraphFont"/>
    <w:unhideWhenUsed/>
    <w:rsid w:val="0024269C"/>
    <w:rPr>
      <w:rFonts w:asciiTheme="minorHAnsi" w:hAnsiTheme="minorHAnsi"/>
      <w:sz w:val="18"/>
      <w:vertAlign w:val="superscript"/>
    </w:rPr>
  </w:style>
  <w:style w:type="paragraph" w:styleId="Caption">
    <w:name w:val="caption"/>
    <w:basedOn w:val="FootnoteText"/>
    <w:next w:val="Normal"/>
    <w:unhideWhenUsed/>
    <w:qFormat/>
    <w:rsid w:val="002A7954"/>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character" w:styleId="Emphasis">
    <w:name w:val="Emphasis"/>
    <w:basedOn w:val="DefaultParagraphFont"/>
    <w:qFormat/>
    <w:rsid w:val="00D448FA"/>
    <w:rPr>
      <w:i/>
      <w:iCs/>
    </w:rPr>
  </w:style>
  <w:style w:type="character" w:styleId="Hyperlink">
    <w:name w:val="Hyperlink"/>
    <w:basedOn w:val="DefaultParagraphFont"/>
    <w:uiPriority w:val="99"/>
    <w:unhideWhenUsed/>
    <w:rsid w:val="00D448FA"/>
    <w:rPr>
      <w:color w:val="0000FF"/>
      <w:u w:val="single"/>
    </w:rPr>
  </w:style>
  <w:style w:type="character" w:customStyle="1" w:styleId="apple-converted-space">
    <w:name w:val="apple-converted-space"/>
    <w:basedOn w:val="DefaultParagraphFont"/>
    <w:rsid w:val="00E35A89"/>
  </w:style>
  <w:style w:type="paragraph" w:styleId="NormalWeb">
    <w:name w:val="Normal (Web)"/>
    <w:basedOn w:val="Normal"/>
    <w:uiPriority w:val="99"/>
    <w:unhideWhenUsed/>
    <w:rsid w:val="00941606"/>
    <w:pPr>
      <w:spacing w:before="100" w:beforeAutospacing="1" w:after="100" w:afterAutospacing="1"/>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0470B3"/>
    <w:rPr>
      <w:rFonts w:ascii="Times New Roman" w:eastAsia="Times New Roman" w:hAnsi="Times New Roman" w:cs="Times New Roman"/>
      <w:lang w:val="en-AU"/>
    </w:rPr>
  </w:style>
  <w:style w:type="table" w:customStyle="1" w:styleId="GridTable2Accent1">
    <w:name w:val="Grid Table 2 Accent 1"/>
    <w:basedOn w:val="TableNormal"/>
    <w:uiPriority w:val="47"/>
    <w:rsid w:val="0077426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742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7426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rsid w:val="00C77380"/>
    <w:rPr>
      <w:color w:val="605E5C"/>
      <w:shd w:val="clear" w:color="auto" w:fill="E1DFDD"/>
    </w:rPr>
  </w:style>
  <w:style w:type="character" w:styleId="CommentReference">
    <w:name w:val="annotation reference"/>
    <w:basedOn w:val="DefaultParagraphFont"/>
    <w:uiPriority w:val="99"/>
    <w:semiHidden/>
    <w:unhideWhenUsed/>
    <w:rsid w:val="00615069"/>
    <w:rPr>
      <w:sz w:val="16"/>
      <w:szCs w:val="16"/>
    </w:rPr>
  </w:style>
  <w:style w:type="paragraph" w:styleId="CommentText">
    <w:name w:val="annotation text"/>
    <w:basedOn w:val="Normal"/>
    <w:link w:val="CommentTextChar"/>
    <w:uiPriority w:val="99"/>
    <w:semiHidden/>
    <w:unhideWhenUsed/>
    <w:rsid w:val="00615069"/>
    <w:rPr>
      <w:sz w:val="20"/>
      <w:szCs w:val="20"/>
    </w:rPr>
  </w:style>
  <w:style w:type="character" w:customStyle="1" w:styleId="CommentTextChar">
    <w:name w:val="Comment Text Char"/>
    <w:basedOn w:val="DefaultParagraphFont"/>
    <w:link w:val="CommentText"/>
    <w:uiPriority w:val="99"/>
    <w:semiHidden/>
    <w:rsid w:val="00615069"/>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15069"/>
    <w:rPr>
      <w:b/>
      <w:bCs/>
    </w:rPr>
  </w:style>
  <w:style w:type="character" w:customStyle="1" w:styleId="CommentSubjectChar">
    <w:name w:val="Comment Subject Char"/>
    <w:basedOn w:val="CommentTextChar"/>
    <w:link w:val="CommentSubject"/>
    <w:uiPriority w:val="99"/>
    <w:semiHidden/>
    <w:rsid w:val="00615069"/>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6150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5069"/>
    <w:rPr>
      <w:rFonts w:ascii="Times New Roman" w:eastAsia="Times New Roman" w:hAnsi="Times New Roman" w:cs="Times New Roman"/>
      <w:sz w:val="18"/>
      <w:szCs w:val="18"/>
      <w:lang w:val="en-AU"/>
    </w:rPr>
  </w:style>
  <w:style w:type="character" w:styleId="SubtleEmphasis">
    <w:name w:val="Subtle Emphasis"/>
    <w:basedOn w:val="DefaultParagraphFont"/>
    <w:uiPriority w:val="19"/>
    <w:qFormat/>
    <w:rsid w:val="000A227A"/>
    <w:rPr>
      <w:i/>
      <w:iCs/>
      <w:color w:val="808080" w:themeColor="text1" w:themeTint="7F"/>
    </w:rPr>
  </w:style>
  <w:style w:type="character" w:styleId="FollowedHyperlink">
    <w:name w:val="FollowedHyperlink"/>
    <w:basedOn w:val="DefaultParagraphFont"/>
    <w:uiPriority w:val="99"/>
    <w:semiHidden/>
    <w:unhideWhenUsed/>
    <w:rsid w:val="0066791A"/>
    <w:rPr>
      <w:color w:val="954F72" w:themeColor="followedHyperlink"/>
      <w:u w:val="single"/>
    </w:rPr>
  </w:style>
  <w:style w:type="paragraph" w:styleId="Revision">
    <w:name w:val="Revision"/>
    <w:hidden/>
    <w:uiPriority w:val="99"/>
    <w:semiHidden/>
    <w:rsid w:val="00BE2405"/>
    <w:rPr>
      <w:rFonts w:eastAsia="Times New Roman" w:cs="Times New Roman"/>
      <w:lang w:val="en-AU"/>
    </w:rPr>
  </w:style>
  <w:style w:type="paragraph" w:customStyle="1" w:styleId="Default">
    <w:name w:val="Default"/>
    <w:rsid w:val="00A67D14"/>
    <w:pPr>
      <w:autoSpaceDE w:val="0"/>
      <w:autoSpaceDN w:val="0"/>
      <w:adjustRightInd w:val="0"/>
    </w:pPr>
    <w:rPr>
      <w:rFonts w:ascii="Times New Roman" w:hAnsi="Times New Roman" w:cs="Times New Roman"/>
      <w:color w:val="000000"/>
      <w:lang w:val="en-US"/>
    </w:rPr>
  </w:style>
  <w:style w:type="character" w:styleId="Strong">
    <w:name w:val="Strong"/>
    <w:basedOn w:val="DefaultParagraphFont"/>
    <w:uiPriority w:val="22"/>
    <w:qFormat/>
    <w:rsid w:val="00E31994"/>
    <w:rPr>
      <w:b/>
      <w:bCs/>
    </w:rPr>
  </w:style>
  <w:style w:type="character" w:customStyle="1" w:styleId="Heading4Char">
    <w:name w:val="Heading 4 Char"/>
    <w:basedOn w:val="DefaultParagraphFont"/>
    <w:link w:val="Heading4"/>
    <w:uiPriority w:val="9"/>
    <w:semiHidden/>
    <w:rsid w:val="007617FF"/>
    <w:rPr>
      <w:rFonts w:asciiTheme="majorHAnsi" w:eastAsiaTheme="majorEastAsia" w:hAnsiTheme="majorHAnsi" w:cstheme="majorBidi"/>
      <w:i/>
      <w:iCs/>
      <w:color w:val="2F5496" w:themeColor="accent1" w:themeShade="BF"/>
      <w:lang w:val="en-AU"/>
    </w:rPr>
  </w:style>
  <w:style w:type="paragraph" w:customStyle="1" w:styleId="MDPI21heading1">
    <w:name w:val="MDPI_2.1_heading1"/>
    <w:basedOn w:val="Normal"/>
    <w:link w:val="MDPI21heading1Char"/>
    <w:qFormat/>
    <w:rsid w:val="00CD6B62"/>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character" w:customStyle="1" w:styleId="MDPI21heading1Char">
    <w:name w:val="MDPI_2.1_heading1 Char"/>
    <w:link w:val="MDPI21heading1"/>
    <w:rsid w:val="00CD6B62"/>
    <w:rPr>
      <w:rFonts w:ascii="Palatino Linotype" w:eastAsia="Times New Roman" w:hAnsi="Palatino Linotype" w:cs="Times New Roman"/>
      <w:b/>
      <w:snapToGrid w:val="0"/>
      <w:color w:val="000000"/>
      <w:sz w:val="20"/>
      <w:szCs w:val="22"/>
      <w:lang w:val="en-US" w:eastAsia="de-DE" w:bidi="en-US"/>
    </w:rPr>
  </w:style>
  <w:style w:type="paragraph" w:customStyle="1" w:styleId="FSBullet">
    <w:name w:val="FS Bullet"/>
    <w:basedOn w:val="Normal"/>
    <w:next w:val="Normal"/>
    <w:link w:val="FSBulletChar"/>
    <w:qFormat/>
    <w:rsid w:val="00B10147"/>
    <w:pPr>
      <w:widowControl w:val="0"/>
      <w:numPr>
        <w:numId w:val="29"/>
      </w:numPr>
      <w:spacing w:before="120" w:after="120"/>
    </w:pPr>
    <w:rPr>
      <w:rFonts w:ascii="Arial" w:hAnsi="Arial" w:cs="Arial"/>
      <w:lang w:val="x-none" w:bidi="en-US"/>
    </w:rPr>
  </w:style>
  <w:style w:type="character" w:customStyle="1" w:styleId="FSBulletChar">
    <w:name w:val="FS Bullet Char"/>
    <w:link w:val="FSBullet"/>
    <w:rsid w:val="00B10147"/>
    <w:rPr>
      <w:rFonts w:ascii="Arial" w:eastAsia="Times New Roman" w:hAnsi="Arial" w:cs="Arial"/>
      <w:sz w:val="22"/>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269C"/>
    <w:rPr>
      <w:rFonts w:eastAsia="Times New Roman" w:cstheme="minorHAnsi"/>
      <w:sz w:val="22"/>
      <w:lang w:val="en-AU"/>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17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A214E1"/>
    <w:pPr>
      <w:pBdr>
        <w:top w:val="single" w:sz="4" w:space="1" w:color="auto"/>
        <w:left w:val="single" w:sz="4" w:space="4" w:color="auto"/>
        <w:bottom w:val="single" w:sz="4" w:space="1" w:color="auto"/>
        <w:right w:val="single" w:sz="4" w:space="4" w:color="auto"/>
      </w:pBdr>
      <w:shd w:val="clear" w:color="auto" w:fill="4CB99B"/>
    </w:pPr>
    <w:rPr>
      <w:rFonts w:eastAsia="Cambria" w:cs="Times New Roman"/>
      <w:b/>
      <w:bCs/>
      <w:iCs/>
      <w:color w:val="FFFFFF"/>
      <w:sz w:val="28"/>
      <w:szCs w:val="28"/>
      <w:lang w:val="en-AU"/>
    </w:rPr>
  </w:style>
  <w:style w:type="paragraph" w:customStyle="1" w:styleId="mpcbullets1">
    <w:name w:val="mpc bullets 1"/>
    <w:qFormat/>
    <w:rsid w:val="00411EE3"/>
    <w:pPr>
      <w:numPr>
        <w:numId w:val="1"/>
      </w:numPr>
    </w:pPr>
    <w:rPr>
      <w:sz w:val="22"/>
      <w:lang w:val="en-AU"/>
    </w:rPr>
  </w:style>
  <w:style w:type="paragraph" w:customStyle="1" w:styleId="mpcbullets2">
    <w:name w:val="mpc bullets 2"/>
    <w:basedOn w:val="mpcbullets1"/>
    <w:qFormat/>
    <w:rsid w:val="0024269C"/>
    <w:pPr>
      <w:numPr>
        <w:numId w:val="21"/>
      </w:numPr>
      <w:contextualSpacing/>
    </w:pPr>
    <w:rPr>
      <w:rFonts w:cstheme="minorHAnsi"/>
    </w:rPr>
  </w:style>
  <w:style w:type="paragraph" w:customStyle="1" w:styleId="mpcbullets3">
    <w:name w:val="mpc bullets 3"/>
    <w:basedOn w:val="mpcbullets1"/>
    <w:qFormat/>
    <w:rsid w:val="0024269C"/>
    <w:pPr>
      <w:numPr>
        <w:ilvl w:val="1"/>
        <w:numId w:val="28"/>
      </w:numPr>
      <w:ind w:left="1134" w:hanging="425"/>
      <w:contextualSpacing/>
    </w:pPr>
    <w:rPr>
      <w:rFonts w:cstheme="minorHAnsi"/>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basedOn w:val="Normal"/>
    <w:qFormat/>
    <w:rsid w:val="0024269C"/>
  </w:style>
  <w:style w:type="paragraph" w:customStyle="1" w:styleId="mpcheading3">
    <w:name w:val="mpc heading 3"/>
    <w:qFormat/>
    <w:rsid w:val="00F61F35"/>
    <w:pPr>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basedOn w:val="Normal"/>
    <w:qFormat/>
    <w:rsid w:val="002A7954"/>
    <w:pPr>
      <w:spacing w:after="240"/>
    </w:pPr>
    <w:rPr>
      <w:b/>
    </w:rPr>
  </w:style>
  <w:style w:type="paragraph" w:styleId="TOC1">
    <w:name w:val="toc 1"/>
    <w:basedOn w:val="Normal"/>
    <w:next w:val="Normal"/>
    <w:autoRedefine/>
    <w:uiPriority w:val="39"/>
    <w:unhideWhenUsed/>
    <w:rsid w:val="00A9702C"/>
    <w:pPr>
      <w:tabs>
        <w:tab w:val="right" w:leader="dot" w:pos="9736"/>
      </w:tabs>
      <w:spacing w:before="120"/>
    </w:pPr>
    <w:rPr>
      <w:b/>
      <w:bCs/>
    </w:rPr>
  </w:style>
  <w:style w:type="paragraph" w:styleId="TOC2">
    <w:name w:val="toc 2"/>
    <w:basedOn w:val="Normal"/>
    <w:next w:val="Normal"/>
    <w:autoRedefine/>
    <w:uiPriority w:val="39"/>
    <w:unhideWhenUsed/>
    <w:rsid w:val="00C41380"/>
    <w:pPr>
      <w:ind w:left="240"/>
    </w:pPr>
    <w:rPr>
      <w:b/>
      <w:bCs/>
      <w:szCs w:val="22"/>
    </w:rPr>
  </w:style>
  <w:style w:type="paragraph" w:styleId="TOC3">
    <w:name w:val="toc 3"/>
    <w:basedOn w:val="Normal"/>
    <w:next w:val="Normal"/>
    <w:autoRedefine/>
    <w:uiPriority w:val="39"/>
    <w:unhideWhenUsed/>
    <w:rsid w:val="00C41380"/>
    <w:pPr>
      <w:ind w:left="480"/>
    </w:pPr>
    <w:rPr>
      <w:szCs w:val="22"/>
    </w:rPr>
  </w:style>
  <w:style w:type="paragraph" w:customStyle="1" w:styleId="mpcheading5">
    <w:name w:val="mpc heading 5"/>
    <w:basedOn w:val="Normal"/>
    <w:qFormat/>
    <w:rsid w:val="002A7954"/>
    <w:pPr>
      <w:spacing w:after="240"/>
    </w:pPr>
    <w:rPr>
      <w:i/>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qFormat/>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style>
  <w:style w:type="paragraph" w:styleId="TOC5">
    <w:name w:val="toc 5"/>
    <w:basedOn w:val="Normal"/>
    <w:next w:val="Normal"/>
    <w:autoRedefine/>
    <w:uiPriority w:val="39"/>
    <w:unhideWhenUsed/>
    <w:rsid w:val="0026108E"/>
    <w:pPr>
      <w:ind w:left="960"/>
    </w:pPr>
  </w:style>
  <w:style w:type="paragraph" w:styleId="TOC6">
    <w:name w:val="toc 6"/>
    <w:basedOn w:val="Normal"/>
    <w:next w:val="Normal"/>
    <w:autoRedefine/>
    <w:uiPriority w:val="39"/>
    <w:unhideWhenUsed/>
    <w:rsid w:val="0026108E"/>
    <w:pPr>
      <w:ind w:left="1200"/>
    </w:pPr>
  </w:style>
  <w:style w:type="paragraph" w:styleId="TOC7">
    <w:name w:val="toc 7"/>
    <w:basedOn w:val="Normal"/>
    <w:next w:val="Normal"/>
    <w:autoRedefine/>
    <w:uiPriority w:val="39"/>
    <w:unhideWhenUsed/>
    <w:rsid w:val="0026108E"/>
    <w:pPr>
      <w:ind w:left="1440"/>
    </w:pPr>
  </w:style>
  <w:style w:type="paragraph" w:styleId="TOC8">
    <w:name w:val="toc 8"/>
    <w:basedOn w:val="Normal"/>
    <w:next w:val="Normal"/>
    <w:autoRedefine/>
    <w:uiPriority w:val="39"/>
    <w:unhideWhenUsed/>
    <w:rsid w:val="0026108E"/>
    <w:pPr>
      <w:ind w:left="1680"/>
    </w:pPr>
  </w:style>
  <w:style w:type="paragraph" w:styleId="TOC9">
    <w:name w:val="toc 9"/>
    <w:basedOn w:val="Normal"/>
    <w:next w:val="Normal"/>
    <w:autoRedefine/>
    <w:uiPriority w:val="39"/>
    <w:unhideWhenUsed/>
    <w:rsid w:val="0026108E"/>
    <w:pPr>
      <w:ind w:left="1920"/>
    </w:pPr>
  </w:style>
  <w:style w:type="paragraph" w:customStyle="1" w:styleId="mpcnumberedlist2">
    <w:name w:val="mpc numbered list 2"/>
    <w:next w:val="mpcnumberedlist1"/>
    <w:qFormat/>
    <w:rsid w:val="00A9464C"/>
    <w:pPr>
      <w:numPr>
        <w:numId w:val="3"/>
      </w:numPr>
    </w:pPr>
    <w:rPr>
      <w:lang w:val="en-AU"/>
    </w:rPr>
  </w:style>
  <w:style w:type="paragraph" w:styleId="FootnoteText">
    <w:name w:val="footnote text"/>
    <w:aliases w:val="Footnotes Text,FSFootnotes Text"/>
    <w:basedOn w:val="Normal"/>
    <w:link w:val="FootnoteTextChar"/>
    <w:autoRedefine/>
    <w:unhideWhenUsed/>
    <w:qFormat/>
    <w:rsid w:val="0024269C"/>
    <w:rPr>
      <w:sz w:val="18"/>
      <w:szCs w:val="20"/>
    </w:rPr>
  </w:style>
  <w:style w:type="character" w:customStyle="1" w:styleId="FootnoteTextChar">
    <w:name w:val="Footnote Text Char"/>
    <w:aliases w:val="Footnotes Text Char,FSFootnotes Text Char"/>
    <w:basedOn w:val="DefaultParagraphFont"/>
    <w:link w:val="FootnoteText"/>
    <w:rsid w:val="0024269C"/>
    <w:rPr>
      <w:rFonts w:eastAsia="Times New Roman" w:cstheme="minorHAnsi"/>
      <w:sz w:val="18"/>
      <w:szCs w:val="20"/>
      <w:lang w:val="en-AU"/>
    </w:rPr>
  </w:style>
  <w:style w:type="character" w:styleId="FootnoteReference">
    <w:name w:val="footnote reference"/>
    <w:basedOn w:val="DefaultParagraphFont"/>
    <w:unhideWhenUsed/>
    <w:rsid w:val="0024269C"/>
    <w:rPr>
      <w:rFonts w:asciiTheme="minorHAnsi" w:hAnsiTheme="minorHAnsi"/>
      <w:sz w:val="18"/>
      <w:vertAlign w:val="superscript"/>
    </w:rPr>
  </w:style>
  <w:style w:type="paragraph" w:styleId="Caption">
    <w:name w:val="caption"/>
    <w:basedOn w:val="FootnoteText"/>
    <w:next w:val="Normal"/>
    <w:unhideWhenUsed/>
    <w:qFormat/>
    <w:rsid w:val="002A7954"/>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character" w:styleId="Emphasis">
    <w:name w:val="Emphasis"/>
    <w:basedOn w:val="DefaultParagraphFont"/>
    <w:qFormat/>
    <w:rsid w:val="00D448FA"/>
    <w:rPr>
      <w:i/>
      <w:iCs/>
    </w:rPr>
  </w:style>
  <w:style w:type="character" w:styleId="Hyperlink">
    <w:name w:val="Hyperlink"/>
    <w:basedOn w:val="DefaultParagraphFont"/>
    <w:uiPriority w:val="99"/>
    <w:unhideWhenUsed/>
    <w:rsid w:val="00D448FA"/>
    <w:rPr>
      <w:color w:val="0000FF"/>
      <w:u w:val="single"/>
    </w:rPr>
  </w:style>
  <w:style w:type="character" w:customStyle="1" w:styleId="apple-converted-space">
    <w:name w:val="apple-converted-space"/>
    <w:basedOn w:val="DefaultParagraphFont"/>
    <w:rsid w:val="00E35A89"/>
  </w:style>
  <w:style w:type="paragraph" w:styleId="NormalWeb">
    <w:name w:val="Normal (Web)"/>
    <w:basedOn w:val="Normal"/>
    <w:uiPriority w:val="99"/>
    <w:unhideWhenUsed/>
    <w:rsid w:val="00941606"/>
    <w:pPr>
      <w:spacing w:before="100" w:beforeAutospacing="1" w:after="100" w:afterAutospacing="1"/>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0470B3"/>
    <w:rPr>
      <w:rFonts w:ascii="Times New Roman" w:eastAsia="Times New Roman" w:hAnsi="Times New Roman" w:cs="Times New Roman"/>
      <w:lang w:val="en-AU"/>
    </w:rPr>
  </w:style>
  <w:style w:type="table" w:customStyle="1" w:styleId="GridTable2Accent1">
    <w:name w:val="Grid Table 2 Accent 1"/>
    <w:basedOn w:val="TableNormal"/>
    <w:uiPriority w:val="47"/>
    <w:rsid w:val="0077426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742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7426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rsid w:val="00C77380"/>
    <w:rPr>
      <w:color w:val="605E5C"/>
      <w:shd w:val="clear" w:color="auto" w:fill="E1DFDD"/>
    </w:rPr>
  </w:style>
  <w:style w:type="character" w:styleId="CommentReference">
    <w:name w:val="annotation reference"/>
    <w:basedOn w:val="DefaultParagraphFont"/>
    <w:uiPriority w:val="99"/>
    <w:semiHidden/>
    <w:unhideWhenUsed/>
    <w:rsid w:val="00615069"/>
    <w:rPr>
      <w:sz w:val="16"/>
      <w:szCs w:val="16"/>
    </w:rPr>
  </w:style>
  <w:style w:type="paragraph" w:styleId="CommentText">
    <w:name w:val="annotation text"/>
    <w:basedOn w:val="Normal"/>
    <w:link w:val="CommentTextChar"/>
    <w:uiPriority w:val="99"/>
    <w:semiHidden/>
    <w:unhideWhenUsed/>
    <w:rsid w:val="00615069"/>
    <w:rPr>
      <w:sz w:val="20"/>
      <w:szCs w:val="20"/>
    </w:rPr>
  </w:style>
  <w:style w:type="character" w:customStyle="1" w:styleId="CommentTextChar">
    <w:name w:val="Comment Text Char"/>
    <w:basedOn w:val="DefaultParagraphFont"/>
    <w:link w:val="CommentText"/>
    <w:uiPriority w:val="99"/>
    <w:semiHidden/>
    <w:rsid w:val="00615069"/>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15069"/>
    <w:rPr>
      <w:b/>
      <w:bCs/>
    </w:rPr>
  </w:style>
  <w:style w:type="character" w:customStyle="1" w:styleId="CommentSubjectChar">
    <w:name w:val="Comment Subject Char"/>
    <w:basedOn w:val="CommentTextChar"/>
    <w:link w:val="CommentSubject"/>
    <w:uiPriority w:val="99"/>
    <w:semiHidden/>
    <w:rsid w:val="00615069"/>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6150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5069"/>
    <w:rPr>
      <w:rFonts w:ascii="Times New Roman" w:eastAsia="Times New Roman" w:hAnsi="Times New Roman" w:cs="Times New Roman"/>
      <w:sz w:val="18"/>
      <w:szCs w:val="18"/>
      <w:lang w:val="en-AU"/>
    </w:rPr>
  </w:style>
  <w:style w:type="character" w:styleId="SubtleEmphasis">
    <w:name w:val="Subtle Emphasis"/>
    <w:basedOn w:val="DefaultParagraphFont"/>
    <w:uiPriority w:val="19"/>
    <w:qFormat/>
    <w:rsid w:val="000A227A"/>
    <w:rPr>
      <w:i/>
      <w:iCs/>
      <w:color w:val="808080" w:themeColor="text1" w:themeTint="7F"/>
    </w:rPr>
  </w:style>
  <w:style w:type="character" w:styleId="FollowedHyperlink">
    <w:name w:val="FollowedHyperlink"/>
    <w:basedOn w:val="DefaultParagraphFont"/>
    <w:uiPriority w:val="99"/>
    <w:semiHidden/>
    <w:unhideWhenUsed/>
    <w:rsid w:val="0066791A"/>
    <w:rPr>
      <w:color w:val="954F72" w:themeColor="followedHyperlink"/>
      <w:u w:val="single"/>
    </w:rPr>
  </w:style>
  <w:style w:type="paragraph" w:styleId="Revision">
    <w:name w:val="Revision"/>
    <w:hidden/>
    <w:uiPriority w:val="99"/>
    <w:semiHidden/>
    <w:rsid w:val="00BE2405"/>
    <w:rPr>
      <w:rFonts w:eastAsia="Times New Roman" w:cs="Times New Roman"/>
      <w:lang w:val="en-AU"/>
    </w:rPr>
  </w:style>
  <w:style w:type="paragraph" w:customStyle="1" w:styleId="Default">
    <w:name w:val="Default"/>
    <w:rsid w:val="00A67D14"/>
    <w:pPr>
      <w:autoSpaceDE w:val="0"/>
      <w:autoSpaceDN w:val="0"/>
      <w:adjustRightInd w:val="0"/>
    </w:pPr>
    <w:rPr>
      <w:rFonts w:ascii="Times New Roman" w:hAnsi="Times New Roman" w:cs="Times New Roman"/>
      <w:color w:val="000000"/>
      <w:lang w:val="en-US"/>
    </w:rPr>
  </w:style>
  <w:style w:type="character" w:styleId="Strong">
    <w:name w:val="Strong"/>
    <w:basedOn w:val="DefaultParagraphFont"/>
    <w:uiPriority w:val="22"/>
    <w:qFormat/>
    <w:rsid w:val="00E31994"/>
    <w:rPr>
      <w:b/>
      <w:bCs/>
    </w:rPr>
  </w:style>
  <w:style w:type="character" w:customStyle="1" w:styleId="Heading4Char">
    <w:name w:val="Heading 4 Char"/>
    <w:basedOn w:val="DefaultParagraphFont"/>
    <w:link w:val="Heading4"/>
    <w:uiPriority w:val="9"/>
    <w:semiHidden/>
    <w:rsid w:val="007617FF"/>
    <w:rPr>
      <w:rFonts w:asciiTheme="majorHAnsi" w:eastAsiaTheme="majorEastAsia" w:hAnsiTheme="majorHAnsi" w:cstheme="majorBidi"/>
      <w:i/>
      <w:iCs/>
      <w:color w:val="2F5496" w:themeColor="accent1" w:themeShade="BF"/>
      <w:lang w:val="en-AU"/>
    </w:rPr>
  </w:style>
  <w:style w:type="paragraph" w:customStyle="1" w:styleId="MDPI21heading1">
    <w:name w:val="MDPI_2.1_heading1"/>
    <w:basedOn w:val="Normal"/>
    <w:link w:val="MDPI21heading1Char"/>
    <w:qFormat/>
    <w:rsid w:val="00CD6B62"/>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character" w:customStyle="1" w:styleId="MDPI21heading1Char">
    <w:name w:val="MDPI_2.1_heading1 Char"/>
    <w:link w:val="MDPI21heading1"/>
    <w:rsid w:val="00CD6B62"/>
    <w:rPr>
      <w:rFonts w:ascii="Palatino Linotype" w:eastAsia="Times New Roman" w:hAnsi="Palatino Linotype" w:cs="Times New Roman"/>
      <w:b/>
      <w:snapToGrid w:val="0"/>
      <w:color w:val="000000"/>
      <w:sz w:val="20"/>
      <w:szCs w:val="22"/>
      <w:lang w:val="en-US" w:eastAsia="de-DE" w:bidi="en-US"/>
    </w:rPr>
  </w:style>
  <w:style w:type="paragraph" w:customStyle="1" w:styleId="FSBullet">
    <w:name w:val="FS Bullet"/>
    <w:basedOn w:val="Normal"/>
    <w:next w:val="Normal"/>
    <w:link w:val="FSBulletChar"/>
    <w:qFormat/>
    <w:rsid w:val="00B10147"/>
    <w:pPr>
      <w:widowControl w:val="0"/>
      <w:numPr>
        <w:numId w:val="29"/>
      </w:numPr>
      <w:spacing w:before="120" w:after="120"/>
    </w:pPr>
    <w:rPr>
      <w:rFonts w:ascii="Arial" w:hAnsi="Arial" w:cs="Arial"/>
      <w:lang w:val="x-none" w:bidi="en-US"/>
    </w:rPr>
  </w:style>
  <w:style w:type="character" w:customStyle="1" w:styleId="FSBulletChar">
    <w:name w:val="FS Bullet Char"/>
    <w:link w:val="FSBullet"/>
    <w:rsid w:val="00B10147"/>
    <w:rPr>
      <w:rFonts w:ascii="Arial" w:eastAsia="Times New Roman" w:hAnsi="Arial" w:cs="Arial"/>
      <w:sz w:val="22"/>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06">
      <w:bodyDiv w:val="1"/>
      <w:marLeft w:val="0"/>
      <w:marRight w:val="0"/>
      <w:marTop w:val="0"/>
      <w:marBottom w:val="0"/>
      <w:divBdr>
        <w:top w:val="none" w:sz="0" w:space="0" w:color="auto"/>
        <w:left w:val="none" w:sz="0" w:space="0" w:color="auto"/>
        <w:bottom w:val="none" w:sz="0" w:space="0" w:color="auto"/>
        <w:right w:val="none" w:sz="0" w:space="0" w:color="auto"/>
      </w:divBdr>
    </w:div>
    <w:div w:id="24792713">
      <w:bodyDiv w:val="1"/>
      <w:marLeft w:val="0"/>
      <w:marRight w:val="0"/>
      <w:marTop w:val="0"/>
      <w:marBottom w:val="0"/>
      <w:divBdr>
        <w:top w:val="none" w:sz="0" w:space="0" w:color="auto"/>
        <w:left w:val="none" w:sz="0" w:space="0" w:color="auto"/>
        <w:bottom w:val="none" w:sz="0" w:space="0" w:color="auto"/>
        <w:right w:val="none" w:sz="0" w:space="0" w:color="auto"/>
      </w:divBdr>
      <w:divsChild>
        <w:div w:id="2027973926">
          <w:marLeft w:val="0"/>
          <w:marRight w:val="0"/>
          <w:marTop w:val="0"/>
          <w:marBottom w:val="0"/>
          <w:divBdr>
            <w:top w:val="none" w:sz="0" w:space="0" w:color="auto"/>
            <w:left w:val="none" w:sz="0" w:space="0" w:color="auto"/>
            <w:bottom w:val="none" w:sz="0" w:space="0" w:color="auto"/>
            <w:right w:val="none" w:sz="0" w:space="0" w:color="auto"/>
          </w:divBdr>
          <w:divsChild>
            <w:div w:id="1409381464">
              <w:marLeft w:val="0"/>
              <w:marRight w:val="0"/>
              <w:marTop w:val="0"/>
              <w:marBottom w:val="0"/>
              <w:divBdr>
                <w:top w:val="none" w:sz="0" w:space="0" w:color="auto"/>
                <w:left w:val="none" w:sz="0" w:space="0" w:color="auto"/>
                <w:bottom w:val="none" w:sz="0" w:space="0" w:color="auto"/>
                <w:right w:val="none" w:sz="0" w:space="0" w:color="auto"/>
              </w:divBdr>
              <w:divsChild>
                <w:div w:id="1241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1384">
      <w:bodyDiv w:val="1"/>
      <w:marLeft w:val="0"/>
      <w:marRight w:val="0"/>
      <w:marTop w:val="0"/>
      <w:marBottom w:val="0"/>
      <w:divBdr>
        <w:top w:val="none" w:sz="0" w:space="0" w:color="auto"/>
        <w:left w:val="none" w:sz="0" w:space="0" w:color="auto"/>
        <w:bottom w:val="none" w:sz="0" w:space="0" w:color="auto"/>
        <w:right w:val="none" w:sz="0" w:space="0" w:color="auto"/>
      </w:divBdr>
    </w:div>
    <w:div w:id="56561498">
      <w:bodyDiv w:val="1"/>
      <w:marLeft w:val="0"/>
      <w:marRight w:val="0"/>
      <w:marTop w:val="0"/>
      <w:marBottom w:val="0"/>
      <w:divBdr>
        <w:top w:val="none" w:sz="0" w:space="0" w:color="auto"/>
        <w:left w:val="none" w:sz="0" w:space="0" w:color="auto"/>
        <w:bottom w:val="none" w:sz="0" w:space="0" w:color="auto"/>
        <w:right w:val="none" w:sz="0" w:space="0" w:color="auto"/>
      </w:divBdr>
      <w:divsChild>
        <w:div w:id="1801267556">
          <w:marLeft w:val="0"/>
          <w:marRight w:val="0"/>
          <w:marTop w:val="0"/>
          <w:marBottom w:val="0"/>
          <w:divBdr>
            <w:top w:val="none" w:sz="0" w:space="0" w:color="auto"/>
            <w:left w:val="none" w:sz="0" w:space="0" w:color="auto"/>
            <w:bottom w:val="none" w:sz="0" w:space="0" w:color="auto"/>
            <w:right w:val="none" w:sz="0" w:space="0" w:color="auto"/>
          </w:divBdr>
          <w:divsChild>
            <w:div w:id="372311600">
              <w:marLeft w:val="0"/>
              <w:marRight w:val="0"/>
              <w:marTop w:val="0"/>
              <w:marBottom w:val="0"/>
              <w:divBdr>
                <w:top w:val="none" w:sz="0" w:space="0" w:color="auto"/>
                <w:left w:val="none" w:sz="0" w:space="0" w:color="auto"/>
                <w:bottom w:val="none" w:sz="0" w:space="0" w:color="auto"/>
                <w:right w:val="none" w:sz="0" w:space="0" w:color="auto"/>
              </w:divBdr>
              <w:divsChild>
                <w:div w:id="16788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718">
      <w:bodyDiv w:val="1"/>
      <w:marLeft w:val="0"/>
      <w:marRight w:val="0"/>
      <w:marTop w:val="0"/>
      <w:marBottom w:val="0"/>
      <w:divBdr>
        <w:top w:val="none" w:sz="0" w:space="0" w:color="auto"/>
        <w:left w:val="none" w:sz="0" w:space="0" w:color="auto"/>
        <w:bottom w:val="none" w:sz="0" w:space="0" w:color="auto"/>
        <w:right w:val="none" w:sz="0" w:space="0" w:color="auto"/>
      </w:divBdr>
    </w:div>
    <w:div w:id="141851362">
      <w:bodyDiv w:val="1"/>
      <w:marLeft w:val="0"/>
      <w:marRight w:val="0"/>
      <w:marTop w:val="0"/>
      <w:marBottom w:val="0"/>
      <w:divBdr>
        <w:top w:val="none" w:sz="0" w:space="0" w:color="auto"/>
        <w:left w:val="none" w:sz="0" w:space="0" w:color="auto"/>
        <w:bottom w:val="none" w:sz="0" w:space="0" w:color="auto"/>
        <w:right w:val="none" w:sz="0" w:space="0" w:color="auto"/>
      </w:divBdr>
      <w:divsChild>
        <w:div w:id="312107956">
          <w:marLeft w:val="0"/>
          <w:marRight w:val="0"/>
          <w:marTop w:val="0"/>
          <w:marBottom w:val="0"/>
          <w:divBdr>
            <w:top w:val="none" w:sz="0" w:space="0" w:color="auto"/>
            <w:left w:val="none" w:sz="0" w:space="0" w:color="auto"/>
            <w:bottom w:val="none" w:sz="0" w:space="0" w:color="auto"/>
            <w:right w:val="none" w:sz="0" w:space="0" w:color="auto"/>
          </w:divBdr>
          <w:divsChild>
            <w:div w:id="232738648">
              <w:marLeft w:val="0"/>
              <w:marRight w:val="0"/>
              <w:marTop w:val="0"/>
              <w:marBottom w:val="0"/>
              <w:divBdr>
                <w:top w:val="none" w:sz="0" w:space="0" w:color="auto"/>
                <w:left w:val="none" w:sz="0" w:space="0" w:color="auto"/>
                <w:bottom w:val="none" w:sz="0" w:space="0" w:color="auto"/>
                <w:right w:val="none" w:sz="0" w:space="0" w:color="auto"/>
              </w:divBdr>
              <w:divsChild>
                <w:div w:id="536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8451">
      <w:bodyDiv w:val="1"/>
      <w:marLeft w:val="0"/>
      <w:marRight w:val="0"/>
      <w:marTop w:val="0"/>
      <w:marBottom w:val="0"/>
      <w:divBdr>
        <w:top w:val="none" w:sz="0" w:space="0" w:color="auto"/>
        <w:left w:val="none" w:sz="0" w:space="0" w:color="auto"/>
        <w:bottom w:val="none" w:sz="0" w:space="0" w:color="auto"/>
        <w:right w:val="none" w:sz="0" w:space="0" w:color="auto"/>
      </w:divBdr>
    </w:div>
    <w:div w:id="204022561">
      <w:bodyDiv w:val="1"/>
      <w:marLeft w:val="0"/>
      <w:marRight w:val="0"/>
      <w:marTop w:val="0"/>
      <w:marBottom w:val="0"/>
      <w:divBdr>
        <w:top w:val="none" w:sz="0" w:space="0" w:color="auto"/>
        <w:left w:val="none" w:sz="0" w:space="0" w:color="auto"/>
        <w:bottom w:val="none" w:sz="0" w:space="0" w:color="auto"/>
        <w:right w:val="none" w:sz="0" w:space="0" w:color="auto"/>
      </w:divBdr>
    </w:div>
    <w:div w:id="209272775">
      <w:bodyDiv w:val="1"/>
      <w:marLeft w:val="0"/>
      <w:marRight w:val="0"/>
      <w:marTop w:val="0"/>
      <w:marBottom w:val="0"/>
      <w:divBdr>
        <w:top w:val="none" w:sz="0" w:space="0" w:color="auto"/>
        <w:left w:val="none" w:sz="0" w:space="0" w:color="auto"/>
        <w:bottom w:val="none" w:sz="0" w:space="0" w:color="auto"/>
        <w:right w:val="none" w:sz="0" w:space="0" w:color="auto"/>
      </w:divBdr>
    </w:div>
    <w:div w:id="209346754">
      <w:bodyDiv w:val="1"/>
      <w:marLeft w:val="0"/>
      <w:marRight w:val="0"/>
      <w:marTop w:val="0"/>
      <w:marBottom w:val="0"/>
      <w:divBdr>
        <w:top w:val="none" w:sz="0" w:space="0" w:color="auto"/>
        <w:left w:val="none" w:sz="0" w:space="0" w:color="auto"/>
        <w:bottom w:val="none" w:sz="0" w:space="0" w:color="auto"/>
        <w:right w:val="none" w:sz="0" w:space="0" w:color="auto"/>
      </w:divBdr>
    </w:div>
    <w:div w:id="210895106">
      <w:bodyDiv w:val="1"/>
      <w:marLeft w:val="0"/>
      <w:marRight w:val="0"/>
      <w:marTop w:val="0"/>
      <w:marBottom w:val="0"/>
      <w:divBdr>
        <w:top w:val="none" w:sz="0" w:space="0" w:color="auto"/>
        <w:left w:val="none" w:sz="0" w:space="0" w:color="auto"/>
        <w:bottom w:val="none" w:sz="0" w:space="0" w:color="auto"/>
        <w:right w:val="none" w:sz="0" w:space="0" w:color="auto"/>
      </w:divBdr>
      <w:divsChild>
        <w:div w:id="985012102">
          <w:marLeft w:val="0"/>
          <w:marRight w:val="0"/>
          <w:marTop w:val="0"/>
          <w:marBottom w:val="0"/>
          <w:divBdr>
            <w:top w:val="none" w:sz="0" w:space="0" w:color="auto"/>
            <w:left w:val="none" w:sz="0" w:space="0" w:color="auto"/>
            <w:bottom w:val="none" w:sz="0" w:space="0" w:color="auto"/>
            <w:right w:val="none" w:sz="0" w:space="0" w:color="auto"/>
          </w:divBdr>
          <w:divsChild>
            <w:div w:id="1552770113">
              <w:marLeft w:val="0"/>
              <w:marRight w:val="0"/>
              <w:marTop w:val="0"/>
              <w:marBottom w:val="0"/>
              <w:divBdr>
                <w:top w:val="none" w:sz="0" w:space="0" w:color="auto"/>
                <w:left w:val="none" w:sz="0" w:space="0" w:color="auto"/>
                <w:bottom w:val="none" w:sz="0" w:space="0" w:color="auto"/>
                <w:right w:val="none" w:sz="0" w:space="0" w:color="auto"/>
              </w:divBdr>
              <w:divsChild>
                <w:div w:id="1997027668">
                  <w:marLeft w:val="0"/>
                  <w:marRight w:val="0"/>
                  <w:marTop w:val="0"/>
                  <w:marBottom w:val="0"/>
                  <w:divBdr>
                    <w:top w:val="none" w:sz="0" w:space="0" w:color="auto"/>
                    <w:left w:val="none" w:sz="0" w:space="0" w:color="auto"/>
                    <w:bottom w:val="none" w:sz="0" w:space="0" w:color="auto"/>
                    <w:right w:val="none" w:sz="0" w:space="0" w:color="auto"/>
                  </w:divBdr>
                  <w:divsChild>
                    <w:div w:id="115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9403">
      <w:bodyDiv w:val="1"/>
      <w:marLeft w:val="0"/>
      <w:marRight w:val="0"/>
      <w:marTop w:val="0"/>
      <w:marBottom w:val="0"/>
      <w:divBdr>
        <w:top w:val="none" w:sz="0" w:space="0" w:color="auto"/>
        <w:left w:val="none" w:sz="0" w:space="0" w:color="auto"/>
        <w:bottom w:val="none" w:sz="0" w:space="0" w:color="auto"/>
        <w:right w:val="none" w:sz="0" w:space="0" w:color="auto"/>
      </w:divBdr>
    </w:div>
    <w:div w:id="222759854">
      <w:bodyDiv w:val="1"/>
      <w:marLeft w:val="0"/>
      <w:marRight w:val="0"/>
      <w:marTop w:val="0"/>
      <w:marBottom w:val="0"/>
      <w:divBdr>
        <w:top w:val="none" w:sz="0" w:space="0" w:color="auto"/>
        <w:left w:val="none" w:sz="0" w:space="0" w:color="auto"/>
        <w:bottom w:val="none" w:sz="0" w:space="0" w:color="auto"/>
        <w:right w:val="none" w:sz="0" w:space="0" w:color="auto"/>
      </w:divBdr>
      <w:divsChild>
        <w:div w:id="1463423645">
          <w:marLeft w:val="0"/>
          <w:marRight w:val="0"/>
          <w:marTop w:val="0"/>
          <w:marBottom w:val="0"/>
          <w:divBdr>
            <w:top w:val="none" w:sz="0" w:space="0" w:color="auto"/>
            <w:left w:val="none" w:sz="0" w:space="0" w:color="auto"/>
            <w:bottom w:val="none" w:sz="0" w:space="0" w:color="auto"/>
            <w:right w:val="none" w:sz="0" w:space="0" w:color="auto"/>
          </w:divBdr>
          <w:divsChild>
            <w:div w:id="843517288">
              <w:marLeft w:val="0"/>
              <w:marRight w:val="0"/>
              <w:marTop w:val="0"/>
              <w:marBottom w:val="0"/>
              <w:divBdr>
                <w:top w:val="none" w:sz="0" w:space="0" w:color="auto"/>
                <w:left w:val="none" w:sz="0" w:space="0" w:color="auto"/>
                <w:bottom w:val="none" w:sz="0" w:space="0" w:color="auto"/>
                <w:right w:val="none" w:sz="0" w:space="0" w:color="auto"/>
              </w:divBdr>
              <w:divsChild>
                <w:div w:id="1641498750">
                  <w:marLeft w:val="0"/>
                  <w:marRight w:val="0"/>
                  <w:marTop w:val="0"/>
                  <w:marBottom w:val="0"/>
                  <w:divBdr>
                    <w:top w:val="none" w:sz="0" w:space="0" w:color="auto"/>
                    <w:left w:val="none" w:sz="0" w:space="0" w:color="auto"/>
                    <w:bottom w:val="none" w:sz="0" w:space="0" w:color="auto"/>
                    <w:right w:val="none" w:sz="0" w:space="0" w:color="auto"/>
                  </w:divBdr>
                  <w:divsChild>
                    <w:div w:id="45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4028">
      <w:bodyDiv w:val="1"/>
      <w:marLeft w:val="0"/>
      <w:marRight w:val="0"/>
      <w:marTop w:val="0"/>
      <w:marBottom w:val="0"/>
      <w:divBdr>
        <w:top w:val="none" w:sz="0" w:space="0" w:color="auto"/>
        <w:left w:val="none" w:sz="0" w:space="0" w:color="auto"/>
        <w:bottom w:val="none" w:sz="0" w:space="0" w:color="auto"/>
        <w:right w:val="none" w:sz="0" w:space="0" w:color="auto"/>
      </w:divBdr>
      <w:divsChild>
        <w:div w:id="1971395359">
          <w:marLeft w:val="0"/>
          <w:marRight w:val="0"/>
          <w:marTop w:val="0"/>
          <w:marBottom w:val="0"/>
          <w:divBdr>
            <w:top w:val="none" w:sz="0" w:space="0" w:color="auto"/>
            <w:left w:val="none" w:sz="0" w:space="0" w:color="auto"/>
            <w:bottom w:val="none" w:sz="0" w:space="0" w:color="auto"/>
            <w:right w:val="none" w:sz="0" w:space="0" w:color="auto"/>
          </w:divBdr>
          <w:divsChild>
            <w:div w:id="1658412205">
              <w:marLeft w:val="0"/>
              <w:marRight w:val="0"/>
              <w:marTop w:val="0"/>
              <w:marBottom w:val="0"/>
              <w:divBdr>
                <w:top w:val="none" w:sz="0" w:space="0" w:color="auto"/>
                <w:left w:val="none" w:sz="0" w:space="0" w:color="auto"/>
                <w:bottom w:val="none" w:sz="0" w:space="0" w:color="auto"/>
                <w:right w:val="none" w:sz="0" w:space="0" w:color="auto"/>
              </w:divBdr>
              <w:divsChild>
                <w:div w:id="1759866827">
                  <w:marLeft w:val="0"/>
                  <w:marRight w:val="0"/>
                  <w:marTop w:val="0"/>
                  <w:marBottom w:val="0"/>
                  <w:divBdr>
                    <w:top w:val="none" w:sz="0" w:space="0" w:color="auto"/>
                    <w:left w:val="none" w:sz="0" w:space="0" w:color="auto"/>
                    <w:bottom w:val="none" w:sz="0" w:space="0" w:color="auto"/>
                    <w:right w:val="none" w:sz="0" w:space="0" w:color="auto"/>
                  </w:divBdr>
                  <w:divsChild>
                    <w:div w:id="17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1746">
      <w:bodyDiv w:val="1"/>
      <w:marLeft w:val="0"/>
      <w:marRight w:val="0"/>
      <w:marTop w:val="0"/>
      <w:marBottom w:val="0"/>
      <w:divBdr>
        <w:top w:val="none" w:sz="0" w:space="0" w:color="auto"/>
        <w:left w:val="none" w:sz="0" w:space="0" w:color="auto"/>
        <w:bottom w:val="none" w:sz="0" w:space="0" w:color="auto"/>
        <w:right w:val="none" w:sz="0" w:space="0" w:color="auto"/>
      </w:divBdr>
    </w:div>
    <w:div w:id="2398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267118">
              <w:marLeft w:val="0"/>
              <w:marRight w:val="0"/>
              <w:marTop w:val="0"/>
              <w:marBottom w:val="0"/>
              <w:divBdr>
                <w:top w:val="none" w:sz="0" w:space="0" w:color="auto"/>
                <w:left w:val="none" w:sz="0" w:space="0" w:color="auto"/>
                <w:bottom w:val="none" w:sz="0" w:space="0" w:color="auto"/>
                <w:right w:val="none" w:sz="0" w:space="0" w:color="auto"/>
              </w:divBdr>
              <w:divsChild>
                <w:div w:id="1042484266">
                  <w:marLeft w:val="0"/>
                  <w:marRight w:val="0"/>
                  <w:marTop w:val="0"/>
                  <w:marBottom w:val="0"/>
                  <w:divBdr>
                    <w:top w:val="none" w:sz="0" w:space="0" w:color="auto"/>
                    <w:left w:val="none" w:sz="0" w:space="0" w:color="auto"/>
                    <w:bottom w:val="none" w:sz="0" w:space="0" w:color="auto"/>
                    <w:right w:val="none" w:sz="0" w:space="0" w:color="auto"/>
                  </w:divBdr>
                  <w:divsChild>
                    <w:div w:id="768550402">
                      <w:marLeft w:val="0"/>
                      <w:marRight w:val="0"/>
                      <w:marTop w:val="0"/>
                      <w:marBottom w:val="0"/>
                      <w:divBdr>
                        <w:top w:val="none" w:sz="0" w:space="0" w:color="auto"/>
                        <w:left w:val="none" w:sz="0" w:space="0" w:color="auto"/>
                        <w:bottom w:val="none" w:sz="0" w:space="0" w:color="auto"/>
                        <w:right w:val="none" w:sz="0" w:space="0" w:color="auto"/>
                      </w:divBdr>
                      <w:divsChild>
                        <w:div w:id="2062442163">
                          <w:marLeft w:val="0"/>
                          <w:marRight w:val="0"/>
                          <w:marTop w:val="0"/>
                          <w:marBottom w:val="0"/>
                          <w:divBdr>
                            <w:top w:val="none" w:sz="0" w:space="0" w:color="auto"/>
                            <w:left w:val="none" w:sz="0" w:space="0" w:color="auto"/>
                            <w:bottom w:val="none" w:sz="0" w:space="0" w:color="auto"/>
                            <w:right w:val="none" w:sz="0" w:space="0" w:color="auto"/>
                          </w:divBdr>
                          <w:divsChild>
                            <w:div w:id="144141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93092">
                                  <w:marLeft w:val="0"/>
                                  <w:marRight w:val="0"/>
                                  <w:marTop w:val="0"/>
                                  <w:marBottom w:val="0"/>
                                  <w:divBdr>
                                    <w:top w:val="none" w:sz="0" w:space="0" w:color="auto"/>
                                    <w:left w:val="none" w:sz="0" w:space="0" w:color="auto"/>
                                    <w:bottom w:val="none" w:sz="0" w:space="0" w:color="auto"/>
                                    <w:right w:val="none" w:sz="0" w:space="0" w:color="auto"/>
                                  </w:divBdr>
                                  <w:divsChild>
                                    <w:div w:id="1043486749">
                                      <w:marLeft w:val="0"/>
                                      <w:marRight w:val="0"/>
                                      <w:marTop w:val="0"/>
                                      <w:marBottom w:val="0"/>
                                      <w:divBdr>
                                        <w:top w:val="none" w:sz="0" w:space="0" w:color="auto"/>
                                        <w:left w:val="none" w:sz="0" w:space="0" w:color="auto"/>
                                        <w:bottom w:val="none" w:sz="0" w:space="0" w:color="auto"/>
                                        <w:right w:val="none" w:sz="0" w:space="0" w:color="auto"/>
                                      </w:divBdr>
                                      <w:divsChild>
                                        <w:div w:id="14734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012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780">
          <w:marLeft w:val="0"/>
          <w:marRight w:val="0"/>
          <w:marTop w:val="0"/>
          <w:marBottom w:val="0"/>
          <w:divBdr>
            <w:top w:val="none" w:sz="0" w:space="0" w:color="auto"/>
            <w:left w:val="none" w:sz="0" w:space="0" w:color="auto"/>
            <w:bottom w:val="none" w:sz="0" w:space="0" w:color="auto"/>
            <w:right w:val="none" w:sz="0" w:space="0" w:color="auto"/>
          </w:divBdr>
          <w:divsChild>
            <w:div w:id="1655253180">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99178">
      <w:bodyDiv w:val="1"/>
      <w:marLeft w:val="0"/>
      <w:marRight w:val="0"/>
      <w:marTop w:val="0"/>
      <w:marBottom w:val="0"/>
      <w:divBdr>
        <w:top w:val="none" w:sz="0" w:space="0" w:color="auto"/>
        <w:left w:val="none" w:sz="0" w:space="0" w:color="auto"/>
        <w:bottom w:val="none" w:sz="0" w:space="0" w:color="auto"/>
        <w:right w:val="none" w:sz="0" w:space="0" w:color="auto"/>
      </w:divBdr>
    </w:div>
    <w:div w:id="331030550">
      <w:bodyDiv w:val="1"/>
      <w:marLeft w:val="0"/>
      <w:marRight w:val="0"/>
      <w:marTop w:val="0"/>
      <w:marBottom w:val="0"/>
      <w:divBdr>
        <w:top w:val="none" w:sz="0" w:space="0" w:color="auto"/>
        <w:left w:val="none" w:sz="0" w:space="0" w:color="auto"/>
        <w:bottom w:val="none" w:sz="0" w:space="0" w:color="auto"/>
        <w:right w:val="none" w:sz="0" w:space="0" w:color="auto"/>
      </w:divBdr>
    </w:div>
    <w:div w:id="353658065">
      <w:bodyDiv w:val="1"/>
      <w:marLeft w:val="0"/>
      <w:marRight w:val="0"/>
      <w:marTop w:val="0"/>
      <w:marBottom w:val="0"/>
      <w:divBdr>
        <w:top w:val="none" w:sz="0" w:space="0" w:color="auto"/>
        <w:left w:val="none" w:sz="0" w:space="0" w:color="auto"/>
        <w:bottom w:val="none" w:sz="0" w:space="0" w:color="auto"/>
        <w:right w:val="none" w:sz="0" w:space="0" w:color="auto"/>
      </w:divBdr>
      <w:divsChild>
        <w:div w:id="217018380">
          <w:marLeft w:val="0"/>
          <w:marRight w:val="0"/>
          <w:marTop w:val="0"/>
          <w:marBottom w:val="0"/>
          <w:divBdr>
            <w:top w:val="none" w:sz="0" w:space="0" w:color="auto"/>
            <w:left w:val="none" w:sz="0" w:space="0" w:color="auto"/>
            <w:bottom w:val="none" w:sz="0" w:space="0" w:color="auto"/>
            <w:right w:val="none" w:sz="0" w:space="0" w:color="auto"/>
          </w:divBdr>
          <w:divsChild>
            <w:div w:id="1016804916">
              <w:marLeft w:val="0"/>
              <w:marRight w:val="0"/>
              <w:marTop w:val="0"/>
              <w:marBottom w:val="0"/>
              <w:divBdr>
                <w:top w:val="none" w:sz="0" w:space="0" w:color="auto"/>
                <w:left w:val="none" w:sz="0" w:space="0" w:color="auto"/>
                <w:bottom w:val="none" w:sz="0" w:space="0" w:color="auto"/>
                <w:right w:val="none" w:sz="0" w:space="0" w:color="auto"/>
              </w:divBdr>
              <w:divsChild>
                <w:div w:id="1458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00772">
      <w:bodyDiv w:val="1"/>
      <w:marLeft w:val="0"/>
      <w:marRight w:val="0"/>
      <w:marTop w:val="0"/>
      <w:marBottom w:val="0"/>
      <w:divBdr>
        <w:top w:val="none" w:sz="0" w:space="0" w:color="auto"/>
        <w:left w:val="none" w:sz="0" w:space="0" w:color="auto"/>
        <w:bottom w:val="none" w:sz="0" w:space="0" w:color="auto"/>
        <w:right w:val="none" w:sz="0" w:space="0" w:color="auto"/>
      </w:divBdr>
    </w:div>
    <w:div w:id="381252944">
      <w:bodyDiv w:val="1"/>
      <w:marLeft w:val="0"/>
      <w:marRight w:val="0"/>
      <w:marTop w:val="0"/>
      <w:marBottom w:val="0"/>
      <w:divBdr>
        <w:top w:val="none" w:sz="0" w:space="0" w:color="auto"/>
        <w:left w:val="none" w:sz="0" w:space="0" w:color="auto"/>
        <w:bottom w:val="none" w:sz="0" w:space="0" w:color="auto"/>
        <w:right w:val="none" w:sz="0" w:space="0" w:color="auto"/>
      </w:divBdr>
      <w:divsChild>
        <w:div w:id="1552841614">
          <w:marLeft w:val="0"/>
          <w:marRight w:val="0"/>
          <w:marTop w:val="0"/>
          <w:marBottom w:val="0"/>
          <w:divBdr>
            <w:top w:val="none" w:sz="0" w:space="0" w:color="auto"/>
            <w:left w:val="none" w:sz="0" w:space="0" w:color="auto"/>
            <w:bottom w:val="none" w:sz="0" w:space="0" w:color="auto"/>
            <w:right w:val="none" w:sz="0" w:space="0" w:color="auto"/>
          </w:divBdr>
          <w:divsChild>
            <w:div w:id="1529101182">
              <w:marLeft w:val="0"/>
              <w:marRight w:val="0"/>
              <w:marTop w:val="0"/>
              <w:marBottom w:val="0"/>
              <w:divBdr>
                <w:top w:val="none" w:sz="0" w:space="0" w:color="auto"/>
                <w:left w:val="none" w:sz="0" w:space="0" w:color="auto"/>
                <w:bottom w:val="none" w:sz="0" w:space="0" w:color="auto"/>
                <w:right w:val="none" w:sz="0" w:space="0" w:color="auto"/>
              </w:divBdr>
              <w:divsChild>
                <w:div w:id="556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4333">
      <w:bodyDiv w:val="1"/>
      <w:marLeft w:val="0"/>
      <w:marRight w:val="0"/>
      <w:marTop w:val="0"/>
      <w:marBottom w:val="0"/>
      <w:divBdr>
        <w:top w:val="none" w:sz="0" w:space="0" w:color="auto"/>
        <w:left w:val="none" w:sz="0" w:space="0" w:color="auto"/>
        <w:bottom w:val="none" w:sz="0" w:space="0" w:color="auto"/>
        <w:right w:val="none" w:sz="0" w:space="0" w:color="auto"/>
      </w:divBdr>
    </w:div>
    <w:div w:id="511723329">
      <w:bodyDiv w:val="1"/>
      <w:marLeft w:val="0"/>
      <w:marRight w:val="0"/>
      <w:marTop w:val="0"/>
      <w:marBottom w:val="0"/>
      <w:divBdr>
        <w:top w:val="none" w:sz="0" w:space="0" w:color="auto"/>
        <w:left w:val="none" w:sz="0" w:space="0" w:color="auto"/>
        <w:bottom w:val="none" w:sz="0" w:space="0" w:color="auto"/>
        <w:right w:val="none" w:sz="0" w:space="0" w:color="auto"/>
      </w:divBdr>
    </w:div>
    <w:div w:id="512032841">
      <w:bodyDiv w:val="1"/>
      <w:marLeft w:val="0"/>
      <w:marRight w:val="0"/>
      <w:marTop w:val="0"/>
      <w:marBottom w:val="0"/>
      <w:divBdr>
        <w:top w:val="none" w:sz="0" w:space="0" w:color="auto"/>
        <w:left w:val="none" w:sz="0" w:space="0" w:color="auto"/>
        <w:bottom w:val="none" w:sz="0" w:space="0" w:color="auto"/>
        <w:right w:val="none" w:sz="0" w:space="0" w:color="auto"/>
      </w:divBdr>
    </w:div>
    <w:div w:id="605312479">
      <w:bodyDiv w:val="1"/>
      <w:marLeft w:val="0"/>
      <w:marRight w:val="0"/>
      <w:marTop w:val="0"/>
      <w:marBottom w:val="0"/>
      <w:divBdr>
        <w:top w:val="none" w:sz="0" w:space="0" w:color="auto"/>
        <w:left w:val="none" w:sz="0" w:space="0" w:color="auto"/>
        <w:bottom w:val="none" w:sz="0" w:space="0" w:color="auto"/>
        <w:right w:val="none" w:sz="0" w:space="0" w:color="auto"/>
      </w:divBdr>
      <w:divsChild>
        <w:div w:id="1063800081">
          <w:marLeft w:val="0"/>
          <w:marRight w:val="0"/>
          <w:marTop w:val="0"/>
          <w:marBottom w:val="0"/>
          <w:divBdr>
            <w:top w:val="none" w:sz="0" w:space="0" w:color="auto"/>
            <w:left w:val="none" w:sz="0" w:space="0" w:color="auto"/>
            <w:bottom w:val="none" w:sz="0" w:space="0" w:color="auto"/>
            <w:right w:val="none" w:sz="0" w:space="0" w:color="auto"/>
          </w:divBdr>
          <w:divsChild>
            <w:div w:id="1441489034">
              <w:marLeft w:val="0"/>
              <w:marRight w:val="0"/>
              <w:marTop w:val="0"/>
              <w:marBottom w:val="0"/>
              <w:divBdr>
                <w:top w:val="none" w:sz="0" w:space="0" w:color="auto"/>
                <w:left w:val="none" w:sz="0" w:space="0" w:color="auto"/>
                <w:bottom w:val="none" w:sz="0" w:space="0" w:color="auto"/>
                <w:right w:val="none" w:sz="0" w:space="0" w:color="auto"/>
              </w:divBdr>
              <w:divsChild>
                <w:div w:id="7755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8096">
      <w:bodyDiv w:val="1"/>
      <w:marLeft w:val="0"/>
      <w:marRight w:val="0"/>
      <w:marTop w:val="0"/>
      <w:marBottom w:val="0"/>
      <w:divBdr>
        <w:top w:val="none" w:sz="0" w:space="0" w:color="auto"/>
        <w:left w:val="none" w:sz="0" w:space="0" w:color="auto"/>
        <w:bottom w:val="none" w:sz="0" w:space="0" w:color="auto"/>
        <w:right w:val="none" w:sz="0" w:space="0" w:color="auto"/>
      </w:divBdr>
      <w:divsChild>
        <w:div w:id="275986630">
          <w:marLeft w:val="0"/>
          <w:marRight w:val="0"/>
          <w:marTop w:val="0"/>
          <w:marBottom w:val="0"/>
          <w:divBdr>
            <w:top w:val="none" w:sz="0" w:space="0" w:color="auto"/>
            <w:left w:val="none" w:sz="0" w:space="0" w:color="auto"/>
            <w:bottom w:val="none" w:sz="0" w:space="0" w:color="auto"/>
            <w:right w:val="none" w:sz="0" w:space="0" w:color="auto"/>
          </w:divBdr>
          <w:divsChild>
            <w:div w:id="366953390">
              <w:marLeft w:val="0"/>
              <w:marRight w:val="0"/>
              <w:marTop w:val="0"/>
              <w:marBottom w:val="0"/>
              <w:divBdr>
                <w:top w:val="none" w:sz="0" w:space="0" w:color="auto"/>
                <w:left w:val="none" w:sz="0" w:space="0" w:color="auto"/>
                <w:bottom w:val="none" w:sz="0" w:space="0" w:color="auto"/>
                <w:right w:val="none" w:sz="0" w:space="0" w:color="auto"/>
              </w:divBdr>
              <w:divsChild>
                <w:div w:id="1781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898">
      <w:bodyDiv w:val="1"/>
      <w:marLeft w:val="0"/>
      <w:marRight w:val="0"/>
      <w:marTop w:val="0"/>
      <w:marBottom w:val="0"/>
      <w:divBdr>
        <w:top w:val="none" w:sz="0" w:space="0" w:color="auto"/>
        <w:left w:val="none" w:sz="0" w:space="0" w:color="auto"/>
        <w:bottom w:val="none" w:sz="0" w:space="0" w:color="auto"/>
        <w:right w:val="none" w:sz="0" w:space="0" w:color="auto"/>
      </w:divBdr>
      <w:divsChild>
        <w:div w:id="271910326">
          <w:marLeft w:val="0"/>
          <w:marRight w:val="0"/>
          <w:marTop w:val="0"/>
          <w:marBottom w:val="0"/>
          <w:divBdr>
            <w:top w:val="none" w:sz="0" w:space="0" w:color="auto"/>
            <w:left w:val="none" w:sz="0" w:space="0" w:color="auto"/>
            <w:bottom w:val="none" w:sz="0" w:space="0" w:color="auto"/>
            <w:right w:val="none" w:sz="0" w:space="0" w:color="auto"/>
          </w:divBdr>
          <w:divsChild>
            <w:div w:id="1978028789">
              <w:marLeft w:val="0"/>
              <w:marRight w:val="0"/>
              <w:marTop w:val="0"/>
              <w:marBottom w:val="0"/>
              <w:divBdr>
                <w:top w:val="none" w:sz="0" w:space="0" w:color="auto"/>
                <w:left w:val="none" w:sz="0" w:space="0" w:color="auto"/>
                <w:bottom w:val="none" w:sz="0" w:space="0" w:color="auto"/>
                <w:right w:val="none" w:sz="0" w:space="0" w:color="auto"/>
              </w:divBdr>
              <w:divsChild>
                <w:div w:id="9278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6854">
      <w:bodyDiv w:val="1"/>
      <w:marLeft w:val="0"/>
      <w:marRight w:val="0"/>
      <w:marTop w:val="0"/>
      <w:marBottom w:val="0"/>
      <w:divBdr>
        <w:top w:val="none" w:sz="0" w:space="0" w:color="auto"/>
        <w:left w:val="none" w:sz="0" w:space="0" w:color="auto"/>
        <w:bottom w:val="none" w:sz="0" w:space="0" w:color="auto"/>
        <w:right w:val="none" w:sz="0" w:space="0" w:color="auto"/>
      </w:divBdr>
      <w:divsChild>
        <w:div w:id="610092038">
          <w:marLeft w:val="0"/>
          <w:marRight w:val="0"/>
          <w:marTop w:val="0"/>
          <w:marBottom w:val="0"/>
          <w:divBdr>
            <w:top w:val="none" w:sz="0" w:space="0" w:color="auto"/>
            <w:left w:val="none" w:sz="0" w:space="0" w:color="auto"/>
            <w:bottom w:val="none" w:sz="0" w:space="0" w:color="auto"/>
            <w:right w:val="none" w:sz="0" w:space="0" w:color="auto"/>
          </w:divBdr>
          <w:divsChild>
            <w:div w:id="395319879">
              <w:marLeft w:val="0"/>
              <w:marRight w:val="0"/>
              <w:marTop w:val="0"/>
              <w:marBottom w:val="0"/>
              <w:divBdr>
                <w:top w:val="none" w:sz="0" w:space="0" w:color="auto"/>
                <w:left w:val="none" w:sz="0" w:space="0" w:color="auto"/>
                <w:bottom w:val="none" w:sz="0" w:space="0" w:color="auto"/>
                <w:right w:val="none" w:sz="0" w:space="0" w:color="auto"/>
              </w:divBdr>
              <w:divsChild>
                <w:div w:id="20131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990">
      <w:bodyDiv w:val="1"/>
      <w:marLeft w:val="0"/>
      <w:marRight w:val="0"/>
      <w:marTop w:val="0"/>
      <w:marBottom w:val="0"/>
      <w:divBdr>
        <w:top w:val="none" w:sz="0" w:space="0" w:color="auto"/>
        <w:left w:val="none" w:sz="0" w:space="0" w:color="auto"/>
        <w:bottom w:val="none" w:sz="0" w:space="0" w:color="auto"/>
        <w:right w:val="none" w:sz="0" w:space="0" w:color="auto"/>
      </w:divBdr>
    </w:div>
    <w:div w:id="696541678">
      <w:bodyDiv w:val="1"/>
      <w:marLeft w:val="0"/>
      <w:marRight w:val="0"/>
      <w:marTop w:val="0"/>
      <w:marBottom w:val="0"/>
      <w:divBdr>
        <w:top w:val="none" w:sz="0" w:space="0" w:color="auto"/>
        <w:left w:val="none" w:sz="0" w:space="0" w:color="auto"/>
        <w:bottom w:val="none" w:sz="0" w:space="0" w:color="auto"/>
        <w:right w:val="none" w:sz="0" w:space="0" w:color="auto"/>
      </w:divBdr>
      <w:divsChild>
        <w:div w:id="214590352">
          <w:marLeft w:val="0"/>
          <w:marRight w:val="0"/>
          <w:marTop w:val="0"/>
          <w:marBottom w:val="0"/>
          <w:divBdr>
            <w:top w:val="none" w:sz="0" w:space="0" w:color="auto"/>
            <w:left w:val="none" w:sz="0" w:space="0" w:color="auto"/>
            <w:bottom w:val="none" w:sz="0" w:space="0" w:color="auto"/>
            <w:right w:val="none" w:sz="0" w:space="0" w:color="auto"/>
          </w:divBdr>
          <w:divsChild>
            <w:div w:id="311764071">
              <w:marLeft w:val="0"/>
              <w:marRight w:val="0"/>
              <w:marTop w:val="0"/>
              <w:marBottom w:val="0"/>
              <w:divBdr>
                <w:top w:val="none" w:sz="0" w:space="0" w:color="auto"/>
                <w:left w:val="none" w:sz="0" w:space="0" w:color="auto"/>
                <w:bottom w:val="none" w:sz="0" w:space="0" w:color="auto"/>
                <w:right w:val="none" w:sz="0" w:space="0" w:color="auto"/>
              </w:divBdr>
              <w:divsChild>
                <w:div w:id="13256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0701">
      <w:bodyDiv w:val="1"/>
      <w:marLeft w:val="0"/>
      <w:marRight w:val="0"/>
      <w:marTop w:val="0"/>
      <w:marBottom w:val="0"/>
      <w:divBdr>
        <w:top w:val="none" w:sz="0" w:space="0" w:color="auto"/>
        <w:left w:val="none" w:sz="0" w:space="0" w:color="auto"/>
        <w:bottom w:val="none" w:sz="0" w:space="0" w:color="auto"/>
        <w:right w:val="none" w:sz="0" w:space="0" w:color="auto"/>
      </w:divBdr>
    </w:div>
    <w:div w:id="729158431">
      <w:bodyDiv w:val="1"/>
      <w:marLeft w:val="0"/>
      <w:marRight w:val="0"/>
      <w:marTop w:val="0"/>
      <w:marBottom w:val="0"/>
      <w:divBdr>
        <w:top w:val="none" w:sz="0" w:space="0" w:color="auto"/>
        <w:left w:val="none" w:sz="0" w:space="0" w:color="auto"/>
        <w:bottom w:val="none" w:sz="0" w:space="0" w:color="auto"/>
        <w:right w:val="none" w:sz="0" w:space="0" w:color="auto"/>
      </w:divBdr>
    </w:div>
    <w:div w:id="737020106">
      <w:bodyDiv w:val="1"/>
      <w:marLeft w:val="0"/>
      <w:marRight w:val="0"/>
      <w:marTop w:val="0"/>
      <w:marBottom w:val="0"/>
      <w:divBdr>
        <w:top w:val="none" w:sz="0" w:space="0" w:color="auto"/>
        <w:left w:val="none" w:sz="0" w:space="0" w:color="auto"/>
        <w:bottom w:val="none" w:sz="0" w:space="0" w:color="auto"/>
        <w:right w:val="none" w:sz="0" w:space="0" w:color="auto"/>
      </w:divBdr>
    </w:div>
    <w:div w:id="738989638">
      <w:bodyDiv w:val="1"/>
      <w:marLeft w:val="0"/>
      <w:marRight w:val="0"/>
      <w:marTop w:val="0"/>
      <w:marBottom w:val="0"/>
      <w:divBdr>
        <w:top w:val="none" w:sz="0" w:space="0" w:color="auto"/>
        <w:left w:val="none" w:sz="0" w:space="0" w:color="auto"/>
        <w:bottom w:val="none" w:sz="0" w:space="0" w:color="auto"/>
        <w:right w:val="none" w:sz="0" w:space="0" w:color="auto"/>
      </w:divBdr>
    </w:div>
    <w:div w:id="742222472">
      <w:bodyDiv w:val="1"/>
      <w:marLeft w:val="0"/>
      <w:marRight w:val="0"/>
      <w:marTop w:val="0"/>
      <w:marBottom w:val="0"/>
      <w:divBdr>
        <w:top w:val="none" w:sz="0" w:space="0" w:color="auto"/>
        <w:left w:val="none" w:sz="0" w:space="0" w:color="auto"/>
        <w:bottom w:val="none" w:sz="0" w:space="0" w:color="auto"/>
        <w:right w:val="none" w:sz="0" w:space="0" w:color="auto"/>
      </w:divBdr>
    </w:div>
    <w:div w:id="7461488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899">
          <w:marLeft w:val="0"/>
          <w:marRight w:val="0"/>
          <w:marTop w:val="0"/>
          <w:marBottom w:val="0"/>
          <w:divBdr>
            <w:top w:val="none" w:sz="0" w:space="0" w:color="auto"/>
            <w:left w:val="none" w:sz="0" w:space="0" w:color="auto"/>
            <w:bottom w:val="none" w:sz="0" w:space="0" w:color="auto"/>
            <w:right w:val="none" w:sz="0" w:space="0" w:color="auto"/>
          </w:divBdr>
          <w:divsChild>
            <w:div w:id="1175612182">
              <w:marLeft w:val="0"/>
              <w:marRight w:val="0"/>
              <w:marTop w:val="0"/>
              <w:marBottom w:val="0"/>
              <w:divBdr>
                <w:top w:val="none" w:sz="0" w:space="0" w:color="auto"/>
                <w:left w:val="none" w:sz="0" w:space="0" w:color="auto"/>
                <w:bottom w:val="none" w:sz="0" w:space="0" w:color="auto"/>
                <w:right w:val="none" w:sz="0" w:space="0" w:color="auto"/>
              </w:divBdr>
              <w:divsChild>
                <w:div w:id="2035500516">
                  <w:marLeft w:val="0"/>
                  <w:marRight w:val="0"/>
                  <w:marTop w:val="0"/>
                  <w:marBottom w:val="0"/>
                  <w:divBdr>
                    <w:top w:val="none" w:sz="0" w:space="0" w:color="auto"/>
                    <w:left w:val="none" w:sz="0" w:space="0" w:color="auto"/>
                    <w:bottom w:val="none" w:sz="0" w:space="0" w:color="auto"/>
                    <w:right w:val="none" w:sz="0" w:space="0" w:color="auto"/>
                  </w:divBdr>
                  <w:divsChild>
                    <w:div w:id="827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3627">
      <w:bodyDiv w:val="1"/>
      <w:marLeft w:val="0"/>
      <w:marRight w:val="0"/>
      <w:marTop w:val="0"/>
      <w:marBottom w:val="0"/>
      <w:divBdr>
        <w:top w:val="none" w:sz="0" w:space="0" w:color="auto"/>
        <w:left w:val="none" w:sz="0" w:space="0" w:color="auto"/>
        <w:bottom w:val="none" w:sz="0" w:space="0" w:color="auto"/>
        <w:right w:val="none" w:sz="0" w:space="0" w:color="auto"/>
      </w:divBdr>
      <w:divsChild>
        <w:div w:id="423570109">
          <w:marLeft w:val="0"/>
          <w:marRight w:val="0"/>
          <w:marTop w:val="0"/>
          <w:marBottom w:val="0"/>
          <w:divBdr>
            <w:top w:val="none" w:sz="0" w:space="0" w:color="auto"/>
            <w:left w:val="none" w:sz="0" w:space="0" w:color="auto"/>
            <w:bottom w:val="none" w:sz="0" w:space="0" w:color="auto"/>
            <w:right w:val="none" w:sz="0" w:space="0" w:color="auto"/>
          </w:divBdr>
          <w:divsChild>
            <w:div w:id="494146929">
              <w:marLeft w:val="0"/>
              <w:marRight w:val="0"/>
              <w:marTop w:val="0"/>
              <w:marBottom w:val="0"/>
              <w:divBdr>
                <w:top w:val="none" w:sz="0" w:space="0" w:color="auto"/>
                <w:left w:val="none" w:sz="0" w:space="0" w:color="auto"/>
                <w:bottom w:val="none" w:sz="0" w:space="0" w:color="auto"/>
                <w:right w:val="none" w:sz="0" w:space="0" w:color="auto"/>
              </w:divBdr>
              <w:divsChild>
                <w:div w:id="764302479">
                  <w:marLeft w:val="0"/>
                  <w:marRight w:val="0"/>
                  <w:marTop w:val="0"/>
                  <w:marBottom w:val="0"/>
                  <w:divBdr>
                    <w:top w:val="none" w:sz="0" w:space="0" w:color="auto"/>
                    <w:left w:val="none" w:sz="0" w:space="0" w:color="auto"/>
                    <w:bottom w:val="none" w:sz="0" w:space="0" w:color="auto"/>
                    <w:right w:val="none" w:sz="0" w:space="0" w:color="auto"/>
                  </w:divBdr>
                  <w:divsChild>
                    <w:div w:id="5777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0910">
      <w:bodyDiv w:val="1"/>
      <w:marLeft w:val="0"/>
      <w:marRight w:val="0"/>
      <w:marTop w:val="0"/>
      <w:marBottom w:val="0"/>
      <w:divBdr>
        <w:top w:val="none" w:sz="0" w:space="0" w:color="auto"/>
        <w:left w:val="none" w:sz="0" w:space="0" w:color="auto"/>
        <w:bottom w:val="none" w:sz="0" w:space="0" w:color="auto"/>
        <w:right w:val="none" w:sz="0" w:space="0" w:color="auto"/>
      </w:divBdr>
      <w:divsChild>
        <w:div w:id="332805662">
          <w:marLeft w:val="0"/>
          <w:marRight w:val="0"/>
          <w:marTop w:val="0"/>
          <w:marBottom w:val="0"/>
          <w:divBdr>
            <w:top w:val="none" w:sz="0" w:space="0" w:color="auto"/>
            <w:left w:val="none" w:sz="0" w:space="0" w:color="auto"/>
            <w:bottom w:val="none" w:sz="0" w:space="0" w:color="auto"/>
            <w:right w:val="none" w:sz="0" w:space="0" w:color="auto"/>
          </w:divBdr>
          <w:divsChild>
            <w:div w:id="1750879531">
              <w:marLeft w:val="0"/>
              <w:marRight w:val="0"/>
              <w:marTop w:val="0"/>
              <w:marBottom w:val="0"/>
              <w:divBdr>
                <w:top w:val="none" w:sz="0" w:space="0" w:color="auto"/>
                <w:left w:val="none" w:sz="0" w:space="0" w:color="auto"/>
                <w:bottom w:val="none" w:sz="0" w:space="0" w:color="auto"/>
                <w:right w:val="none" w:sz="0" w:space="0" w:color="auto"/>
              </w:divBdr>
              <w:divsChild>
                <w:div w:id="79834288">
                  <w:marLeft w:val="0"/>
                  <w:marRight w:val="0"/>
                  <w:marTop w:val="0"/>
                  <w:marBottom w:val="0"/>
                  <w:divBdr>
                    <w:top w:val="none" w:sz="0" w:space="0" w:color="auto"/>
                    <w:left w:val="none" w:sz="0" w:space="0" w:color="auto"/>
                    <w:bottom w:val="none" w:sz="0" w:space="0" w:color="auto"/>
                    <w:right w:val="none" w:sz="0" w:space="0" w:color="auto"/>
                  </w:divBdr>
                </w:div>
                <w:div w:id="2037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3869">
      <w:bodyDiv w:val="1"/>
      <w:marLeft w:val="0"/>
      <w:marRight w:val="0"/>
      <w:marTop w:val="0"/>
      <w:marBottom w:val="0"/>
      <w:divBdr>
        <w:top w:val="none" w:sz="0" w:space="0" w:color="auto"/>
        <w:left w:val="none" w:sz="0" w:space="0" w:color="auto"/>
        <w:bottom w:val="none" w:sz="0" w:space="0" w:color="auto"/>
        <w:right w:val="none" w:sz="0" w:space="0" w:color="auto"/>
      </w:divBdr>
    </w:div>
    <w:div w:id="794642000">
      <w:bodyDiv w:val="1"/>
      <w:marLeft w:val="0"/>
      <w:marRight w:val="0"/>
      <w:marTop w:val="0"/>
      <w:marBottom w:val="0"/>
      <w:divBdr>
        <w:top w:val="none" w:sz="0" w:space="0" w:color="auto"/>
        <w:left w:val="none" w:sz="0" w:space="0" w:color="auto"/>
        <w:bottom w:val="none" w:sz="0" w:space="0" w:color="auto"/>
        <w:right w:val="none" w:sz="0" w:space="0" w:color="auto"/>
      </w:divBdr>
    </w:div>
    <w:div w:id="795100538">
      <w:bodyDiv w:val="1"/>
      <w:marLeft w:val="0"/>
      <w:marRight w:val="0"/>
      <w:marTop w:val="0"/>
      <w:marBottom w:val="0"/>
      <w:divBdr>
        <w:top w:val="none" w:sz="0" w:space="0" w:color="auto"/>
        <w:left w:val="none" w:sz="0" w:space="0" w:color="auto"/>
        <w:bottom w:val="none" w:sz="0" w:space="0" w:color="auto"/>
        <w:right w:val="none" w:sz="0" w:space="0" w:color="auto"/>
      </w:divBdr>
      <w:divsChild>
        <w:div w:id="1942638876">
          <w:marLeft w:val="0"/>
          <w:marRight w:val="0"/>
          <w:marTop w:val="0"/>
          <w:marBottom w:val="0"/>
          <w:divBdr>
            <w:top w:val="none" w:sz="0" w:space="0" w:color="auto"/>
            <w:left w:val="none" w:sz="0" w:space="0" w:color="auto"/>
            <w:bottom w:val="none" w:sz="0" w:space="0" w:color="auto"/>
            <w:right w:val="none" w:sz="0" w:space="0" w:color="auto"/>
          </w:divBdr>
          <w:divsChild>
            <w:div w:id="761996981">
              <w:marLeft w:val="0"/>
              <w:marRight w:val="0"/>
              <w:marTop w:val="0"/>
              <w:marBottom w:val="0"/>
              <w:divBdr>
                <w:top w:val="none" w:sz="0" w:space="0" w:color="auto"/>
                <w:left w:val="none" w:sz="0" w:space="0" w:color="auto"/>
                <w:bottom w:val="none" w:sz="0" w:space="0" w:color="auto"/>
                <w:right w:val="none" w:sz="0" w:space="0" w:color="auto"/>
              </w:divBdr>
              <w:divsChild>
                <w:div w:id="10630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3204">
      <w:bodyDiv w:val="1"/>
      <w:marLeft w:val="0"/>
      <w:marRight w:val="0"/>
      <w:marTop w:val="0"/>
      <w:marBottom w:val="0"/>
      <w:divBdr>
        <w:top w:val="none" w:sz="0" w:space="0" w:color="auto"/>
        <w:left w:val="none" w:sz="0" w:space="0" w:color="auto"/>
        <w:bottom w:val="none" w:sz="0" w:space="0" w:color="auto"/>
        <w:right w:val="none" w:sz="0" w:space="0" w:color="auto"/>
      </w:divBdr>
      <w:divsChild>
        <w:div w:id="1114790336">
          <w:marLeft w:val="0"/>
          <w:marRight w:val="0"/>
          <w:marTop w:val="0"/>
          <w:marBottom w:val="0"/>
          <w:divBdr>
            <w:top w:val="none" w:sz="0" w:space="0" w:color="auto"/>
            <w:left w:val="none" w:sz="0" w:space="0" w:color="auto"/>
            <w:bottom w:val="none" w:sz="0" w:space="0" w:color="auto"/>
            <w:right w:val="none" w:sz="0" w:space="0" w:color="auto"/>
          </w:divBdr>
          <w:divsChild>
            <w:div w:id="1754277832">
              <w:marLeft w:val="0"/>
              <w:marRight w:val="0"/>
              <w:marTop w:val="0"/>
              <w:marBottom w:val="0"/>
              <w:divBdr>
                <w:top w:val="none" w:sz="0" w:space="0" w:color="auto"/>
                <w:left w:val="none" w:sz="0" w:space="0" w:color="auto"/>
                <w:bottom w:val="none" w:sz="0" w:space="0" w:color="auto"/>
                <w:right w:val="none" w:sz="0" w:space="0" w:color="auto"/>
              </w:divBdr>
              <w:divsChild>
                <w:div w:id="4923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915">
      <w:bodyDiv w:val="1"/>
      <w:marLeft w:val="0"/>
      <w:marRight w:val="0"/>
      <w:marTop w:val="0"/>
      <w:marBottom w:val="0"/>
      <w:divBdr>
        <w:top w:val="none" w:sz="0" w:space="0" w:color="auto"/>
        <w:left w:val="none" w:sz="0" w:space="0" w:color="auto"/>
        <w:bottom w:val="none" w:sz="0" w:space="0" w:color="auto"/>
        <w:right w:val="none" w:sz="0" w:space="0" w:color="auto"/>
      </w:divBdr>
      <w:divsChild>
        <w:div w:id="1038435918">
          <w:marLeft w:val="0"/>
          <w:marRight w:val="0"/>
          <w:marTop w:val="0"/>
          <w:marBottom w:val="0"/>
          <w:divBdr>
            <w:top w:val="none" w:sz="0" w:space="0" w:color="auto"/>
            <w:left w:val="none" w:sz="0" w:space="0" w:color="auto"/>
            <w:bottom w:val="none" w:sz="0" w:space="0" w:color="auto"/>
            <w:right w:val="none" w:sz="0" w:space="0" w:color="auto"/>
          </w:divBdr>
          <w:divsChild>
            <w:div w:id="1980571468">
              <w:marLeft w:val="0"/>
              <w:marRight w:val="0"/>
              <w:marTop w:val="0"/>
              <w:marBottom w:val="0"/>
              <w:divBdr>
                <w:top w:val="none" w:sz="0" w:space="0" w:color="auto"/>
                <w:left w:val="none" w:sz="0" w:space="0" w:color="auto"/>
                <w:bottom w:val="none" w:sz="0" w:space="0" w:color="auto"/>
                <w:right w:val="none" w:sz="0" w:space="0" w:color="auto"/>
              </w:divBdr>
              <w:divsChild>
                <w:div w:id="419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4193">
      <w:bodyDiv w:val="1"/>
      <w:marLeft w:val="0"/>
      <w:marRight w:val="0"/>
      <w:marTop w:val="0"/>
      <w:marBottom w:val="0"/>
      <w:divBdr>
        <w:top w:val="none" w:sz="0" w:space="0" w:color="auto"/>
        <w:left w:val="none" w:sz="0" w:space="0" w:color="auto"/>
        <w:bottom w:val="none" w:sz="0" w:space="0" w:color="auto"/>
        <w:right w:val="none" w:sz="0" w:space="0" w:color="auto"/>
      </w:divBdr>
    </w:div>
    <w:div w:id="823011674">
      <w:bodyDiv w:val="1"/>
      <w:marLeft w:val="0"/>
      <w:marRight w:val="0"/>
      <w:marTop w:val="0"/>
      <w:marBottom w:val="0"/>
      <w:divBdr>
        <w:top w:val="none" w:sz="0" w:space="0" w:color="auto"/>
        <w:left w:val="none" w:sz="0" w:space="0" w:color="auto"/>
        <w:bottom w:val="none" w:sz="0" w:space="0" w:color="auto"/>
        <w:right w:val="none" w:sz="0" w:space="0" w:color="auto"/>
      </w:divBdr>
    </w:div>
    <w:div w:id="836192085">
      <w:bodyDiv w:val="1"/>
      <w:marLeft w:val="0"/>
      <w:marRight w:val="0"/>
      <w:marTop w:val="0"/>
      <w:marBottom w:val="0"/>
      <w:divBdr>
        <w:top w:val="none" w:sz="0" w:space="0" w:color="auto"/>
        <w:left w:val="none" w:sz="0" w:space="0" w:color="auto"/>
        <w:bottom w:val="none" w:sz="0" w:space="0" w:color="auto"/>
        <w:right w:val="none" w:sz="0" w:space="0" w:color="auto"/>
      </w:divBdr>
      <w:divsChild>
        <w:div w:id="957567396">
          <w:marLeft w:val="0"/>
          <w:marRight w:val="0"/>
          <w:marTop w:val="0"/>
          <w:marBottom w:val="0"/>
          <w:divBdr>
            <w:top w:val="none" w:sz="0" w:space="0" w:color="auto"/>
            <w:left w:val="none" w:sz="0" w:space="0" w:color="auto"/>
            <w:bottom w:val="none" w:sz="0" w:space="0" w:color="auto"/>
            <w:right w:val="none" w:sz="0" w:space="0" w:color="auto"/>
          </w:divBdr>
          <w:divsChild>
            <w:div w:id="131946707">
              <w:marLeft w:val="0"/>
              <w:marRight w:val="0"/>
              <w:marTop w:val="0"/>
              <w:marBottom w:val="0"/>
              <w:divBdr>
                <w:top w:val="none" w:sz="0" w:space="0" w:color="auto"/>
                <w:left w:val="none" w:sz="0" w:space="0" w:color="auto"/>
                <w:bottom w:val="none" w:sz="0" w:space="0" w:color="auto"/>
                <w:right w:val="none" w:sz="0" w:space="0" w:color="auto"/>
              </w:divBdr>
              <w:divsChild>
                <w:div w:id="1457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5251">
      <w:bodyDiv w:val="1"/>
      <w:marLeft w:val="0"/>
      <w:marRight w:val="0"/>
      <w:marTop w:val="0"/>
      <w:marBottom w:val="0"/>
      <w:divBdr>
        <w:top w:val="none" w:sz="0" w:space="0" w:color="auto"/>
        <w:left w:val="none" w:sz="0" w:space="0" w:color="auto"/>
        <w:bottom w:val="none" w:sz="0" w:space="0" w:color="auto"/>
        <w:right w:val="none" w:sz="0" w:space="0" w:color="auto"/>
      </w:divBdr>
    </w:div>
    <w:div w:id="891887852">
      <w:bodyDiv w:val="1"/>
      <w:marLeft w:val="0"/>
      <w:marRight w:val="0"/>
      <w:marTop w:val="0"/>
      <w:marBottom w:val="0"/>
      <w:divBdr>
        <w:top w:val="none" w:sz="0" w:space="0" w:color="auto"/>
        <w:left w:val="none" w:sz="0" w:space="0" w:color="auto"/>
        <w:bottom w:val="none" w:sz="0" w:space="0" w:color="auto"/>
        <w:right w:val="none" w:sz="0" w:space="0" w:color="auto"/>
      </w:divBdr>
    </w:div>
    <w:div w:id="901983497">
      <w:bodyDiv w:val="1"/>
      <w:marLeft w:val="0"/>
      <w:marRight w:val="0"/>
      <w:marTop w:val="0"/>
      <w:marBottom w:val="0"/>
      <w:divBdr>
        <w:top w:val="none" w:sz="0" w:space="0" w:color="auto"/>
        <w:left w:val="none" w:sz="0" w:space="0" w:color="auto"/>
        <w:bottom w:val="none" w:sz="0" w:space="0" w:color="auto"/>
        <w:right w:val="none" w:sz="0" w:space="0" w:color="auto"/>
      </w:divBdr>
      <w:divsChild>
        <w:div w:id="86509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611631">
              <w:marLeft w:val="0"/>
              <w:marRight w:val="0"/>
              <w:marTop w:val="0"/>
              <w:marBottom w:val="0"/>
              <w:divBdr>
                <w:top w:val="none" w:sz="0" w:space="0" w:color="auto"/>
                <w:left w:val="none" w:sz="0" w:space="0" w:color="auto"/>
                <w:bottom w:val="none" w:sz="0" w:space="0" w:color="auto"/>
                <w:right w:val="none" w:sz="0" w:space="0" w:color="auto"/>
              </w:divBdr>
              <w:divsChild>
                <w:div w:id="1246723766">
                  <w:marLeft w:val="0"/>
                  <w:marRight w:val="0"/>
                  <w:marTop w:val="0"/>
                  <w:marBottom w:val="0"/>
                  <w:divBdr>
                    <w:top w:val="none" w:sz="0" w:space="0" w:color="auto"/>
                    <w:left w:val="none" w:sz="0" w:space="0" w:color="auto"/>
                    <w:bottom w:val="none" w:sz="0" w:space="0" w:color="auto"/>
                    <w:right w:val="none" w:sz="0" w:space="0" w:color="auto"/>
                  </w:divBdr>
                  <w:divsChild>
                    <w:div w:id="360211018">
                      <w:marLeft w:val="0"/>
                      <w:marRight w:val="0"/>
                      <w:marTop w:val="0"/>
                      <w:marBottom w:val="0"/>
                      <w:divBdr>
                        <w:top w:val="none" w:sz="0" w:space="0" w:color="auto"/>
                        <w:left w:val="none" w:sz="0" w:space="0" w:color="auto"/>
                        <w:bottom w:val="none" w:sz="0" w:space="0" w:color="auto"/>
                        <w:right w:val="none" w:sz="0" w:space="0" w:color="auto"/>
                      </w:divBdr>
                      <w:divsChild>
                        <w:div w:id="1871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4684">
      <w:bodyDiv w:val="1"/>
      <w:marLeft w:val="0"/>
      <w:marRight w:val="0"/>
      <w:marTop w:val="0"/>
      <w:marBottom w:val="0"/>
      <w:divBdr>
        <w:top w:val="none" w:sz="0" w:space="0" w:color="auto"/>
        <w:left w:val="none" w:sz="0" w:space="0" w:color="auto"/>
        <w:bottom w:val="none" w:sz="0" w:space="0" w:color="auto"/>
        <w:right w:val="none" w:sz="0" w:space="0" w:color="auto"/>
      </w:divBdr>
    </w:div>
    <w:div w:id="1004628023">
      <w:bodyDiv w:val="1"/>
      <w:marLeft w:val="0"/>
      <w:marRight w:val="0"/>
      <w:marTop w:val="0"/>
      <w:marBottom w:val="0"/>
      <w:divBdr>
        <w:top w:val="none" w:sz="0" w:space="0" w:color="auto"/>
        <w:left w:val="none" w:sz="0" w:space="0" w:color="auto"/>
        <w:bottom w:val="none" w:sz="0" w:space="0" w:color="auto"/>
        <w:right w:val="none" w:sz="0" w:space="0" w:color="auto"/>
      </w:divBdr>
      <w:divsChild>
        <w:div w:id="177151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09659">
              <w:marLeft w:val="0"/>
              <w:marRight w:val="0"/>
              <w:marTop w:val="0"/>
              <w:marBottom w:val="0"/>
              <w:divBdr>
                <w:top w:val="none" w:sz="0" w:space="0" w:color="auto"/>
                <w:left w:val="none" w:sz="0" w:space="0" w:color="auto"/>
                <w:bottom w:val="none" w:sz="0" w:space="0" w:color="auto"/>
                <w:right w:val="none" w:sz="0" w:space="0" w:color="auto"/>
              </w:divBdr>
              <w:divsChild>
                <w:div w:id="1558709699">
                  <w:marLeft w:val="0"/>
                  <w:marRight w:val="0"/>
                  <w:marTop w:val="0"/>
                  <w:marBottom w:val="0"/>
                  <w:divBdr>
                    <w:top w:val="none" w:sz="0" w:space="0" w:color="auto"/>
                    <w:left w:val="none" w:sz="0" w:space="0" w:color="auto"/>
                    <w:bottom w:val="none" w:sz="0" w:space="0" w:color="auto"/>
                    <w:right w:val="none" w:sz="0" w:space="0" w:color="auto"/>
                  </w:divBdr>
                  <w:divsChild>
                    <w:div w:id="606540887">
                      <w:marLeft w:val="0"/>
                      <w:marRight w:val="0"/>
                      <w:marTop w:val="0"/>
                      <w:marBottom w:val="0"/>
                      <w:divBdr>
                        <w:top w:val="none" w:sz="0" w:space="0" w:color="auto"/>
                        <w:left w:val="none" w:sz="0" w:space="0" w:color="auto"/>
                        <w:bottom w:val="none" w:sz="0" w:space="0" w:color="auto"/>
                        <w:right w:val="none" w:sz="0" w:space="0" w:color="auto"/>
                      </w:divBdr>
                      <w:divsChild>
                        <w:div w:id="1005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86530">
      <w:bodyDiv w:val="1"/>
      <w:marLeft w:val="0"/>
      <w:marRight w:val="0"/>
      <w:marTop w:val="0"/>
      <w:marBottom w:val="0"/>
      <w:divBdr>
        <w:top w:val="none" w:sz="0" w:space="0" w:color="auto"/>
        <w:left w:val="none" w:sz="0" w:space="0" w:color="auto"/>
        <w:bottom w:val="none" w:sz="0" w:space="0" w:color="auto"/>
        <w:right w:val="none" w:sz="0" w:space="0" w:color="auto"/>
      </w:divBdr>
    </w:div>
    <w:div w:id="1011834384">
      <w:bodyDiv w:val="1"/>
      <w:marLeft w:val="0"/>
      <w:marRight w:val="0"/>
      <w:marTop w:val="0"/>
      <w:marBottom w:val="0"/>
      <w:divBdr>
        <w:top w:val="none" w:sz="0" w:space="0" w:color="auto"/>
        <w:left w:val="none" w:sz="0" w:space="0" w:color="auto"/>
        <w:bottom w:val="none" w:sz="0" w:space="0" w:color="auto"/>
        <w:right w:val="none" w:sz="0" w:space="0" w:color="auto"/>
      </w:divBdr>
      <w:divsChild>
        <w:div w:id="1164930387">
          <w:marLeft w:val="0"/>
          <w:marRight w:val="0"/>
          <w:marTop w:val="0"/>
          <w:marBottom w:val="0"/>
          <w:divBdr>
            <w:top w:val="none" w:sz="0" w:space="0" w:color="auto"/>
            <w:left w:val="none" w:sz="0" w:space="0" w:color="auto"/>
            <w:bottom w:val="none" w:sz="0" w:space="0" w:color="auto"/>
            <w:right w:val="none" w:sz="0" w:space="0" w:color="auto"/>
          </w:divBdr>
          <w:divsChild>
            <w:div w:id="163134063">
              <w:marLeft w:val="0"/>
              <w:marRight w:val="0"/>
              <w:marTop w:val="0"/>
              <w:marBottom w:val="0"/>
              <w:divBdr>
                <w:top w:val="none" w:sz="0" w:space="0" w:color="auto"/>
                <w:left w:val="none" w:sz="0" w:space="0" w:color="auto"/>
                <w:bottom w:val="none" w:sz="0" w:space="0" w:color="auto"/>
                <w:right w:val="none" w:sz="0" w:space="0" w:color="auto"/>
              </w:divBdr>
              <w:divsChild>
                <w:div w:id="157114952">
                  <w:marLeft w:val="0"/>
                  <w:marRight w:val="0"/>
                  <w:marTop w:val="0"/>
                  <w:marBottom w:val="0"/>
                  <w:divBdr>
                    <w:top w:val="none" w:sz="0" w:space="0" w:color="auto"/>
                    <w:left w:val="none" w:sz="0" w:space="0" w:color="auto"/>
                    <w:bottom w:val="none" w:sz="0" w:space="0" w:color="auto"/>
                    <w:right w:val="none" w:sz="0" w:space="0" w:color="auto"/>
                  </w:divBdr>
                  <w:divsChild>
                    <w:div w:id="7289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5201">
      <w:bodyDiv w:val="1"/>
      <w:marLeft w:val="0"/>
      <w:marRight w:val="0"/>
      <w:marTop w:val="0"/>
      <w:marBottom w:val="0"/>
      <w:divBdr>
        <w:top w:val="none" w:sz="0" w:space="0" w:color="auto"/>
        <w:left w:val="none" w:sz="0" w:space="0" w:color="auto"/>
        <w:bottom w:val="none" w:sz="0" w:space="0" w:color="auto"/>
        <w:right w:val="none" w:sz="0" w:space="0" w:color="auto"/>
      </w:divBdr>
    </w:div>
    <w:div w:id="1020396738">
      <w:bodyDiv w:val="1"/>
      <w:marLeft w:val="0"/>
      <w:marRight w:val="0"/>
      <w:marTop w:val="0"/>
      <w:marBottom w:val="0"/>
      <w:divBdr>
        <w:top w:val="none" w:sz="0" w:space="0" w:color="auto"/>
        <w:left w:val="none" w:sz="0" w:space="0" w:color="auto"/>
        <w:bottom w:val="none" w:sz="0" w:space="0" w:color="auto"/>
        <w:right w:val="none" w:sz="0" w:space="0" w:color="auto"/>
      </w:divBdr>
      <w:divsChild>
        <w:div w:id="2101947890">
          <w:marLeft w:val="0"/>
          <w:marRight w:val="0"/>
          <w:marTop w:val="0"/>
          <w:marBottom w:val="0"/>
          <w:divBdr>
            <w:top w:val="none" w:sz="0" w:space="0" w:color="auto"/>
            <w:left w:val="none" w:sz="0" w:space="0" w:color="auto"/>
            <w:bottom w:val="none" w:sz="0" w:space="0" w:color="auto"/>
            <w:right w:val="none" w:sz="0" w:space="0" w:color="auto"/>
          </w:divBdr>
          <w:divsChild>
            <w:div w:id="934635657">
              <w:marLeft w:val="0"/>
              <w:marRight w:val="0"/>
              <w:marTop w:val="0"/>
              <w:marBottom w:val="0"/>
              <w:divBdr>
                <w:top w:val="none" w:sz="0" w:space="0" w:color="auto"/>
                <w:left w:val="none" w:sz="0" w:space="0" w:color="auto"/>
                <w:bottom w:val="none" w:sz="0" w:space="0" w:color="auto"/>
                <w:right w:val="none" w:sz="0" w:space="0" w:color="auto"/>
              </w:divBdr>
              <w:divsChild>
                <w:div w:id="1639842264">
                  <w:marLeft w:val="0"/>
                  <w:marRight w:val="0"/>
                  <w:marTop w:val="0"/>
                  <w:marBottom w:val="0"/>
                  <w:divBdr>
                    <w:top w:val="none" w:sz="0" w:space="0" w:color="auto"/>
                    <w:left w:val="none" w:sz="0" w:space="0" w:color="auto"/>
                    <w:bottom w:val="none" w:sz="0" w:space="0" w:color="auto"/>
                    <w:right w:val="none" w:sz="0" w:space="0" w:color="auto"/>
                  </w:divBdr>
                  <w:divsChild>
                    <w:div w:id="13580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6240">
      <w:bodyDiv w:val="1"/>
      <w:marLeft w:val="0"/>
      <w:marRight w:val="0"/>
      <w:marTop w:val="0"/>
      <w:marBottom w:val="0"/>
      <w:divBdr>
        <w:top w:val="none" w:sz="0" w:space="0" w:color="auto"/>
        <w:left w:val="none" w:sz="0" w:space="0" w:color="auto"/>
        <w:bottom w:val="none" w:sz="0" w:space="0" w:color="auto"/>
        <w:right w:val="none" w:sz="0" w:space="0" w:color="auto"/>
      </w:divBdr>
    </w:div>
    <w:div w:id="1054700742">
      <w:bodyDiv w:val="1"/>
      <w:marLeft w:val="0"/>
      <w:marRight w:val="0"/>
      <w:marTop w:val="0"/>
      <w:marBottom w:val="0"/>
      <w:divBdr>
        <w:top w:val="none" w:sz="0" w:space="0" w:color="auto"/>
        <w:left w:val="none" w:sz="0" w:space="0" w:color="auto"/>
        <w:bottom w:val="none" w:sz="0" w:space="0" w:color="auto"/>
        <w:right w:val="none" w:sz="0" w:space="0" w:color="auto"/>
      </w:divBdr>
      <w:divsChild>
        <w:div w:id="1439987198">
          <w:marLeft w:val="0"/>
          <w:marRight w:val="0"/>
          <w:marTop w:val="0"/>
          <w:marBottom w:val="0"/>
          <w:divBdr>
            <w:top w:val="none" w:sz="0" w:space="0" w:color="auto"/>
            <w:left w:val="none" w:sz="0" w:space="0" w:color="auto"/>
            <w:bottom w:val="none" w:sz="0" w:space="0" w:color="auto"/>
            <w:right w:val="none" w:sz="0" w:space="0" w:color="auto"/>
          </w:divBdr>
          <w:divsChild>
            <w:div w:id="1968702820">
              <w:marLeft w:val="0"/>
              <w:marRight w:val="0"/>
              <w:marTop w:val="0"/>
              <w:marBottom w:val="0"/>
              <w:divBdr>
                <w:top w:val="none" w:sz="0" w:space="0" w:color="auto"/>
                <w:left w:val="none" w:sz="0" w:space="0" w:color="auto"/>
                <w:bottom w:val="none" w:sz="0" w:space="0" w:color="auto"/>
                <w:right w:val="none" w:sz="0" w:space="0" w:color="auto"/>
              </w:divBdr>
              <w:divsChild>
                <w:div w:id="1658922406">
                  <w:marLeft w:val="0"/>
                  <w:marRight w:val="0"/>
                  <w:marTop w:val="0"/>
                  <w:marBottom w:val="0"/>
                  <w:divBdr>
                    <w:top w:val="none" w:sz="0" w:space="0" w:color="auto"/>
                    <w:left w:val="none" w:sz="0" w:space="0" w:color="auto"/>
                    <w:bottom w:val="none" w:sz="0" w:space="0" w:color="auto"/>
                    <w:right w:val="none" w:sz="0" w:space="0" w:color="auto"/>
                  </w:divBdr>
                  <w:divsChild>
                    <w:div w:id="4496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3366">
      <w:bodyDiv w:val="1"/>
      <w:marLeft w:val="0"/>
      <w:marRight w:val="0"/>
      <w:marTop w:val="0"/>
      <w:marBottom w:val="0"/>
      <w:divBdr>
        <w:top w:val="none" w:sz="0" w:space="0" w:color="auto"/>
        <w:left w:val="none" w:sz="0" w:space="0" w:color="auto"/>
        <w:bottom w:val="none" w:sz="0" w:space="0" w:color="auto"/>
        <w:right w:val="none" w:sz="0" w:space="0" w:color="auto"/>
      </w:divBdr>
      <w:divsChild>
        <w:div w:id="332534517">
          <w:marLeft w:val="0"/>
          <w:marRight w:val="0"/>
          <w:marTop w:val="0"/>
          <w:marBottom w:val="0"/>
          <w:divBdr>
            <w:top w:val="none" w:sz="0" w:space="0" w:color="auto"/>
            <w:left w:val="none" w:sz="0" w:space="0" w:color="auto"/>
            <w:bottom w:val="none" w:sz="0" w:space="0" w:color="auto"/>
            <w:right w:val="none" w:sz="0" w:space="0" w:color="auto"/>
          </w:divBdr>
          <w:divsChild>
            <w:div w:id="1885555457">
              <w:marLeft w:val="0"/>
              <w:marRight w:val="0"/>
              <w:marTop w:val="0"/>
              <w:marBottom w:val="0"/>
              <w:divBdr>
                <w:top w:val="none" w:sz="0" w:space="0" w:color="auto"/>
                <w:left w:val="none" w:sz="0" w:space="0" w:color="auto"/>
                <w:bottom w:val="none" w:sz="0" w:space="0" w:color="auto"/>
                <w:right w:val="none" w:sz="0" w:space="0" w:color="auto"/>
              </w:divBdr>
              <w:divsChild>
                <w:div w:id="16111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3874">
      <w:bodyDiv w:val="1"/>
      <w:marLeft w:val="0"/>
      <w:marRight w:val="0"/>
      <w:marTop w:val="0"/>
      <w:marBottom w:val="0"/>
      <w:divBdr>
        <w:top w:val="none" w:sz="0" w:space="0" w:color="auto"/>
        <w:left w:val="none" w:sz="0" w:space="0" w:color="auto"/>
        <w:bottom w:val="none" w:sz="0" w:space="0" w:color="auto"/>
        <w:right w:val="none" w:sz="0" w:space="0" w:color="auto"/>
      </w:divBdr>
    </w:div>
    <w:div w:id="1108701197">
      <w:bodyDiv w:val="1"/>
      <w:marLeft w:val="0"/>
      <w:marRight w:val="0"/>
      <w:marTop w:val="0"/>
      <w:marBottom w:val="0"/>
      <w:divBdr>
        <w:top w:val="none" w:sz="0" w:space="0" w:color="auto"/>
        <w:left w:val="none" w:sz="0" w:space="0" w:color="auto"/>
        <w:bottom w:val="none" w:sz="0" w:space="0" w:color="auto"/>
        <w:right w:val="none" w:sz="0" w:space="0" w:color="auto"/>
      </w:divBdr>
    </w:div>
    <w:div w:id="1112894953">
      <w:bodyDiv w:val="1"/>
      <w:marLeft w:val="0"/>
      <w:marRight w:val="0"/>
      <w:marTop w:val="0"/>
      <w:marBottom w:val="0"/>
      <w:divBdr>
        <w:top w:val="none" w:sz="0" w:space="0" w:color="auto"/>
        <w:left w:val="none" w:sz="0" w:space="0" w:color="auto"/>
        <w:bottom w:val="none" w:sz="0" w:space="0" w:color="auto"/>
        <w:right w:val="none" w:sz="0" w:space="0" w:color="auto"/>
      </w:divBdr>
      <w:divsChild>
        <w:div w:id="2078892948">
          <w:marLeft w:val="0"/>
          <w:marRight w:val="0"/>
          <w:marTop w:val="0"/>
          <w:marBottom w:val="0"/>
          <w:divBdr>
            <w:top w:val="none" w:sz="0" w:space="0" w:color="auto"/>
            <w:left w:val="none" w:sz="0" w:space="0" w:color="auto"/>
            <w:bottom w:val="none" w:sz="0" w:space="0" w:color="auto"/>
            <w:right w:val="none" w:sz="0" w:space="0" w:color="auto"/>
          </w:divBdr>
          <w:divsChild>
            <w:div w:id="1630088342">
              <w:marLeft w:val="0"/>
              <w:marRight w:val="0"/>
              <w:marTop w:val="0"/>
              <w:marBottom w:val="0"/>
              <w:divBdr>
                <w:top w:val="none" w:sz="0" w:space="0" w:color="auto"/>
                <w:left w:val="none" w:sz="0" w:space="0" w:color="auto"/>
                <w:bottom w:val="none" w:sz="0" w:space="0" w:color="auto"/>
                <w:right w:val="none" w:sz="0" w:space="0" w:color="auto"/>
              </w:divBdr>
              <w:divsChild>
                <w:div w:id="603462687">
                  <w:marLeft w:val="0"/>
                  <w:marRight w:val="0"/>
                  <w:marTop w:val="0"/>
                  <w:marBottom w:val="0"/>
                  <w:divBdr>
                    <w:top w:val="none" w:sz="0" w:space="0" w:color="auto"/>
                    <w:left w:val="none" w:sz="0" w:space="0" w:color="auto"/>
                    <w:bottom w:val="none" w:sz="0" w:space="0" w:color="auto"/>
                    <w:right w:val="none" w:sz="0" w:space="0" w:color="auto"/>
                  </w:divBdr>
                  <w:divsChild>
                    <w:div w:id="17332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3863">
      <w:bodyDiv w:val="1"/>
      <w:marLeft w:val="0"/>
      <w:marRight w:val="0"/>
      <w:marTop w:val="0"/>
      <w:marBottom w:val="0"/>
      <w:divBdr>
        <w:top w:val="none" w:sz="0" w:space="0" w:color="auto"/>
        <w:left w:val="none" w:sz="0" w:space="0" w:color="auto"/>
        <w:bottom w:val="none" w:sz="0" w:space="0" w:color="auto"/>
        <w:right w:val="none" w:sz="0" w:space="0" w:color="auto"/>
      </w:divBdr>
      <w:divsChild>
        <w:div w:id="1596789099">
          <w:marLeft w:val="0"/>
          <w:marRight w:val="0"/>
          <w:marTop w:val="0"/>
          <w:marBottom w:val="0"/>
          <w:divBdr>
            <w:top w:val="none" w:sz="0" w:space="0" w:color="auto"/>
            <w:left w:val="none" w:sz="0" w:space="0" w:color="auto"/>
            <w:bottom w:val="none" w:sz="0" w:space="0" w:color="auto"/>
            <w:right w:val="none" w:sz="0" w:space="0" w:color="auto"/>
          </w:divBdr>
          <w:divsChild>
            <w:div w:id="422998176">
              <w:marLeft w:val="0"/>
              <w:marRight w:val="0"/>
              <w:marTop w:val="0"/>
              <w:marBottom w:val="0"/>
              <w:divBdr>
                <w:top w:val="none" w:sz="0" w:space="0" w:color="auto"/>
                <w:left w:val="none" w:sz="0" w:space="0" w:color="auto"/>
                <w:bottom w:val="none" w:sz="0" w:space="0" w:color="auto"/>
                <w:right w:val="none" w:sz="0" w:space="0" w:color="auto"/>
              </w:divBdr>
              <w:divsChild>
                <w:div w:id="599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982">
      <w:bodyDiv w:val="1"/>
      <w:marLeft w:val="0"/>
      <w:marRight w:val="0"/>
      <w:marTop w:val="0"/>
      <w:marBottom w:val="0"/>
      <w:divBdr>
        <w:top w:val="none" w:sz="0" w:space="0" w:color="auto"/>
        <w:left w:val="none" w:sz="0" w:space="0" w:color="auto"/>
        <w:bottom w:val="none" w:sz="0" w:space="0" w:color="auto"/>
        <w:right w:val="none" w:sz="0" w:space="0" w:color="auto"/>
      </w:divBdr>
    </w:div>
    <w:div w:id="1138645858">
      <w:bodyDiv w:val="1"/>
      <w:marLeft w:val="0"/>
      <w:marRight w:val="0"/>
      <w:marTop w:val="0"/>
      <w:marBottom w:val="0"/>
      <w:divBdr>
        <w:top w:val="none" w:sz="0" w:space="0" w:color="auto"/>
        <w:left w:val="none" w:sz="0" w:space="0" w:color="auto"/>
        <w:bottom w:val="none" w:sz="0" w:space="0" w:color="auto"/>
        <w:right w:val="none" w:sz="0" w:space="0" w:color="auto"/>
      </w:divBdr>
      <w:divsChild>
        <w:div w:id="1263339455">
          <w:marLeft w:val="0"/>
          <w:marRight w:val="0"/>
          <w:marTop w:val="0"/>
          <w:marBottom w:val="0"/>
          <w:divBdr>
            <w:top w:val="none" w:sz="0" w:space="0" w:color="auto"/>
            <w:left w:val="none" w:sz="0" w:space="0" w:color="auto"/>
            <w:bottom w:val="none" w:sz="0" w:space="0" w:color="auto"/>
            <w:right w:val="none" w:sz="0" w:space="0" w:color="auto"/>
          </w:divBdr>
          <w:divsChild>
            <w:div w:id="308826987">
              <w:marLeft w:val="0"/>
              <w:marRight w:val="0"/>
              <w:marTop w:val="0"/>
              <w:marBottom w:val="0"/>
              <w:divBdr>
                <w:top w:val="none" w:sz="0" w:space="0" w:color="auto"/>
                <w:left w:val="none" w:sz="0" w:space="0" w:color="auto"/>
                <w:bottom w:val="none" w:sz="0" w:space="0" w:color="auto"/>
                <w:right w:val="none" w:sz="0" w:space="0" w:color="auto"/>
              </w:divBdr>
              <w:divsChild>
                <w:div w:id="9723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604">
      <w:bodyDiv w:val="1"/>
      <w:marLeft w:val="0"/>
      <w:marRight w:val="0"/>
      <w:marTop w:val="0"/>
      <w:marBottom w:val="0"/>
      <w:divBdr>
        <w:top w:val="none" w:sz="0" w:space="0" w:color="auto"/>
        <w:left w:val="none" w:sz="0" w:space="0" w:color="auto"/>
        <w:bottom w:val="none" w:sz="0" w:space="0" w:color="auto"/>
        <w:right w:val="none" w:sz="0" w:space="0" w:color="auto"/>
      </w:divBdr>
      <w:divsChild>
        <w:div w:id="552623045">
          <w:marLeft w:val="0"/>
          <w:marRight w:val="0"/>
          <w:marTop w:val="0"/>
          <w:marBottom w:val="0"/>
          <w:divBdr>
            <w:top w:val="none" w:sz="0" w:space="0" w:color="auto"/>
            <w:left w:val="none" w:sz="0" w:space="0" w:color="auto"/>
            <w:bottom w:val="none" w:sz="0" w:space="0" w:color="auto"/>
            <w:right w:val="none" w:sz="0" w:space="0" w:color="auto"/>
          </w:divBdr>
          <w:divsChild>
            <w:div w:id="961574067">
              <w:marLeft w:val="0"/>
              <w:marRight w:val="0"/>
              <w:marTop w:val="0"/>
              <w:marBottom w:val="0"/>
              <w:divBdr>
                <w:top w:val="none" w:sz="0" w:space="0" w:color="auto"/>
                <w:left w:val="none" w:sz="0" w:space="0" w:color="auto"/>
                <w:bottom w:val="none" w:sz="0" w:space="0" w:color="auto"/>
                <w:right w:val="none" w:sz="0" w:space="0" w:color="auto"/>
              </w:divBdr>
              <w:divsChild>
                <w:div w:id="834957813">
                  <w:marLeft w:val="0"/>
                  <w:marRight w:val="0"/>
                  <w:marTop w:val="0"/>
                  <w:marBottom w:val="0"/>
                  <w:divBdr>
                    <w:top w:val="none" w:sz="0" w:space="0" w:color="auto"/>
                    <w:left w:val="none" w:sz="0" w:space="0" w:color="auto"/>
                    <w:bottom w:val="none" w:sz="0" w:space="0" w:color="auto"/>
                    <w:right w:val="none" w:sz="0" w:space="0" w:color="auto"/>
                  </w:divBdr>
                </w:div>
                <w:div w:id="1794129739">
                  <w:marLeft w:val="0"/>
                  <w:marRight w:val="0"/>
                  <w:marTop w:val="0"/>
                  <w:marBottom w:val="0"/>
                  <w:divBdr>
                    <w:top w:val="none" w:sz="0" w:space="0" w:color="auto"/>
                    <w:left w:val="none" w:sz="0" w:space="0" w:color="auto"/>
                    <w:bottom w:val="none" w:sz="0" w:space="0" w:color="auto"/>
                    <w:right w:val="none" w:sz="0" w:space="0" w:color="auto"/>
                  </w:divBdr>
                </w:div>
              </w:divsChild>
            </w:div>
            <w:div w:id="1797798524">
              <w:marLeft w:val="0"/>
              <w:marRight w:val="0"/>
              <w:marTop w:val="0"/>
              <w:marBottom w:val="0"/>
              <w:divBdr>
                <w:top w:val="none" w:sz="0" w:space="0" w:color="auto"/>
                <w:left w:val="none" w:sz="0" w:space="0" w:color="auto"/>
                <w:bottom w:val="none" w:sz="0" w:space="0" w:color="auto"/>
                <w:right w:val="none" w:sz="0" w:space="0" w:color="auto"/>
              </w:divBdr>
              <w:divsChild>
                <w:div w:id="826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4201">
      <w:bodyDiv w:val="1"/>
      <w:marLeft w:val="0"/>
      <w:marRight w:val="0"/>
      <w:marTop w:val="0"/>
      <w:marBottom w:val="0"/>
      <w:divBdr>
        <w:top w:val="none" w:sz="0" w:space="0" w:color="auto"/>
        <w:left w:val="none" w:sz="0" w:space="0" w:color="auto"/>
        <w:bottom w:val="none" w:sz="0" w:space="0" w:color="auto"/>
        <w:right w:val="none" w:sz="0" w:space="0" w:color="auto"/>
      </w:divBdr>
      <w:divsChild>
        <w:div w:id="485709875">
          <w:marLeft w:val="0"/>
          <w:marRight w:val="0"/>
          <w:marTop w:val="0"/>
          <w:marBottom w:val="0"/>
          <w:divBdr>
            <w:top w:val="none" w:sz="0" w:space="0" w:color="auto"/>
            <w:left w:val="none" w:sz="0" w:space="0" w:color="auto"/>
            <w:bottom w:val="none" w:sz="0" w:space="0" w:color="auto"/>
            <w:right w:val="none" w:sz="0" w:space="0" w:color="auto"/>
          </w:divBdr>
          <w:divsChild>
            <w:div w:id="244388602">
              <w:marLeft w:val="0"/>
              <w:marRight w:val="0"/>
              <w:marTop w:val="0"/>
              <w:marBottom w:val="0"/>
              <w:divBdr>
                <w:top w:val="none" w:sz="0" w:space="0" w:color="auto"/>
                <w:left w:val="none" w:sz="0" w:space="0" w:color="auto"/>
                <w:bottom w:val="none" w:sz="0" w:space="0" w:color="auto"/>
                <w:right w:val="none" w:sz="0" w:space="0" w:color="auto"/>
              </w:divBdr>
              <w:divsChild>
                <w:div w:id="6985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448">
      <w:bodyDiv w:val="1"/>
      <w:marLeft w:val="0"/>
      <w:marRight w:val="0"/>
      <w:marTop w:val="0"/>
      <w:marBottom w:val="0"/>
      <w:divBdr>
        <w:top w:val="none" w:sz="0" w:space="0" w:color="auto"/>
        <w:left w:val="none" w:sz="0" w:space="0" w:color="auto"/>
        <w:bottom w:val="none" w:sz="0" w:space="0" w:color="auto"/>
        <w:right w:val="none" w:sz="0" w:space="0" w:color="auto"/>
      </w:divBdr>
    </w:div>
    <w:div w:id="1205754100">
      <w:bodyDiv w:val="1"/>
      <w:marLeft w:val="0"/>
      <w:marRight w:val="0"/>
      <w:marTop w:val="0"/>
      <w:marBottom w:val="0"/>
      <w:divBdr>
        <w:top w:val="none" w:sz="0" w:space="0" w:color="auto"/>
        <w:left w:val="none" w:sz="0" w:space="0" w:color="auto"/>
        <w:bottom w:val="none" w:sz="0" w:space="0" w:color="auto"/>
        <w:right w:val="none" w:sz="0" w:space="0" w:color="auto"/>
      </w:divBdr>
    </w:div>
    <w:div w:id="1224826417">
      <w:bodyDiv w:val="1"/>
      <w:marLeft w:val="0"/>
      <w:marRight w:val="0"/>
      <w:marTop w:val="0"/>
      <w:marBottom w:val="0"/>
      <w:divBdr>
        <w:top w:val="none" w:sz="0" w:space="0" w:color="auto"/>
        <w:left w:val="none" w:sz="0" w:space="0" w:color="auto"/>
        <w:bottom w:val="none" w:sz="0" w:space="0" w:color="auto"/>
        <w:right w:val="none" w:sz="0" w:space="0" w:color="auto"/>
      </w:divBdr>
    </w:div>
    <w:div w:id="1247694619">
      <w:bodyDiv w:val="1"/>
      <w:marLeft w:val="0"/>
      <w:marRight w:val="0"/>
      <w:marTop w:val="0"/>
      <w:marBottom w:val="0"/>
      <w:divBdr>
        <w:top w:val="none" w:sz="0" w:space="0" w:color="auto"/>
        <w:left w:val="none" w:sz="0" w:space="0" w:color="auto"/>
        <w:bottom w:val="none" w:sz="0" w:space="0" w:color="auto"/>
        <w:right w:val="none" w:sz="0" w:space="0" w:color="auto"/>
      </w:divBdr>
    </w:div>
    <w:div w:id="1257714831">
      <w:bodyDiv w:val="1"/>
      <w:marLeft w:val="0"/>
      <w:marRight w:val="0"/>
      <w:marTop w:val="0"/>
      <w:marBottom w:val="0"/>
      <w:divBdr>
        <w:top w:val="none" w:sz="0" w:space="0" w:color="auto"/>
        <w:left w:val="none" w:sz="0" w:space="0" w:color="auto"/>
        <w:bottom w:val="none" w:sz="0" w:space="0" w:color="auto"/>
        <w:right w:val="none" w:sz="0" w:space="0" w:color="auto"/>
      </w:divBdr>
      <w:divsChild>
        <w:div w:id="2079785325">
          <w:marLeft w:val="0"/>
          <w:marRight w:val="0"/>
          <w:marTop w:val="0"/>
          <w:marBottom w:val="0"/>
          <w:divBdr>
            <w:top w:val="none" w:sz="0" w:space="0" w:color="auto"/>
            <w:left w:val="none" w:sz="0" w:space="0" w:color="auto"/>
            <w:bottom w:val="none" w:sz="0" w:space="0" w:color="auto"/>
            <w:right w:val="none" w:sz="0" w:space="0" w:color="auto"/>
          </w:divBdr>
          <w:divsChild>
            <w:div w:id="769278734">
              <w:marLeft w:val="0"/>
              <w:marRight w:val="0"/>
              <w:marTop w:val="0"/>
              <w:marBottom w:val="0"/>
              <w:divBdr>
                <w:top w:val="none" w:sz="0" w:space="0" w:color="auto"/>
                <w:left w:val="none" w:sz="0" w:space="0" w:color="auto"/>
                <w:bottom w:val="none" w:sz="0" w:space="0" w:color="auto"/>
                <w:right w:val="none" w:sz="0" w:space="0" w:color="auto"/>
              </w:divBdr>
              <w:divsChild>
                <w:div w:id="296842309">
                  <w:marLeft w:val="0"/>
                  <w:marRight w:val="0"/>
                  <w:marTop w:val="0"/>
                  <w:marBottom w:val="0"/>
                  <w:divBdr>
                    <w:top w:val="none" w:sz="0" w:space="0" w:color="auto"/>
                    <w:left w:val="none" w:sz="0" w:space="0" w:color="auto"/>
                    <w:bottom w:val="none" w:sz="0" w:space="0" w:color="auto"/>
                    <w:right w:val="none" w:sz="0" w:space="0" w:color="auto"/>
                  </w:divBdr>
                  <w:divsChild>
                    <w:div w:id="2140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3133">
      <w:bodyDiv w:val="1"/>
      <w:marLeft w:val="0"/>
      <w:marRight w:val="0"/>
      <w:marTop w:val="0"/>
      <w:marBottom w:val="0"/>
      <w:divBdr>
        <w:top w:val="none" w:sz="0" w:space="0" w:color="auto"/>
        <w:left w:val="none" w:sz="0" w:space="0" w:color="auto"/>
        <w:bottom w:val="none" w:sz="0" w:space="0" w:color="auto"/>
        <w:right w:val="none" w:sz="0" w:space="0" w:color="auto"/>
      </w:divBdr>
      <w:divsChild>
        <w:div w:id="1886595640">
          <w:marLeft w:val="0"/>
          <w:marRight w:val="0"/>
          <w:marTop w:val="0"/>
          <w:marBottom w:val="0"/>
          <w:divBdr>
            <w:top w:val="none" w:sz="0" w:space="0" w:color="auto"/>
            <w:left w:val="none" w:sz="0" w:space="0" w:color="auto"/>
            <w:bottom w:val="none" w:sz="0" w:space="0" w:color="auto"/>
            <w:right w:val="none" w:sz="0" w:space="0" w:color="auto"/>
          </w:divBdr>
          <w:divsChild>
            <w:div w:id="576980912">
              <w:marLeft w:val="0"/>
              <w:marRight w:val="0"/>
              <w:marTop w:val="0"/>
              <w:marBottom w:val="0"/>
              <w:divBdr>
                <w:top w:val="none" w:sz="0" w:space="0" w:color="auto"/>
                <w:left w:val="none" w:sz="0" w:space="0" w:color="auto"/>
                <w:bottom w:val="none" w:sz="0" w:space="0" w:color="auto"/>
                <w:right w:val="none" w:sz="0" w:space="0" w:color="auto"/>
              </w:divBdr>
              <w:divsChild>
                <w:div w:id="1289555136">
                  <w:marLeft w:val="0"/>
                  <w:marRight w:val="0"/>
                  <w:marTop w:val="0"/>
                  <w:marBottom w:val="0"/>
                  <w:divBdr>
                    <w:top w:val="none" w:sz="0" w:space="0" w:color="auto"/>
                    <w:left w:val="none" w:sz="0" w:space="0" w:color="auto"/>
                    <w:bottom w:val="none" w:sz="0" w:space="0" w:color="auto"/>
                    <w:right w:val="none" w:sz="0" w:space="0" w:color="auto"/>
                  </w:divBdr>
                  <w:divsChild>
                    <w:div w:id="783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4371">
      <w:bodyDiv w:val="1"/>
      <w:marLeft w:val="0"/>
      <w:marRight w:val="0"/>
      <w:marTop w:val="0"/>
      <w:marBottom w:val="0"/>
      <w:divBdr>
        <w:top w:val="none" w:sz="0" w:space="0" w:color="auto"/>
        <w:left w:val="none" w:sz="0" w:space="0" w:color="auto"/>
        <w:bottom w:val="none" w:sz="0" w:space="0" w:color="auto"/>
        <w:right w:val="none" w:sz="0" w:space="0" w:color="auto"/>
      </w:divBdr>
      <w:divsChild>
        <w:div w:id="1624114869">
          <w:marLeft w:val="0"/>
          <w:marRight w:val="0"/>
          <w:marTop w:val="0"/>
          <w:marBottom w:val="0"/>
          <w:divBdr>
            <w:top w:val="none" w:sz="0" w:space="0" w:color="auto"/>
            <w:left w:val="none" w:sz="0" w:space="0" w:color="auto"/>
            <w:bottom w:val="none" w:sz="0" w:space="0" w:color="auto"/>
            <w:right w:val="none" w:sz="0" w:space="0" w:color="auto"/>
          </w:divBdr>
          <w:divsChild>
            <w:div w:id="1062993942">
              <w:marLeft w:val="0"/>
              <w:marRight w:val="0"/>
              <w:marTop w:val="0"/>
              <w:marBottom w:val="0"/>
              <w:divBdr>
                <w:top w:val="none" w:sz="0" w:space="0" w:color="auto"/>
                <w:left w:val="none" w:sz="0" w:space="0" w:color="auto"/>
                <w:bottom w:val="none" w:sz="0" w:space="0" w:color="auto"/>
                <w:right w:val="none" w:sz="0" w:space="0" w:color="auto"/>
              </w:divBdr>
              <w:divsChild>
                <w:div w:id="19966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957">
      <w:bodyDiv w:val="1"/>
      <w:marLeft w:val="0"/>
      <w:marRight w:val="0"/>
      <w:marTop w:val="0"/>
      <w:marBottom w:val="0"/>
      <w:divBdr>
        <w:top w:val="none" w:sz="0" w:space="0" w:color="auto"/>
        <w:left w:val="none" w:sz="0" w:space="0" w:color="auto"/>
        <w:bottom w:val="none" w:sz="0" w:space="0" w:color="auto"/>
        <w:right w:val="none" w:sz="0" w:space="0" w:color="auto"/>
      </w:divBdr>
      <w:divsChild>
        <w:div w:id="1195382624">
          <w:marLeft w:val="0"/>
          <w:marRight w:val="0"/>
          <w:marTop w:val="0"/>
          <w:marBottom w:val="0"/>
          <w:divBdr>
            <w:top w:val="none" w:sz="0" w:space="0" w:color="auto"/>
            <w:left w:val="none" w:sz="0" w:space="0" w:color="auto"/>
            <w:bottom w:val="none" w:sz="0" w:space="0" w:color="auto"/>
            <w:right w:val="none" w:sz="0" w:space="0" w:color="auto"/>
          </w:divBdr>
          <w:divsChild>
            <w:div w:id="1426337670">
              <w:marLeft w:val="0"/>
              <w:marRight w:val="0"/>
              <w:marTop w:val="0"/>
              <w:marBottom w:val="0"/>
              <w:divBdr>
                <w:top w:val="none" w:sz="0" w:space="0" w:color="auto"/>
                <w:left w:val="none" w:sz="0" w:space="0" w:color="auto"/>
                <w:bottom w:val="none" w:sz="0" w:space="0" w:color="auto"/>
                <w:right w:val="none" w:sz="0" w:space="0" w:color="auto"/>
              </w:divBdr>
              <w:divsChild>
                <w:div w:id="1196310548">
                  <w:marLeft w:val="0"/>
                  <w:marRight w:val="0"/>
                  <w:marTop w:val="0"/>
                  <w:marBottom w:val="0"/>
                  <w:divBdr>
                    <w:top w:val="none" w:sz="0" w:space="0" w:color="auto"/>
                    <w:left w:val="none" w:sz="0" w:space="0" w:color="auto"/>
                    <w:bottom w:val="none" w:sz="0" w:space="0" w:color="auto"/>
                    <w:right w:val="none" w:sz="0" w:space="0" w:color="auto"/>
                  </w:divBdr>
                  <w:divsChild>
                    <w:div w:id="108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0435">
      <w:bodyDiv w:val="1"/>
      <w:marLeft w:val="0"/>
      <w:marRight w:val="0"/>
      <w:marTop w:val="0"/>
      <w:marBottom w:val="0"/>
      <w:divBdr>
        <w:top w:val="none" w:sz="0" w:space="0" w:color="auto"/>
        <w:left w:val="none" w:sz="0" w:space="0" w:color="auto"/>
        <w:bottom w:val="none" w:sz="0" w:space="0" w:color="auto"/>
        <w:right w:val="none" w:sz="0" w:space="0" w:color="auto"/>
      </w:divBdr>
    </w:div>
    <w:div w:id="1330208666">
      <w:bodyDiv w:val="1"/>
      <w:marLeft w:val="0"/>
      <w:marRight w:val="0"/>
      <w:marTop w:val="0"/>
      <w:marBottom w:val="0"/>
      <w:divBdr>
        <w:top w:val="none" w:sz="0" w:space="0" w:color="auto"/>
        <w:left w:val="none" w:sz="0" w:space="0" w:color="auto"/>
        <w:bottom w:val="none" w:sz="0" w:space="0" w:color="auto"/>
        <w:right w:val="none" w:sz="0" w:space="0" w:color="auto"/>
      </w:divBdr>
      <w:divsChild>
        <w:div w:id="1404641424">
          <w:marLeft w:val="0"/>
          <w:marRight w:val="0"/>
          <w:marTop w:val="0"/>
          <w:marBottom w:val="0"/>
          <w:divBdr>
            <w:top w:val="none" w:sz="0" w:space="0" w:color="auto"/>
            <w:left w:val="none" w:sz="0" w:space="0" w:color="auto"/>
            <w:bottom w:val="none" w:sz="0" w:space="0" w:color="auto"/>
            <w:right w:val="none" w:sz="0" w:space="0" w:color="auto"/>
          </w:divBdr>
          <w:divsChild>
            <w:div w:id="1134448514">
              <w:marLeft w:val="0"/>
              <w:marRight w:val="0"/>
              <w:marTop w:val="0"/>
              <w:marBottom w:val="0"/>
              <w:divBdr>
                <w:top w:val="none" w:sz="0" w:space="0" w:color="auto"/>
                <w:left w:val="none" w:sz="0" w:space="0" w:color="auto"/>
                <w:bottom w:val="none" w:sz="0" w:space="0" w:color="auto"/>
                <w:right w:val="none" w:sz="0" w:space="0" w:color="auto"/>
              </w:divBdr>
              <w:divsChild>
                <w:div w:id="1283347310">
                  <w:marLeft w:val="0"/>
                  <w:marRight w:val="0"/>
                  <w:marTop w:val="0"/>
                  <w:marBottom w:val="0"/>
                  <w:divBdr>
                    <w:top w:val="none" w:sz="0" w:space="0" w:color="auto"/>
                    <w:left w:val="none" w:sz="0" w:space="0" w:color="auto"/>
                    <w:bottom w:val="none" w:sz="0" w:space="0" w:color="auto"/>
                    <w:right w:val="none" w:sz="0" w:space="0" w:color="auto"/>
                  </w:divBdr>
                  <w:divsChild>
                    <w:div w:id="1646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2253">
      <w:bodyDiv w:val="1"/>
      <w:marLeft w:val="0"/>
      <w:marRight w:val="0"/>
      <w:marTop w:val="0"/>
      <w:marBottom w:val="0"/>
      <w:divBdr>
        <w:top w:val="none" w:sz="0" w:space="0" w:color="auto"/>
        <w:left w:val="none" w:sz="0" w:space="0" w:color="auto"/>
        <w:bottom w:val="none" w:sz="0" w:space="0" w:color="auto"/>
        <w:right w:val="none" w:sz="0" w:space="0" w:color="auto"/>
      </w:divBdr>
    </w:div>
    <w:div w:id="1363550656">
      <w:bodyDiv w:val="1"/>
      <w:marLeft w:val="0"/>
      <w:marRight w:val="0"/>
      <w:marTop w:val="0"/>
      <w:marBottom w:val="0"/>
      <w:divBdr>
        <w:top w:val="none" w:sz="0" w:space="0" w:color="auto"/>
        <w:left w:val="none" w:sz="0" w:space="0" w:color="auto"/>
        <w:bottom w:val="none" w:sz="0" w:space="0" w:color="auto"/>
        <w:right w:val="none" w:sz="0" w:space="0" w:color="auto"/>
      </w:divBdr>
    </w:div>
    <w:div w:id="1370910991">
      <w:bodyDiv w:val="1"/>
      <w:marLeft w:val="0"/>
      <w:marRight w:val="0"/>
      <w:marTop w:val="0"/>
      <w:marBottom w:val="0"/>
      <w:divBdr>
        <w:top w:val="none" w:sz="0" w:space="0" w:color="auto"/>
        <w:left w:val="none" w:sz="0" w:space="0" w:color="auto"/>
        <w:bottom w:val="none" w:sz="0" w:space="0" w:color="auto"/>
        <w:right w:val="none" w:sz="0" w:space="0" w:color="auto"/>
      </w:divBdr>
      <w:divsChild>
        <w:div w:id="1439446025">
          <w:marLeft w:val="0"/>
          <w:marRight w:val="0"/>
          <w:marTop w:val="0"/>
          <w:marBottom w:val="0"/>
          <w:divBdr>
            <w:top w:val="none" w:sz="0" w:space="0" w:color="auto"/>
            <w:left w:val="none" w:sz="0" w:space="0" w:color="auto"/>
            <w:bottom w:val="none" w:sz="0" w:space="0" w:color="auto"/>
            <w:right w:val="none" w:sz="0" w:space="0" w:color="auto"/>
          </w:divBdr>
          <w:divsChild>
            <w:div w:id="1301812474">
              <w:marLeft w:val="0"/>
              <w:marRight w:val="0"/>
              <w:marTop w:val="0"/>
              <w:marBottom w:val="0"/>
              <w:divBdr>
                <w:top w:val="none" w:sz="0" w:space="0" w:color="auto"/>
                <w:left w:val="none" w:sz="0" w:space="0" w:color="auto"/>
                <w:bottom w:val="none" w:sz="0" w:space="0" w:color="auto"/>
                <w:right w:val="none" w:sz="0" w:space="0" w:color="auto"/>
              </w:divBdr>
              <w:divsChild>
                <w:div w:id="132064771">
                  <w:marLeft w:val="0"/>
                  <w:marRight w:val="0"/>
                  <w:marTop w:val="0"/>
                  <w:marBottom w:val="0"/>
                  <w:divBdr>
                    <w:top w:val="none" w:sz="0" w:space="0" w:color="auto"/>
                    <w:left w:val="none" w:sz="0" w:space="0" w:color="auto"/>
                    <w:bottom w:val="none" w:sz="0" w:space="0" w:color="auto"/>
                    <w:right w:val="none" w:sz="0" w:space="0" w:color="auto"/>
                  </w:divBdr>
                  <w:divsChild>
                    <w:div w:id="12771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0690">
      <w:bodyDiv w:val="1"/>
      <w:marLeft w:val="0"/>
      <w:marRight w:val="0"/>
      <w:marTop w:val="0"/>
      <w:marBottom w:val="0"/>
      <w:divBdr>
        <w:top w:val="none" w:sz="0" w:space="0" w:color="auto"/>
        <w:left w:val="none" w:sz="0" w:space="0" w:color="auto"/>
        <w:bottom w:val="none" w:sz="0" w:space="0" w:color="auto"/>
        <w:right w:val="none" w:sz="0" w:space="0" w:color="auto"/>
      </w:divBdr>
      <w:divsChild>
        <w:div w:id="1020739490">
          <w:marLeft w:val="0"/>
          <w:marRight w:val="0"/>
          <w:marTop w:val="0"/>
          <w:marBottom w:val="0"/>
          <w:divBdr>
            <w:top w:val="none" w:sz="0" w:space="0" w:color="auto"/>
            <w:left w:val="none" w:sz="0" w:space="0" w:color="auto"/>
            <w:bottom w:val="none" w:sz="0" w:space="0" w:color="auto"/>
            <w:right w:val="none" w:sz="0" w:space="0" w:color="auto"/>
          </w:divBdr>
          <w:divsChild>
            <w:div w:id="155919963">
              <w:marLeft w:val="0"/>
              <w:marRight w:val="0"/>
              <w:marTop w:val="0"/>
              <w:marBottom w:val="0"/>
              <w:divBdr>
                <w:top w:val="none" w:sz="0" w:space="0" w:color="auto"/>
                <w:left w:val="none" w:sz="0" w:space="0" w:color="auto"/>
                <w:bottom w:val="none" w:sz="0" w:space="0" w:color="auto"/>
                <w:right w:val="none" w:sz="0" w:space="0" w:color="auto"/>
              </w:divBdr>
              <w:divsChild>
                <w:div w:id="1840656201">
                  <w:marLeft w:val="0"/>
                  <w:marRight w:val="0"/>
                  <w:marTop w:val="0"/>
                  <w:marBottom w:val="0"/>
                  <w:divBdr>
                    <w:top w:val="none" w:sz="0" w:space="0" w:color="auto"/>
                    <w:left w:val="none" w:sz="0" w:space="0" w:color="auto"/>
                    <w:bottom w:val="none" w:sz="0" w:space="0" w:color="auto"/>
                    <w:right w:val="none" w:sz="0" w:space="0" w:color="auto"/>
                  </w:divBdr>
                </w:div>
              </w:divsChild>
            </w:div>
            <w:div w:id="239604088">
              <w:marLeft w:val="0"/>
              <w:marRight w:val="0"/>
              <w:marTop w:val="0"/>
              <w:marBottom w:val="0"/>
              <w:divBdr>
                <w:top w:val="none" w:sz="0" w:space="0" w:color="auto"/>
                <w:left w:val="none" w:sz="0" w:space="0" w:color="auto"/>
                <w:bottom w:val="none" w:sz="0" w:space="0" w:color="auto"/>
                <w:right w:val="none" w:sz="0" w:space="0" w:color="auto"/>
              </w:divBdr>
              <w:divsChild>
                <w:div w:id="172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2032">
      <w:bodyDiv w:val="1"/>
      <w:marLeft w:val="0"/>
      <w:marRight w:val="0"/>
      <w:marTop w:val="0"/>
      <w:marBottom w:val="0"/>
      <w:divBdr>
        <w:top w:val="none" w:sz="0" w:space="0" w:color="auto"/>
        <w:left w:val="none" w:sz="0" w:space="0" w:color="auto"/>
        <w:bottom w:val="none" w:sz="0" w:space="0" w:color="auto"/>
        <w:right w:val="none" w:sz="0" w:space="0" w:color="auto"/>
      </w:divBdr>
    </w:div>
    <w:div w:id="13751570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503">
          <w:marLeft w:val="0"/>
          <w:marRight w:val="0"/>
          <w:marTop w:val="0"/>
          <w:marBottom w:val="0"/>
          <w:divBdr>
            <w:top w:val="none" w:sz="0" w:space="0" w:color="auto"/>
            <w:left w:val="none" w:sz="0" w:space="0" w:color="auto"/>
            <w:bottom w:val="none" w:sz="0" w:space="0" w:color="auto"/>
            <w:right w:val="none" w:sz="0" w:space="0" w:color="auto"/>
          </w:divBdr>
          <w:divsChild>
            <w:div w:id="399793194">
              <w:marLeft w:val="0"/>
              <w:marRight w:val="0"/>
              <w:marTop w:val="0"/>
              <w:marBottom w:val="0"/>
              <w:divBdr>
                <w:top w:val="none" w:sz="0" w:space="0" w:color="auto"/>
                <w:left w:val="none" w:sz="0" w:space="0" w:color="auto"/>
                <w:bottom w:val="none" w:sz="0" w:space="0" w:color="auto"/>
                <w:right w:val="none" w:sz="0" w:space="0" w:color="auto"/>
              </w:divBdr>
              <w:divsChild>
                <w:div w:id="1276251981">
                  <w:marLeft w:val="0"/>
                  <w:marRight w:val="0"/>
                  <w:marTop w:val="0"/>
                  <w:marBottom w:val="0"/>
                  <w:divBdr>
                    <w:top w:val="none" w:sz="0" w:space="0" w:color="auto"/>
                    <w:left w:val="none" w:sz="0" w:space="0" w:color="auto"/>
                    <w:bottom w:val="none" w:sz="0" w:space="0" w:color="auto"/>
                    <w:right w:val="none" w:sz="0" w:space="0" w:color="auto"/>
                  </w:divBdr>
                  <w:divsChild>
                    <w:div w:id="1342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10127">
      <w:bodyDiv w:val="1"/>
      <w:marLeft w:val="0"/>
      <w:marRight w:val="0"/>
      <w:marTop w:val="0"/>
      <w:marBottom w:val="0"/>
      <w:divBdr>
        <w:top w:val="none" w:sz="0" w:space="0" w:color="auto"/>
        <w:left w:val="none" w:sz="0" w:space="0" w:color="auto"/>
        <w:bottom w:val="none" w:sz="0" w:space="0" w:color="auto"/>
        <w:right w:val="none" w:sz="0" w:space="0" w:color="auto"/>
      </w:divBdr>
      <w:divsChild>
        <w:div w:id="959645115">
          <w:marLeft w:val="0"/>
          <w:marRight w:val="0"/>
          <w:marTop w:val="0"/>
          <w:marBottom w:val="0"/>
          <w:divBdr>
            <w:top w:val="none" w:sz="0" w:space="0" w:color="auto"/>
            <w:left w:val="none" w:sz="0" w:space="0" w:color="auto"/>
            <w:bottom w:val="none" w:sz="0" w:space="0" w:color="auto"/>
            <w:right w:val="none" w:sz="0" w:space="0" w:color="auto"/>
          </w:divBdr>
          <w:divsChild>
            <w:div w:id="351149870">
              <w:marLeft w:val="0"/>
              <w:marRight w:val="0"/>
              <w:marTop w:val="0"/>
              <w:marBottom w:val="0"/>
              <w:divBdr>
                <w:top w:val="none" w:sz="0" w:space="0" w:color="auto"/>
                <w:left w:val="none" w:sz="0" w:space="0" w:color="auto"/>
                <w:bottom w:val="none" w:sz="0" w:space="0" w:color="auto"/>
                <w:right w:val="none" w:sz="0" w:space="0" w:color="auto"/>
              </w:divBdr>
              <w:divsChild>
                <w:div w:id="2137749833">
                  <w:marLeft w:val="0"/>
                  <w:marRight w:val="0"/>
                  <w:marTop w:val="0"/>
                  <w:marBottom w:val="0"/>
                  <w:divBdr>
                    <w:top w:val="none" w:sz="0" w:space="0" w:color="auto"/>
                    <w:left w:val="none" w:sz="0" w:space="0" w:color="auto"/>
                    <w:bottom w:val="none" w:sz="0" w:space="0" w:color="auto"/>
                    <w:right w:val="none" w:sz="0" w:space="0" w:color="auto"/>
                  </w:divBdr>
                  <w:divsChild>
                    <w:div w:id="1950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13">
      <w:bodyDiv w:val="1"/>
      <w:marLeft w:val="0"/>
      <w:marRight w:val="0"/>
      <w:marTop w:val="0"/>
      <w:marBottom w:val="0"/>
      <w:divBdr>
        <w:top w:val="none" w:sz="0" w:space="0" w:color="auto"/>
        <w:left w:val="none" w:sz="0" w:space="0" w:color="auto"/>
        <w:bottom w:val="none" w:sz="0" w:space="0" w:color="auto"/>
        <w:right w:val="none" w:sz="0" w:space="0" w:color="auto"/>
      </w:divBdr>
      <w:divsChild>
        <w:div w:id="93567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sChild>
                <w:div w:id="1170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1164">
      <w:bodyDiv w:val="1"/>
      <w:marLeft w:val="0"/>
      <w:marRight w:val="0"/>
      <w:marTop w:val="0"/>
      <w:marBottom w:val="0"/>
      <w:divBdr>
        <w:top w:val="none" w:sz="0" w:space="0" w:color="auto"/>
        <w:left w:val="none" w:sz="0" w:space="0" w:color="auto"/>
        <w:bottom w:val="none" w:sz="0" w:space="0" w:color="auto"/>
        <w:right w:val="none" w:sz="0" w:space="0" w:color="auto"/>
      </w:divBdr>
      <w:divsChild>
        <w:div w:id="1810511037">
          <w:marLeft w:val="0"/>
          <w:marRight w:val="0"/>
          <w:marTop w:val="0"/>
          <w:marBottom w:val="0"/>
          <w:divBdr>
            <w:top w:val="none" w:sz="0" w:space="0" w:color="auto"/>
            <w:left w:val="none" w:sz="0" w:space="0" w:color="auto"/>
            <w:bottom w:val="none" w:sz="0" w:space="0" w:color="auto"/>
            <w:right w:val="none" w:sz="0" w:space="0" w:color="auto"/>
          </w:divBdr>
          <w:divsChild>
            <w:div w:id="1133250433">
              <w:marLeft w:val="0"/>
              <w:marRight w:val="0"/>
              <w:marTop w:val="0"/>
              <w:marBottom w:val="0"/>
              <w:divBdr>
                <w:top w:val="none" w:sz="0" w:space="0" w:color="auto"/>
                <w:left w:val="none" w:sz="0" w:space="0" w:color="auto"/>
                <w:bottom w:val="none" w:sz="0" w:space="0" w:color="auto"/>
                <w:right w:val="none" w:sz="0" w:space="0" w:color="auto"/>
              </w:divBdr>
              <w:divsChild>
                <w:div w:id="1064452296">
                  <w:marLeft w:val="0"/>
                  <w:marRight w:val="0"/>
                  <w:marTop w:val="0"/>
                  <w:marBottom w:val="0"/>
                  <w:divBdr>
                    <w:top w:val="none" w:sz="0" w:space="0" w:color="auto"/>
                    <w:left w:val="none" w:sz="0" w:space="0" w:color="auto"/>
                    <w:bottom w:val="none" w:sz="0" w:space="0" w:color="auto"/>
                    <w:right w:val="none" w:sz="0" w:space="0" w:color="auto"/>
                  </w:divBdr>
                  <w:divsChild>
                    <w:div w:id="21306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8521">
      <w:bodyDiv w:val="1"/>
      <w:marLeft w:val="0"/>
      <w:marRight w:val="0"/>
      <w:marTop w:val="0"/>
      <w:marBottom w:val="0"/>
      <w:divBdr>
        <w:top w:val="none" w:sz="0" w:space="0" w:color="auto"/>
        <w:left w:val="none" w:sz="0" w:space="0" w:color="auto"/>
        <w:bottom w:val="none" w:sz="0" w:space="0" w:color="auto"/>
        <w:right w:val="none" w:sz="0" w:space="0" w:color="auto"/>
      </w:divBdr>
    </w:div>
    <w:div w:id="1489594735">
      <w:bodyDiv w:val="1"/>
      <w:marLeft w:val="0"/>
      <w:marRight w:val="0"/>
      <w:marTop w:val="0"/>
      <w:marBottom w:val="0"/>
      <w:divBdr>
        <w:top w:val="none" w:sz="0" w:space="0" w:color="auto"/>
        <w:left w:val="none" w:sz="0" w:space="0" w:color="auto"/>
        <w:bottom w:val="none" w:sz="0" w:space="0" w:color="auto"/>
        <w:right w:val="none" w:sz="0" w:space="0" w:color="auto"/>
      </w:divBdr>
      <w:divsChild>
        <w:div w:id="599601408">
          <w:marLeft w:val="0"/>
          <w:marRight w:val="0"/>
          <w:marTop w:val="0"/>
          <w:marBottom w:val="0"/>
          <w:divBdr>
            <w:top w:val="none" w:sz="0" w:space="0" w:color="auto"/>
            <w:left w:val="none" w:sz="0" w:space="0" w:color="auto"/>
            <w:bottom w:val="none" w:sz="0" w:space="0" w:color="auto"/>
            <w:right w:val="none" w:sz="0" w:space="0" w:color="auto"/>
          </w:divBdr>
          <w:divsChild>
            <w:div w:id="1209684064">
              <w:marLeft w:val="0"/>
              <w:marRight w:val="0"/>
              <w:marTop w:val="0"/>
              <w:marBottom w:val="0"/>
              <w:divBdr>
                <w:top w:val="none" w:sz="0" w:space="0" w:color="auto"/>
                <w:left w:val="none" w:sz="0" w:space="0" w:color="auto"/>
                <w:bottom w:val="none" w:sz="0" w:space="0" w:color="auto"/>
                <w:right w:val="none" w:sz="0" w:space="0" w:color="auto"/>
              </w:divBdr>
              <w:divsChild>
                <w:div w:id="7163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2976">
      <w:bodyDiv w:val="1"/>
      <w:marLeft w:val="0"/>
      <w:marRight w:val="0"/>
      <w:marTop w:val="0"/>
      <w:marBottom w:val="0"/>
      <w:divBdr>
        <w:top w:val="none" w:sz="0" w:space="0" w:color="auto"/>
        <w:left w:val="none" w:sz="0" w:space="0" w:color="auto"/>
        <w:bottom w:val="none" w:sz="0" w:space="0" w:color="auto"/>
        <w:right w:val="none" w:sz="0" w:space="0" w:color="auto"/>
      </w:divBdr>
      <w:divsChild>
        <w:div w:id="1564947085">
          <w:marLeft w:val="0"/>
          <w:marRight w:val="0"/>
          <w:marTop w:val="0"/>
          <w:marBottom w:val="0"/>
          <w:divBdr>
            <w:top w:val="none" w:sz="0" w:space="0" w:color="auto"/>
            <w:left w:val="none" w:sz="0" w:space="0" w:color="auto"/>
            <w:bottom w:val="none" w:sz="0" w:space="0" w:color="auto"/>
            <w:right w:val="none" w:sz="0" w:space="0" w:color="auto"/>
          </w:divBdr>
          <w:divsChild>
            <w:div w:id="394010118">
              <w:marLeft w:val="0"/>
              <w:marRight w:val="0"/>
              <w:marTop w:val="0"/>
              <w:marBottom w:val="0"/>
              <w:divBdr>
                <w:top w:val="none" w:sz="0" w:space="0" w:color="auto"/>
                <w:left w:val="none" w:sz="0" w:space="0" w:color="auto"/>
                <w:bottom w:val="none" w:sz="0" w:space="0" w:color="auto"/>
                <w:right w:val="none" w:sz="0" w:space="0" w:color="auto"/>
              </w:divBdr>
              <w:divsChild>
                <w:div w:id="1304389073">
                  <w:marLeft w:val="0"/>
                  <w:marRight w:val="0"/>
                  <w:marTop w:val="0"/>
                  <w:marBottom w:val="0"/>
                  <w:divBdr>
                    <w:top w:val="none" w:sz="0" w:space="0" w:color="auto"/>
                    <w:left w:val="none" w:sz="0" w:space="0" w:color="auto"/>
                    <w:bottom w:val="none" w:sz="0" w:space="0" w:color="auto"/>
                    <w:right w:val="none" w:sz="0" w:space="0" w:color="auto"/>
                  </w:divBdr>
                  <w:divsChild>
                    <w:div w:id="3115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8727">
      <w:bodyDiv w:val="1"/>
      <w:marLeft w:val="0"/>
      <w:marRight w:val="0"/>
      <w:marTop w:val="0"/>
      <w:marBottom w:val="0"/>
      <w:divBdr>
        <w:top w:val="none" w:sz="0" w:space="0" w:color="auto"/>
        <w:left w:val="none" w:sz="0" w:space="0" w:color="auto"/>
        <w:bottom w:val="none" w:sz="0" w:space="0" w:color="auto"/>
        <w:right w:val="none" w:sz="0" w:space="0" w:color="auto"/>
      </w:divBdr>
    </w:div>
    <w:div w:id="1534533161">
      <w:bodyDiv w:val="1"/>
      <w:marLeft w:val="0"/>
      <w:marRight w:val="0"/>
      <w:marTop w:val="0"/>
      <w:marBottom w:val="0"/>
      <w:divBdr>
        <w:top w:val="none" w:sz="0" w:space="0" w:color="auto"/>
        <w:left w:val="none" w:sz="0" w:space="0" w:color="auto"/>
        <w:bottom w:val="none" w:sz="0" w:space="0" w:color="auto"/>
        <w:right w:val="none" w:sz="0" w:space="0" w:color="auto"/>
      </w:divBdr>
    </w:div>
    <w:div w:id="1546217350">
      <w:bodyDiv w:val="1"/>
      <w:marLeft w:val="0"/>
      <w:marRight w:val="0"/>
      <w:marTop w:val="0"/>
      <w:marBottom w:val="0"/>
      <w:divBdr>
        <w:top w:val="none" w:sz="0" w:space="0" w:color="auto"/>
        <w:left w:val="none" w:sz="0" w:space="0" w:color="auto"/>
        <w:bottom w:val="none" w:sz="0" w:space="0" w:color="auto"/>
        <w:right w:val="none" w:sz="0" w:space="0" w:color="auto"/>
      </w:divBdr>
      <w:divsChild>
        <w:div w:id="2147038784">
          <w:marLeft w:val="0"/>
          <w:marRight w:val="0"/>
          <w:marTop w:val="0"/>
          <w:marBottom w:val="0"/>
          <w:divBdr>
            <w:top w:val="none" w:sz="0" w:space="0" w:color="auto"/>
            <w:left w:val="none" w:sz="0" w:space="0" w:color="auto"/>
            <w:bottom w:val="none" w:sz="0" w:space="0" w:color="auto"/>
            <w:right w:val="none" w:sz="0" w:space="0" w:color="auto"/>
          </w:divBdr>
          <w:divsChild>
            <w:div w:id="1847554596">
              <w:marLeft w:val="0"/>
              <w:marRight w:val="0"/>
              <w:marTop w:val="0"/>
              <w:marBottom w:val="0"/>
              <w:divBdr>
                <w:top w:val="none" w:sz="0" w:space="0" w:color="auto"/>
                <w:left w:val="none" w:sz="0" w:space="0" w:color="auto"/>
                <w:bottom w:val="none" w:sz="0" w:space="0" w:color="auto"/>
                <w:right w:val="none" w:sz="0" w:space="0" w:color="auto"/>
              </w:divBdr>
              <w:divsChild>
                <w:div w:id="1297761421">
                  <w:marLeft w:val="0"/>
                  <w:marRight w:val="0"/>
                  <w:marTop w:val="0"/>
                  <w:marBottom w:val="0"/>
                  <w:divBdr>
                    <w:top w:val="none" w:sz="0" w:space="0" w:color="auto"/>
                    <w:left w:val="none" w:sz="0" w:space="0" w:color="auto"/>
                    <w:bottom w:val="none" w:sz="0" w:space="0" w:color="auto"/>
                    <w:right w:val="none" w:sz="0" w:space="0" w:color="auto"/>
                  </w:divBdr>
                  <w:divsChild>
                    <w:div w:id="1178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3523">
      <w:bodyDiv w:val="1"/>
      <w:marLeft w:val="0"/>
      <w:marRight w:val="0"/>
      <w:marTop w:val="0"/>
      <w:marBottom w:val="0"/>
      <w:divBdr>
        <w:top w:val="none" w:sz="0" w:space="0" w:color="auto"/>
        <w:left w:val="none" w:sz="0" w:space="0" w:color="auto"/>
        <w:bottom w:val="none" w:sz="0" w:space="0" w:color="auto"/>
        <w:right w:val="none" w:sz="0" w:space="0" w:color="auto"/>
      </w:divBdr>
      <w:divsChild>
        <w:div w:id="413892276">
          <w:marLeft w:val="0"/>
          <w:marRight w:val="0"/>
          <w:marTop w:val="0"/>
          <w:marBottom w:val="0"/>
          <w:divBdr>
            <w:top w:val="none" w:sz="0" w:space="0" w:color="auto"/>
            <w:left w:val="none" w:sz="0" w:space="0" w:color="auto"/>
            <w:bottom w:val="none" w:sz="0" w:space="0" w:color="auto"/>
            <w:right w:val="none" w:sz="0" w:space="0" w:color="auto"/>
          </w:divBdr>
          <w:divsChild>
            <w:div w:id="1660423750">
              <w:marLeft w:val="0"/>
              <w:marRight w:val="0"/>
              <w:marTop w:val="0"/>
              <w:marBottom w:val="0"/>
              <w:divBdr>
                <w:top w:val="none" w:sz="0" w:space="0" w:color="auto"/>
                <w:left w:val="none" w:sz="0" w:space="0" w:color="auto"/>
                <w:bottom w:val="none" w:sz="0" w:space="0" w:color="auto"/>
                <w:right w:val="none" w:sz="0" w:space="0" w:color="auto"/>
              </w:divBdr>
              <w:divsChild>
                <w:div w:id="10877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1758">
      <w:bodyDiv w:val="1"/>
      <w:marLeft w:val="0"/>
      <w:marRight w:val="0"/>
      <w:marTop w:val="0"/>
      <w:marBottom w:val="0"/>
      <w:divBdr>
        <w:top w:val="none" w:sz="0" w:space="0" w:color="auto"/>
        <w:left w:val="none" w:sz="0" w:space="0" w:color="auto"/>
        <w:bottom w:val="none" w:sz="0" w:space="0" w:color="auto"/>
        <w:right w:val="none" w:sz="0" w:space="0" w:color="auto"/>
      </w:divBdr>
    </w:div>
    <w:div w:id="1554198820">
      <w:bodyDiv w:val="1"/>
      <w:marLeft w:val="0"/>
      <w:marRight w:val="0"/>
      <w:marTop w:val="0"/>
      <w:marBottom w:val="0"/>
      <w:divBdr>
        <w:top w:val="none" w:sz="0" w:space="0" w:color="auto"/>
        <w:left w:val="none" w:sz="0" w:space="0" w:color="auto"/>
        <w:bottom w:val="none" w:sz="0" w:space="0" w:color="auto"/>
        <w:right w:val="none" w:sz="0" w:space="0" w:color="auto"/>
      </w:divBdr>
      <w:divsChild>
        <w:div w:id="65031509">
          <w:marLeft w:val="0"/>
          <w:marRight w:val="0"/>
          <w:marTop w:val="0"/>
          <w:marBottom w:val="0"/>
          <w:divBdr>
            <w:top w:val="none" w:sz="0" w:space="0" w:color="auto"/>
            <w:left w:val="none" w:sz="0" w:space="0" w:color="auto"/>
            <w:bottom w:val="none" w:sz="0" w:space="0" w:color="auto"/>
            <w:right w:val="none" w:sz="0" w:space="0" w:color="auto"/>
          </w:divBdr>
          <w:divsChild>
            <w:div w:id="2051806877">
              <w:marLeft w:val="0"/>
              <w:marRight w:val="0"/>
              <w:marTop w:val="0"/>
              <w:marBottom w:val="0"/>
              <w:divBdr>
                <w:top w:val="none" w:sz="0" w:space="0" w:color="auto"/>
                <w:left w:val="none" w:sz="0" w:space="0" w:color="auto"/>
                <w:bottom w:val="none" w:sz="0" w:space="0" w:color="auto"/>
                <w:right w:val="none" w:sz="0" w:space="0" w:color="auto"/>
              </w:divBdr>
              <w:divsChild>
                <w:div w:id="318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118">
      <w:bodyDiv w:val="1"/>
      <w:marLeft w:val="0"/>
      <w:marRight w:val="0"/>
      <w:marTop w:val="0"/>
      <w:marBottom w:val="0"/>
      <w:divBdr>
        <w:top w:val="none" w:sz="0" w:space="0" w:color="auto"/>
        <w:left w:val="none" w:sz="0" w:space="0" w:color="auto"/>
        <w:bottom w:val="none" w:sz="0" w:space="0" w:color="auto"/>
        <w:right w:val="none" w:sz="0" w:space="0" w:color="auto"/>
      </w:divBdr>
    </w:div>
    <w:div w:id="1567497559">
      <w:bodyDiv w:val="1"/>
      <w:marLeft w:val="0"/>
      <w:marRight w:val="0"/>
      <w:marTop w:val="0"/>
      <w:marBottom w:val="0"/>
      <w:divBdr>
        <w:top w:val="none" w:sz="0" w:space="0" w:color="auto"/>
        <w:left w:val="none" w:sz="0" w:space="0" w:color="auto"/>
        <w:bottom w:val="none" w:sz="0" w:space="0" w:color="auto"/>
        <w:right w:val="none" w:sz="0" w:space="0" w:color="auto"/>
      </w:divBdr>
      <w:divsChild>
        <w:div w:id="1831557762">
          <w:marLeft w:val="0"/>
          <w:marRight w:val="0"/>
          <w:marTop w:val="0"/>
          <w:marBottom w:val="0"/>
          <w:divBdr>
            <w:top w:val="none" w:sz="0" w:space="0" w:color="auto"/>
            <w:left w:val="none" w:sz="0" w:space="0" w:color="auto"/>
            <w:bottom w:val="none" w:sz="0" w:space="0" w:color="auto"/>
            <w:right w:val="none" w:sz="0" w:space="0" w:color="auto"/>
          </w:divBdr>
          <w:divsChild>
            <w:div w:id="1000737672">
              <w:marLeft w:val="0"/>
              <w:marRight w:val="0"/>
              <w:marTop w:val="0"/>
              <w:marBottom w:val="0"/>
              <w:divBdr>
                <w:top w:val="none" w:sz="0" w:space="0" w:color="auto"/>
                <w:left w:val="none" w:sz="0" w:space="0" w:color="auto"/>
                <w:bottom w:val="none" w:sz="0" w:space="0" w:color="auto"/>
                <w:right w:val="none" w:sz="0" w:space="0" w:color="auto"/>
              </w:divBdr>
              <w:divsChild>
                <w:div w:id="1071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1495">
      <w:bodyDiv w:val="1"/>
      <w:marLeft w:val="0"/>
      <w:marRight w:val="0"/>
      <w:marTop w:val="0"/>
      <w:marBottom w:val="0"/>
      <w:divBdr>
        <w:top w:val="none" w:sz="0" w:space="0" w:color="auto"/>
        <w:left w:val="none" w:sz="0" w:space="0" w:color="auto"/>
        <w:bottom w:val="none" w:sz="0" w:space="0" w:color="auto"/>
        <w:right w:val="none" w:sz="0" w:space="0" w:color="auto"/>
      </w:divBdr>
    </w:div>
    <w:div w:id="1595288357">
      <w:bodyDiv w:val="1"/>
      <w:marLeft w:val="0"/>
      <w:marRight w:val="0"/>
      <w:marTop w:val="0"/>
      <w:marBottom w:val="0"/>
      <w:divBdr>
        <w:top w:val="none" w:sz="0" w:space="0" w:color="auto"/>
        <w:left w:val="none" w:sz="0" w:space="0" w:color="auto"/>
        <w:bottom w:val="none" w:sz="0" w:space="0" w:color="auto"/>
        <w:right w:val="none" w:sz="0" w:space="0" w:color="auto"/>
      </w:divBdr>
    </w:div>
    <w:div w:id="1596399819">
      <w:bodyDiv w:val="1"/>
      <w:marLeft w:val="0"/>
      <w:marRight w:val="0"/>
      <w:marTop w:val="0"/>
      <w:marBottom w:val="0"/>
      <w:divBdr>
        <w:top w:val="none" w:sz="0" w:space="0" w:color="auto"/>
        <w:left w:val="none" w:sz="0" w:space="0" w:color="auto"/>
        <w:bottom w:val="none" w:sz="0" w:space="0" w:color="auto"/>
        <w:right w:val="none" w:sz="0" w:space="0" w:color="auto"/>
      </w:divBdr>
    </w:div>
    <w:div w:id="1603759054">
      <w:bodyDiv w:val="1"/>
      <w:marLeft w:val="0"/>
      <w:marRight w:val="0"/>
      <w:marTop w:val="0"/>
      <w:marBottom w:val="0"/>
      <w:divBdr>
        <w:top w:val="none" w:sz="0" w:space="0" w:color="auto"/>
        <w:left w:val="none" w:sz="0" w:space="0" w:color="auto"/>
        <w:bottom w:val="none" w:sz="0" w:space="0" w:color="auto"/>
        <w:right w:val="none" w:sz="0" w:space="0" w:color="auto"/>
      </w:divBdr>
      <w:divsChild>
        <w:div w:id="2096975813">
          <w:marLeft w:val="0"/>
          <w:marRight w:val="0"/>
          <w:marTop w:val="0"/>
          <w:marBottom w:val="0"/>
          <w:divBdr>
            <w:top w:val="none" w:sz="0" w:space="0" w:color="auto"/>
            <w:left w:val="none" w:sz="0" w:space="0" w:color="auto"/>
            <w:bottom w:val="none" w:sz="0" w:space="0" w:color="auto"/>
            <w:right w:val="none" w:sz="0" w:space="0" w:color="auto"/>
          </w:divBdr>
          <w:divsChild>
            <w:div w:id="1701785510">
              <w:marLeft w:val="0"/>
              <w:marRight w:val="0"/>
              <w:marTop w:val="0"/>
              <w:marBottom w:val="0"/>
              <w:divBdr>
                <w:top w:val="none" w:sz="0" w:space="0" w:color="auto"/>
                <w:left w:val="none" w:sz="0" w:space="0" w:color="auto"/>
                <w:bottom w:val="none" w:sz="0" w:space="0" w:color="auto"/>
                <w:right w:val="none" w:sz="0" w:space="0" w:color="auto"/>
              </w:divBdr>
              <w:divsChild>
                <w:div w:id="1926651716">
                  <w:marLeft w:val="0"/>
                  <w:marRight w:val="0"/>
                  <w:marTop w:val="0"/>
                  <w:marBottom w:val="0"/>
                  <w:divBdr>
                    <w:top w:val="none" w:sz="0" w:space="0" w:color="auto"/>
                    <w:left w:val="none" w:sz="0" w:space="0" w:color="auto"/>
                    <w:bottom w:val="none" w:sz="0" w:space="0" w:color="auto"/>
                    <w:right w:val="none" w:sz="0" w:space="0" w:color="auto"/>
                  </w:divBdr>
                  <w:divsChild>
                    <w:div w:id="1257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4930">
      <w:bodyDiv w:val="1"/>
      <w:marLeft w:val="0"/>
      <w:marRight w:val="0"/>
      <w:marTop w:val="0"/>
      <w:marBottom w:val="0"/>
      <w:divBdr>
        <w:top w:val="none" w:sz="0" w:space="0" w:color="auto"/>
        <w:left w:val="none" w:sz="0" w:space="0" w:color="auto"/>
        <w:bottom w:val="none" w:sz="0" w:space="0" w:color="auto"/>
        <w:right w:val="none" w:sz="0" w:space="0" w:color="auto"/>
      </w:divBdr>
    </w:div>
    <w:div w:id="1644964633">
      <w:bodyDiv w:val="1"/>
      <w:marLeft w:val="0"/>
      <w:marRight w:val="0"/>
      <w:marTop w:val="0"/>
      <w:marBottom w:val="0"/>
      <w:divBdr>
        <w:top w:val="none" w:sz="0" w:space="0" w:color="auto"/>
        <w:left w:val="none" w:sz="0" w:space="0" w:color="auto"/>
        <w:bottom w:val="none" w:sz="0" w:space="0" w:color="auto"/>
        <w:right w:val="none" w:sz="0" w:space="0" w:color="auto"/>
      </w:divBdr>
      <w:divsChild>
        <w:div w:id="462313227">
          <w:marLeft w:val="0"/>
          <w:marRight w:val="0"/>
          <w:marTop w:val="0"/>
          <w:marBottom w:val="0"/>
          <w:divBdr>
            <w:top w:val="none" w:sz="0" w:space="0" w:color="auto"/>
            <w:left w:val="none" w:sz="0" w:space="0" w:color="auto"/>
            <w:bottom w:val="none" w:sz="0" w:space="0" w:color="auto"/>
            <w:right w:val="none" w:sz="0" w:space="0" w:color="auto"/>
          </w:divBdr>
          <w:divsChild>
            <w:div w:id="242030738">
              <w:marLeft w:val="0"/>
              <w:marRight w:val="0"/>
              <w:marTop w:val="0"/>
              <w:marBottom w:val="0"/>
              <w:divBdr>
                <w:top w:val="none" w:sz="0" w:space="0" w:color="auto"/>
                <w:left w:val="none" w:sz="0" w:space="0" w:color="auto"/>
                <w:bottom w:val="none" w:sz="0" w:space="0" w:color="auto"/>
                <w:right w:val="none" w:sz="0" w:space="0" w:color="auto"/>
              </w:divBdr>
              <w:divsChild>
                <w:div w:id="1295209421">
                  <w:marLeft w:val="0"/>
                  <w:marRight w:val="0"/>
                  <w:marTop w:val="0"/>
                  <w:marBottom w:val="0"/>
                  <w:divBdr>
                    <w:top w:val="none" w:sz="0" w:space="0" w:color="auto"/>
                    <w:left w:val="none" w:sz="0" w:space="0" w:color="auto"/>
                    <w:bottom w:val="none" w:sz="0" w:space="0" w:color="auto"/>
                    <w:right w:val="none" w:sz="0" w:space="0" w:color="auto"/>
                  </w:divBdr>
                  <w:divsChild>
                    <w:div w:id="4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1369">
      <w:bodyDiv w:val="1"/>
      <w:marLeft w:val="0"/>
      <w:marRight w:val="0"/>
      <w:marTop w:val="0"/>
      <w:marBottom w:val="0"/>
      <w:divBdr>
        <w:top w:val="none" w:sz="0" w:space="0" w:color="auto"/>
        <w:left w:val="none" w:sz="0" w:space="0" w:color="auto"/>
        <w:bottom w:val="none" w:sz="0" w:space="0" w:color="auto"/>
        <w:right w:val="none" w:sz="0" w:space="0" w:color="auto"/>
      </w:divBdr>
      <w:divsChild>
        <w:div w:id="876743443">
          <w:marLeft w:val="0"/>
          <w:marRight w:val="0"/>
          <w:marTop w:val="0"/>
          <w:marBottom w:val="0"/>
          <w:divBdr>
            <w:top w:val="none" w:sz="0" w:space="0" w:color="auto"/>
            <w:left w:val="none" w:sz="0" w:space="0" w:color="auto"/>
            <w:bottom w:val="none" w:sz="0" w:space="0" w:color="auto"/>
            <w:right w:val="none" w:sz="0" w:space="0" w:color="auto"/>
          </w:divBdr>
          <w:divsChild>
            <w:div w:id="764421467">
              <w:marLeft w:val="0"/>
              <w:marRight w:val="0"/>
              <w:marTop w:val="0"/>
              <w:marBottom w:val="0"/>
              <w:divBdr>
                <w:top w:val="none" w:sz="0" w:space="0" w:color="auto"/>
                <w:left w:val="none" w:sz="0" w:space="0" w:color="auto"/>
                <w:bottom w:val="none" w:sz="0" w:space="0" w:color="auto"/>
                <w:right w:val="none" w:sz="0" w:space="0" w:color="auto"/>
              </w:divBdr>
              <w:divsChild>
                <w:div w:id="714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7111">
      <w:bodyDiv w:val="1"/>
      <w:marLeft w:val="0"/>
      <w:marRight w:val="0"/>
      <w:marTop w:val="0"/>
      <w:marBottom w:val="0"/>
      <w:divBdr>
        <w:top w:val="none" w:sz="0" w:space="0" w:color="auto"/>
        <w:left w:val="none" w:sz="0" w:space="0" w:color="auto"/>
        <w:bottom w:val="none" w:sz="0" w:space="0" w:color="auto"/>
        <w:right w:val="none" w:sz="0" w:space="0" w:color="auto"/>
      </w:divBdr>
    </w:div>
    <w:div w:id="1732849582">
      <w:bodyDiv w:val="1"/>
      <w:marLeft w:val="0"/>
      <w:marRight w:val="0"/>
      <w:marTop w:val="0"/>
      <w:marBottom w:val="0"/>
      <w:divBdr>
        <w:top w:val="none" w:sz="0" w:space="0" w:color="auto"/>
        <w:left w:val="none" w:sz="0" w:space="0" w:color="auto"/>
        <w:bottom w:val="none" w:sz="0" w:space="0" w:color="auto"/>
        <w:right w:val="none" w:sz="0" w:space="0" w:color="auto"/>
      </w:divBdr>
      <w:divsChild>
        <w:div w:id="1560245135">
          <w:marLeft w:val="0"/>
          <w:marRight w:val="0"/>
          <w:marTop w:val="0"/>
          <w:marBottom w:val="0"/>
          <w:divBdr>
            <w:top w:val="none" w:sz="0" w:space="0" w:color="auto"/>
            <w:left w:val="none" w:sz="0" w:space="0" w:color="auto"/>
            <w:bottom w:val="none" w:sz="0" w:space="0" w:color="auto"/>
            <w:right w:val="none" w:sz="0" w:space="0" w:color="auto"/>
          </w:divBdr>
          <w:divsChild>
            <w:div w:id="567812461">
              <w:marLeft w:val="0"/>
              <w:marRight w:val="0"/>
              <w:marTop w:val="0"/>
              <w:marBottom w:val="0"/>
              <w:divBdr>
                <w:top w:val="none" w:sz="0" w:space="0" w:color="auto"/>
                <w:left w:val="none" w:sz="0" w:space="0" w:color="auto"/>
                <w:bottom w:val="none" w:sz="0" w:space="0" w:color="auto"/>
                <w:right w:val="none" w:sz="0" w:space="0" w:color="auto"/>
              </w:divBdr>
              <w:divsChild>
                <w:div w:id="1369184675">
                  <w:marLeft w:val="0"/>
                  <w:marRight w:val="0"/>
                  <w:marTop w:val="0"/>
                  <w:marBottom w:val="0"/>
                  <w:divBdr>
                    <w:top w:val="none" w:sz="0" w:space="0" w:color="auto"/>
                    <w:left w:val="none" w:sz="0" w:space="0" w:color="auto"/>
                    <w:bottom w:val="none" w:sz="0" w:space="0" w:color="auto"/>
                    <w:right w:val="none" w:sz="0" w:space="0" w:color="auto"/>
                  </w:divBdr>
                  <w:divsChild>
                    <w:div w:id="4078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4883">
      <w:bodyDiv w:val="1"/>
      <w:marLeft w:val="0"/>
      <w:marRight w:val="0"/>
      <w:marTop w:val="0"/>
      <w:marBottom w:val="0"/>
      <w:divBdr>
        <w:top w:val="none" w:sz="0" w:space="0" w:color="auto"/>
        <w:left w:val="none" w:sz="0" w:space="0" w:color="auto"/>
        <w:bottom w:val="none" w:sz="0" w:space="0" w:color="auto"/>
        <w:right w:val="none" w:sz="0" w:space="0" w:color="auto"/>
      </w:divBdr>
    </w:div>
    <w:div w:id="1753358314">
      <w:bodyDiv w:val="1"/>
      <w:marLeft w:val="0"/>
      <w:marRight w:val="0"/>
      <w:marTop w:val="0"/>
      <w:marBottom w:val="0"/>
      <w:divBdr>
        <w:top w:val="none" w:sz="0" w:space="0" w:color="auto"/>
        <w:left w:val="none" w:sz="0" w:space="0" w:color="auto"/>
        <w:bottom w:val="none" w:sz="0" w:space="0" w:color="auto"/>
        <w:right w:val="none" w:sz="0" w:space="0" w:color="auto"/>
      </w:divBdr>
    </w:div>
    <w:div w:id="1757020184">
      <w:bodyDiv w:val="1"/>
      <w:marLeft w:val="0"/>
      <w:marRight w:val="0"/>
      <w:marTop w:val="0"/>
      <w:marBottom w:val="0"/>
      <w:divBdr>
        <w:top w:val="none" w:sz="0" w:space="0" w:color="auto"/>
        <w:left w:val="none" w:sz="0" w:space="0" w:color="auto"/>
        <w:bottom w:val="none" w:sz="0" w:space="0" w:color="auto"/>
        <w:right w:val="none" w:sz="0" w:space="0" w:color="auto"/>
      </w:divBdr>
      <w:divsChild>
        <w:div w:id="1570772663">
          <w:marLeft w:val="0"/>
          <w:marRight w:val="0"/>
          <w:marTop w:val="0"/>
          <w:marBottom w:val="0"/>
          <w:divBdr>
            <w:top w:val="none" w:sz="0" w:space="0" w:color="auto"/>
            <w:left w:val="none" w:sz="0" w:space="0" w:color="auto"/>
            <w:bottom w:val="none" w:sz="0" w:space="0" w:color="auto"/>
            <w:right w:val="none" w:sz="0" w:space="0" w:color="auto"/>
          </w:divBdr>
          <w:divsChild>
            <w:div w:id="1507675928">
              <w:marLeft w:val="0"/>
              <w:marRight w:val="0"/>
              <w:marTop w:val="0"/>
              <w:marBottom w:val="0"/>
              <w:divBdr>
                <w:top w:val="none" w:sz="0" w:space="0" w:color="auto"/>
                <w:left w:val="none" w:sz="0" w:space="0" w:color="auto"/>
                <w:bottom w:val="none" w:sz="0" w:space="0" w:color="auto"/>
                <w:right w:val="none" w:sz="0" w:space="0" w:color="auto"/>
              </w:divBdr>
              <w:divsChild>
                <w:div w:id="11827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7976">
      <w:bodyDiv w:val="1"/>
      <w:marLeft w:val="0"/>
      <w:marRight w:val="0"/>
      <w:marTop w:val="0"/>
      <w:marBottom w:val="0"/>
      <w:divBdr>
        <w:top w:val="none" w:sz="0" w:space="0" w:color="auto"/>
        <w:left w:val="none" w:sz="0" w:space="0" w:color="auto"/>
        <w:bottom w:val="none" w:sz="0" w:space="0" w:color="auto"/>
        <w:right w:val="none" w:sz="0" w:space="0" w:color="auto"/>
      </w:divBdr>
    </w:div>
    <w:div w:id="1819111481">
      <w:bodyDiv w:val="1"/>
      <w:marLeft w:val="0"/>
      <w:marRight w:val="0"/>
      <w:marTop w:val="0"/>
      <w:marBottom w:val="0"/>
      <w:divBdr>
        <w:top w:val="none" w:sz="0" w:space="0" w:color="auto"/>
        <w:left w:val="none" w:sz="0" w:space="0" w:color="auto"/>
        <w:bottom w:val="none" w:sz="0" w:space="0" w:color="auto"/>
        <w:right w:val="none" w:sz="0" w:space="0" w:color="auto"/>
      </w:divBdr>
      <w:divsChild>
        <w:div w:id="99556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277066">
              <w:marLeft w:val="0"/>
              <w:marRight w:val="0"/>
              <w:marTop w:val="0"/>
              <w:marBottom w:val="0"/>
              <w:divBdr>
                <w:top w:val="none" w:sz="0" w:space="0" w:color="auto"/>
                <w:left w:val="none" w:sz="0" w:space="0" w:color="auto"/>
                <w:bottom w:val="none" w:sz="0" w:space="0" w:color="auto"/>
                <w:right w:val="none" w:sz="0" w:space="0" w:color="auto"/>
              </w:divBdr>
              <w:divsChild>
                <w:div w:id="363797898">
                  <w:marLeft w:val="0"/>
                  <w:marRight w:val="0"/>
                  <w:marTop w:val="0"/>
                  <w:marBottom w:val="0"/>
                  <w:divBdr>
                    <w:top w:val="none" w:sz="0" w:space="0" w:color="auto"/>
                    <w:left w:val="none" w:sz="0" w:space="0" w:color="auto"/>
                    <w:bottom w:val="none" w:sz="0" w:space="0" w:color="auto"/>
                    <w:right w:val="none" w:sz="0" w:space="0" w:color="auto"/>
                  </w:divBdr>
                </w:div>
                <w:div w:id="1117943659">
                  <w:marLeft w:val="0"/>
                  <w:marRight w:val="0"/>
                  <w:marTop w:val="0"/>
                  <w:marBottom w:val="0"/>
                  <w:divBdr>
                    <w:top w:val="none" w:sz="0" w:space="0" w:color="auto"/>
                    <w:left w:val="none" w:sz="0" w:space="0" w:color="auto"/>
                    <w:bottom w:val="none" w:sz="0" w:space="0" w:color="auto"/>
                    <w:right w:val="none" w:sz="0" w:space="0" w:color="auto"/>
                  </w:divBdr>
                </w:div>
                <w:div w:id="1793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7875">
      <w:bodyDiv w:val="1"/>
      <w:marLeft w:val="0"/>
      <w:marRight w:val="0"/>
      <w:marTop w:val="0"/>
      <w:marBottom w:val="0"/>
      <w:divBdr>
        <w:top w:val="none" w:sz="0" w:space="0" w:color="auto"/>
        <w:left w:val="none" w:sz="0" w:space="0" w:color="auto"/>
        <w:bottom w:val="none" w:sz="0" w:space="0" w:color="auto"/>
        <w:right w:val="none" w:sz="0" w:space="0" w:color="auto"/>
      </w:divBdr>
    </w:div>
    <w:div w:id="1831939442">
      <w:bodyDiv w:val="1"/>
      <w:marLeft w:val="0"/>
      <w:marRight w:val="0"/>
      <w:marTop w:val="0"/>
      <w:marBottom w:val="0"/>
      <w:divBdr>
        <w:top w:val="none" w:sz="0" w:space="0" w:color="auto"/>
        <w:left w:val="none" w:sz="0" w:space="0" w:color="auto"/>
        <w:bottom w:val="none" w:sz="0" w:space="0" w:color="auto"/>
        <w:right w:val="none" w:sz="0" w:space="0" w:color="auto"/>
      </w:divBdr>
      <w:divsChild>
        <w:div w:id="173384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5478">
              <w:marLeft w:val="0"/>
              <w:marRight w:val="0"/>
              <w:marTop w:val="0"/>
              <w:marBottom w:val="0"/>
              <w:divBdr>
                <w:top w:val="none" w:sz="0" w:space="0" w:color="auto"/>
                <w:left w:val="none" w:sz="0" w:space="0" w:color="auto"/>
                <w:bottom w:val="none" w:sz="0" w:space="0" w:color="auto"/>
                <w:right w:val="none" w:sz="0" w:space="0" w:color="auto"/>
              </w:divBdr>
              <w:divsChild>
                <w:div w:id="211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4287">
      <w:bodyDiv w:val="1"/>
      <w:marLeft w:val="0"/>
      <w:marRight w:val="0"/>
      <w:marTop w:val="0"/>
      <w:marBottom w:val="0"/>
      <w:divBdr>
        <w:top w:val="none" w:sz="0" w:space="0" w:color="auto"/>
        <w:left w:val="none" w:sz="0" w:space="0" w:color="auto"/>
        <w:bottom w:val="none" w:sz="0" w:space="0" w:color="auto"/>
        <w:right w:val="none" w:sz="0" w:space="0" w:color="auto"/>
      </w:divBdr>
    </w:div>
    <w:div w:id="1882277522">
      <w:bodyDiv w:val="1"/>
      <w:marLeft w:val="0"/>
      <w:marRight w:val="0"/>
      <w:marTop w:val="0"/>
      <w:marBottom w:val="0"/>
      <w:divBdr>
        <w:top w:val="none" w:sz="0" w:space="0" w:color="auto"/>
        <w:left w:val="none" w:sz="0" w:space="0" w:color="auto"/>
        <w:bottom w:val="none" w:sz="0" w:space="0" w:color="auto"/>
        <w:right w:val="none" w:sz="0" w:space="0" w:color="auto"/>
      </w:divBdr>
    </w:div>
    <w:div w:id="1924531278">
      <w:bodyDiv w:val="1"/>
      <w:marLeft w:val="0"/>
      <w:marRight w:val="0"/>
      <w:marTop w:val="0"/>
      <w:marBottom w:val="0"/>
      <w:divBdr>
        <w:top w:val="none" w:sz="0" w:space="0" w:color="auto"/>
        <w:left w:val="none" w:sz="0" w:space="0" w:color="auto"/>
        <w:bottom w:val="none" w:sz="0" w:space="0" w:color="auto"/>
        <w:right w:val="none" w:sz="0" w:space="0" w:color="auto"/>
      </w:divBdr>
      <w:divsChild>
        <w:div w:id="1225291974">
          <w:marLeft w:val="0"/>
          <w:marRight w:val="0"/>
          <w:marTop w:val="0"/>
          <w:marBottom w:val="0"/>
          <w:divBdr>
            <w:top w:val="none" w:sz="0" w:space="0" w:color="auto"/>
            <w:left w:val="none" w:sz="0" w:space="0" w:color="auto"/>
            <w:bottom w:val="none" w:sz="0" w:space="0" w:color="auto"/>
            <w:right w:val="none" w:sz="0" w:space="0" w:color="auto"/>
          </w:divBdr>
          <w:divsChild>
            <w:div w:id="598829182">
              <w:marLeft w:val="0"/>
              <w:marRight w:val="0"/>
              <w:marTop w:val="0"/>
              <w:marBottom w:val="0"/>
              <w:divBdr>
                <w:top w:val="none" w:sz="0" w:space="0" w:color="auto"/>
                <w:left w:val="none" w:sz="0" w:space="0" w:color="auto"/>
                <w:bottom w:val="none" w:sz="0" w:space="0" w:color="auto"/>
                <w:right w:val="none" w:sz="0" w:space="0" w:color="auto"/>
              </w:divBdr>
              <w:divsChild>
                <w:div w:id="974799107">
                  <w:marLeft w:val="0"/>
                  <w:marRight w:val="0"/>
                  <w:marTop w:val="0"/>
                  <w:marBottom w:val="0"/>
                  <w:divBdr>
                    <w:top w:val="none" w:sz="0" w:space="0" w:color="auto"/>
                    <w:left w:val="none" w:sz="0" w:space="0" w:color="auto"/>
                    <w:bottom w:val="none" w:sz="0" w:space="0" w:color="auto"/>
                    <w:right w:val="none" w:sz="0" w:space="0" w:color="auto"/>
                  </w:divBdr>
                  <w:divsChild>
                    <w:div w:id="1026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8342">
      <w:bodyDiv w:val="1"/>
      <w:marLeft w:val="0"/>
      <w:marRight w:val="0"/>
      <w:marTop w:val="0"/>
      <w:marBottom w:val="0"/>
      <w:divBdr>
        <w:top w:val="none" w:sz="0" w:space="0" w:color="auto"/>
        <w:left w:val="none" w:sz="0" w:space="0" w:color="auto"/>
        <w:bottom w:val="none" w:sz="0" w:space="0" w:color="auto"/>
        <w:right w:val="none" w:sz="0" w:space="0" w:color="auto"/>
      </w:divBdr>
      <w:divsChild>
        <w:div w:id="245502310">
          <w:marLeft w:val="0"/>
          <w:marRight w:val="0"/>
          <w:marTop w:val="0"/>
          <w:marBottom w:val="0"/>
          <w:divBdr>
            <w:top w:val="none" w:sz="0" w:space="0" w:color="auto"/>
            <w:left w:val="none" w:sz="0" w:space="0" w:color="auto"/>
            <w:bottom w:val="none" w:sz="0" w:space="0" w:color="auto"/>
            <w:right w:val="none" w:sz="0" w:space="0" w:color="auto"/>
          </w:divBdr>
          <w:divsChild>
            <w:div w:id="787700788">
              <w:marLeft w:val="0"/>
              <w:marRight w:val="0"/>
              <w:marTop w:val="0"/>
              <w:marBottom w:val="0"/>
              <w:divBdr>
                <w:top w:val="none" w:sz="0" w:space="0" w:color="auto"/>
                <w:left w:val="none" w:sz="0" w:space="0" w:color="auto"/>
                <w:bottom w:val="none" w:sz="0" w:space="0" w:color="auto"/>
                <w:right w:val="none" w:sz="0" w:space="0" w:color="auto"/>
              </w:divBdr>
              <w:divsChild>
                <w:div w:id="2134861779">
                  <w:marLeft w:val="0"/>
                  <w:marRight w:val="0"/>
                  <w:marTop w:val="0"/>
                  <w:marBottom w:val="0"/>
                  <w:divBdr>
                    <w:top w:val="none" w:sz="0" w:space="0" w:color="auto"/>
                    <w:left w:val="none" w:sz="0" w:space="0" w:color="auto"/>
                    <w:bottom w:val="none" w:sz="0" w:space="0" w:color="auto"/>
                    <w:right w:val="none" w:sz="0" w:space="0" w:color="auto"/>
                  </w:divBdr>
                </w:div>
              </w:divsChild>
            </w:div>
            <w:div w:id="1494757089">
              <w:marLeft w:val="0"/>
              <w:marRight w:val="0"/>
              <w:marTop w:val="0"/>
              <w:marBottom w:val="0"/>
              <w:divBdr>
                <w:top w:val="none" w:sz="0" w:space="0" w:color="auto"/>
                <w:left w:val="none" w:sz="0" w:space="0" w:color="auto"/>
                <w:bottom w:val="none" w:sz="0" w:space="0" w:color="auto"/>
                <w:right w:val="none" w:sz="0" w:space="0" w:color="auto"/>
              </w:divBdr>
              <w:divsChild>
                <w:div w:id="1511139950">
                  <w:marLeft w:val="0"/>
                  <w:marRight w:val="0"/>
                  <w:marTop w:val="0"/>
                  <w:marBottom w:val="0"/>
                  <w:divBdr>
                    <w:top w:val="none" w:sz="0" w:space="0" w:color="auto"/>
                    <w:left w:val="none" w:sz="0" w:space="0" w:color="auto"/>
                    <w:bottom w:val="none" w:sz="0" w:space="0" w:color="auto"/>
                    <w:right w:val="none" w:sz="0" w:space="0" w:color="auto"/>
                  </w:divBdr>
                </w:div>
              </w:divsChild>
            </w:div>
            <w:div w:id="1705907080">
              <w:marLeft w:val="0"/>
              <w:marRight w:val="0"/>
              <w:marTop w:val="0"/>
              <w:marBottom w:val="0"/>
              <w:divBdr>
                <w:top w:val="none" w:sz="0" w:space="0" w:color="auto"/>
                <w:left w:val="none" w:sz="0" w:space="0" w:color="auto"/>
                <w:bottom w:val="none" w:sz="0" w:space="0" w:color="auto"/>
                <w:right w:val="none" w:sz="0" w:space="0" w:color="auto"/>
              </w:divBdr>
              <w:divsChild>
                <w:div w:id="15987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1278">
          <w:marLeft w:val="0"/>
          <w:marRight w:val="0"/>
          <w:marTop w:val="0"/>
          <w:marBottom w:val="0"/>
          <w:divBdr>
            <w:top w:val="none" w:sz="0" w:space="0" w:color="auto"/>
            <w:left w:val="none" w:sz="0" w:space="0" w:color="auto"/>
            <w:bottom w:val="none" w:sz="0" w:space="0" w:color="auto"/>
            <w:right w:val="none" w:sz="0" w:space="0" w:color="auto"/>
          </w:divBdr>
          <w:divsChild>
            <w:div w:id="250357567">
              <w:marLeft w:val="0"/>
              <w:marRight w:val="0"/>
              <w:marTop w:val="0"/>
              <w:marBottom w:val="0"/>
              <w:divBdr>
                <w:top w:val="none" w:sz="0" w:space="0" w:color="auto"/>
                <w:left w:val="none" w:sz="0" w:space="0" w:color="auto"/>
                <w:bottom w:val="none" w:sz="0" w:space="0" w:color="auto"/>
                <w:right w:val="none" w:sz="0" w:space="0" w:color="auto"/>
              </w:divBdr>
              <w:divsChild>
                <w:div w:id="46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903">
      <w:bodyDiv w:val="1"/>
      <w:marLeft w:val="0"/>
      <w:marRight w:val="0"/>
      <w:marTop w:val="0"/>
      <w:marBottom w:val="0"/>
      <w:divBdr>
        <w:top w:val="none" w:sz="0" w:space="0" w:color="auto"/>
        <w:left w:val="none" w:sz="0" w:space="0" w:color="auto"/>
        <w:bottom w:val="none" w:sz="0" w:space="0" w:color="auto"/>
        <w:right w:val="none" w:sz="0" w:space="0" w:color="auto"/>
      </w:divBdr>
    </w:div>
    <w:div w:id="1988630871">
      <w:bodyDiv w:val="1"/>
      <w:marLeft w:val="0"/>
      <w:marRight w:val="0"/>
      <w:marTop w:val="0"/>
      <w:marBottom w:val="0"/>
      <w:divBdr>
        <w:top w:val="none" w:sz="0" w:space="0" w:color="auto"/>
        <w:left w:val="none" w:sz="0" w:space="0" w:color="auto"/>
        <w:bottom w:val="none" w:sz="0" w:space="0" w:color="auto"/>
        <w:right w:val="none" w:sz="0" w:space="0" w:color="auto"/>
      </w:divBdr>
      <w:divsChild>
        <w:div w:id="626543644">
          <w:marLeft w:val="0"/>
          <w:marRight w:val="0"/>
          <w:marTop w:val="0"/>
          <w:marBottom w:val="0"/>
          <w:divBdr>
            <w:top w:val="none" w:sz="0" w:space="0" w:color="auto"/>
            <w:left w:val="none" w:sz="0" w:space="0" w:color="auto"/>
            <w:bottom w:val="none" w:sz="0" w:space="0" w:color="auto"/>
            <w:right w:val="none" w:sz="0" w:space="0" w:color="auto"/>
          </w:divBdr>
          <w:divsChild>
            <w:div w:id="1091271146">
              <w:marLeft w:val="0"/>
              <w:marRight w:val="0"/>
              <w:marTop w:val="0"/>
              <w:marBottom w:val="0"/>
              <w:divBdr>
                <w:top w:val="none" w:sz="0" w:space="0" w:color="auto"/>
                <w:left w:val="none" w:sz="0" w:space="0" w:color="auto"/>
                <w:bottom w:val="none" w:sz="0" w:space="0" w:color="auto"/>
                <w:right w:val="none" w:sz="0" w:space="0" w:color="auto"/>
              </w:divBdr>
              <w:divsChild>
                <w:div w:id="140386648">
                  <w:marLeft w:val="0"/>
                  <w:marRight w:val="0"/>
                  <w:marTop w:val="0"/>
                  <w:marBottom w:val="0"/>
                  <w:divBdr>
                    <w:top w:val="none" w:sz="0" w:space="0" w:color="auto"/>
                    <w:left w:val="none" w:sz="0" w:space="0" w:color="auto"/>
                    <w:bottom w:val="none" w:sz="0" w:space="0" w:color="auto"/>
                    <w:right w:val="none" w:sz="0" w:space="0" w:color="auto"/>
                  </w:divBdr>
                  <w:divsChild>
                    <w:div w:id="100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009">
      <w:bodyDiv w:val="1"/>
      <w:marLeft w:val="0"/>
      <w:marRight w:val="0"/>
      <w:marTop w:val="0"/>
      <w:marBottom w:val="0"/>
      <w:divBdr>
        <w:top w:val="none" w:sz="0" w:space="0" w:color="auto"/>
        <w:left w:val="none" w:sz="0" w:space="0" w:color="auto"/>
        <w:bottom w:val="none" w:sz="0" w:space="0" w:color="auto"/>
        <w:right w:val="none" w:sz="0" w:space="0" w:color="auto"/>
      </w:divBdr>
      <w:divsChild>
        <w:div w:id="19006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363535">
              <w:marLeft w:val="0"/>
              <w:marRight w:val="0"/>
              <w:marTop w:val="0"/>
              <w:marBottom w:val="0"/>
              <w:divBdr>
                <w:top w:val="none" w:sz="0" w:space="0" w:color="auto"/>
                <w:left w:val="none" w:sz="0" w:space="0" w:color="auto"/>
                <w:bottom w:val="none" w:sz="0" w:space="0" w:color="auto"/>
                <w:right w:val="none" w:sz="0" w:space="0" w:color="auto"/>
              </w:divBdr>
              <w:divsChild>
                <w:div w:id="1732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1065">
      <w:bodyDiv w:val="1"/>
      <w:marLeft w:val="0"/>
      <w:marRight w:val="0"/>
      <w:marTop w:val="0"/>
      <w:marBottom w:val="0"/>
      <w:divBdr>
        <w:top w:val="none" w:sz="0" w:space="0" w:color="auto"/>
        <w:left w:val="none" w:sz="0" w:space="0" w:color="auto"/>
        <w:bottom w:val="none" w:sz="0" w:space="0" w:color="auto"/>
        <w:right w:val="none" w:sz="0" w:space="0" w:color="auto"/>
      </w:divBdr>
    </w:div>
    <w:div w:id="2020041495">
      <w:bodyDiv w:val="1"/>
      <w:marLeft w:val="0"/>
      <w:marRight w:val="0"/>
      <w:marTop w:val="0"/>
      <w:marBottom w:val="0"/>
      <w:divBdr>
        <w:top w:val="none" w:sz="0" w:space="0" w:color="auto"/>
        <w:left w:val="none" w:sz="0" w:space="0" w:color="auto"/>
        <w:bottom w:val="none" w:sz="0" w:space="0" w:color="auto"/>
        <w:right w:val="none" w:sz="0" w:space="0" w:color="auto"/>
      </w:divBdr>
      <w:divsChild>
        <w:div w:id="2141727740">
          <w:marLeft w:val="0"/>
          <w:marRight w:val="0"/>
          <w:marTop w:val="0"/>
          <w:marBottom w:val="0"/>
          <w:divBdr>
            <w:top w:val="none" w:sz="0" w:space="0" w:color="auto"/>
            <w:left w:val="none" w:sz="0" w:space="0" w:color="auto"/>
            <w:bottom w:val="none" w:sz="0" w:space="0" w:color="auto"/>
            <w:right w:val="none" w:sz="0" w:space="0" w:color="auto"/>
          </w:divBdr>
          <w:divsChild>
            <w:div w:id="668866335">
              <w:marLeft w:val="0"/>
              <w:marRight w:val="0"/>
              <w:marTop w:val="0"/>
              <w:marBottom w:val="0"/>
              <w:divBdr>
                <w:top w:val="none" w:sz="0" w:space="0" w:color="auto"/>
                <w:left w:val="none" w:sz="0" w:space="0" w:color="auto"/>
                <w:bottom w:val="none" w:sz="0" w:space="0" w:color="auto"/>
                <w:right w:val="none" w:sz="0" w:space="0" w:color="auto"/>
              </w:divBdr>
              <w:divsChild>
                <w:div w:id="1750033076">
                  <w:marLeft w:val="0"/>
                  <w:marRight w:val="0"/>
                  <w:marTop w:val="0"/>
                  <w:marBottom w:val="0"/>
                  <w:divBdr>
                    <w:top w:val="none" w:sz="0" w:space="0" w:color="auto"/>
                    <w:left w:val="none" w:sz="0" w:space="0" w:color="auto"/>
                    <w:bottom w:val="none" w:sz="0" w:space="0" w:color="auto"/>
                    <w:right w:val="none" w:sz="0" w:space="0" w:color="auto"/>
                  </w:divBdr>
                  <w:divsChild>
                    <w:div w:id="28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257">
      <w:bodyDiv w:val="1"/>
      <w:marLeft w:val="0"/>
      <w:marRight w:val="0"/>
      <w:marTop w:val="0"/>
      <w:marBottom w:val="0"/>
      <w:divBdr>
        <w:top w:val="none" w:sz="0" w:space="0" w:color="auto"/>
        <w:left w:val="none" w:sz="0" w:space="0" w:color="auto"/>
        <w:bottom w:val="none" w:sz="0" w:space="0" w:color="auto"/>
        <w:right w:val="none" w:sz="0" w:space="0" w:color="auto"/>
      </w:divBdr>
      <w:divsChild>
        <w:div w:id="1606422072">
          <w:marLeft w:val="0"/>
          <w:marRight w:val="0"/>
          <w:marTop w:val="0"/>
          <w:marBottom w:val="0"/>
          <w:divBdr>
            <w:top w:val="none" w:sz="0" w:space="0" w:color="auto"/>
            <w:left w:val="none" w:sz="0" w:space="0" w:color="auto"/>
            <w:bottom w:val="none" w:sz="0" w:space="0" w:color="auto"/>
            <w:right w:val="none" w:sz="0" w:space="0" w:color="auto"/>
          </w:divBdr>
          <w:divsChild>
            <w:div w:id="145633372">
              <w:marLeft w:val="0"/>
              <w:marRight w:val="0"/>
              <w:marTop w:val="0"/>
              <w:marBottom w:val="0"/>
              <w:divBdr>
                <w:top w:val="none" w:sz="0" w:space="0" w:color="auto"/>
                <w:left w:val="none" w:sz="0" w:space="0" w:color="auto"/>
                <w:bottom w:val="none" w:sz="0" w:space="0" w:color="auto"/>
                <w:right w:val="none" w:sz="0" w:space="0" w:color="auto"/>
              </w:divBdr>
              <w:divsChild>
                <w:div w:id="830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0476">
      <w:bodyDiv w:val="1"/>
      <w:marLeft w:val="0"/>
      <w:marRight w:val="0"/>
      <w:marTop w:val="0"/>
      <w:marBottom w:val="0"/>
      <w:divBdr>
        <w:top w:val="none" w:sz="0" w:space="0" w:color="auto"/>
        <w:left w:val="none" w:sz="0" w:space="0" w:color="auto"/>
        <w:bottom w:val="none" w:sz="0" w:space="0" w:color="auto"/>
        <w:right w:val="none" w:sz="0" w:space="0" w:color="auto"/>
      </w:divBdr>
      <w:divsChild>
        <w:div w:id="301229657">
          <w:marLeft w:val="0"/>
          <w:marRight w:val="0"/>
          <w:marTop w:val="0"/>
          <w:marBottom w:val="0"/>
          <w:divBdr>
            <w:top w:val="none" w:sz="0" w:space="0" w:color="auto"/>
            <w:left w:val="none" w:sz="0" w:space="0" w:color="auto"/>
            <w:bottom w:val="none" w:sz="0" w:space="0" w:color="auto"/>
            <w:right w:val="none" w:sz="0" w:space="0" w:color="auto"/>
          </w:divBdr>
          <w:divsChild>
            <w:div w:id="523713974">
              <w:marLeft w:val="0"/>
              <w:marRight w:val="0"/>
              <w:marTop w:val="0"/>
              <w:marBottom w:val="0"/>
              <w:divBdr>
                <w:top w:val="none" w:sz="0" w:space="0" w:color="auto"/>
                <w:left w:val="none" w:sz="0" w:space="0" w:color="auto"/>
                <w:bottom w:val="none" w:sz="0" w:space="0" w:color="auto"/>
                <w:right w:val="none" w:sz="0" w:space="0" w:color="auto"/>
              </w:divBdr>
              <w:divsChild>
                <w:div w:id="2076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5480">
      <w:bodyDiv w:val="1"/>
      <w:marLeft w:val="0"/>
      <w:marRight w:val="0"/>
      <w:marTop w:val="0"/>
      <w:marBottom w:val="0"/>
      <w:divBdr>
        <w:top w:val="none" w:sz="0" w:space="0" w:color="auto"/>
        <w:left w:val="none" w:sz="0" w:space="0" w:color="auto"/>
        <w:bottom w:val="none" w:sz="0" w:space="0" w:color="auto"/>
        <w:right w:val="none" w:sz="0" w:space="0" w:color="auto"/>
      </w:divBdr>
    </w:div>
    <w:div w:id="2052341719">
      <w:bodyDiv w:val="1"/>
      <w:marLeft w:val="0"/>
      <w:marRight w:val="0"/>
      <w:marTop w:val="0"/>
      <w:marBottom w:val="0"/>
      <w:divBdr>
        <w:top w:val="none" w:sz="0" w:space="0" w:color="auto"/>
        <w:left w:val="none" w:sz="0" w:space="0" w:color="auto"/>
        <w:bottom w:val="none" w:sz="0" w:space="0" w:color="auto"/>
        <w:right w:val="none" w:sz="0" w:space="0" w:color="auto"/>
      </w:divBdr>
      <w:divsChild>
        <w:div w:id="1520268806">
          <w:marLeft w:val="0"/>
          <w:marRight w:val="0"/>
          <w:marTop w:val="0"/>
          <w:marBottom w:val="0"/>
          <w:divBdr>
            <w:top w:val="none" w:sz="0" w:space="0" w:color="auto"/>
            <w:left w:val="none" w:sz="0" w:space="0" w:color="auto"/>
            <w:bottom w:val="none" w:sz="0" w:space="0" w:color="auto"/>
            <w:right w:val="none" w:sz="0" w:space="0" w:color="auto"/>
          </w:divBdr>
          <w:divsChild>
            <w:div w:id="75054160">
              <w:marLeft w:val="0"/>
              <w:marRight w:val="0"/>
              <w:marTop w:val="0"/>
              <w:marBottom w:val="0"/>
              <w:divBdr>
                <w:top w:val="none" w:sz="0" w:space="0" w:color="auto"/>
                <w:left w:val="none" w:sz="0" w:space="0" w:color="auto"/>
                <w:bottom w:val="none" w:sz="0" w:space="0" w:color="auto"/>
                <w:right w:val="none" w:sz="0" w:space="0" w:color="auto"/>
              </w:divBdr>
              <w:divsChild>
                <w:div w:id="6664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6445">
      <w:bodyDiv w:val="1"/>
      <w:marLeft w:val="0"/>
      <w:marRight w:val="0"/>
      <w:marTop w:val="0"/>
      <w:marBottom w:val="0"/>
      <w:divBdr>
        <w:top w:val="none" w:sz="0" w:space="0" w:color="auto"/>
        <w:left w:val="none" w:sz="0" w:space="0" w:color="auto"/>
        <w:bottom w:val="none" w:sz="0" w:space="0" w:color="auto"/>
        <w:right w:val="none" w:sz="0" w:space="0" w:color="auto"/>
      </w:divBdr>
      <w:divsChild>
        <w:div w:id="1042825304">
          <w:marLeft w:val="0"/>
          <w:marRight w:val="0"/>
          <w:marTop w:val="0"/>
          <w:marBottom w:val="0"/>
          <w:divBdr>
            <w:top w:val="none" w:sz="0" w:space="0" w:color="auto"/>
            <w:left w:val="none" w:sz="0" w:space="0" w:color="auto"/>
            <w:bottom w:val="none" w:sz="0" w:space="0" w:color="auto"/>
            <w:right w:val="none" w:sz="0" w:space="0" w:color="auto"/>
          </w:divBdr>
          <w:divsChild>
            <w:div w:id="2096439847">
              <w:marLeft w:val="0"/>
              <w:marRight w:val="0"/>
              <w:marTop w:val="0"/>
              <w:marBottom w:val="0"/>
              <w:divBdr>
                <w:top w:val="none" w:sz="0" w:space="0" w:color="auto"/>
                <w:left w:val="none" w:sz="0" w:space="0" w:color="auto"/>
                <w:bottom w:val="none" w:sz="0" w:space="0" w:color="auto"/>
                <w:right w:val="none" w:sz="0" w:space="0" w:color="auto"/>
              </w:divBdr>
              <w:divsChild>
                <w:div w:id="2937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034">
      <w:bodyDiv w:val="1"/>
      <w:marLeft w:val="0"/>
      <w:marRight w:val="0"/>
      <w:marTop w:val="0"/>
      <w:marBottom w:val="0"/>
      <w:divBdr>
        <w:top w:val="none" w:sz="0" w:space="0" w:color="auto"/>
        <w:left w:val="none" w:sz="0" w:space="0" w:color="auto"/>
        <w:bottom w:val="none" w:sz="0" w:space="0" w:color="auto"/>
        <w:right w:val="none" w:sz="0" w:space="0" w:color="auto"/>
      </w:divBdr>
    </w:div>
    <w:div w:id="2082362665">
      <w:bodyDiv w:val="1"/>
      <w:marLeft w:val="0"/>
      <w:marRight w:val="0"/>
      <w:marTop w:val="0"/>
      <w:marBottom w:val="0"/>
      <w:divBdr>
        <w:top w:val="none" w:sz="0" w:space="0" w:color="auto"/>
        <w:left w:val="none" w:sz="0" w:space="0" w:color="auto"/>
        <w:bottom w:val="none" w:sz="0" w:space="0" w:color="auto"/>
        <w:right w:val="none" w:sz="0" w:space="0" w:color="auto"/>
      </w:divBdr>
    </w:div>
    <w:div w:id="2098014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tralianhealthsurvey" TargetMode="External"/><Relationship Id="rId18" Type="http://schemas.openxmlformats.org/officeDocument/2006/relationships/hyperlink" Target="http://healthstarrating.gov.au/internet/healthstarrating/publishing.nsf/Content/guide-for-industry-document" TargetMode="External"/><Relationship Id="rId26" Type="http://schemas.openxmlformats.org/officeDocument/2006/relationships/hyperlink" Target="http://www.foodstandards.gov.au/industry/labelling/Pages/Consumer-guide-to-NPSC.aspx"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foodstandards.gov.au/industry/labelling/Pages/Consumer-guide-to-NPSC.aspx" TargetMode="External"/><Relationship Id="rId34" Type="http://schemas.openxmlformats.org/officeDocument/2006/relationships/hyperlink" Target="http://foodregulation.gov.au/internet/fr/publishing.nsf/Content/labelling-of-sugars-on-packaged-foods-and-drinks" TargetMode="External"/><Relationship Id="rId42" Type="http://schemas.openxmlformats.org/officeDocument/2006/relationships/hyperlink" Target="https://www.heartfoundation.org.au/for-professionals/food-and-nutrition/what-is-foodtrac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atforhealth.gov.au/guidelines" TargetMode="External"/><Relationship Id="rId17" Type="http://schemas.openxmlformats.org/officeDocument/2006/relationships/hyperlink" Target="http://www.foodstandards.gov.au/Pages/default.aspx" TargetMode="External"/><Relationship Id="rId25" Type="http://schemas.openxmlformats.org/officeDocument/2006/relationships/hyperlink" Target="http://healthstarrating.gov.au/internet/healthstarrating/publishing.nsf/Content/guide-for-industry-document" TargetMode="External"/><Relationship Id="rId33" Type="http://schemas.openxmlformats.org/officeDocument/2006/relationships/hyperlink" Target="http://www.rethinksugarydrink.org.au/"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fofr/pages/default.aspx" TargetMode="External"/><Relationship Id="rId20" Type="http://schemas.openxmlformats.org/officeDocument/2006/relationships/hyperlink" Target="http://www.foodstandards.gov.au/consumer/labelling/panels/Pages/default.aspx" TargetMode="External"/><Relationship Id="rId29" Type="http://schemas.openxmlformats.org/officeDocument/2006/relationships/hyperlink" Target="https://www.health.govt.nz/our-work/diseases-and-conditions/obesity/childhood-obesity-plan/healthy-kids-industry-pledge" TargetMode="External"/><Relationship Id="rId41" Type="http://schemas.openxmlformats.org/officeDocument/2006/relationships/hyperlink" Target="http://healthstarrating.gov.au/internet/healthstarrating/publishing.nsf/Content/stakeholder-eng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pconsulting.com.au/blog/" TargetMode="External"/><Relationship Id="rId32" Type="http://schemas.openxmlformats.org/officeDocument/2006/relationships/hyperlink" Target="https://www.srasanz.org/" TargetMode="External"/><Relationship Id="rId37" Type="http://schemas.openxmlformats.org/officeDocument/2006/relationships/hyperlink" Target="http://www.healthstarrating.gov.au/internet/healthstarrating/publishing.nsf/Content/873516DC76D23EC2CA257DA500196043/$File/Register%20of%20Potential%20Anomalies.pdf" TargetMode="External"/><Relationship Id="rId40" Type="http://schemas.openxmlformats.org/officeDocument/2006/relationships/hyperlink" Target="https://consultations.health.gov.au/"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oodstandards.gov.au/code/Pages/default.aspx" TargetMode="External"/><Relationship Id="rId23" Type="http://schemas.openxmlformats.org/officeDocument/2006/relationships/hyperlink" Target="http://healthstarrating.gov.au/internet/healthstarrating/publishing.nsf/content/hsr-technical-advisory-group" TargetMode="External"/><Relationship Id="rId28" Type="http://schemas.openxmlformats.org/officeDocument/2006/relationships/hyperlink" Target="http://www.health.gov.au/internet/main/publishing.nsf/content/healthy-food-partnership" TargetMode="External"/><Relationship Id="rId36" Type="http://schemas.openxmlformats.org/officeDocument/2006/relationships/hyperlink" Target="http://www.health.gov.au/internet/main/publishing.nsf/Content/reformulation" TargetMode="External"/><Relationship Id="rId10" Type="http://schemas.openxmlformats.org/officeDocument/2006/relationships/header" Target="header1.xml"/><Relationship Id="rId19" Type="http://schemas.openxmlformats.org/officeDocument/2006/relationships/hyperlink" Target="http://healthstarrating.gov.au/internet/healthstarrating/publishing.nsf/content/hsrac" TargetMode="External"/><Relationship Id="rId31" Type="http://schemas.openxmlformats.org/officeDocument/2006/relationships/hyperlink" Target="https://www.fgc.org.nz/healthier-nzers" TargetMode="External"/><Relationship Id="rId44" Type="http://schemas.openxmlformats.org/officeDocument/2006/relationships/hyperlink" Target="http://www.foodandhealth.auckland.ac.nz/en/about/news/news-2014/2014/05/nutritrack.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s.gov.au/ausstats/abs@.nsf/Lookup/4363.0.55.001Chapter65062011-13" TargetMode="External"/><Relationship Id="rId22" Type="http://schemas.openxmlformats.org/officeDocument/2006/relationships/hyperlink" Target="http://healthstarrating.gov.au/internet/healthstarrating/publishing.nsf/Content/style-guide" TargetMode="External"/><Relationship Id="rId27" Type="http://schemas.openxmlformats.org/officeDocument/2006/relationships/hyperlink" Target="http://healthstarrating.gov.au/internet/healthstarrating/publishing.nsf/Content/6B596250A88252E0CA257FAE0004CD0F/$File/As%20prepared%20discussion%20paper%20-%20second%20round%20of%20public%20workshops.pdf" TargetMode="External"/><Relationship Id="rId30" Type="http://schemas.openxmlformats.org/officeDocument/2006/relationships/hyperlink" Target="http://www.health.gov.au/internet/main/publishing.nsf/content/health-irhd-pubs-healthy-bodies-need-healthy-drinks" TargetMode="External"/><Relationship Id="rId35" Type="http://schemas.openxmlformats.org/officeDocument/2006/relationships/hyperlink" Target="http://www.health.gov.au/internet/main/publishing.nsf/Content/reformulation" TargetMode="External"/><Relationship Id="rId43" Type="http://schemas.openxmlformats.org/officeDocument/2006/relationships/hyperlink" Target="https://www.foodswitch.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althstarrating.gov.au/internet/healthstarrating/publishing.nsf/Content/news-201808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ashleighkennedy\Library\Containers\com.apple.mail\Data\Library\Mail%20Downloads\87AE39E2-E386-4737-B7FB-A9F669206D1B\20180913%20-%20mpconsulting%205%20-%20total%20enhancements,%2025%20pt%20sugar%20table,%20protein%20tipping%20point%20at%2011%20-%20DEIDENTIFIED.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1"/>
              <a:t>Proportion of products in the TAG database</a:t>
            </a:r>
            <a:r>
              <a:rPr lang="en-US" sz="1200" b="1" baseline="0"/>
              <a:t> </a:t>
            </a:r>
            <a:r>
              <a:rPr lang="en-US" sz="1200" b="1"/>
              <a:t>impacted by proposed changes to the HSR System</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BC-A148-8029-17EA3DC8927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BC-A148-8029-17EA3DC8927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BC-A148-8029-17EA3DC892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Unchanged</c:v>
                </c:pt>
                <c:pt idx="1">
                  <c:v>Increased HSR</c:v>
                </c:pt>
                <c:pt idx="2">
                  <c:v>Decreased HSR </c:v>
                </c:pt>
              </c:strCache>
            </c:strRef>
          </c:cat>
          <c:val>
            <c:numRef>
              <c:f>Sheet1!$B$2:$B$4</c:f>
              <c:numCache>
                <c:formatCode>General</c:formatCode>
                <c:ptCount val="3"/>
                <c:pt idx="0">
                  <c:v>4894</c:v>
                </c:pt>
                <c:pt idx="1">
                  <c:v>482</c:v>
                </c:pt>
                <c:pt idx="2">
                  <c:v>509</c:v>
                </c:pt>
              </c:numCache>
            </c:numRef>
          </c:val>
          <c:extLst xmlns:c16r2="http://schemas.microsoft.com/office/drawing/2015/06/chart">
            <c:ext xmlns:c16="http://schemas.microsoft.com/office/drawing/2014/chart" uri="{C3380CC4-5D6E-409C-BE32-E72D297353CC}">
              <c16:uniqueId val="{00000006-A6BC-A148-8029-17EA3DC8927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885973335489668"/>
          <c:y val="0.44615521518714268"/>
          <c:w val="0.21892112933397134"/>
          <c:h val="0.262415597022974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D0E7D4-11A2-4D96-8C8C-6BA067DC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77</Pages>
  <Words>30346</Words>
  <Characters>172978</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HSR System Consultation Paper, October 2018</vt:lpstr>
    </vt:vector>
  </TitlesOfParts>
  <Manager/>
  <Company>mpconsulting</Company>
  <LinksUpToDate>false</LinksUpToDate>
  <CharactersWithSpaces>202919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 System Consultation Paper, October 2018</dc:title>
  <dc:subject/>
  <dc:creator/>
  <cp:keywords/>
  <dc:description/>
  <cp:lastModifiedBy>Department of Health</cp:lastModifiedBy>
  <cp:revision>27</cp:revision>
  <cp:lastPrinted>2018-10-11T23:54:00Z</cp:lastPrinted>
  <dcterms:created xsi:type="dcterms:W3CDTF">2018-09-26T07:40:00Z</dcterms:created>
  <dcterms:modified xsi:type="dcterms:W3CDTF">2018-10-14T21:38:00Z</dcterms:modified>
  <cp:category/>
</cp:coreProperties>
</file>