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64" w:rsidRDefault="009C4464" w:rsidP="00404116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Health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Star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Rating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System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Policy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Context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What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an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anomaly?</w:t>
      </w:r>
    </w:p>
    <w:p w:rsidR="009C4464" w:rsidRDefault="009C4464" w:rsidP="00404116">
      <w:pPr>
        <w:pStyle w:val="Heading2"/>
      </w:pPr>
      <w:r>
        <w:t>Background</w:t>
      </w:r>
    </w:p>
    <w:p w:rsidR="009C4464" w:rsidRDefault="009C4464" w:rsidP="00DA4BEF">
      <w:pPr>
        <w:pStyle w:val="BodyText"/>
        <w:spacing w:line="276" w:lineRule="auto"/>
        <w:ind w:left="0"/>
      </w:pPr>
      <w:r>
        <w:t>The develo</w:t>
      </w:r>
      <w:r>
        <w:rPr>
          <w:spacing w:val="-2"/>
        </w:rPr>
        <w:t>pm</w:t>
      </w:r>
      <w:r>
        <w:t>ent of</w:t>
      </w:r>
      <w:r>
        <w:rPr>
          <w:spacing w:val="-1"/>
        </w:rPr>
        <w:t xml:space="preserve"> </w:t>
      </w:r>
      <w:r>
        <w:t>the Health St</w:t>
      </w:r>
      <w:r>
        <w:rPr>
          <w:spacing w:val="-1"/>
        </w:rPr>
        <w:t>a</w:t>
      </w:r>
      <w:r>
        <w:t>r Rating (</w:t>
      </w:r>
      <w:r>
        <w:rPr>
          <w:spacing w:val="-2"/>
        </w:rPr>
        <w:t>H</w:t>
      </w:r>
      <w:r>
        <w:t>SR) system</w:t>
      </w:r>
      <w:r>
        <w:rPr>
          <w:spacing w:val="-2"/>
        </w:rPr>
        <w:t xml:space="preserve"> </w:t>
      </w:r>
      <w:r>
        <w:t>was guided by the Australia and New Zealand Food Regulation Ministerial Cou</w:t>
      </w:r>
      <w:r>
        <w:rPr>
          <w:spacing w:val="-3"/>
        </w:rPr>
        <w:t>n</w:t>
      </w:r>
      <w:r>
        <w:t>cil’s (now the Australia and New Zealand</w:t>
      </w:r>
    </w:p>
    <w:p w:rsidR="009C4464" w:rsidRDefault="009C4464" w:rsidP="00DA4B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Ministerial Forum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Food Regulation (Foru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Front of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ack Labelling Policy Statement</w:t>
      </w:r>
    </w:p>
    <w:p w:rsidR="009C4464" w:rsidRDefault="009C4464" w:rsidP="00DA4B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(2009</w:t>
      </w:r>
      <w:r>
        <w:rPr>
          <w:rFonts w:ascii="Times New Roman" w:eastAsia="Times New Roman" w:hAnsi="Times New Roman" w:cs="Times New Roman"/>
          <w:sz w:val="24"/>
          <w:szCs w:val="24"/>
        </w:rPr>
        <w:t>) and the Front-of-Pack Labelling (FoPL) Project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Objectives and Princi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 for the Development of 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 of pack labelling system.</w:t>
      </w:r>
      <w:proofErr w:type="gram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z w:val="24"/>
          <w:szCs w:val="24"/>
        </w:rPr>
        <w:t>together with Forum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icy decisions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during 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HSR system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 potential ano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alies.</w:t>
      </w:r>
    </w:p>
    <w:p w:rsidR="00DA4BEF" w:rsidRPr="00DA4BEF" w:rsidRDefault="00DA4BEF" w:rsidP="00DA4BEF">
      <w:pPr>
        <w:spacing w:after="0"/>
        <w:rPr>
          <w:sz w:val="20"/>
          <w:szCs w:val="20"/>
        </w:rPr>
      </w:pPr>
    </w:p>
    <w:p w:rsidR="009C4464" w:rsidRDefault="009C4464" w:rsidP="00404116">
      <w:pPr>
        <w:pStyle w:val="Heading2"/>
      </w:pPr>
      <w:r>
        <w:t>Context</w:t>
      </w:r>
    </w:p>
    <w:p w:rsidR="009C4464" w:rsidRDefault="009C4464" w:rsidP="009C4464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hanging="720"/>
      </w:pPr>
      <w:r>
        <w:t>The purpose of the HSR System</w:t>
      </w:r>
      <w:r>
        <w:rPr>
          <w:spacing w:val="-2"/>
        </w:rPr>
        <w:t xml:space="preserve"> </w:t>
      </w:r>
      <w:r>
        <w:t>is to provide</w:t>
      </w:r>
      <w:r>
        <w:rPr>
          <w:spacing w:val="-1"/>
        </w:rPr>
        <w:t xml:space="preserve"> </w:t>
      </w:r>
      <w:r>
        <w:t>convenient,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readily</w:t>
      </w:r>
    </w:p>
    <w:p w:rsidR="009C4464" w:rsidRDefault="009C4464" w:rsidP="003432A9">
      <w:pPr>
        <w:pStyle w:val="BodyText"/>
        <w:spacing w:before="41" w:line="275" w:lineRule="auto"/>
        <w:ind w:left="426" w:right="209"/>
      </w:pPr>
      <w:proofErr w:type="gramStart"/>
      <w:r>
        <w:t>understood</w:t>
      </w:r>
      <w:proofErr w:type="gramEnd"/>
      <w:r>
        <w:rPr>
          <w:spacing w:val="-2"/>
        </w:rPr>
        <w:t xml:space="preserve"> </w:t>
      </w:r>
      <w:r>
        <w:t>nutrition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packs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consu</w:t>
      </w:r>
      <w:r>
        <w:rPr>
          <w:spacing w:val="-2"/>
        </w:rPr>
        <w:t>m</w:t>
      </w:r>
      <w:r>
        <w:t xml:space="preserve">ers to </w:t>
      </w:r>
      <w:r>
        <w:rPr>
          <w:spacing w:val="-2"/>
        </w:rPr>
        <w:t>m</w:t>
      </w:r>
      <w:r>
        <w:t>ake infor</w:t>
      </w:r>
      <w:r>
        <w:rPr>
          <w:spacing w:val="-2"/>
        </w:rPr>
        <w:t>m</w:t>
      </w:r>
      <w:r>
        <w:t>ed food purchas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healthier</w:t>
      </w:r>
      <w:r>
        <w:rPr>
          <w:spacing w:val="-1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choices.</w:t>
      </w:r>
    </w:p>
    <w:p w:rsidR="009C4464" w:rsidRDefault="009C4464" w:rsidP="003432A9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left="426" w:hanging="426"/>
      </w:pPr>
      <w:r>
        <w:t>The</w:t>
      </w:r>
      <w:r w:rsidRPr="009C4464">
        <w:t xml:space="preserve"> </w:t>
      </w:r>
      <w:r>
        <w:t>priority</w:t>
      </w:r>
      <w:r w:rsidRPr="009C4464">
        <w:t xml:space="preserve"> </w:t>
      </w:r>
      <w:r>
        <w:t>focus</w:t>
      </w:r>
      <w:r w:rsidRPr="009C4464">
        <w:t xml:space="preserve"> </w:t>
      </w:r>
      <w:r>
        <w:t>of</w:t>
      </w:r>
      <w:r w:rsidRPr="009C4464">
        <w:t xml:space="preserve"> </w:t>
      </w:r>
      <w:r>
        <w:t>the</w:t>
      </w:r>
      <w:r w:rsidRPr="009C4464">
        <w:t xml:space="preserve"> </w:t>
      </w:r>
      <w:r>
        <w:t>HSR</w:t>
      </w:r>
      <w:r w:rsidRPr="009C4464">
        <w:t xml:space="preserve"> </w:t>
      </w:r>
      <w:r>
        <w:t>syst</w:t>
      </w:r>
      <w:r w:rsidRPr="009C4464">
        <w:t>e</w:t>
      </w:r>
      <w:r>
        <w:t>m</w:t>
      </w:r>
      <w:r w:rsidRPr="009C4464">
        <w:t xml:space="preserve"> </w:t>
      </w:r>
      <w:r>
        <w:t xml:space="preserve">is </w:t>
      </w:r>
      <w:r w:rsidRPr="009C4464">
        <w:t>package</w:t>
      </w:r>
      <w:r>
        <w:t>d</w:t>
      </w:r>
      <w:r w:rsidRPr="009C4464">
        <w:t xml:space="preserve"> foo</w:t>
      </w:r>
      <w:r>
        <w:t>d</w:t>
      </w:r>
      <w:r w:rsidRPr="009C4464">
        <w:t xml:space="preserve"> product</w:t>
      </w:r>
      <w:r>
        <w:t>s</w:t>
      </w:r>
      <w:r w:rsidRPr="009C4464">
        <w:t xml:space="preserve"> </w:t>
      </w:r>
      <w:r>
        <w:t>presented</w:t>
      </w:r>
      <w:r w:rsidRPr="009C4464">
        <w:t xml:space="preserve"> </w:t>
      </w:r>
      <w:r>
        <w:t>for</w:t>
      </w:r>
      <w:r w:rsidRPr="009C4464">
        <w:t xml:space="preserve"> </w:t>
      </w:r>
      <w:r>
        <w:t>retail sale</w:t>
      </w:r>
      <w:r w:rsidR="003432A9">
        <w:t xml:space="preserve"> </w:t>
      </w:r>
      <w:r>
        <w:t>through</w:t>
      </w:r>
      <w:r w:rsidRPr="009C4464">
        <w:t xml:space="preserve"> </w:t>
      </w:r>
      <w:r>
        <w:t>super</w:t>
      </w:r>
      <w:r w:rsidRPr="009C4464">
        <w:t>m</w:t>
      </w:r>
      <w:r>
        <w:t>arkets</w:t>
      </w:r>
      <w:r w:rsidRPr="009C4464">
        <w:t xml:space="preserve"> an</w:t>
      </w:r>
      <w:r>
        <w:t>d</w:t>
      </w:r>
      <w:r w:rsidRPr="009C4464">
        <w:t xml:space="preserve"> simila</w:t>
      </w:r>
      <w:r>
        <w:t>r</w:t>
      </w:r>
      <w:r w:rsidRPr="009C4464">
        <w:t xml:space="preserve"> retai</w:t>
      </w:r>
      <w:r>
        <w:t>l</w:t>
      </w:r>
      <w:r w:rsidRPr="009C4464">
        <w:t xml:space="preserve"> outlets.</w:t>
      </w:r>
    </w:p>
    <w:p w:rsidR="009C4464" w:rsidRDefault="009C4464" w:rsidP="003432A9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left="426" w:hanging="426"/>
      </w:pPr>
      <w:r>
        <w:t>The</w:t>
      </w:r>
      <w:r w:rsidRPr="009C4464">
        <w:t xml:space="preserve"> </w:t>
      </w:r>
      <w:r>
        <w:t>HSR</w:t>
      </w:r>
      <w:r w:rsidRPr="009C4464">
        <w:t xml:space="preserve"> </w:t>
      </w:r>
      <w:r>
        <w:t>system</w:t>
      </w:r>
      <w:r w:rsidRPr="009C4464">
        <w:t xml:space="preserve"> </w:t>
      </w:r>
      <w:r>
        <w:t>enables</w:t>
      </w:r>
      <w:r w:rsidRPr="009C4464">
        <w:t xml:space="preserve"> </w:t>
      </w:r>
      <w:r>
        <w:t>valid</w:t>
      </w:r>
      <w:r w:rsidRPr="009C4464">
        <w:t xml:space="preserve"> </w:t>
      </w:r>
      <w:r>
        <w:t>co</w:t>
      </w:r>
      <w:r w:rsidRPr="009C4464">
        <w:t>mp</w:t>
      </w:r>
      <w:r>
        <w:t>ari</w:t>
      </w:r>
      <w:r w:rsidRPr="009C4464">
        <w:t>s</w:t>
      </w:r>
      <w:r>
        <w:t>ons bet</w:t>
      </w:r>
      <w:r w:rsidRPr="009C4464">
        <w:t>w</w:t>
      </w:r>
      <w:r>
        <w:t xml:space="preserve">een foods based on agreed and consistent </w:t>
      </w:r>
      <w:r w:rsidRPr="009C4464">
        <w:t>m</w:t>
      </w:r>
      <w:r>
        <w:t>easures.  C</w:t>
      </w:r>
      <w:r w:rsidRPr="009C4464">
        <w:t>o</w:t>
      </w:r>
      <w:r>
        <w:t>mparisons are ena</w:t>
      </w:r>
      <w:r w:rsidRPr="009C4464">
        <w:t>b</w:t>
      </w:r>
      <w:r>
        <w:t>led in the fir</w:t>
      </w:r>
      <w:r w:rsidRPr="009C4464">
        <w:t>s</w:t>
      </w:r>
      <w:r>
        <w:t>t i</w:t>
      </w:r>
      <w:r w:rsidRPr="009C4464">
        <w:t>n</w:t>
      </w:r>
      <w:r>
        <w:t xml:space="preserve">stance </w:t>
      </w:r>
      <w:r w:rsidRPr="009C4464">
        <w:t>b</w:t>
      </w:r>
      <w:r>
        <w:t>et</w:t>
      </w:r>
      <w:r w:rsidRPr="009C4464">
        <w:t>w</w:t>
      </w:r>
      <w:r>
        <w:t>een packaged foods</w:t>
      </w:r>
      <w:r w:rsidRPr="009C4464">
        <w:t xml:space="preserve"> </w:t>
      </w:r>
      <w:r>
        <w:t>within</w:t>
      </w:r>
      <w:r w:rsidRPr="009C4464">
        <w:t xml:space="preserve"> </w:t>
      </w:r>
      <w:r>
        <w:t>a</w:t>
      </w:r>
      <w:r w:rsidRPr="009C4464">
        <w:t xml:space="preserve"> </w:t>
      </w:r>
      <w:r>
        <w:t>category,</w:t>
      </w:r>
      <w:r w:rsidRPr="009C4464">
        <w:t xml:space="preserve"> </w:t>
      </w:r>
      <w:r>
        <w:t>and</w:t>
      </w:r>
      <w:r w:rsidRPr="009C4464">
        <w:t xml:space="preserve"> </w:t>
      </w:r>
      <w:r>
        <w:t>as</w:t>
      </w:r>
      <w:r w:rsidRPr="009C4464">
        <w:t xml:space="preserve"> </w:t>
      </w:r>
      <w:r>
        <w:t>a</w:t>
      </w:r>
      <w:r w:rsidRPr="009C4464">
        <w:t xml:space="preserve"> secon</w:t>
      </w:r>
      <w:r>
        <w:t>d</w:t>
      </w:r>
      <w:r w:rsidRPr="009C4464">
        <w:t xml:space="preserve"> orde</w:t>
      </w:r>
      <w:r>
        <w:t>r</w:t>
      </w:r>
      <w:r w:rsidRPr="009C4464">
        <w:t xml:space="preserve"> betwee</w:t>
      </w:r>
      <w:r>
        <w:t>n</w:t>
      </w:r>
      <w:r w:rsidRPr="009C4464">
        <w:t xml:space="preserve"> foo</w:t>
      </w:r>
      <w:r>
        <w:t>d</w:t>
      </w:r>
      <w:r w:rsidRPr="009C4464">
        <w:t xml:space="preserve"> categories.</w:t>
      </w:r>
    </w:p>
    <w:p w:rsidR="009C4464" w:rsidRDefault="009C4464" w:rsidP="003432A9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left="426" w:hanging="426"/>
      </w:pPr>
      <w:r w:rsidRPr="009C4464">
        <w:t>Th</w:t>
      </w:r>
      <w:r>
        <w:t>e</w:t>
      </w:r>
      <w:r w:rsidRPr="009C4464">
        <w:t xml:space="preserve"> HS</w:t>
      </w:r>
      <w:r>
        <w:t>R</w:t>
      </w:r>
      <w:r w:rsidRPr="009C4464">
        <w:t xml:space="preserve"> i</w:t>
      </w:r>
      <w:r>
        <w:t>s</w:t>
      </w:r>
      <w:r w:rsidRPr="009C4464">
        <w:t xml:space="preserve"> calculate</w:t>
      </w:r>
      <w:r>
        <w:t>d</w:t>
      </w:r>
      <w:r w:rsidRPr="009C4464">
        <w:t xml:space="preserve"> usin</w:t>
      </w:r>
      <w:r>
        <w:t>g</w:t>
      </w:r>
      <w:r w:rsidRPr="009C4464">
        <w:t xml:space="preserve"> th</w:t>
      </w:r>
      <w:r>
        <w:t>e</w:t>
      </w:r>
      <w:r w:rsidRPr="009C4464">
        <w:t xml:space="preserve"> HS</w:t>
      </w:r>
      <w:r>
        <w:t>R</w:t>
      </w:r>
      <w:r w:rsidRPr="009C4464">
        <w:t xml:space="preserve"> C</w:t>
      </w:r>
      <w:r>
        <w:t>a</w:t>
      </w:r>
      <w:r w:rsidRPr="009C4464">
        <w:t>lculator</w:t>
      </w:r>
      <w:r>
        <w:t>,</w:t>
      </w:r>
      <w:r w:rsidRPr="009C4464">
        <w:t xml:space="preserve"> whic</w:t>
      </w:r>
      <w:r>
        <w:t>h</w:t>
      </w:r>
      <w:r w:rsidRPr="009C4464">
        <w:t xml:space="preserve"> analyse</w:t>
      </w:r>
      <w:r>
        <w:t>s</w:t>
      </w:r>
      <w:r w:rsidRPr="009C4464">
        <w:t xml:space="preserve"> agree</w:t>
      </w:r>
      <w:r>
        <w:t>d</w:t>
      </w:r>
      <w:r w:rsidRPr="009C4464">
        <w:t xml:space="preserve"> food </w:t>
      </w:r>
      <w:r>
        <w:t>co</w:t>
      </w:r>
      <w:r w:rsidRPr="009C4464">
        <w:t>m</w:t>
      </w:r>
      <w:r>
        <w:t>ponents,</w:t>
      </w:r>
      <w:r w:rsidRPr="009C4464">
        <w:t xml:space="preserve"> </w:t>
      </w:r>
      <w:r>
        <w:t>specifically</w:t>
      </w:r>
      <w:r w:rsidRPr="009C4464">
        <w:t xml:space="preserve"> </w:t>
      </w:r>
      <w:r>
        <w:t>energy,</w:t>
      </w:r>
      <w:r w:rsidRPr="009C4464">
        <w:t xml:space="preserve"> </w:t>
      </w:r>
      <w:r>
        <w:t>saturated</w:t>
      </w:r>
      <w:r w:rsidRPr="009C4464">
        <w:t xml:space="preserve"> </w:t>
      </w:r>
      <w:r>
        <w:t>f</w:t>
      </w:r>
      <w:r w:rsidRPr="009C4464">
        <w:t>a</w:t>
      </w:r>
      <w:r>
        <w:t>t,</w:t>
      </w:r>
      <w:r w:rsidRPr="009C4464">
        <w:t xml:space="preserve"> </w:t>
      </w:r>
      <w:r>
        <w:t>total</w:t>
      </w:r>
      <w:r w:rsidRPr="009C4464">
        <w:t xml:space="preserve"> </w:t>
      </w:r>
      <w:r>
        <w:t>sugars,</w:t>
      </w:r>
      <w:r w:rsidRPr="009C4464">
        <w:t xml:space="preserve"> </w:t>
      </w:r>
      <w:r>
        <w:t>sodiu</w:t>
      </w:r>
      <w:r w:rsidRPr="009C4464">
        <w:t>m</w:t>
      </w:r>
      <w:r>
        <w:t>,</w:t>
      </w:r>
      <w:r w:rsidRPr="009C4464">
        <w:t xml:space="preserve"> </w:t>
      </w:r>
      <w:r>
        <w:t>protein,</w:t>
      </w:r>
      <w:r w:rsidRPr="009C4464">
        <w:t xml:space="preserve"> </w:t>
      </w:r>
      <w:r>
        <w:t xml:space="preserve">dietary </w:t>
      </w:r>
      <w:r w:rsidRPr="009C4464">
        <w:t>f</w:t>
      </w:r>
      <w:r>
        <w:t xml:space="preserve">ibre, and </w:t>
      </w:r>
      <w:r w:rsidRPr="009C4464">
        <w:t>fr</w:t>
      </w:r>
      <w:r>
        <w:t>uit/</w:t>
      </w:r>
      <w:r w:rsidRPr="009C4464">
        <w:t>v</w:t>
      </w:r>
      <w:r>
        <w:t>egeta</w:t>
      </w:r>
      <w:r w:rsidRPr="009C4464">
        <w:t>b</w:t>
      </w:r>
      <w:r>
        <w:t>le/nut/legu</w:t>
      </w:r>
      <w:r w:rsidRPr="009C4464">
        <w:t>m</w:t>
      </w:r>
      <w:r>
        <w:t>e (FVNL) content in or</w:t>
      </w:r>
      <w:r w:rsidRPr="009C4464">
        <w:t>d</w:t>
      </w:r>
      <w:r>
        <w:t xml:space="preserve">er to </w:t>
      </w:r>
      <w:r w:rsidRPr="009C4464">
        <w:t>c</w:t>
      </w:r>
      <w:r>
        <w:t>alc</w:t>
      </w:r>
      <w:r w:rsidRPr="009C4464">
        <w:t>u</w:t>
      </w:r>
      <w:r>
        <w:t>l</w:t>
      </w:r>
      <w:r w:rsidRPr="009C4464">
        <w:t>a</w:t>
      </w:r>
      <w:r>
        <w:t xml:space="preserve">te a </w:t>
      </w:r>
      <w:r w:rsidRPr="009C4464">
        <w:t>s</w:t>
      </w:r>
      <w:r>
        <w:t xml:space="preserve">tar </w:t>
      </w:r>
      <w:r w:rsidRPr="009C4464">
        <w:t>rating.</w:t>
      </w:r>
    </w:p>
    <w:p w:rsidR="009C4464" w:rsidRDefault="009C4464" w:rsidP="003432A9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left="426" w:hanging="426"/>
      </w:pPr>
      <w:r>
        <w:t>The</w:t>
      </w:r>
      <w:r w:rsidRPr="009C4464">
        <w:t xml:space="preserve"> </w:t>
      </w:r>
      <w:r>
        <w:t>HSR</w:t>
      </w:r>
      <w:r w:rsidRPr="009C4464">
        <w:t xml:space="preserve"> </w:t>
      </w:r>
      <w:r>
        <w:t>is</w:t>
      </w:r>
      <w:r w:rsidRPr="009C4464">
        <w:t xml:space="preserve"> </w:t>
      </w:r>
      <w:r>
        <w:t>intended</w:t>
      </w:r>
      <w:r w:rsidRPr="009C4464">
        <w:t xml:space="preserve"> </w:t>
      </w:r>
      <w:r>
        <w:t>to</w:t>
      </w:r>
      <w:r w:rsidRPr="009C4464">
        <w:t xml:space="preserve"> </w:t>
      </w:r>
      <w:r>
        <w:t>interpret</w:t>
      </w:r>
      <w:r w:rsidRPr="009C4464">
        <w:t xml:space="preserve"> </w:t>
      </w:r>
      <w:r>
        <w:t>the</w:t>
      </w:r>
      <w:r w:rsidRPr="009C4464">
        <w:t xml:space="preserve"> </w:t>
      </w:r>
      <w:r>
        <w:t>bal</w:t>
      </w:r>
      <w:r w:rsidRPr="009C4464">
        <w:t>a</w:t>
      </w:r>
      <w:r>
        <w:t>nce of agreed food co</w:t>
      </w:r>
      <w:r w:rsidRPr="009C4464">
        <w:t>m</w:t>
      </w:r>
      <w:r>
        <w:t>ponents and guide consu</w:t>
      </w:r>
      <w:r w:rsidRPr="009C4464">
        <w:t>m</w:t>
      </w:r>
      <w:r>
        <w:t>er choice based on the product’s nutr</w:t>
      </w:r>
      <w:r w:rsidRPr="009C4464">
        <w:t>i</w:t>
      </w:r>
      <w:r>
        <w:t>tional</w:t>
      </w:r>
      <w:r w:rsidRPr="009C4464">
        <w:t xml:space="preserve"> </w:t>
      </w:r>
      <w:r>
        <w:t>qualities.</w:t>
      </w:r>
      <w:r w:rsidRPr="009C4464">
        <w:t xml:space="preserve"> </w:t>
      </w:r>
      <w:r>
        <w:t>It</w:t>
      </w:r>
      <w:r w:rsidRPr="009C4464">
        <w:t xml:space="preserve"> </w:t>
      </w:r>
      <w:r>
        <w:t>is</w:t>
      </w:r>
      <w:r w:rsidRPr="009C4464">
        <w:t xml:space="preserve"> </w:t>
      </w:r>
      <w:r>
        <w:t>not</w:t>
      </w:r>
      <w:r w:rsidRPr="009C4464">
        <w:t xml:space="preserve"> </w:t>
      </w:r>
      <w:r>
        <w:t>intended</w:t>
      </w:r>
      <w:r w:rsidRPr="009C4464">
        <w:t xml:space="preserve"> </w:t>
      </w:r>
      <w:r>
        <w:t>to guide the portions or volu</w:t>
      </w:r>
      <w:r w:rsidRPr="009C4464">
        <w:t>m</w:t>
      </w:r>
      <w:r>
        <w:t>es consu</w:t>
      </w:r>
      <w:r w:rsidRPr="009C4464">
        <w:t>m</w:t>
      </w:r>
      <w:r>
        <w:t>ed.</w:t>
      </w:r>
    </w:p>
    <w:p w:rsidR="009C4464" w:rsidRPr="009C4464" w:rsidRDefault="009C4464" w:rsidP="003432A9">
      <w:pPr>
        <w:pStyle w:val="BodyText"/>
        <w:numPr>
          <w:ilvl w:val="0"/>
          <w:numId w:val="2"/>
        </w:numPr>
        <w:tabs>
          <w:tab w:val="left" w:pos="426"/>
        </w:tabs>
        <w:spacing w:line="294" w:lineRule="exact"/>
        <w:ind w:left="426" w:hanging="426"/>
      </w:pPr>
      <w:r w:rsidRPr="009C4464">
        <w:t xml:space="preserve">Packaged water as regulated in the Australia New Zealand Food Standard Code </w:t>
      </w:r>
      <w:r w:rsidRPr="003432A9">
        <w:rPr>
          <w:i/>
        </w:rPr>
        <w:t>Standard 2.6.2 – Non-alcoholic Beverages and Brewed Soft Drinks</w:t>
      </w:r>
      <w:r w:rsidRPr="009C4464">
        <w:t xml:space="preserve"> receives an automatic 5-star rating.</w:t>
      </w:r>
    </w:p>
    <w:p w:rsidR="00E75E95" w:rsidRDefault="00E75E95" w:rsidP="003432A9">
      <w:pPr>
        <w:spacing w:after="0" w:line="200" w:lineRule="exact"/>
        <w:rPr>
          <w:sz w:val="20"/>
          <w:szCs w:val="20"/>
        </w:rPr>
      </w:pPr>
    </w:p>
    <w:p w:rsidR="009C4464" w:rsidRDefault="009C4464" w:rsidP="00404116">
      <w:pPr>
        <w:pStyle w:val="Heading2"/>
      </w:pPr>
      <w:r>
        <w:t>Anomalies</w:t>
      </w:r>
    </w:p>
    <w:p w:rsidR="009C4464" w:rsidRDefault="009C4464" w:rsidP="003432A9">
      <w:pPr>
        <w:pStyle w:val="BodyText"/>
        <w:spacing w:after="120" w:line="274" w:lineRule="exact"/>
        <w:ind w:left="0"/>
      </w:pPr>
      <w:r>
        <w:t>The HSR system</w:t>
      </w:r>
      <w:r>
        <w:rPr>
          <w:spacing w:val="-2"/>
        </w:rPr>
        <w:t xml:space="preserve"> </w:t>
      </w:r>
      <w:r>
        <w:t>should:</w:t>
      </w:r>
    </w:p>
    <w:p w:rsidR="009C4464" w:rsidRPr="003432A9" w:rsidRDefault="009C4464" w:rsidP="003432A9">
      <w:pPr>
        <w:pStyle w:val="BodyText"/>
        <w:numPr>
          <w:ilvl w:val="0"/>
          <w:numId w:val="3"/>
        </w:numPr>
        <w:tabs>
          <w:tab w:val="left" w:pos="839"/>
        </w:tabs>
      </w:pPr>
      <w:r>
        <w:t>be consistent with the Australi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Dietar</w:t>
      </w:r>
      <w:r>
        <w:t>y</w:t>
      </w:r>
      <w:r>
        <w:rPr>
          <w:spacing w:val="-1"/>
        </w:rPr>
        <w:t xml:space="preserve"> Guideline</w:t>
      </w:r>
      <w:r>
        <w:t>s</w:t>
      </w:r>
      <w:r>
        <w:rPr>
          <w:spacing w:val="-1"/>
        </w:rPr>
        <w:t xml:space="preserve"> (ADG)</w:t>
      </w:r>
      <w:r>
        <w:t>;</w:t>
      </w:r>
      <w:r>
        <w:rPr>
          <w:spacing w:val="-1"/>
        </w:rPr>
        <w:t xml:space="preserve"> and</w:t>
      </w:r>
    </w:p>
    <w:p w:rsidR="003432A9" w:rsidRDefault="009C4464" w:rsidP="00C90447">
      <w:pPr>
        <w:pStyle w:val="BodyText"/>
        <w:numPr>
          <w:ilvl w:val="0"/>
          <w:numId w:val="3"/>
        </w:numPr>
        <w:tabs>
          <w:tab w:val="left" w:pos="833"/>
        </w:tabs>
        <w:spacing w:after="120"/>
        <w:ind w:left="714" w:hanging="357"/>
      </w:pPr>
      <w:proofErr w:type="gramStart"/>
      <w:r>
        <w:t>enable</w:t>
      </w:r>
      <w:proofErr w:type="gramEnd"/>
      <w:r w:rsidRPr="003432A9">
        <w:t xml:space="preserve"> </w:t>
      </w:r>
      <w:r>
        <w:t>valid</w:t>
      </w:r>
      <w:r w:rsidRPr="003432A9">
        <w:t xml:space="preserve"> </w:t>
      </w:r>
      <w:r>
        <w:t>co</w:t>
      </w:r>
      <w:r w:rsidRPr="003432A9">
        <w:t>m</w:t>
      </w:r>
      <w:r>
        <w:t>parisons</w:t>
      </w:r>
      <w:r w:rsidRPr="003432A9">
        <w:t xml:space="preserve"> </w:t>
      </w:r>
      <w:r>
        <w:t>between</w:t>
      </w:r>
      <w:r w:rsidRPr="003432A9">
        <w:t xml:space="preserve"> </w:t>
      </w:r>
      <w:r>
        <w:t>foods</w:t>
      </w:r>
      <w:r w:rsidRPr="003432A9">
        <w:t xml:space="preserve"> </w:t>
      </w:r>
      <w:r>
        <w:t>b</w:t>
      </w:r>
      <w:r w:rsidRPr="003432A9">
        <w:t>a</w:t>
      </w:r>
      <w:r>
        <w:t>sed on agreed food co</w:t>
      </w:r>
      <w:r w:rsidRPr="003432A9">
        <w:t>m</w:t>
      </w:r>
      <w:r>
        <w:t>ponents (energy, saturated fat, total sugars, sodiu</w:t>
      </w:r>
      <w:r w:rsidRPr="003432A9">
        <w:rPr>
          <w:spacing w:val="-2"/>
        </w:rPr>
        <w:t>m</w:t>
      </w:r>
      <w:r>
        <w:t>,</w:t>
      </w:r>
      <w:r w:rsidRPr="003432A9">
        <w:rPr>
          <w:spacing w:val="-1"/>
        </w:rPr>
        <w:t xml:space="preserve"> </w:t>
      </w:r>
      <w:r>
        <w:t>p</w:t>
      </w:r>
      <w:r w:rsidRPr="003432A9">
        <w:rPr>
          <w:spacing w:val="1"/>
        </w:rPr>
        <w:t>r</w:t>
      </w:r>
      <w:r>
        <w:t>otein, dietary fibre and FVNL).</w:t>
      </w:r>
    </w:p>
    <w:p w:rsidR="009C4464" w:rsidRDefault="009C4464" w:rsidP="00DA4BEF">
      <w:pPr>
        <w:pStyle w:val="BodyText"/>
        <w:spacing w:before="3" w:line="276" w:lineRule="auto"/>
        <w:ind w:left="0" w:right="346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HSR</w:t>
      </w:r>
      <w:r>
        <w:rPr>
          <w:spacing w:val="-1"/>
        </w:rPr>
        <w:t xml:space="preserve"> </w:t>
      </w:r>
      <w:r>
        <w:t>syst</w:t>
      </w:r>
      <w:r>
        <w:rPr>
          <w:spacing w:val="1"/>
        </w:rPr>
        <w:t>e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ano</w:t>
      </w:r>
      <w:r>
        <w:rPr>
          <w:spacing w:val="-2"/>
        </w:rPr>
        <w:t>m</w:t>
      </w:r>
      <w:r>
        <w:t>aly</w:t>
      </w:r>
      <w:r>
        <w:rPr>
          <w:spacing w:val="-1"/>
        </w:rPr>
        <w:t xml:space="preserve"> </w:t>
      </w:r>
      <w:r>
        <w:t xml:space="preserve">occurs when a star rating is inconsistent with the ADG, or when used to </w:t>
      </w:r>
      <w:r>
        <w:rPr>
          <w:spacing w:val="-2"/>
        </w:rPr>
        <w:t>m</w:t>
      </w:r>
      <w:r>
        <w:t>ake co</w:t>
      </w:r>
      <w:r>
        <w:rPr>
          <w:spacing w:val="-2"/>
        </w:rPr>
        <w:t>m</w:t>
      </w:r>
      <w:r>
        <w:t xml:space="preserve">parisons within a </w:t>
      </w:r>
      <w:r>
        <w:rPr>
          <w:spacing w:val="-2"/>
        </w:rPr>
        <w:t>f</w:t>
      </w:r>
      <w:r>
        <w:t>ood category or across co</w:t>
      </w:r>
      <w:r>
        <w:rPr>
          <w:spacing w:val="-2"/>
        </w:rPr>
        <w:t>m</w:t>
      </w:r>
      <w:r>
        <w:rPr>
          <w:spacing w:val="-1"/>
        </w:rPr>
        <w:t>p</w:t>
      </w:r>
      <w:r>
        <w:t>arable food categories would mislead cons</w:t>
      </w:r>
      <w:r>
        <w:rPr>
          <w:spacing w:val="-2"/>
        </w:rPr>
        <w:t>um</w:t>
      </w:r>
      <w:r>
        <w:t>ers.  The HSR Advisory Com</w:t>
      </w:r>
      <w:r>
        <w:rPr>
          <w:spacing w:val="-2"/>
        </w:rPr>
        <w:t>m</w:t>
      </w:r>
      <w:r>
        <w:t>ittee will take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considerations.</w:t>
      </w:r>
    </w:p>
    <w:p w:rsidR="009A636E" w:rsidRDefault="009A636E" w:rsidP="009C4464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9A636E" w:rsidSect="009A636E">
          <w:footerReference w:type="default" r:id="rId9"/>
          <w:footerReference w:type="first" r:id="rId10"/>
          <w:pgSz w:w="11906" w:h="16838"/>
          <w:pgMar w:top="1440" w:right="1440" w:bottom="1276" w:left="1440" w:header="708" w:footer="0" w:gutter="0"/>
          <w:cols w:space="708"/>
          <w:titlePg/>
          <w:docGrid w:linePitch="360"/>
        </w:sectPr>
      </w:pPr>
    </w:p>
    <w:p w:rsidR="003741EE" w:rsidRDefault="003741EE" w:rsidP="00404116">
      <w:pPr>
        <w:pStyle w:val="Heading2"/>
        <w:spacing w:before="100" w:beforeAutospacing="1" w:after="240"/>
        <w:ind w:left="221"/>
      </w:pPr>
      <w:r>
        <w:lastRenderedPageBreak/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</w:t>
      </w:r>
      <w:r>
        <w:rPr>
          <w:spacing w:val="-1"/>
        </w:rPr>
        <w:t>eratio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anomalie</w:t>
      </w:r>
      <w:r>
        <w:t>s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Star</w:t>
      </w:r>
      <w:r>
        <w:rPr>
          <w:spacing w:val="-1"/>
        </w:rPr>
        <w:t xml:space="preserve"> Ratin</w:t>
      </w:r>
      <w:r>
        <w:t>g</w:t>
      </w:r>
      <w:r>
        <w:rPr>
          <w:spacing w:val="-1"/>
        </w:rPr>
        <w:t xml:space="preserve"> Calculator</w:t>
      </w:r>
    </w:p>
    <w:p w:rsidR="003741EE" w:rsidRDefault="003741EE" w:rsidP="003741EE">
      <w:pPr>
        <w:pStyle w:val="Heading2"/>
        <w:spacing w:before="0" w:after="120"/>
        <w:ind w:left="221"/>
      </w:pPr>
      <w:r>
        <w:t>All applic</w:t>
      </w:r>
      <w:r>
        <w:rPr>
          <w:spacing w:val="-2"/>
        </w:rPr>
        <w:t>a</w:t>
      </w:r>
      <w:r>
        <w:rPr>
          <w:spacing w:val="-1"/>
        </w:rPr>
        <w:t>t</w:t>
      </w:r>
      <w:r>
        <w:t>ions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670"/>
        <w:gridCol w:w="8351"/>
      </w:tblGrid>
      <w:tr w:rsidR="00987642" w:rsidRPr="00987642" w:rsidTr="003741EE">
        <w:tc>
          <w:tcPr>
            <w:tcW w:w="596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Cs w:val="0"/>
              </w:rPr>
            </w:pPr>
            <w:r w:rsidRPr="00987642">
              <w:rPr>
                <w:bCs w:val="0"/>
              </w:rPr>
              <w:t>Step</w:t>
            </w:r>
          </w:p>
        </w:tc>
        <w:tc>
          <w:tcPr>
            <w:tcW w:w="8425" w:type="dxa"/>
          </w:tcPr>
          <w:p w:rsidR="00987642" w:rsidRPr="00987642" w:rsidRDefault="00987642" w:rsidP="000210C7">
            <w:pPr>
              <w:pStyle w:val="TableParagraph"/>
              <w:spacing w:line="276" w:lineRule="exact"/>
              <w:ind w:left="92" w:right="5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425" w:type="dxa"/>
          </w:tcPr>
          <w:p w:rsidR="003741EE" w:rsidRDefault="003741EE" w:rsidP="0043022D">
            <w:pPr>
              <w:pStyle w:val="TableParagraph"/>
              <w:spacing w:line="276" w:lineRule="exact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f-Pack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Labelling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(FoPL)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Secretariat, using agreed 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425" w:type="dxa"/>
          </w:tcPr>
          <w:p w:rsidR="003741EE" w:rsidRDefault="003741EE" w:rsidP="0043022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to conduct application pre-scr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  <w:p w:rsidR="003741EE" w:rsidRDefault="003741EE" w:rsidP="004302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provided.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425" w:type="dxa"/>
          </w:tcPr>
          <w:p w:rsidR="003741EE" w:rsidRDefault="003741EE" w:rsidP="0043022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Receipt of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 acknowledged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cretariat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741EE" w:rsidRDefault="003741EE" w:rsidP="004302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 (form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letter).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425" w:type="dxa"/>
          </w:tcPr>
          <w:p w:rsidR="003741EE" w:rsidRDefault="003741EE" w:rsidP="0043022D">
            <w:pPr>
              <w:pStyle w:val="TableParagraph"/>
              <w:spacing w:line="276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based register of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issions updat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with brief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(det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425" w:type="dxa"/>
          </w:tcPr>
          <w:p w:rsidR="003741EE" w:rsidRDefault="003741EE" w:rsidP="0043022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idered by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Health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Rating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visory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ittee</w:t>
            </w:r>
          </w:p>
          <w:p w:rsidR="003741EE" w:rsidRDefault="003741EE" w:rsidP="0043022D">
            <w:pPr>
              <w:pStyle w:val="TableParagraph"/>
              <w:spacing w:after="12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(HSRAC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nex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schedule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eetin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g or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out-of-session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(via e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ail/telec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erence) 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here t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ere is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m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than 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0 working days be</w:t>
            </w:r>
            <w:r w:rsidRPr="00847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the next scheduled </w:t>
            </w:r>
            <w:r w:rsidRPr="00847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eeting.</w:t>
            </w:r>
          </w:p>
          <w:p w:rsidR="003741EE" w:rsidRDefault="003741EE" w:rsidP="0042502E">
            <w:pPr>
              <w:pStyle w:val="TableParagraph"/>
              <w:spacing w:after="120"/>
              <w:ind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Factual cover paper developed by the FoPL Secretariat to facilitate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HSRAC consideration of sub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ission.</w:t>
            </w:r>
            <w:r w:rsidR="00425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The FoPL Secretariat requires fifteen working days to prepare the factual cover paper for HSRAC consideration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EE" w:rsidTr="003741EE">
        <w:tc>
          <w:tcPr>
            <w:tcW w:w="596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8425" w:type="dxa"/>
          </w:tcPr>
          <w:p w:rsidR="003741EE" w:rsidRDefault="003741EE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Applicant notified of HSRAC’s consideration (form letter) – </w:t>
            </w:r>
            <w:proofErr w:type="spellStart"/>
            <w:r>
              <w:rPr>
                <w:b w:val="0"/>
                <w:bCs w:val="0"/>
              </w:rPr>
              <w:t>eg</w:t>
            </w:r>
            <w:proofErr w:type="spellEnd"/>
            <w:r>
              <w:rPr>
                <w:b w:val="0"/>
                <w:bCs w:val="0"/>
              </w:rPr>
              <w:t xml:space="preserve">. Application closed, application referred for technical advice / consideration by the </w:t>
            </w:r>
            <w:r w:rsidR="00857512" w:rsidRPr="00857512">
              <w:rPr>
                <w:b w:val="0"/>
                <w:bCs w:val="0"/>
              </w:rPr>
              <w:t>Food Regulation Standing Committee (FRSC)</w:t>
            </w:r>
            <w:r>
              <w:rPr>
                <w:b w:val="0"/>
                <w:bCs w:val="0"/>
              </w:rPr>
              <w:t xml:space="preserve"> / Australian and New Zealand Ministerial Forum on Food Regulation (Forum).</w:t>
            </w:r>
          </w:p>
        </w:tc>
      </w:tr>
      <w:tr w:rsidR="00987642" w:rsidTr="003741EE">
        <w:tc>
          <w:tcPr>
            <w:tcW w:w="596" w:type="dxa"/>
          </w:tcPr>
          <w:p w:rsid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425" w:type="dxa"/>
          </w:tcPr>
          <w:p w:rsidR="00987642" w:rsidRDefault="00987642" w:rsidP="0043022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based register of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issions updat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HSRAC’s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 and next steps.</w:t>
            </w:r>
          </w:p>
        </w:tc>
      </w:tr>
      <w:tr w:rsidR="00987642" w:rsidTr="003741EE">
        <w:tc>
          <w:tcPr>
            <w:tcW w:w="596" w:type="dxa"/>
          </w:tcPr>
          <w:p w:rsid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425" w:type="dxa"/>
          </w:tcPr>
          <w:p w:rsidR="00987642" w:rsidRDefault="00987642" w:rsidP="0043022D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 application or refer for technical advice.</w:t>
            </w:r>
          </w:p>
        </w:tc>
      </w:tr>
    </w:tbl>
    <w:p w:rsidR="00987642" w:rsidRDefault="00987642" w:rsidP="00404116">
      <w:pPr>
        <w:pStyle w:val="Heading2"/>
        <w:spacing w:before="240" w:after="120"/>
        <w:ind w:left="221"/>
      </w:pPr>
      <w:r w:rsidRPr="00987642">
        <w:t>Applications referred for technical advice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738"/>
        <w:gridCol w:w="8283"/>
      </w:tblGrid>
      <w:tr w:rsidR="00987642" w:rsidRPr="00987642" w:rsidTr="00987642">
        <w:tc>
          <w:tcPr>
            <w:tcW w:w="738" w:type="dxa"/>
          </w:tcPr>
          <w:p w:rsidR="00987642" w:rsidRPr="00987642" w:rsidRDefault="00987642" w:rsidP="000210C7">
            <w:pPr>
              <w:pStyle w:val="Heading2"/>
              <w:spacing w:before="0" w:after="120"/>
              <w:ind w:left="0"/>
              <w:outlineLvl w:val="1"/>
              <w:rPr>
                <w:bCs w:val="0"/>
              </w:rPr>
            </w:pPr>
            <w:r w:rsidRPr="00987642">
              <w:rPr>
                <w:bCs w:val="0"/>
              </w:rPr>
              <w:t>Step</w:t>
            </w:r>
          </w:p>
        </w:tc>
        <w:tc>
          <w:tcPr>
            <w:tcW w:w="8283" w:type="dxa"/>
          </w:tcPr>
          <w:p w:rsidR="00987642" w:rsidRPr="00987642" w:rsidRDefault="00987642" w:rsidP="000210C7">
            <w:pPr>
              <w:pStyle w:val="TableParagraph"/>
              <w:spacing w:line="276" w:lineRule="exact"/>
              <w:ind w:left="92" w:right="5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 w:rsidRPr="00987642">
              <w:rPr>
                <w:b w:val="0"/>
                <w:bCs w:val="0"/>
              </w:rPr>
              <w:t>8a</w:t>
            </w:r>
          </w:p>
        </w:tc>
        <w:tc>
          <w:tcPr>
            <w:tcW w:w="8283" w:type="dxa"/>
          </w:tcPr>
          <w:p w:rsidR="00987642" w:rsidRDefault="00987642" w:rsidP="0043022D">
            <w:pPr>
              <w:pStyle w:val="TableParagraph"/>
              <w:spacing w:line="276" w:lineRule="exact"/>
              <w:ind w:left="34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chnical expert (either a pan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of pre-selected technical specialists, or an individual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potential ano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aly), outlining HSRAC’s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liberations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for technical advice on all or part of the application.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8b</w:t>
            </w:r>
          </w:p>
        </w:tc>
        <w:tc>
          <w:tcPr>
            <w:tcW w:w="8283" w:type="dxa"/>
          </w:tcPr>
          <w:p w:rsidR="00987642" w:rsidRDefault="00987642" w:rsidP="0043022D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Technical expert/s to consider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writte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HSRAC.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8c</w:t>
            </w:r>
          </w:p>
        </w:tc>
        <w:tc>
          <w:tcPr>
            <w:tcW w:w="8283" w:type="dxa"/>
          </w:tcPr>
          <w:p w:rsidR="00987642" w:rsidRDefault="00987642" w:rsidP="0043022D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advice provided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HSRAC for consideration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either at next scheduled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eetin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or out-of-session (via email/teleconference).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8d</w:t>
            </w:r>
          </w:p>
        </w:tc>
        <w:tc>
          <w:tcPr>
            <w:tcW w:w="8283" w:type="dxa"/>
          </w:tcPr>
          <w:p w:rsidR="00987642" w:rsidRDefault="00987642" w:rsidP="0043022D">
            <w:pPr>
              <w:pStyle w:val="TableParagraph"/>
              <w:spacing w:line="273" w:lineRule="exact"/>
              <w:ind w:left="34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HSRAC’s consi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r).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8e</w:t>
            </w:r>
          </w:p>
        </w:tc>
        <w:tc>
          <w:tcPr>
            <w:tcW w:w="8283" w:type="dxa"/>
          </w:tcPr>
          <w:p w:rsidR="00987642" w:rsidRDefault="00987642" w:rsidP="0043022D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 register updated.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 w:rsidRPr="00987642">
              <w:rPr>
                <w:b w:val="0"/>
                <w:bCs w:val="0"/>
              </w:rPr>
              <w:t>8f</w:t>
            </w:r>
          </w:p>
        </w:tc>
        <w:tc>
          <w:tcPr>
            <w:tcW w:w="8283" w:type="dxa"/>
          </w:tcPr>
          <w:p w:rsidR="00987642" w:rsidRPr="00987642" w:rsidRDefault="00987642" w:rsidP="003741EE">
            <w:pPr>
              <w:pStyle w:val="Heading2"/>
              <w:spacing w:before="0" w:after="120"/>
              <w:ind w:left="0"/>
              <w:outlineLvl w:val="1"/>
              <w:rPr>
                <w:b w:val="0"/>
                <w:bCs w:val="0"/>
              </w:rPr>
            </w:pPr>
            <w:r w:rsidRPr="00987642">
              <w:rPr>
                <w:rFonts w:cs="Times New Roman"/>
                <w:b w:val="0"/>
              </w:rPr>
              <w:t>Close application.</w:t>
            </w:r>
          </w:p>
        </w:tc>
      </w:tr>
    </w:tbl>
    <w:p w:rsidR="00987642" w:rsidRDefault="0098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464" w:rsidRDefault="00987642" w:rsidP="00987642">
      <w:pPr>
        <w:pStyle w:val="Heading2"/>
        <w:spacing w:before="0" w:after="120"/>
        <w:ind w:left="221"/>
      </w:pPr>
      <w:r w:rsidRPr="00987642">
        <w:lastRenderedPageBreak/>
        <w:t>All applications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738"/>
        <w:gridCol w:w="8283"/>
      </w:tblGrid>
      <w:tr w:rsidR="00987642" w:rsidTr="00987642">
        <w:tc>
          <w:tcPr>
            <w:tcW w:w="738" w:type="dxa"/>
          </w:tcPr>
          <w:p w:rsidR="00987642" w:rsidRDefault="00987642" w:rsidP="00987642">
            <w:pPr>
              <w:pStyle w:val="Heading2"/>
              <w:spacing w:before="0" w:after="120"/>
              <w:ind w:left="0"/>
              <w:outlineLvl w:val="1"/>
            </w:pPr>
            <w:r>
              <w:t>Step</w:t>
            </w:r>
          </w:p>
        </w:tc>
        <w:tc>
          <w:tcPr>
            <w:tcW w:w="8283" w:type="dxa"/>
          </w:tcPr>
          <w:p w:rsidR="00987642" w:rsidRDefault="00987642" w:rsidP="00987642">
            <w:pPr>
              <w:pStyle w:val="Heading2"/>
              <w:spacing w:before="0" w:after="120"/>
              <w:ind w:left="0"/>
              <w:outlineLvl w:val="1"/>
            </w:pPr>
            <w:r>
              <w:t>Description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283" w:type="dxa"/>
          </w:tcPr>
          <w:p w:rsidR="00987642" w:rsidRPr="00987642" w:rsidRDefault="00987642" w:rsidP="0085751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Provide overview of submissions received and HSRAC’s responses at meetings of the </w:t>
            </w:r>
            <w:r w:rsidR="00857512">
              <w:rPr>
                <w:b w:val="0"/>
              </w:rPr>
              <w:t>FRSC</w:t>
            </w:r>
            <w:r>
              <w:rPr>
                <w:b w:val="0"/>
              </w:rPr>
              <w:t xml:space="preserve"> </w:t>
            </w:r>
            <w:r w:rsidR="00596B0A">
              <w:rPr>
                <w:b w:val="0"/>
              </w:rPr>
              <w:t xml:space="preserve">(via HSRAC Chair who is a member of the </w:t>
            </w:r>
            <w:r w:rsidR="00857512">
              <w:rPr>
                <w:b w:val="0"/>
              </w:rPr>
              <w:t>FRSC</w:t>
            </w:r>
            <w:r w:rsidR="00596B0A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and the Forum (via the </w:t>
            </w:r>
            <w:r w:rsidR="00857512">
              <w:rPr>
                <w:b w:val="0"/>
              </w:rPr>
              <w:t>FRSC</w:t>
            </w:r>
            <w:r>
              <w:rPr>
                <w:b w:val="0"/>
              </w:rPr>
              <w:t>).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283" w:type="dxa"/>
          </w:tcPr>
          <w:p w:rsidR="00987642" w:rsidRDefault="00987642" w:rsidP="00987642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aly, HSRAC to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 a recom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endation to the</w:t>
            </w:r>
          </w:p>
          <w:p w:rsidR="00987642" w:rsidRPr="00987642" w:rsidRDefault="0042502E" w:rsidP="0042502E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proofErr w:type="gramStart"/>
            <w:r>
              <w:rPr>
                <w:rFonts w:cs="Times New Roman"/>
                <w:b w:val="0"/>
              </w:rPr>
              <w:t>FRSC/</w:t>
            </w:r>
            <w:r w:rsidR="00987642" w:rsidRPr="00987642">
              <w:rPr>
                <w:rFonts w:cs="Times New Roman"/>
                <w:b w:val="0"/>
              </w:rPr>
              <w:t>Forum</w:t>
            </w:r>
            <w:r w:rsidR="00987642" w:rsidRPr="00987642">
              <w:rPr>
                <w:rFonts w:cs="Times New Roman"/>
                <w:b w:val="0"/>
                <w:spacing w:val="-2"/>
              </w:rPr>
              <w:t xml:space="preserve"> </w:t>
            </w:r>
            <w:r w:rsidR="00987642" w:rsidRPr="00987642">
              <w:rPr>
                <w:rFonts w:cs="Times New Roman"/>
                <w:b w:val="0"/>
              </w:rPr>
              <w:t>for how to address this.</w:t>
            </w:r>
            <w:proofErr w:type="gramEnd"/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283" w:type="dxa"/>
          </w:tcPr>
          <w:p w:rsidR="00987642" w:rsidRPr="00987642" w:rsidRDefault="00987642" w:rsidP="0085751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Applicants advised of </w:t>
            </w:r>
            <w:r w:rsidR="00857512">
              <w:rPr>
                <w:b w:val="0"/>
              </w:rPr>
              <w:t>FRSC</w:t>
            </w:r>
            <w:r>
              <w:rPr>
                <w:b w:val="0"/>
              </w:rPr>
              <w:t xml:space="preserve"> / Forum’s decision</w:t>
            </w:r>
            <w:r w:rsidR="00046115">
              <w:rPr>
                <w:b w:val="0"/>
              </w:rPr>
              <w:t>.</w:t>
            </w:r>
          </w:p>
        </w:tc>
      </w:tr>
      <w:tr w:rsidR="00987642" w:rsidRPr="00987642" w:rsidTr="00987642">
        <w:tc>
          <w:tcPr>
            <w:tcW w:w="738" w:type="dxa"/>
          </w:tcPr>
          <w:p w:rsidR="00987642" w:rsidRPr="00987642" w:rsidRDefault="00987642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283" w:type="dxa"/>
          </w:tcPr>
          <w:p w:rsidR="00987642" w:rsidRPr="00987642" w:rsidRDefault="00987642" w:rsidP="0085751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HSRAC to action </w:t>
            </w:r>
            <w:r w:rsidR="00857512">
              <w:rPr>
                <w:b w:val="0"/>
              </w:rPr>
              <w:t>FRSC</w:t>
            </w:r>
            <w:r w:rsidR="00046115">
              <w:rPr>
                <w:b w:val="0"/>
              </w:rPr>
              <w:t xml:space="preserve"> / Forum’s decision.</w:t>
            </w:r>
            <w:proofErr w:type="gramEnd"/>
          </w:p>
        </w:tc>
      </w:tr>
    </w:tbl>
    <w:p w:rsidR="00046115" w:rsidRDefault="00046115" w:rsidP="00404116">
      <w:pPr>
        <w:pStyle w:val="Heading2"/>
        <w:spacing w:before="360" w:after="120"/>
        <w:ind w:left="221"/>
      </w:pPr>
      <w:r>
        <w:t>Decision Review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738"/>
        <w:gridCol w:w="8283"/>
      </w:tblGrid>
      <w:tr w:rsidR="00046115" w:rsidTr="000210C7">
        <w:tc>
          <w:tcPr>
            <w:tcW w:w="738" w:type="dxa"/>
          </w:tcPr>
          <w:p w:rsidR="00046115" w:rsidRDefault="00046115" w:rsidP="000210C7">
            <w:pPr>
              <w:pStyle w:val="Heading2"/>
              <w:spacing w:before="0" w:after="120"/>
              <w:ind w:left="0"/>
              <w:outlineLvl w:val="1"/>
            </w:pPr>
            <w:r>
              <w:t>Step</w:t>
            </w:r>
          </w:p>
        </w:tc>
        <w:tc>
          <w:tcPr>
            <w:tcW w:w="8283" w:type="dxa"/>
          </w:tcPr>
          <w:p w:rsidR="00046115" w:rsidRDefault="00046115" w:rsidP="000210C7">
            <w:pPr>
              <w:pStyle w:val="Heading2"/>
              <w:spacing w:before="0" w:after="120"/>
              <w:ind w:left="0"/>
              <w:outlineLvl w:val="1"/>
            </w:pPr>
            <w:r>
              <w:t>Description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1</w:t>
            </w:r>
          </w:p>
        </w:tc>
        <w:tc>
          <w:tcPr>
            <w:tcW w:w="8283" w:type="dxa"/>
          </w:tcPr>
          <w:p w:rsidR="00046115" w:rsidRDefault="00046115" w:rsidP="00046115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Requests for a decision review present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new info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ation or evidence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 be</w:t>
            </w:r>
          </w:p>
          <w:p w:rsidR="00046115" w:rsidRDefault="00046115" w:rsidP="00046115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HSRAC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worki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days of receipt of HSRAC’s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consideration.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2</w:t>
            </w:r>
          </w:p>
        </w:tc>
        <w:tc>
          <w:tcPr>
            <w:tcW w:w="8283" w:type="dxa"/>
          </w:tcPr>
          <w:p w:rsidR="00046115" w:rsidRDefault="00046115" w:rsidP="00046115">
            <w:pPr>
              <w:pStyle w:val="TableParagraph"/>
              <w:spacing w:line="276" w:lineRule="exact"/>
              <w:ind w:left="34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of request for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ecision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acknowledged in writing by FoPL Secretariat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workin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days.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3</w:t>
            </w:r>
          </w:p>
        </w:tc>
        <w:tc>
          <w:tcPr>
            <w:tcW w:w="8283" w:type="dxa"/>
          </w:tcPr>
          <w:p w:rsidR="00046115" w:rsidRDefault="00046115" w:rsidP="00046115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eview will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consid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 HSRAC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either at its next</w:t>
            </w:r>
          </w:p>
          <w:p w:rsidR="00046115" w:rsidRDefault="00046115" w:rsidP="00046115">
            <w:pPr>
              <w:pStyle w:val="TableParagraph"/>
              <w:spacing w:after="120"/>
              <w:ind w:left="34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eeting </w:t>
            </w: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or out-of-session (via email/teleconference) where there is more than 30 working days before the next scheduled meeting.</w:t>
            </w:r>
          </w:p>
          <w:p w:rsid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proofErr w:type="gramStart"/>
            <w:r>
              <w:rPr>
                <w:b w:val="0"/>
              </w:rPr>
              <w:t>Factual cover paper developed by the FoPL Secretariat to facilitate HSRAC consideration of submission.</w:t>
            </w:r>
            <w:proofErr w:type="gramEnd"/>
          </w:p>
          <w:p w:rsidR="00046115" w:rsidRPr="00046115" w:rsidRDefault="00046115" w:rsidP="00046115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F8">
              <w:rPr>
                <w:rFonts w:ascii="Times New Roman" w:eastAsia="Times New Roman" w:hAnsi="Times New Roman" w:cs="Times New Roman"/>
                <w:sz w:val="24"/>
                <w:szCs w:val="24"/>
              </w:rPr>
              <w:t>The FoPL Secretariat requires fifteen working days to prepare the factual cover paper for HSRAC consideration.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4</w:t>
            </w:r>
          </w:p>
        </w:tc>
        <w:tc>
          <w:tcPr>
            <w:tcW w:w="8283" w:type="dxa"/>
          </w:tcPr>
          <w:p w:rsidR="00046115" w:rsidRPr="00046115" w:rsidRDefault="00046115" w:rsidP="00857512">
            <w:pPr>
              <w:pStyle w:val="TableParagraph"/>
              <w:spacing w:line="272" w:lineRule="exact"/>
              <w:ind w:left="3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HSRAC’s consider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closed,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referred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</w:t>
            </w:r>
            <w:r w:rsidRPr="00046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857512">
              <w:rPr>
                <w:rFonts w:ascii="Times New Roman" w:eastAsia="Times New Roman" w:hAnsi="Times New Roman" w:cs="Times New Roman"/>
                <w:sz w:val="24"/>
                <w:szCs w:val="24"/>
              </w:rPr>
              <w:t>FRSC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Forum.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5</w:t>
            </w:r>
          </w:p>
        </w:tc>
        <w:tc>
          <w:tcPr>
            <w:tcW w:w="8283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rFonts w:cs="Times New Roman"/>
                <w:b w:val="0"/>
              </w:rPr>
              <w:t>Web</w:t>
            </w:r>
            <w:r w:rsidRPr="00046115">
              <w:rPr>
                <w:rFonts w:cs="Times New Roman"/>
                <w:b w:val="0"/>
                <w:spacing w:val="-1"/>
              </w:rPr>
              <w:t xml:space="preserve"> </w:t>
            </w:r>
            <w:r w:rsidRPr="00046115">
              <w:rPr>
                <w:rFonts w:cs="Times New Roman"/>
                <w:b w:val="0"/>
              </w:rPr>
              <w:t>based</w:t>
            </w:r>
            <w:r w:rsidRPr="00046115">
              <w:rPr>
                <w:rFonts w:cs="Times New Roman"/>
                <w:b w:val="0"/>
                <w:spacing w:val="-1"/>
              </w:rPr>
              <w:t xml:space="preserve"> </w:t>
            </w:r>
            <w:r w:rsidRPr="00046115">
              <w:rPr>
                <w:rFonts w:cs="Times New Roman"/>
                <w:b w:val="0"/>
              </w:rPr>
              <w:t>register</w:t>
            </w:r>
            <w:r w:rsidRPr="00046115">
              <w:rPr>
                <w:rFonts w:cs="Times New Roman"/>
                <w:b w:val="0"/>
                <w:spacing w:val="-1"/>
              </w:rPr>
              <w:t xml:space="preserve"> </w:t>
            </w:r>
            <w:r w:rsidRPr="00046115">
              <w:rPr>
                <w:rFonts w:cs="Times New Roman"/>
                <w:b w:val="0"/>
              </w:rPr>
              <w:t>of</w:t>
            </w:r>
            <w:r w:rsidRPr="00046115">
              <w:rPr>
                <w:rFonts w:cs="Times New Roman"/>
                <w:b w:val="0"/>
                <w:spacing w:val="-1"/>
              </w:rPr>
              <w:t xml:space="preserve"> </w:t>
            </w:r>
            <w:r w:rsidRPr="00046115">
              <w:rPr>
                <w:rFonts w:cs="Times New Roman"/>
                <w:b w:val="0"/>
              </w:rPr>
              <w:t>sub</w:t>
            </w:r>
            <w:r w:rsidRPr="00046115">
              <w:rPr>
                <w:rFonts w:cs="Times New Roman"/>
                <w:b w:val="0"/>
                <w:spacing w:val="-2"/>
              </w:rPr>
              <w:t>m</w:t>
            </w:r>
            <w:r w:rsidRPr="00046115">
              <w:rPr>
                <w:rFonts w:cs="Times New Roman"/>
                <w:b w:val="0"/>
              </w:rPr>
              <w:t>issions</w:t>
            </w:r>
            <w:r w:rsidRPr="00046115">
              <w:rPr>
                <w:rFonts w:cs="Times New Roman"/>
                <w:b w:val="0"/>
                <w:spacing w:val="-1"/>
              </w:rPr>
              <w:t xml:space="preserve"> </w:t>
            </w:r>
            <w:r w:rsidRPr="00046115">
              <w:rPr>
                <w:rFonts w:cs="Times New Roman"/>
                <w:b w:val="0"/>
              </w:rPr>
              <w:t>updated.</w:t>
            </w:r>
          </w:p>
        </w:tc>
      </w:tr>
      <w:tr w:rsidR="00046115" w:rsidRPr="00046115" w:rsidTr="00046115">
        <w:tc>
          <w:tcPr>
            <w:tcW w:w="738" w:type="dxa"/>
          </w:tcPr>
          <w:p w:rsidR="00046115" w:rsidRPr="00046115" w:rsidRDefault="00046115" w:rsidP="0098764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 w:rsidRPr="00046115">
              <w:rPr>
                <w:b w:val="0"/>
              </w:rPr>
              <w:t>6</w:t>
            </w:r>
          </w:p>
        </w:tc>
        <w:tc>
          <w:tcPr>
            <w:tcW w:w="8283" w:type="dxa"/>
          </w:tcPr>
          <w:p w:rsidR="00046115" w:rsidRPr="00046115" w:rsidRDefault="00046115" w:rsidP="00857512">
            <w:pPr>
              <w:pStyle w:val="Heading2"/>
              <w:spacing w:before="0" w:after="120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Close application or refer for technical advice / </w:t>
            </w:r>
            <w:r w:rsidR="00857512">
              <w:rPr>
                <w:b w:val="0"/>
              </w:rPr>
              <w:t>FRSC</w:t>
            </w:r>
            <w:r>
              <w:rPr>
                <w:b w:val="0"/>
              </w:rPr>
              <w:t xml:space="preserve"> / Forum.</w:t>
            </w:r>
          </w:p>
        </w:tc>
      </w:tr>
    </w:tbl>
    <w:p w:rsidR="00796DE1" w:rsidRDefault="00D84448" w:rsidP="009C4464"/>
    <w:sectPr w:rsidR="00796DE1" w:rsidSect="009C4464">
      <w:pgSz w:w="11906" w:h="16838"/>
      <w:pgMar w:top="144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E6" w:rsidRDefault="008D67E6" w:rsidP="009C4464">
      <w:pPr>
        <w:spacing w:after="0" w:line="240" w:lineRule="auto"/>
      </w:pPr>
      <w:r>
        <w:separator/>
      </w:r>
    </w:p>
  </w:endnote>
  <w:endnote w:type="continuationSeparator" w:id="0">
    <w:p w:rsidR="008D67E6" w:rsidRDefault="008D67E6" w:rsidP="009C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D" w:rsidRPr="00FA52A8" w:rsidRDefault="00DA1D2D" w:rsidP="00DA1D2D">
    <w:pPr>
      <w:pStyle w:val="Footer"/>
      <w:ind w:right="360"/>
      <w:rPr>
        <w:sz w:val="16"/>
        <w:szCs w:val="16"/>
      </w:rPr>
    </w:pPr>
    <w:r w:rsidRPr="00FA52A8">
      <w:rPr>
        <w:sz w:val="16"/>
        <w:szCs w:val="16"/>
      </w:rPr>
      <w:t xml:space="preserve">Version </w:t>
    </w:r>
    <w:r>
      <w:rPr>
        <w:sz w:val="16"/>
        <w:szCs w:val="16"/>
      </w:rPr>
      <w:t>3</w:t>
    </w:r>
    <w:r w:rsidRPr="00FA52A8">
      <w:rPr>
        <w:sz w:val="16"/>
        <w:szCs w:val="16"/>
      </w:rPr>
      <w:t xml:space="preserve"> – </w:t>
    </w:r>
    <w:r w:rsidR="00D84448">
      <w:rPr>
        <w:sz w:val="16"/>
        <w:szCs w:val="16"/>
      </w:rPr>
      <w:t xml:space="preserve">6 </w:t>
    </w:r>
    <w:r w:rsidR="00E640E4">
      <w:rPr>
        <w:sz w:val="16"/>
        <w:szCs w:val="16"/>
      </w:rPr>
      <w:t>May</w:t>
    </w:r>
    <w:r w:rsidRPr="00FA52A8">
      <w:rPr>
        <w:sz w:val="16"/>
        <w:szCs w:val="16"/>
      </w:rPr>
      <w:t xml:space="preserve"> 201</w:t>
    </w:r>
    <w:r>
      <w:rPr>
        <w:sz w:val="16"/>
        <w:szCs w:val="16"/>
      </w:rPr>
      <w:t>6</w:t>
    </w:r>
  </w:p>
  <w:p w:rsidR="009C4464" w:rsidRDefault="003432A9" w:rsidP="003432A9">
    <w:pPr>
      <w:spacing w:line="225" w:lineRule="exact"/>
      <w:ind w:left="40"/>
      <w:jc w:val="right"/>
    </w:pPr>
    <w: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fldChar w:fldCharType="separate"/>
    </w:r>
    <w:r w:rsidR="00D84448">
      <w:rPr>
        <w:rFonts w:ascii="Arial" w:eastAsia="Arial" w:hAnsi="Arial" w:cs="Arial"/>
        <w:noProof/>
        <w:sz w:val="20"/>
        <w:szCs w:val="20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73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D2D" w:rsidRDefault="00DA1D2D">
        <w:pPr>
          <w:pStyle w:val="Footer"/>
          <w:jc w:val="right"/>
        </w:pPr>
      </w:p>
      <w:p w:rsidR="00DA1D2D" w:rsidRDefault="00DA1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D2D" w:rsidRPr="00FA52A8" w:rsidRDefault="00DA1D2D" w:rsidP="00DA1D2D">
    <w:pPr>
      <w:pStyle w:val="Footer"/>
      <w:ind w:right="360"/>
      <w:rPr>
        <w:sz w:val="16"/>
        <w:szCs w:val="16"/>
      </w:rPr>
    </w:pPr>
    <w:r w:rsidRPr="00FA52A8">
      <w:rPr>
        <w:sz w:val="16"/>
        <w:szCs w:val="16"/>
      </w:rPr>
      <w:t xml:space="preserve">Version </w:t>
    </w:r>
    <w:r>
      <w:rPr>
        <w:sz w:val="16"/>
        <w:szCs w:val="16"/>
      </w:rPr>
      <w:t>3</w:t>
    </w:r>
    <w:r w:rsidRPr="00FA52A8">
      <w:rPr>
        <w:sz w:val="16"/>
        <w:szCs w:val="16"/>
      </w:rPr>
      <w:t xml:space="preserve"> – </w:t>
    </w:r>
    <w:r w:rsidR="00020E02">
      <w:rPr>
        <w:sz w:val="16"/>
        <w:szCs w:val="16"/>
      </w:rPr>
      <w:t>6</w:t>
    </w:r>
    <w:r w:rsidRPr="00FA52A8">
      <w:rPr>
        <w:sz w:val="16"/>
        <w:szCs w:val="16"/>
      </w:rPr>
      <w:t xml:space="preserve"> </w:t>
    </w:r>
    <w:r w:rsidR="00E640E4">
      <w:rPr>
        <w:sz w:val="16"/>
        <w:szCs w:val="16"/>
      </w:rPr>
      <w:t>May</w:t>
    </w:r>
    <w:r w:rsidRPr="00FA52A8">
      <w:rPr>
        <w:sz w:val="16"/>
        <w:szCs w:val="16"/>
      </w:rPr>
      <w:t xml:space="preserve"> 201</w:t>
    </w:r>
    <w:r>
      <w:rPr>
        <w:sz w:val="16"/>
        <w:szCs w:val="16"/>
      </w:rPr>
      <w:t>6</w:t>
    </w:r>
  </w:p>
  <w:p w:rsidR="00DA1D2D" w:rsidRDefault="00DA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E6" w:rsidRDefault="008D67E6" w:rsidP="009C4464">
      <w:pPr>
        <w:spacing w:after="0" w:line="240" w:lineRule="auto"/>
      </w:pPr>
      <w:r>
        <w:separator/>
      </w:r>
    </w:p>
  </w:footnote>
  <w:footnote w:type="continuationSeparator" w:id="0">
    <w:p w:rsidR="008D67E6" w:rsidRDefault="008D67E6" w:rsidP="009C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6C7"/>
    <w:multiLevelType w:val="hybridMultilevel"/>
    <w:tmpl w:val="79C87D2C"/>
    <w:lvl w:ilvl="0" w:tplc="EB52470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1B53"/>
    <w:multiLevelType w:val="hybridMultilevel"/>
    <w:tmpl w:val="EBBE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579E"/>
    <w:multiLevelType w:val="hybridMultilevel"/>
    <w:tmpl w:val="E77C3214"/>
    <w:lvl w:ilvl="0" w:tplc="EB524706">
      <w:start w:val="1"/>
      <w:numFmt w:val="bullet"/>
      <w:lvlText w:val="•"/>
      <w:lvlJc w:val="left"/>
      <w:pPr>
        <w:ind w:hanging="360"/>
      </w:pPr>
      <w:rPr>
        <w:rFonts w:hint="default"/>
        <w:sz w:val="24"/>
        <w:szCs w:val="24"/>
      </w:rPr>
    </w:lvl>
    <w:lvl w:ilvl="1" w:tplc="EB524706">
      <w:start w:val="1"/>
      <w:numFmt w:val="bullet"/>
      <w:lvlText w:val="•"/>
      <w:lvlJc w:val="left"/>
      <w:rPr>
        <w:rFonts w:hint="default"/>
      </w:rPr>
    </w:lvl>
    <w:lvl w:ilvl="2" w:tplc="372CE7B2">
      <w:start w:val="1"/>
      <w:numFmt w:val="bullet"/>
      <w:lvlText w:val="•"/>
      <w:lvlJc w:val="left"/>
      <w:rPr>
        <w:rFonts w:hint="default"/>
      </w:rPr>
    </w:lvl>
    <w:lvl w:ilvl="3" w:tplc="38DE162C">
      <w:start w:val="1"/>
      <w:numFmt w:val="bullet"/>
      <w:lvlText w:val="•"/>
      <w:lvlJc w:val="left"/>
      <w:rPr>
        <w:rFonts w:hint="default"/>
      </w:rPr>
    </w:lvl>
    <w:lvl w:ilvl="4" w:tplc="FFFC2B02">
      <w:start w:val="1"/>
      <w:numFmt w:val="bullet"/>
      <w:lvlText w:val="•"/>
      <w:lvlJc w:val="left"/>
      <w:rPr>
        <w:rFonts w:hint="default"/>
      </w:rPr>
    </w:lvl>
    <w:lvl w:ilvl="5" w:tplc="6E6CBF52">
      <w:start w:val="1"/>
      <w:numFmt w:val="bullet"/>
      <w:lvlText w:val="•"/>
      <w:lvlJc w:val="left"/>
      <w:rPr>
        <w:rFonts w:hint="default"/>
      </w:rPr>
    </w:lvl>
    <w:lvl w:ilvl="6" w:tplc="65BA13E4">
      <w:start w:val="1"/>
      <w:numFmt w:val="bullet"/>
      <w:lvlText w:val="•"/>
      <w:lvlJc w:val="left"/>
      <w:rPr>
        <w:rFonts w:hint="default"/>
      </w:rPr>
    </w:lvl>
    <w:lvl w:ilvl="7" w:tplc="6540ABA6">
      <w:start w:val="1"/>
      <w:numFmt w:val="bullet"/>
      <w:lvlText w:val="•"/>
      <w:lvlJc w:val="left"/>
      <w:rPr>
        <w:rFonts w:hint="default"/>
      </w:rPr>
    </w:lvl>
    <w:lvl w:ilvl="8" w:tplc="A35ECB9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4"/>
    <w:rsid w:val="00020E02"/>
    <w:rsid w:val="00046115"/>
    <w:rsid w:val="00066780"/>
    <w:rsid w:val="001F00F7"/>
    <w:rsid w:val="002F565E"/>
    <w:rsid w:val="003432A9"/>
    <w:rsid w:val="003741EE"/>
    <w:rsid w:val="003D11D4"/>
    <w:rsid w:val="00404116"/>
    <w:rsid w:val="0042502E"/>
    <w:rsid w:val="0043022D"/>
    <w:rsid w:val="00596B0A"/>
    <w:rsid w:val="007E2F61"/>
    <w:rsid w:val="00857512"/>
    <w:rsid w:val="008D67E6"/>
    <w:rsid w:val="008F574A"/>
    <w:rsid w:val="00912508"/>
    <w:rsid w:val="00987642"/>
    <w:rsid w:val="009A636E"/>
    <w:rsid w:val="009C4464"/>
    <w:rsid w:val="00A0181C"/>
    <w:rsid w:val="00A573E8"/>
    <w:rsid w:val="00C90447"/>
    <w:rsid w:val="00CB0A2A"/>
    <w:rsid w:val="00CC0D39"/>
    <w:rsid w:val="00D84448"/>
    <w:rsid w:val="00DA1D2D"/>
    <w:rsid w:val="00DA4BEF"/>
    <w:rsid w:val="00E60A90"/>
    <w:rsid w:val="00E640E4"/>
    <w:rsid w:val="00E75E95"/>
    <w:rsid w:val="00E83BF1"/>
    <w:rsid w:val="00E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741EE"/>
    <w:pPr>
      <w:widowControl w:val="0"/>
      <w:spacing w:before="69"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64"/>
  </w:style>
  <w:style w:type="paragraph" w:styleId="Footer">
    <w:name w:val="footer"/>
    <w:basedOn w:val="Normal"/>
    <w:link w:val="FooterChar"/>
    <w:uiPriority w:val="99"/>
    <w:unhideWhenUsed/>
    <w:rsid w:val="009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4"/>
  </w:style>
  <w:style w:type="paragraph" w:styleId="BalloonText">
    <w:name w:val="Balloon Text"/>
    <w:basedOn w:val="Normal"/>
    <w:link w:val="BalloonTextChar"/>
    <w:uiPriority w:val="99"/>
    <w:semiHidden/>
    <w:unhideWhenUsed/>
    <w:rsid w:val="009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4464"/>
    <w:pPr>
      <w:widowControl w:val="0"/>
      <w:spacing w:after="0" w:line="240" w:lineRule="auto"/>
      <w:ind w:left="8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446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741E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41E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741EE"/>
    <w:pPr>
      <w:widowControl w:val="0"/>
      <w:spacing w:before="69"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64"/>
  </w:style>
  <w:style w:type="paragraph" w:styleId="Footer">
    <w:name w:val="footer"/>
    <w:basedOn w:val="Normal"/>
    <w:link w:val="FooterChar"/>
    <w:uiPriority w:val="99"/>
    <w:unhideWhenUsed/>
    <w:rsid w:val="009C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4"/>
  </w:style>
  <w:style w:type="paragraph" w:styleId="BalloonText">
    <w:name w:val="Balloon Text"/>
    <w:basedOn w:val="Normal"/>
    <w:link w:val="BalloonTextChar"/>
    <w:uiPriority w:val="99"/>
    <w:semiHidden/>
    <w:unhideWhenUsed/>
    <w:rsid w:val="009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4464"/>
    <w:pPr>
      <w:widowControl w:val="0"/>
      <w:spacing w:after="0" w:line="240" w:lineRule="auto"/>
      <w:ind w:left="8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446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741E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41E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B8-DBA8-4C92-9665-8034363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knott</dc:creator>
  <cp:lastModifiedBy>Limbrick Fleur</cp:lastModifiedBy>
  <cp:revision>3</cp:revision>
  <cp:lastPrinted>2015-10-15T00:51:00Z</cp:lastPrinted>
  <dcterms:created xsi:type="dcterms:W3CDTF">2016-05-06T05:49:00Z</dcterms:created>
  <dcterms:modified xsi:type="dcterms:W3CDTF">2016-05-06T05:51:00Z</dcterms:modified>
</cp:coreProperties>
</file>