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33" w:rsidRDefault="00B47733" w:rsidP="00126BE1">
      <w:pPr>
        <w:pStyle w:val="Title"/>
        <w:spacing w:line="240" w:lineRule="auto"/>
        <w:rPr>
          <w:rFonts w:ascii="Times New Roman" w:hAnsi="Times New Roman" w:cs="Times New Roman"/>
          <w:b w:val="0"/>
          <w:sz w:val="32"/>
          <w:szCs w:val="32"/>
        </w:rPr>
      </w:pPr>
      <w:r w:rsidRPr="00C9530C">
        <w:rPr>
          <w:rFonts w:ascii="Times New Roman" w:hAnsi="Times New Roman" w:cs="Times New Roman"/>
          <w:sz w:val="32"/>
          <w:szCs w:val="32"/>
        </w:rPr>
        <w:t>HEALTH STAR RATING ‘</w:t>
      </w:r>
      <w:r w:rsidR="00FA3D75">
        <w:rPr>
          <w:rFonts w:ascii="Times New Roman" w:hAnsi="Times New Roman" w:cs="Times New Roman"/>
          <w:sz w:val="32"/>
          <w:szCs w:val="32"/>
        </w:rPr>
        <w:t>AS PREPARED</w:t>
      </w:r>
      <w:r w:rsidRPr="00C9530C">
        <w:rPr>
          <w:rFonts w:ascii="Times New Roman" w:hAnsi="Times New Roman" w:cs="Times New Roman"/>
          <w:sz w:val="32"/>
          <w:szCs w:val="32"/>
        </w:rPr>
        <w:t>’ STAKEHOLDER WORKSHOP</w:t>
      </w:r>
    </w:p>
    <w:p w:rsidR="00126BE1" w:rsidRPr="00126BE1" w:rsidRDefault="00126BE1" w:rsidP="00126BE1">
      <w:pPr>
        <w:rPr>
          <w:sz w:val="16"/>
          <w:szCs w:val="16"/>
          <w:lang w:val="en-AU"/>
        </w:rPr>
      </w:pPr>
    </w:p>
    <w:p w:rsidR="00B47733" w:rsidRDefault="00AC44FF" w:rsidP="00126BE1">
      <w:pPr>
        <w:pStyle w:val="Subtitle"/>
        <w:spacing w:line="240" w:lineRule="auto"/>
        <w:rPr>
          <w:rFonts w:ascii="Times New Roman" w:hAnsi="Times New Roman" w:cs="Times New Roman"/>
          <w:b w:val="0"/>
          <w:szCs w:val="28"/>
        </w:rPr>
      </w:pPr>
      <w:bookmarkStart w:id="0" w:name="_GoBack"/>
      <w:r>
        <w:rPr>
          <w:rFonts w:ascii="Times New Roman" w:hAnsi="Times New Roman" w:cs="Times New Roman"/>
          <w:szCs w:val="28"/>
        </w:rPr>
        <w:t>Melbourne</w:t>
      </w:r>
      <w:r w:rsidR="00690941">
        <w:rPr>
          <w:rFonts w:ascii="Times New Roman" w:hAnsi="Times New Roman" w:cs="Times New Roman"/>
          <w:szCs w:val="28"/>
        </w:rPr>
        <w:t xml:space="preserve"> 12</w:t>
      </w:r>
      <w:r w:rsidR="00A92244" w:rsidRPr="00C9530C">
        <w:rPr>
          <w:rFonts w:ascii="Times New Roman" w:hAnsi="Times New Roman" w:cs="Times New Roman"/>
          <w:szCs w:val="28"/>
        </w:rPr>
        <w:t xml:space="preserve"> </w:t>
      </w:r>
      <w:r w:rsidR="00856A53">
        <w:rPr>
          <w:rFonts w:ascii="Times New Roman" w:hAnsi="Times New Roman" w:cs="Times New Roman"/>
          <w:szCs w:val="28"/>
        </w:rPr>
        <w:t>Octo</w:t>
      </w:r>
      <w:r w:rsidR="00A92244" w:rsidRPr="00C9530C">
        <w:rPr>
          <w:rFonts w:ascii="Times New Roman" w:hAnsi="Times New Roman" w:cs="Times New Roman"/>
          <w:szCs w:val="28"/>
        </w:rPr>
        <w:t xml:space="preserve">ber </w:t>
      </w:r>
      <w:r w:rsidR="00B47733" w:rsidRPr="00C9530C">
        <w:rPr>
          <w:rFonts w:ascii="Times New Roman" w:hAnsi="Times New Roman" w:cs="Times New Roman"/>
          <w:szCs w:val="28"/>
        </w:rPr>
        <w:t>2017</w:t>
      </w:r>
    </w:p>
    <w:bookmarkEnd w:id="0"/>
    <w:p w:rsidR="00126BE1" w:rsidRPr="00126BE1" w:rsidRDefault="00126BE1" w:rsidP="00126BE1">
      <w:pPr>
        <w:rPr>
          <w:sz w:val="16"/>
          <w:szCs w:val="16"/>
          <w:lang w:val="en-AU"/>
        </w:rPr>
      </w:pPr>
    </w:p>
    <w:p w:rsidR="00B47733" w:rsidRPr="00C9530C" w:rsidRDefault="00B47733" w:rsidP="00126BE1">
      <w:pPr>
        <w:pStyle w:val="Subtitle"/>
        <w:spacing w:line="240" w:lineRule="auto"/>
        <w:rPr>
          <w:rFonts w:ascii="Times New Roman" w:hAnsi="Times New Roman" w:cs="Times New Roman"/>
          <w:szCs w:val="28"/>
        </w:rPr>
      </w:pPr>
      <w:r w:rsidRPr="00C9530C">
        <w:rPr>
          <w:rFonts w:ascii="Times New Roman" w:hAnsi="Times New Roman" w:cs="Times New Roman"/>
          <w:szCs w:val="28"/>
        </w:rPr>
        <w:t xml:space="preserve">Industry, Public Health, Government and Consumer Stakeholders </w:t>
      </w:r>
    </w:p>
    <w:p w:rsidR="0064024B" w:rsidRPr="00C9530C" w:rsidRDefault="00B47733" w:rsidP="00126BE1">
      <w:pPr>
        <w:pStyle w:val="Subtitle"/>
        <w:spacing w:line="240" w:lineRule="auto"/>
        <w:rPr>
          <w:rFonts w:ascii="Times New Roman" w:hAnsi="Times New Roman" w:cs="Times New Roman"/>
          <w:szCs w:val="28"/>
        </w:rPr>
      </w:pPr>
      <w:r w:rsidRPr="00C9530C">
        <w:rPr>
          <w:rFonts w:ascii="Times New Roman" w:hAnsi="Times New Roman" w:cs="Times New Roman"/>
          <w:szCs w:val="28"/>
        </w:rPr>
        <w:t xml:space="preserve">(Attendees: </w:t>
      </w:r>
      <w:r w:rsidR="00AC44FF">
        <w:rPr>
          <w:rFonts w:ascii="Times New Roman" w:hAnsi="Times New Roman" w:cs="Times New Roman"/>
          <w:szCs w:val="28"/>
        </w:rPr>
        <w:t>53</w:t>
      </w:r>
      <w:r w:rsidRPr="00C9530C">
        <w:rPr>
          <w:rFonts w:ascii="Times New Roman" w:hAnsi="Times New Roman" w:cs="Times New Roman"/>
          <w:szCs w:val="28"/>
        </w:rPr>
        <w:t>)</w:t>
      </w:r>
    </w:p>
    <w:p w:rsidR="00B47733" w:rsidRDefault="00B47733" w:rsidP="003B1EDD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C9530C">
        <w:rPr>
          <w:rFonts w:ascii="Times New Roman" w:hAnsi="Times New Roman" w:cs="Times New Roman"/>
          <w:i/>
          <w:sz w:val="24"/>
          <w:szCs w:val="24"/>
        </w:rPr>
        <w:t xml:space="preserve">Stakeholders were </w:t>
      </w:r>
      <w:r w:rsidR="00036287" w:rsidRPr="00C9530C">
        <w:rPr>
          <w:rFonts w:ascii="Times New Roman" w:hAnsi="Times New Roman" w:cs="Times New Roman"/>
          <w:i/>
          <w:sz w:val="24"/>
          <w:szCs w:val="24"/>
        </w:rPr>
        <w:t xml:space="preserve">given an overview of the objectives of the Health Star Rating </w:t>
      </w:r>
      <w:r w:rsidR="00856A53" w:rsidRPr="00C9530C">
        <w:rPr>
          <w:rFonts w:ascii="Times New Roman" w:hAnsi="Times New Roman" w:cs="Times New Roman"/>
          <w:i/>
          <w:sz w:val="24"/>
          <w:szCs w:val="24"/>
        </w:rPr>
        <w:t>(HSR)</w:t>
      </w:r>
      <w:r w:rsidR="00856A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6287" w:rsidRPr="00C9530C">
        <w:rPr>
          <w:rFonts w:ascii="Times New Roman" w:hAnsi="Times New Roman" w:cs="Times New Roman"/>
          <w:i/>
          <w:sz w:val="24"/>
          <w:szCs w:val="24"/>
        </w:rPr>
        <w:t xml:space="preserve">system and the current rules for the form of the food </w:t>
      </w:r>
      <w:r w:rsidR="00C14E3D" w:rsidRPr="00C9530C">
        <w:rPr>
          <w:rFonts w:ascii="Times New Roman" w:hAnsi="Times New Roman" w:cs="Times New Roman"/>
          <w:i/>
          <w:sz w:val="24"/>
          <w:szCs w:val="24"/>
        </w:rPr>
        <w:t>(</w:t>
      </w:r>
      <w:r w:rsidR="00C14E3D">
        <w:rPr>
          <w:rFonts w:ascii="Times New Roman" w:hAnsi="Times New Roman" w:cs="Times New Roman"/>
          <w:i/>
          <w:sz w:val="24"/>
          <w:szCs w:val="24"/>
        </w:rPr>
        <w:t>‘as prepared’</w:t>
      </w:r>
      <w:r w:rsidR="00C14E3D" w:rsidRPr="00C9530C">
        <w:rPr>
          <w:rFonts w:ascii="Times New Roman" w:hAnsi="Times New Roman" w:cs="Times New Roman"/>
          <w:i/>
          <w:sz w:val="24"/>
          <w:szCs w:val="24"/>
        </w:rPr>
        <w:t xml:space="preserve"> rules</w:t>
      </w:r>
      <w:r w:rsidR="00C14E3D">
        <w:rPr>
          <w:rFonts w:ascii="Times New Roman" w:hAnsi="Times New Roman" w:cs="Times New Roman"/>
          <w:i/>
          <w:sz w:val="24"/>
          <w:szCs w:val="24"/>
        </w:rPr>
        <w:t>) t</w:t>
      </w:r>
      <w:r w:rsidR="00036287" w:rsidRPr="00C9530C">
        <w:rPr>
          <w:rFonts w:ascii="Times New Roman" w:hAnsi="Times New Roman" w:cs="Times New Roman"/>
          <w:i/>
          <w:sz w:val="24"/>
          <w:szCs w:val="24"/>
        </w:rPr>
        <w:t>o be used in calculating the HSR</w:t>
      </w:r>
      <w:r w:rsidR="00813138" w:rsidRPr="00C9530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36287" w:rsidRPr="00C9530C">
        <w:rPr>
          <w:rFonts w:ascii="Times New Roman" w:hAnsi="Times New Roman" w:cs="Times New Roman"/>
          <w:i/>
          <w:sz w:val="24"/>
          <w:szCs w:val="24"/>
        </w:rPr>
        <w:t xml:space="preserve">A discussion paper outlining the issues </w:t>
      </w:r>
      <w:r w:rsidR="001D6BF2" w:rsidRPr="00C9530C">
        <w:rPr>
          <w:rFonts w:ascii="Times New Roman" w:hAnsi="Times New Roman" w:cs="Times New Roman"/>
          <w:i/>
          <w:sz w:val="24"/>
          <w:szCs w:val="24"/>
        </w:rPr>
        <w:t xml:space="preserve">was provided </w:t>
      </w:r>
      <w:r w:rsidR="00036287" w:rsidRPr="00C9530C">
        <w:rPr>
          <w:rFonts w:ascii="Times New Roman" w:hAnsi="Times New Roman" w:cs="Times New Roman"/>
          <w:i/>
          <w:sz w:val="24"/>
          <w:szCs w:val="24"/>
        </w:rPr>
        <w:t>to participants</w:t>
      </w:r>
      <w:r w:rsidR="00AC44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6287" w:rsidRPr="00C9530C">
        <w:rPr>
          <w:rFonts w:ascii="Times New Roman" w:hAnsi="Times New Roman" w:cs="Times New Roman"/>
          <w:i/>
          <w:sz w:val="24"/>
          <w:szCs w:val="24"/>
        </w:rPr>
        <w:t xml:space="preserve">prior to the workshop. </w:t>
      </w:r>
      <w:r w:rsidR="00C14E3D">
        <w:rPr>
          <w:rFonts w:ascii="Times New Roman" w:hAnsi="Times New Roman" w:cs="Times New Roman"/>
          <w:i/>
          <w:sz w:val="24"/>
          <w:szCs w:val="24"/>
        </w:rPr>
        <w:t>Participants</w:t>
      </w:r>
      <w:r w:rsidR="00036287" w:rsidRPr="00C9530C">
        <w:rPr>
          <w:rFonts w:ascii="Times New Roman" w:hAnsi="Times New Roman" w:cs="Times New Roman"/>
          <w:i/>
          <w:sz w:val="24"/>
          <w:szCs w:val="24"/>
        </w:rPr>
        <w:t xml:space="preserve"> were </w:t>
      </w:r>
      <w:r w:rsidR="003C149C">
        <w:rPr>
          <w:rFonts w:ascii="Times New Roman" w:hAnsi="Times New Roman" w:cs="Times New Roman"/>
          <w:i/>
          <w:sz w:val="24"/>
          <w:szCs w:val="24"/>
        </w:rPr>
        <w:t xml:space="preserve">then </w:t>
      </w:r>
      <w:r w:rsidRPr="00C9530C">
        <w:rPr>
          <w:rFonts w:ascii="Times New Roman" w:hAnsi="Times New Roman" w:cs="Times New Roman"/>
          <w:i/>
          <w:sz w:val="24"/>
          <w:szCs w:val="24"/>
        </w:rPr>
        <w:t>asked to consider four options</w:t>
      </w:r>
      <w:r w:rsidR="003C74FC" w:rsidRPr="00C9530C">
        <w:rPr>
          <w:rFonts w:ascii="Times New Roman" w:hAnsi="Times New Roman" w:cs="Times New Roman"/>
          <w:i/>
          <w:sz w:val="24"/>
          <w:szCs w:val="24"/>
        </w:rPr>
        <w:t xml:space="preserve"> for the </w:t>
      </w:r>
      <w:r w:rsidR="008D41AE">
        <w:rPr>
          <w:rFonts w:ascii="Times New Roman" w:hAnsi="Times New Roman" w:cs="Times New Roman"/>
          <w:i/>
          <w:sz w:val="24"/>
          <w:szCs w:val="24"/>
        </w:rPr>
        <w:t>‘a</w:t>
      </w:r>
      <w:r w:rsidR="00FA3D75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8D41AE">
        <w:rPr>
          <w:rFonts w:ascii="Times New Roman" w:hAnsi="Times New Roman" w:cs="Times New Roman"/>
          <w:i/>
          <w:sz w:val="24"/>
          <w:szCs w:val="24"/>
        </w:rPr>
        <w:t>p</w:t>
      </w:r>
      <w:r w:rsidR="00FA3D75">
        <w:rPr>
          <w:rFonts w:ascii="Times New Roman" w:hAnsi="Times New Roman" w:cs="Times New Roman"/>
          <w:i/>
          <w:sz w:val="24"/>
          <w:szCs w:val="24"/>
        </w:rPr>
        <w:t>repared</w:t>
      </w:r>
      <w:r w:rsidR="008D41AE">
        <w:rPr>
          <w:rFonts w:ascii="Times New Roman" w:hAnsi="Times New Roman" w:cs="Times New Roman"/>
          <w:i/>
          <w:sz w:val="24"/>
          <w:szCs w:val="24"/>
        </w:rPr>
        <w:t>’</w:t>
      </w:r>
      <w:r w:rsidR="003C74FC" w:rsidRPr="00C9530C">
        <w:rPr>
          <w:rFonts w:ascii="Times New Roman" w:hAnsi="Times New Roman" w:cs="Times New Roman"/>
          <w:i/>
          <w:sz w:val="24"/>
          <w:szCs w:val="24"/>
        </w:rPr>
        <w:t xml:space="preserve"> rules</w:t>
      </w:r>
      <w:r w:rsidRPr="00C953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1600" w:rsidRPr="00C9530C">
        <w:rPr>
          <w:rFonts w:ascii="Times New Roman" w:hAnsi="Times New Roman" w:cs="Times New Roman"/>
          <w:i/>
          <w:sz w:val="24"/>
          <w:szCs w:val="24"/>
        </w:rPr>
        <w:t xml:space="preserve">as </w:t>
      </w:r>
      <w:r w:rsidR="003C74FC" w:rsidRPr="00C9530C">
        <w:rPr>
          <w:rFonts w:ascii="Times New Roman" w:hAnsi="Times New Roman" w:cs="Times New Roman"/>
          <w:i/>
          <w:sz w:val="24"/>
          <w:szCs w:val="24"/>
        </w:rPr>
        <w:t>detailed</w:t>
      </w:r>
      <w:r w:rsidRPr="00C9530C">
        <w:rPr>
          <w:rFonts w:ascii="Times New Roman" w:hAnsi="Times New Roman" w:cs="Times New Roman"/>
          <w:i/>
          <w:sz w:val="24"/>
          <w:szCs w:val="24"/>
        </w:rPr>
        <w:t xml:space="preserve"> in the discussion paper</w:t>
      </w:r>
      <w:r w:rsidR="001D6BF2" w:rsidRPr="00C9530C">
        <w:rPr>
          <w:rFonts w:ascii="Times New Roman" w:hAnsi="Times New Roman" w:cs="Times New Roman"/>
          <w:i/>
          <w:sz w:val="24"/>
          <w:szCs w:val="24"/>
        </w:rPr>
        <w:t>:</w:t>
      </w:r>
      <w:r w:rsidR="003C74FC" w:rsidRPr="00C9530C">
        <w:rPr>
          <w:rFonts w:ascii="Times New Roman" w:hAnsi="Times New Roman" w:cs="Times New Roman"/>
          <w:i/>
          <w:sz w:val="24"/>
          <w:szCs w:val="24"/>
        </w:rPr>
        <w:t xml:space="preserve"> 1) </w:t>
      </w:r>
      <w:r w:rsidR="00C936ED">
        <w:rPr>
          <w:rFonts w:ascii="Times New Roman" w:hAnsi="Times New Roman" w:cs="Times New Roman"/>
          <w:i/>
          <w:sz w:val="24"/>
          <w:szCs w:val="24"/>
        </w:rPr>
        <w:t>s</w:t>
      </w:r>
      <w:r w:rsidR="003C74FC" w:rsidRPr="00C9530C">
        <w:rPr>
          <w:rFonts w:ascii="Times New Roman" w:hAnsi="Times New Roman" w:cs="Times New Roman"/>
          <w:i/>
          <w:sz w:val="24"/>
          <w:szCs w:val="24"/>
        </w:rPr>
        <w:t xml:space="preserve">tatus quo, 2) </w:t>
      </w:r>
      <w:r w:rsidR="00C936ED">
        <w:rPr>
          <w:rFonts w:ascii="Times New Roman" w:hAnsi="Times New Roman" w:cs="Times New Roman"/>
          <w:i/>
          <w:sz w:val="24"/>
          <w:szCs w:val="24"/>
        </w:rPr>
        <w:t>‘a</w:t>
      </w:r>
      <w:r w:rsidR="003C74FC" w:rsidRPr="00C9530C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C936ED">
        <w:rPr>
          <w:rFonts w:ascii="Times New Roman" w:hAnsi="Times New Roman" w:cs="Times New Roman"/>
          <w:i/>
          <w:sz w:val="24"/>
          <w:szCs w:val="24"/>
        </w:rPr>
        <w:t>s</w:t>
      </w:r>
      <w:r w:rsidR="00FC3FE6">
        <w:rPr>
          <w:rFonts w:ascii="Times New Roman" w:hAnsi="Times New Roman" w:cs="Times New Roman"/>
          <w:i/>
          <w:sz w:val="24"/>
          <w:szCs w:val="24"/>
        </w:rPr>
        <w:t>old</w:t>
      </w:r>
      <w:r w:rsidR="00C936ED">
        <w:rPr>
          <w:rFonts w:ascii="Times New Roman" w:hAnsi="Times New Roman" w:cs="Times New Roman"/>
          <w:i/>
          <w:sz w:val="24"/>
          <w:szCs w:val="24"/>
        </w:rPr>
        <w:t>’</w:t>
      </w:r>
      <w:r w:rsidR="00FC3FE6">
        <w:rPr>
          <w:rFonts w:ascii="Times New Roman" w:hAnsi="Times New Roman" w:cs="Times New Roman"/>
          <w:i/>
          <w:sz w:val="24"/>
          <w:szCs w:val="24"/>
        </w:rPr>
        <w:t xml:space="preserve"> only, 3) </w:t>
      </w:r>
      <w:r w:rsidR="00C936ED">
        <w:rPr>
          <w:rFonts w:ascii="Times New Roman" w:hAnsi="Times New Roman" w:cs="Times New Roman"/>
          <w:i/>
          <w:sz w:val="24"/>
          <w:szCs w:val="24"/>
        </w:rPr>
        <w:t>m</w:t>
      </w:r>
      <w:r w:rsidR="00FC3FE6">
        <w:rPr>
          <w:rFonts w:ascii="Times New Roman" w:hAnsi="Times New Roman" w:cs="Times New Roman"/>
          <w:i/>
          <w:sz w:val="24"/>
          <w:szCs w:val="24"/>
        </w:rPr>
        <w:t>ultiple HSR</w:t>
      </w:r>
      <w:r w:rsidR="003C74FC" w:rsidRPr="00C9530C">
        <w:rPr>
          <w:rFonts w:ascii="Times New Roman" w:hAnsi="Times New Roman" w:cs="Times New Roman"/>
          <w:i/>
          <w:sz w:val="24"/>
          <w:szCs w:val="24"/>
        </w:rPr>
        <w:t xml:space="preserve">s on pack and 4) </w:t>
      </w:r>
      <w:r w:rsidR="00C936ED">
        <w:rPr>
          <w:rFonts w:ascii="Times New Roman" w:hAnsi="Times New Roman" w:cs="Times New Roman"/>
          <w:i/>
          <w:sz w:val="24"/>
          <w:szCs w:val="24"/>
        </w:rPr>
        <w:t>‘a</w:t>
      </w:r>
      <w:r w:rsidR="003C74FC" w:rsidRPr="00C9530C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C936ED">
        <w:rPr>
          <w:rFonts w:ascii="Times New Roman" w:hAnsi="Times New Roman" w:cs="Times New Roman"/>
          <w:i/>
          <w:sz w:val="24"/>
          <w:szCs w:val="24"/>
        </w:rPr>
        <w:t>s</w:t>
      </w:r>
      <w:r w:rsidR="00685ABE">
        <w:rPr>
          <w:rFonts w:ascii="Times New Roman" w:hAnsi="Times New Roman" w:cs="Times New Roman"/>
          <w:i/>
          <w:sz w:val="24"/>
          <w:szCs w:val="24"/>
        </w:rPr>
        <w:t>old</w:t>
      </w:r>
      <w:r w:rsidR="00C936ED">
        <w:rPr>
          <w:rFonts w:ascii="Times New Roman" w:hAnsi="Times New Roman" w:cs="Times New Roman"/>
          <w:i/>
          <w:sz w:val="24"/>
          <w:szCs w:val="24"/>
        </w:rPr>
        <w:t>’</w:t>
      </w:r>
      <w:r w:rsidR="003C74FC" w:rsidRPr="00C9530C">
        <w:rPr>
          <w:rFonts w:ascii="Times New Roman" w:hAnsi="Times New Roman" w:cs="Times New Roman"/>
          <w:i/>
          <w:sz w:val="24"/>
          <w:szCs w:val="24"/>
        </w:rPr>
        <w:t xml:space="preserve"> with exemptions. The attendees were </w:t>
      </w:r>
      <w:r w:rsidR="00162CB2">
        <w:rPr>
          <w:rFonts w:ascii="Times New Roman" w:hAnsi="Times New Roman" w:cs="Times New Roman"/>
          <w:i/>
          <w:sz w:val="24"/>
          <w:szCs w:val="24"/>
        </w:rPr>
        <w:t xml:space="preserve">asked </w:t>
      </w:r>
      <w:r w:rsidR="0064024B" w:rsidRPr="00AC44FF">
        <w:rPr>
          <w:rFonts w:ascii="Times New Roman" w:hAnsi="Times New Roman" w:cs="Times New Roman"/>
          <w:i/>
          <w:sz w:val="24"/>
          <w:szCs w:val="24"/>
        </w:rPr>
        <w:t>to</w:t>
      </w:r>
      <w:r w:rsidR="0064024B" w:rsidRPr="00C9530C">
        <w:rPr>
          <w:rFonts w:ascii="Times New Roman" w:hAnsi="Times New Roman" w:cs="Times New Roman"/>
          <w:i/>
          <w:sz w:val="24"/>
          <w:szCs w:val="24"/>
        </w:rPr>
        <w:t xml:space="preserve"> consider the pros and cons of each option and assign an overall star rating</w:t>
      </w:r>
      <w:r w:rsidR="00833319" w:rsidRPr="00C9530C">
        <w:rPr>
          <w:rFonts w:ascii="Times New Roman" w:hAnsi="Times New Roman" w:cs="Times New Roman"/>
          <w:i/>
          <w:sz w:val="24"/>
          <w:szCs w:val="24"/>
        </w:rPr>
        <w:t xml:space="preserve"> based on how successful they considered each option would be</w:t>
      </w:r>
      <w:r w:rsidR="003C74FC" w:rsidRPr="00C9530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26322" w:rsidRPr="00C9530C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833319" w:rsidRPr="00C9530C">
        <w:rPr>
          <w:rFonts w:ascii="Times New Roman" w:hAnsi="Times New Roman" w:cs="Times New Roman"/>
          <w:i/>
          <w:sz w:val="24"/>
          <w:szCs w:val="24"/>
        </w:rPr>
        <w:t xml:space="preserve">individual </w:t>
      </w:r>
      <w:r w:rsidR="00567728">
        <w:rPr>
          <w:rFonts w:ascii="Times New Roman" w:hAnsi="Times New Roman" w:cs="Times New Roman"/>
          <w:i/>
          <w:sz w:val="24"/>
          <w:szCs w:val="24"/>
        </w:rPr>
        <w:t>group</w:t>
      </w:r>
      <w:r w:rsidR="00162CB2">
        <w:rPr>
          <w:rFonts w:ascii="Times New Roman" w:hAnsi="Times New Roman" w:cs="Times New Roman"/>
          <w:i/>
          <w:sz w:val="24"/>
          <w:szCs w:val="24"/>
        </w:rPr>
        <w:t>s</w:t>
      </w:r>
      <w:r w:rsidR="0064024B" w:rsidRPr="00C9530C">
        <w:rPr>
          <w:rFonts w:ascii="Times New Roman" w:hAnsi="Times New Roman" w:cs="Times New Roman"/>
          <w:i/>
          <w:sz w:val="24"/>
          <w:szCs w:val="24"/>
        </w:rPr>
        <w:t xml:space="preserve"> then</w:t>
      </w:r>
      <w:r w:rsidR="009E559D" w:rsidRPr="00C9530C">
        <w:rPr>
          <w:rFonts w:ascii="Times New Roman" w:hAnsi="Times New Roman" w:cs="Times New Roman"/>
          <w:i/>
          <w:sz w:val="24"/>
          <w:szCs w:val="24"/>
        </w:rPr>
        <w:t xml:space="preserve"> provided</w:t>
      </w:r>
      <w:r w:rsidR="0064024B" w:rsidRPr="00C953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3C35" w:rsidRPr="00C9530C">
        <w:rPr>
          <w:rFonts w:ascii="Times New Roman" w:hAnsi="Times New Roman" w:cs="Times New Roman"/>
          <w:i/>
          <w:sz w:val="24"/>
          <w:szCs w:val="24"/>
        </w:rPr>
        <w:t>feedback</w:t>
      </w:r>
      <w:r w:rsidR="0064024B" w:rsidRPr="00C9530C">
        <w:rPr>
          <w:rFonts w:ascii="Times New Roman" w:hAnsi="Times New Roman" w:cs="Times New Roman"/>
          <w:i/>
          <w:sz w:val="24"/>
          <w:szCs w:val="24"/>
        </w:rPr>
        <w:t xml:space="preserve"> and</w:t>
      </w:r>
      <w:r w:rsidR="0064024B" w:rsidRPr="00AC44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6287" w:rsidRPr="00AC44FF">
        <w:rPr>
          <w:rFonts w:ascii="Times New Roman" w:hAnsi="Times New Roman" w:cs="Times New Roman"/>
          <w:i/>
          <w:sz w:val="24"/>
          <w:szCs w:val="24"/>
        </w:rPr>
        <w:t xml:space="preserve">each option was </w:t>
      </w:r>
      <w:r w:rsidR="0064024B" w:rsidRPr="00AC44FF">
        <w:rPr>
          <w:rFonts w:ascii="Times New Roman" w:hAnsi="Times New Roman" w:cs="Times New Roman"/>
          <w:i/>
          <w:sz w:val="24"/>
          <w:szCs w:val="24"/>
        </w:rPr>
        <w:t xml:space="preserve">discussed </w:t>
      </w:r>
      <w:r w:rsidR="009E559D" w:rsidRPr="00AC44FF">
        <w:rPr>
          <w:rFonts w:ascii="Times New Roman" w:hAnsi="Times New Roman" w:cs="Times New Roman"/>
          <w:i/>
          <w:sz w:val="24"/>
          <w:szCs w:val="24"/>
        </w:rPr>
        <w:t>in</w:t>
      </w:r>
      <w:r w:rsidR="00833319" w:rsidRPr="00AC44FF">
        <w:rPr>
          <w:rFonts w:ascii="Times New Roman" w:hAnsi="Times New Roman" w:cs="Times New Roman"/>
          <w:i/>
          <w:sz w:val="24"/>
          <w:szCs w:val="24"/>
        </w:rPr>
        <w:t xml:space="preserve"> a larger group</w:t>
      </w:r>
      <w:r w:rsidR="005456B0" w:rsidRPr="00AC44FF">
        <w:rPr>
          <w:rFonts w:ascii="Times New Roman" w:hAnsi="Times New Roman" w:cs="Times New Roman"/>
          <w:i/>
          <w:sz w:val="24"/>
          <w:szCs w:val="24"/>
        </w:rPr>
        <w:t>.</w:t>
      </w:r>
    </w:p>
    <w:p w:rsidR="0094402A" w:rsidRPr="00C9530C" w:rsidRDefault="0094402A" w:rsidP="003B1EDD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</w:p>
    <w:p w:rsidR="00956CA0" w:rsidRDefault="003A61CF" w:rsidP="001A7D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AU" w:eastAsia="en-AU"/>
        </w:rPr>
        <w:drawing>
          <wp:inline distT="0" distB="0" distL="0" distR="0" wp14:anchorId="5924B167" wp14:editId="6FB6B520">
            <wp:extent cx="4381500" cy="2628900"/>
            <wp:effectExtent l="0" t="0" r="0" b="0"/>
            <wp:docPr id="1" name="Picture 1" descr="Rating by stars - 0 to 5 - of each o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375" w:rsidRDefault="00432375" w:rsidP="001A7D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D6C" w:rsidRPr="00C9530C" w:rsidRDefault="003A61CF" w:rsidP="001A7D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AU" w:eastAsia="en-AU"/>
        </w:rPr>
        <w:drawing>
          <wp:inline distT="0" distB="0" distL="0" distR="0" wp14:anchorId="5C832B23" wp14:editId="318FF6C6">
            <wp:extent cx="4352925" cy="2571750"/>
            <wp:effectExtent l="0" t="0" r="9525" b="0"/>
            <wp:docPr id="3" name="Picture 3" descr="Rating by stars - 0 to 5 - of each o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EB4" w:rsidRPr="002630CC" w:rsidRDefault="00956CA0" w:rsidP="003A61CF">
      <w:pPr>
        <w:pStyle w:val="Heading2"/>
      </w:pPr>
      <w:r w:rsidRPr="002630CC">
        <w:lastRenderedPageBreak/>
        <w:t>Key messages</w:t>
      </w:r>
      <w:r w:rsidR="005070D0" w:rsidRPr="002630CC">
        <w:t xml:space="preserve"> </w:t>
      </w:r>
    </w:p>
    <w:p w:rsidR="00262657" w:rsidRPr="002630CC" w:rsidRDefault="00262657" w:rsidP="003B1EDD">
      <w:pPr>
        <w:keepNext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630CC">
        <w:rPr>
          <w:rFonts w:ascii="Times New Roman" w:hAnsi="Times New Roman" w:cs="Times New Roman"/>
          <w:sz w:val="24"/>
          <w:szCs w:val="24"/>
        </w:rPr>
        <w:t>The outcomes of the workshop are not a consensus statement. The ‘messages’ described below reflect the main themes and views of attendees in general. Overall there was good, robust di</w:t>
      </w:r>
      <w:r w:rsidR="00D74F31" w:rsidRPr="002630CC">
        <w:rPr>
          <w:rFonts w:ascii="Times New Roman" w:hAnsi="Times New Roman" w:cs="Times New Roman"/>
          <w:sz w:val="24"/>
          <w:szCs w:val="24"/>
        </w:rPr>
        <w:t>scussion and stakeholders tried to work</w:t>
      </w:r>
      <w:r w:rsidRPr="002630CC">
        <w:rPr>
          <w:rFonts w:ascii="Times New Roman" w:hAnsi="Times New Roman" w:cs="Times New Roman"/>
          <w:sz w:val="24"/>
          <w:szCs w:val="24"/>
        </w:rPr>
        <w:t xml:space="preserve"> together to find a ‘best fit’ solution.</w:t>
      </w:r>
    </w:p>
    <w:p w:rsidR="00262657" w:rsidRPr="002630CC" w:rsidRDefault="00262657" w:rsidP="003856B9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630CC">
        <w:rPr>
          <w:rFonts w:ascii="Times New Roman" w:hAnsi="Times New Roman" w:cs="Times New Roman"/>
          <w:sz w:val="24"/>
          <w:szCs w:val="24"/>
        </w:rPr>
        <w:t xml:space="preserve">There was a majority preference for option four (‘as sold’ with exemptions). Stakeholders expressed that in order for this option to be successful there would need to be a limited number of exemptions and that the rules for these need to be very specific and tightly controlled. </w:t>
      </w:r>
    </w:p>
    <w:p w:rsidR="00272032" w:rsidRPr="002630CC" w:rsidRDefault="00272032" w:rsidP="003856B9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630CC">
        <w:rPr>
          <w:rFonts w:ascii="Times New Roman" w:hAnsi="Times New Roman" w:cs="Times New Roman"/>
          <w:sz w:val="24"/>
          <w:szCs w:val="24"/>
        </w:rPr>
        <w:t>There were mixed views on the other options</w:t>
      </w:r>
      <w:r w:rsidR="00763E47" w:rsidRPr="002630CC">
        <w:rPr>
          <w:rFonts w:ascii="Times New Roman" w:hAnsi="Times New Roman" w:cs="Times New Roman"/>
          <w:sz w:val="24"/>
          <w:szCs w:val="24"/>
        </w:rPr>
        <w:t>,</w:t>
      </w:r>
      <w:r w:rsidRPr="002630CC">
        <w:rPr>
          <w:rFonts w:ascii="Times New Roman" w:hAnsi="Times New Roman" w:cs="Times New Roman"/>
          <w:sz w:val="24"/>
          <w:szCs w:val="24"/>
        </w:rPr>
        <w:t xml:space="preserve"> but none of these were overwhelmingly agreed </w:t>
      </w:r>
      <w:r w:rsidR="00763E47" w:rsidRPr="002630CC">
        <w:rPr>
          <w:rFonts w:ascii="Times New Roman" w:hAnsi="Times New Roman" w:cs="Times New Roman"/>
          <w:sz w:val="24"/>
          <w:szCs w:val="24"/>
        </w:rPr>
        <w:t xml:space="preserve">upon as </w:t>
      </w:r>
      <w:r w:rsidRPr="002630CC">
        <w:rPr>
          <w:rFonts w:ascii="Times New Roman" w:hAnsi="Times New Roman" w:cs="Times New Roman"/>
          <w:sz w:val="24"/>
          <w:szCs w:val="24"/>
        </w:rPr>
        <w:t xml:space="preserve">particularly viable solutions. </w:t>
      </w:r>
    </w:p>
    <w:p w:rsidR="00E67254" w:rsidRPr="002630CC" w:rsidRDefault="00C936ED" w:rsidP="003856B9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s</w:t>
      </w:r>
      <w:r w:rsidR="005E2C4F" w:rsidRPr="002630CC">
        <w:rPr>
          <w:rFonts w:ascii="Times New Roman" w:hAnsi="Times New Roman" w:cs="Times New Roman"/>
          <w:sz w:val="24"/>
          <w:szCs w:val="24"/>
        </w:rPr>
        <w:t>takeholders placed importance on l</w:t>
      </w:r>
      <w:r w:rsidR="00EA0ED5" w:rsidRPr="002630CC">
        <w:rPr>
          <w:rFonts w:ascii="Times New Roman" w:hAnsi="Times New Roman" w:cs="Times New Roman"/>
          <w:sz w:val="24"/>
          <w:szCs w:val="24"/>
        </w:rPr>
        <w:t>imiting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821D8E" w:rsidRPr="002630CC">
        <w:rPr>
          <w:rFonts w:ascii="Times New Roman" w:hAnsi="Times New Roman" w:cs="Times New Roman"/>
          <w:sz w:val="24"/>
          <w:szCs w:val="24"/>
        </w:rPr>
        <w:t xml:space="preserve"> scope for </w:t>
      </w:r>
      <w:r>
        <w:rPr>
          <w:rFonts w:ascii="Times New Roman" w:hAnsi="Times New Roman" w:cs="Times New Roman"/>
          <w:sz w:val="24"/>
          <w:szCs w:val="24"/>
        </w:rPr>
        <w:t>manipulation</w:t>
      </w:r>
      <w:r w:rsidR="00821D8E" w:rsidRPr="002630CC">
        <w:rPr>
          <w:rFonts w:ascii="Times New Roman" w:hAnsi="Times New Roman" w:cs="Times New Roman"/>
          <w:sz w:val="24"/>
          <w:szCs w:val="24"/>
        </w:rPr>
        <w:t xml:space="preserve"> of</w:t>
      </w:r>
      <w:r w:rsidR="005E2C4F" w:rsidRPr="002630CC">
        <w:rPr>
          <w:rFonts w:ascii="Times New Roman" w:hAnsi="Times New Roman" w:cs="Times New Roman"/>
          <w:sz w:val="24"/>
          <w:szCs w:val="24"/>
        </w:rPr>
        <w:t xml:space="preserve"> the</w:t>
      </w:r>
      <w:r w:rsidR="00821D8E" w:rsidRPr="002630CC">
        <w:rPr>
          <w:rFonts w:ascii="Times New Roman" w:hAnsi="Times New Roman" w:cs="Times New Roman"/>
          <w:sz w:val="24"/>
          <w:szCs w:val="24"/>
        </w:rPr>
        <w:t xml:space="preserve"> system</w:t>
      </w:r>
      <w:r w:rsidR="00E67254" w:rsidRPr="002630CC">
        <w:rPr>
          <w:rFonts w:ascii="Times New Roman" w:hAnsi="Times New Roman" w:cs="Times New Roman"/>
          <w:sz w:val="24"/>
          <w:szCs w:val="24"/>
        </w:rPr>
        <w:t xml:space="preserve"> </w:t>
      </w:r>
      <w:r w:rsidR="005E2C4F" w:rsidRPr="002630CC">
        <w:rPr>
          <w:rFonts w:ascii="Times New Roman" w:hAnsi="Times New Roman" w:cs="Times New Roman"/>
          <w:sz w:val="24"/>
          <w:szCs w:val="24"/>
        </w:rPr>
        <w:t>by industry. O</w:t>
      </w:r>
      <w:r w:rsidR="00E67254" w:rsidRPr="002630CC">
        <w:rPr>
          <w:rFonts w:ascii="Times New Roman" w:hAnsi="Times New Roman" w:cs="Times New Roman"/>
          <w:sz w:val="24"/>
          <w:szCs w:val="24"/>
        </w:rPr>
        <w:t xml:space="preserve">ption </w:t>
      </w:r>
      <w:r w:rsidR="007C4B37" w:rsidRPr="002630CC">
        <w:rPr>
          <w:rFonts w:ascii="Times New Roman" w:hAnsi="Times New Roman" w:cs="Times New Roman"/>
          <w:sz w:val="24"/>
          <w:szCs w:val="24"/>
        </w:rPr>
        <w:t>two</w:t>
      </w:r>
      <w:r w:rsidR="00E67254" w:rsidRPr="002630CC">
        <w:rPr>
          <w:rFonts w:ascii="Times New Roman" w:hAnsi="Times New Roman" w:cs="Times New Roman"/>
          <w:sz w:val="24"/>
          <w:szCs w:val="24"/>
        </w:rPr>
        <w:t xml:space="preserve"> (</w:t>
      </w:r>
      <w:r w:rsidR="0092723E">
        <w:rPr>
          <w:rFonts w:ascii="Times New Roman" w:hAnsi="Times New Roman" w:cs="Times New Roman"/>
          <w:sz w:val="24"/>
          <w:szCs w:val="24"/>
        </w:rPr>
        <w:t>‘</w:t>
      </w:r>
      <w:r w:rsidR="00E67254" w:rsidRPr="002630CC">
        <w:rPr>
          <w:rFonts w:ascii="Times New Roman" w:hAnsi="Times New Roman" w:cs="Times New Roman"/>
          <w:sz w:val="24"/>
          <w:szCs w:val="24"/>
        </w:rPr>
        <w:t>as sold</w:t>
      </w:r>
      <w:r w:rsidR="0092723E">
        <w:rPr>
          <w:rFonts w:ascii="Times New Roman" w:hAnsi="Times New Roman" w:cs="Times New Roman"/>
          <w:sz w:val="24"/>
          <w:szCs w:val="24"/>
        </w:rPr>
        <w:t>’</w:t>
      </w:r>
      <w:r w:rsidR="00E67254" w:rsidRPr="002630CC">
        <w:rPr>
          <w:rFonts w:ascii="Times New Roman" w:hAnsi="Times New Roman" w:cs="Times New Roman"/>
          <w:sz w:val="24"/>
          <w:szCs w:val="24"/>
        </w:rPr>
        <w:t xml:space="preserve">) was seen to do this by reducing the chance for complex recipes </w:t>
      </w:r>
      <w:r w:rsidR="005E2C4F" w:rsidRPr="002630CC">
        <w:rPr>
          <w:rFonts w:ascii="Times New Roman" w:hAnsi="Times New Roman" w:cs="Times New Roman"/>
          <w:sz w:val="24"/>
          <w:szCs w:val="24"/>
        </w:rPr>
        <w:t>which could</w:t>
      </w:r>
      <w:r w:rsidR="00E67254" w:rsidRPr="002630CC">
        <w:rPr>
          <w:rFonts w:ascii="Times New Roman" w:hAnsi="Times New Roman" w:cs="Times New Roman"/>
          <w:sz w:val="24"/>
          <w:szCs w:val="24"/>
        </w:rPr>
        <w:t xml:space="preserve"> increase t</w:t>
      </w:r>
      <w:r w:rsidR="007C4B37" w:rsidRPr="002630CC">
        <w:rPr>
          <w:rFonts w:ascii="Times New Roman" w:hAnsi="Times New Roman" w:cs="Times New Roman"/>
          <w:sz w:val="24"/>
          <w:szCs w:val="24"/>
        </w:rPr>
        <w:t xml:space="preserve">he HSR. Option four was also seen </w:t>
      </w:r>
      <w:r w:rsidR="005E2C4F" w:rsidRPr="002630CC">
        <w:rPr>
          <w:rFonts w:ascii="Times New Roman" w:hAnsi="Times New Roman" w:cs="Times New Roman"/>
          <w:sz w:val="24"/>
          <w:szCs w:val="24"/>
        </w:rPr>
        <w:t>as a way to address this</w:t>
      </w:r>
      <w:r w:rsidR="007C4B37" w:rsidRPr="002630CC">
        <w:rPr>
          <w:rFonts w:ascii="Times New Roman" w:hAnsi="Times New Roman" w:cs="Times New Roman"/>
          <w:sz w:val="24"/>
          <w:szCs w:val="24"/>
        </w:rPr>
        <w:t xml:space="preserve">, while </w:t>
      </w:r>
      <w:r w:rsidR="008D1A0D" w:rsidRPr="002630CC">
        <w:rPr>
          <w:rFonts w:ascii="Times New Roman" w:hAnsi="Times New Roman" w:cs="Times New Roman"/>
          <w:sz w:val="24"/>
          <w:szCs w:val="24"/>
        </w:rPr>
        <w:t>still allowing a fair basis to compare foods within categories</w:t>
      </w:r>
      <w:r w:rsidR="007C4B37" w:rsidRPr="002630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4A0F" w:rsidRPr="002630CC" w:rsidRDefault="007563F6" w:rsidP="003856B9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630CC">
        <w:rPr>
          <w:rFonts w:ascii="Times New Roman" w:hAnsi="Times New Roman" w:cs="Times New Roman"/>
          <w:sz w:val="24"/>
          <w:szCs w:val="24"/>
        </w:rPr>
        <w:t xml:space="preserve">Stakeholders generally shared the opinion that </w:t>
      </w:r>
      <w:r w:rsidR="003A7E5E" w:rsidRPr="002630CC">
        <w:rPr>
          <w:rFonts w:ascii="Times New Roman" w:hAnsi="Times New Roman" w:cs="Times New Roman"/>
          <w:sz w:val="24"/>
          <w:szCs w:val="24"/>
        </w:rPr>
        <w:t>exemptions are fair for products that require rehydration</w:t>
      </w:r>
      <w:r w:rsidR="00E13259" w:rsidRPr="002630CC">
        <w:rPr>
          <w:rFonts w:ascii="Times New Roman" w:hAnsi="Times New Roman" w:cs="Times New Roman"/>
          <w:sz w:val="24"/>
          <w:szCs w:val="24"/>
        </w:rPr>
        <w:t xml:space="preserve"> </w:t>
      </w:r>
      <w:r w:rsidR="003A7E5E" w:rsidRPr="002630CC">
        <w:rPr>
          <w:rFonts w:ascii="Times New Roman" w:hAnsi="Times New Roman" w:cs="Times New Roman"/>
          <w:sz w:val="24"/>
          <w:szCs w:val="24"/>
        </w:rPr>
        <w:t>or draining</w:t>
      </w:r>
      <w:r w:rsidR="00EB4A0F" w:rsidRPr="002630CC">
        <w:rPr>
          <w:rFonts w:ascii="Times New Roman" w:hAnsi="Times New Roman" w:cs="Times New Roman"/>
          <w:sz w:val="24"/>
          <w:szCs w:val="24"/>
        </w:rPr>
        <w:t>,</w:t>
      </w:r>
      <w:r w:rsidR="003A7E5E" w:rsidRPr="002630CC">
        <w:rPr>
          <w:rFonts w:ascii="Times New Roman" w:hAnsi="Times New Roman" w:cs="Times New Roman"/>
          <w:sz w:val="24"/>
          <w:szCs w:val="24"/>
        </w:rPr>
        <w:t xml:space="preserve"> and</w:t>
      </w:r>
      <w:r w:rsidRPr="002630CC">
        <w:rPr>
          <w:rFonts w:ascii="Times New Roman" w:hAnsi="Times New Roman" w:cs="Times New Roman"/>
          <w:sz w:val="24"/>
          <w:szCs w:val="24"/>
        </w:rPr>
        <w:t xml:space="preserve"> that exemptions for such products would</w:t>
      </w:r>
      <w:r w:rsidR="003A7E5E" w:rsidRPr="002630CC">
        <w:rPr>
          <w:rFonts w:ascii="Times New Roman" w:hAnsi="Times New Roman" w:cs="Times New Roman"/>
          <w:sz w:val="24"/>
          <w:szCs w:val="24"/>
        </w:rPr>
        <w:t xml:space="preserve"> allow</w:t>
      </w:r>
      <w:r w:rsidR="00EB4A0F" w:rsidRPr="002630CC">
        <w:rPr>
          <w:rFonts w:ascii="Times New Roman" w:hAnsi="Times New Roman" w:cs="Times New Roman"/>
          <w:sz w:val="24"/>
          <w:szCs w:val="24"/>
        </w:rPr>
        <w:t xml:space="preserve"> for actual comparison</w:t>
      </w:r>
      <w:r w:rsidR="003A7E5E" w:rsidRPr="002630CC">
        <w:rPr>
          <w:rFonts w:ascii="Times New Roman" w:hAnsi="Times New Roman" w:cs="Times New Roman"/>
          <w:sz w:val="24"/>
          <w:szCs w:val="24"/>
        </w:rPr>
        <w:t xml:space="preserve"> </w:t>
      </w:r>
      <w:r w:rsidR="00EB4A0F" w:rsidRPr="002630CC">
        <w:rPr>
          <w:rFonts w:ascii="Times New Roman" w:hAnsi="Times New Roman" w:cs="Times New Roman"/>
          <w:sz w:val="24"/>
          <w:szCs w:val="24"/>
        </w:rPr>
        <w:t xml:space="preserve">within </w:t>
      </w:r>
      <w:r w:rsidRPr="002630CC">
        <w:rPr>
          <w:rFonts w:ascii="Times New Roman" w:hAnsi="Times New Roman" w:cs="Times New Roman"/>
          <w:sz w:val="24"/>
          <w:szCs w:val="24"/>
        </w:rPr>
        <w:t>categories</w:t>
      </w:r>
      <w:r w:rsidR="003A7E5E" w:rsidRPr="002630CC">
        <w:rPr>
          <w:rFonts w:ascii="Times New Roman" w:hAnsi="Times New Roman" w:cs="Times New Roman"/>
          <w:sz w:val="24"/>
          <w:szCs w:val="24"/>
        </w:rPr>
        <w:t xml:space="preserve">. </w:t>
      </w:r>
      <w:r w:rsidR="00EB4A0F" w:rsidRPr="00263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259" w:rsidRPr="002630CC" w:rsidRDefault="004D04B3" w:rsidP="003856B9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630CC">
        <w:rPr>
          <w:rFonts w:ascii="Times New Roman" w:hAnsi="Times New Roman" w:cs="Times New Roman"/>
          <w:sz w:val="24"/>
          <w:szCs w:val="24"/>
        </w:rPr>
        <w:t xml:space="preserve">The </w:t>
      </w:r>
      <w:r w:rsidR="003A7E5E" w:rsidRPr="002630CC">
        <w:rPr>
          <w:rFonts w:ascii="Times New Roman" w:hAnsi="Times New Roman" w:cs="Times New Roman"/>
          <w:sz w:val="24"/>
          <w:szCs w:val="24"/>
        </w:rPr>
        <w:t>need for increased</w:t>
      </w:r>
      <w:r w:rsidRPr="002630CC">
        <w:rPr>
          <w:rFonts w:ascii="Times New Roman" w:hAnsi="Times New Roman" w:cs="Times New Roman"/>
          <w:sz w:val="24"/>
          <w:szCs w:val="24"/>
        </w:rPr>
        <w:t xml:space="preserve"> education </w:t>
      </w:r>
      <w:r w:rsidR="003A7E5E" w:rsidRPr="002630CC">
        <w:rPr>
          <w:rFonts w:ascii="Times New Roman" w:hAnsi="Times New Roman" w:cs="Times New Roman"/>
          <w:sz w:val="24"/>
          <w:szCs w:val="24"/>
        </w:rPr>
        <w:t xml:space="preserve">on the </w:t>
      </w:r>
      <w:r w:rsidR="00E60DDE">
        <w:rPr>
          <w:rFonts w:ascii="Times New Roman" w:hAnsi="Times New Roman" w:cs="Times New Roman"/>
          <w:sz w:val="24"/>
          <w:szCs w:val="24"/>
        </w:rPr>
        <w:t>HSR system</w:t>
      </w:r>
      <w:r w:rsidR="009C455F" w:rsidRPr="002630CC">
        <w:rPr>
          <w:rFonts w:ascii="Times New Roman" w:hAnsi="Times New Roman" w:cs="Times New Roman"/>
          <w:sz w:val="24"/>
          <w:szCs w:val="24"/>
        </w:rPr>
        <w:t xml:space="preserve"> </w:t>
      </w:r>
      <w:r w:rsidRPr="002630CC">
        <w:rPr>
          <w:rFonts w:ascii="Times New Roman" w:hAnsi="Times New Roman" w:cs="Times New Roman"/>
          <w:sz w:val="24"/>
          <w:szCs w:val="24"/>
        </w:rPr>
        <w:t xml:space="preserve">was a </w:t>
      </w:r>
      <w:r w:rsidR="00493F5B" w:rsidRPr="002630CC">
        <w:rPr>
          <w:rFonts w:ascii="Times New Roman" w:hAnsi="Times New Roman" w:cs="Times New Roman"/>
          <w:sz w:val="24"/>
          <w:szCs w:val="24"/>
        </w:rPr>
        <w:t>major</w:t>
      </w:r>
      <w:r w:rsidRPr="002630CC">
        <w:rPr>
          <w:rFonts w:ascii="Times New Roman" w:hAnsi="Times New Roman" w:cs="Times New Roman"/>
          <w:sz w:val="24"/>
          <w:szCs w:val="24"/>
        </w:rPr>
        <w:t xml:space="preserve"> theme </w:t>
      </w:r>
      <w:r w:rsidR="00493F5B" w:rsidRPr="002630CC">
        <w:rPr>
          <w:rFonts w:ascii="Times New Roman" w:hAnsi="Times New Roman" w:cs="Times New Roman"/>
          <w:sz w:val="24"/>
          <w:szCs w:val="24"/>
        </w:rPr>
        <w:t>throughout the workshop</w:t>
      </w:r>
      <w:r w:rsidR="009C2A7A" w:rsidRPr="002630CC">
        <w:rPr>
          <w:rFonts w:ascii="Times New Roman" w:hAnsi="Times New Roman" w:cs="Times New Roman"/>
          <w:sz w:val="24"/>
          <w:szCs w:val="24"/>
        </w:rPr>
        <w:t>.</w:t>
      </w:r>
      <w:r w:rsidR="00493F5B" w:rsidRPr="002630CC">
        <w:rPr>
          <w:rFonts w:ascii="Times New Roman" w:hAnsi="Times New Roman" w:cs="Times New Roman"/>
          <w:sz w:val="24"/>
          <w:szCs w:val="24"/>
        </w:rPr>
        <w:t xml:space="preserve"> </w:t>
      </w:r>
      <w:r w:rsidR="009C2A7A" w:rsidRPr="002630CC">
        <w:rPr>
          <w:rFonts w:ascii="Times New Roman" w:hAnsi="Times New Roman" w:cs="Times New Roman"/>
          <w:sz w:val="24"/>
          <w:szCs w:val="24"/>
        </w:rPr>
        <w:t>This</w:t>
      </w:r>
      <w:r w:rsidR="00493F5B" w:rsidRPr="002630CC">
        <w:rPr>
          <w:rFonts w:ascii="Times New Roman" w:hAnsi="Times New Roman" w:cs="Times New Roman"/>
          <w:sz w:val="24"/>
          <w:szCs w:val="24"/>
        </w:rPr>
        <w:t xml:space="preserve"> applied to</w:t>
      </w:r>
      <w:r w:rsidRPr="002630CC">
        <w:rPr>
          <w:rFonts w:ascii="Times New Roman" w:hAnsi="Times New Roman" w:cs="Times New Roman"/>
          <w:sz w:val="24"/>
          <w:szCs w:val="24"/>
        </w:rPr>
        <w:t xml:space="preserve"> </w:t>
      </w:r>
      <w:r w:rsidR="00493F5B" w:rsidRPr="002630CC">
        <w:rPr>
          <w:rFonts w:ascii="Times New Roman" w:hAnsi="Times New Roman" w:cs="Times New Roman"/>
          <w:sz w:val="24"/>
          <w:szCs w:val="24"/>
        </w:rPr>
        <w:t>every option</w:t>
      </w:r>
      <w:r w:rsidR="009C455F" w:rsidRPr="002630CC">
        <w:rPr>
          <w:rFonts w:ascii="Times New Roman" w:hAnsi="Times New Roman" w:cs="Times New Roman"/>
          <w:sz w:val="24"/>
          <w:szCs w:val="24"/>
        </w:rPr>
        <w:t>, whether maintain</w:t>
      </w:r>
      <w:r w:rsidR="009C2A7A" w:rsidRPr="002630CC">
        <w:rPr>
          <w:rFonts w:ascii="Times New Roman" w:hAnsi="Times New Roman" w:cs="Times New Roman"/>
          <w:sz w:val="24"/>
          <w:szCs w:val="24"/>
        </w:rPr>
        <w:t>ing</w:t>
      </w:r>
      <w:r w:rsidR="009C455F" w:rsidRPr="002630CC">
        <w:rPr>
          <w:rFonts w:ascii="Times New Roman" w:hAnsi="Times New Roman" w:cs="Times New Roman"/>
          <w:sz w:val="24"/>
          <w:szCs w:val="24"/>
        </w:rPr>
        <w:t xml:space="preserve"> the status quo or implementing a new </w:t>
      </w:r>
      <w:r w:rsidR="00C936ED">
        <w:rPr>
          <w:rFonts w:ascii="Times New Roman" w:hAnsi="Times New Roman" w:cs="Times New Roman"/>
          <w:sz w:val="24"/>
          <w:szCs w:val="24"/>
        </w:rPr>
        <w:t>set</w:t>
      </w:r>
      <w:r w:rsidR="009C455F" w:rsidRPr="002630CC">
        <w:rPr>
          <w:rFonts w:ascii="Times New Roman" w:hAnsi="Times New Roman" w:cs="Times New Roman"/>
          <w:sz w:val="24"/>
          <w:szCs w:val="24"/>
        </w:rPr>
        <w:t xml:space="preserve"> of </w:t>
      </w:r>
      <w:r w:rsidR="00C936ED">
        <w:rPr>
          <w:rFonts w:ascii="Times New Roman" w:hAnsi="Times New Roman" w:cs="Times New Roman"/>
          <w:sz w:val="24"/>
          <w:szCs w:val="24"/>
        </w:rPr>
        <w:t>‘as p</w:t>
      </w:r>
      <w:r w:rsidR="00FA3D75">
        <w:rPr>
          <w:rFonts w:ascii="Times New Roman" w:hAnsi="Times New Roman" w:cs="Times New Roman"/>
          <w:sz w:val="24"/>
          <w:szCs w:val="24"/>
        </w:rPr>
        <w:t>repared</w:t>
      </w:r>
      <w:r w:rsidR="00C936ED">
        <w:rPr>
          <w:rFonts w:ascii="Times New Roman" w:hAnsi="Times New Roman" w:cs="Times New Roman"/>
          <w:sz w:val="24"/>
          <w:szCs w:val="24"/>
        </w:rPr>
        <w:t>’</w:t>
      </w:r>
      <w:r w:rsidR="009C455F" w:rsidRPr="002630CC">
        <w:rPr>
          <w:rFonts w:ascii="Times New Roman" w:hAnsi="Times New Roman" w:cs="Times New Roman"/>
          <w:sz w:val="24"/>
          <w:szCs w:val="24"/>
        </w:rPr>
        <w:t xml:space="preserve"> rules. </w:t>
      </w:r>
    </w:p>
    <w:p w:rsidR="0046654A" w:rsidRPr="002630CC" w:rsidRDefault="00DE6137" w:rsidP="003856B9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630CC">
        <w:rPr>
          <w:rFonts w:ascii="Times New Roman" w:hAnsi="Times New Roman" w:cs="Times New Roman"/>
          <w:sz w:val="24"/>
          <w:szCs w:val="24"/>
        </w:rPr>
        <w:t xml:space="preserve">Stakeholders suggested </w:t>
      </w:r>
      <w:r w:rsidR="003962B3" w:rsidRPr="002630CC">
        <w:rPr>
          <w:rFonts w:ascii="Times New Roman" w:hAnsi="Times New Roman" w:cs="Times New Roman"/>
          <w:sz w:val="24"/>
          <w:szCs w:val="24"/>
        </w:rPr>
        <w:t xml:space="preserve">that </w:t>
      </w:r>
      <w:r w:rsidR="007C0C17">
        <w:rPr>
          <w:rFonts w:ascii="Times New Roman" w:hAnsi="Times New Roman" w:cs="Times New Roman"/>
          <w:sz w:val="24"/>
          <w:szCs w:val="24"/>
        </w:rPr>
        <w:t>‘</w:t>
      </w:r>
      <w:r w:rsidRPr="002630CC">
        <w:rPr>
          <w:rFonts w:ascii="Times New Roman" w:hAnsi="Times New Roman" w:cs="Times New Roman"/>
          <w:sz w:val="24"/>
          <w:szCs w:val="24"/>
        </w:rPr>
        <w:t>a</w:t>
      </w:r>
      <w:r w:rsidR="0046654A" w:rsidRPr="002630CC">
        <w:rPr>
          <w:rFonts w:ascii="Times New Roman" w:hAnsi="Times New Roman" w:cs="Times New Roman"/>
          <w:sz w:val="24"/>
          <w:szCs w:val="24"/>
        </w:rPr>
        <w:t>dd</w:t>
      </w:r>
      <w:r w:rsidR="00D97696" w:rsidRPr="002630CC">
        <w:rPr>
          <w:rFonts w:ascii="Times New Roman" w:hAnsi="Times New Roman" w:cs="Times New Roman"/>
          <w:sz w:val="24"/>
          <w:szCs w:val="24"/>
        </w:rPr>
        <w:t>-ons</w:t>
      </w:r>
      <w:r w:rsidR="007C0C17">
        <w:rPr>
          <w:rFonts w:ascii="Times New Roman" w:hAnsi="Times New Roman" w:cs="Times New Roman"/>
          <w:sz w:val="24"/>
          <w:szCs w:val="24"/>
        </w:rPr>
        <w:t>’</w:t>
      </w:r>
      <w:r w:rsidR="004D04B3" w:rsidRPr="002630CC">
        <w:rPr>
          <w:rFonts w:ascii="Times New Roman" w:hAnsi="Times New Roman" w:cs="Times New Roman"/>
          <w:sz w:val="24"/>
          <w:szCs w:val="24"/>
        </w:rPr>
        <w:t xml:space="preserve"> </w:t>
      </w:r>
      <w:r w:rsidRPr="002630CC">
        <w:rPr>
          <w:rFonts w:ascii="Times New Roman" w:hAnsi="Times New Roman" w:cs="Times New Roman"/>
          <w:sz w:val="24"/>
          <w:szCs w:val="24"/>
        </w:rPr>
        <w:t>could be of use</w:t>
      </w:r>
      <w:r w:rsidR="00D97696" w:rsidRPr="002630CC">
        <w:rPr>
          <w:rFonts w:ascii="Times New Roman" w:hAnsi="Times New Roman" w:cs="Times New Roman"/>
          <w:sz w:val="24"/>
          <w:szCs w:val="24"/>
        </w:rPr>
        <w:t xml:space="preserve"> across the options</w:t>
      </w:r>
      <w:r w:rsidR="0046654A" w:rsidRPr="002630CC">
        <w:rPr>
          <w:rFonts w:ascii="Times New Roman" w:hAnsi="Times New Roman" w:cs="Times New Roman"/>
          <w:sz w:val="24"/>
          <w:szCs w:val="24"/>
        </w:rPr>
        <w:t>. Examples included</w:t>
      </w:r>
      <w:r w:rsidR="004D04B3" w:rsidRPr="002630CC">
        <w:rPr>
          <w:rFonts w:ascii="Times New Roman" w:hAnsi="Times New Roman" w:cs="Times New Roman"/>
          <w:sz w:val="24"/>
          <w:szCs w:val="24"/>
        </w:rPr>
        <w:t xml:space="preserve"> </w:t>
      </w:r>
      <w:r w:rsidR="0046654A" w:rsidRPr="002630CC">
        <w:rPr>
          <w:rFonts w:ascii="Times New Roman" w:hAnsi="Times New Roman" w:cs="Times New Roman"/>
          <w:sz w:val="24"/>
          <w:szCs w:val="24"/>
        </w:rPr>
        <w:t xml:space="preserve">mobile phone applications, Quick Reference </w:t>
      </w:r>
      <w:r w:rsidR="00E60DDE">
        <w:rPr>
          <w:rFonts w:ascii="Times New Roman" w:hAnsi="Times New Roman" w:cs="Times New Roman"/>
          <w:sz w:val="24"/>
          <w:szCs w:val="24"/>
        </w:rPr>
        <w:t xml:space="preserve">(QR) </w:t>
      </w:r>
      <w:r w:rsidR="0046654A" w:rsidRPr="002630CC">
        <w:rPr>
          <w:rFonts w:ascii="Times New Roman" w:hAnsi="Times New Roman" w:cs="Times New Roman"/>
          <w:sz w:val="24"/>
          <w:szCs w:val="24"/>
        </w:rPr>
        <w:t>Codes, and links or referrals to websites with recipe or alternative preparation suggestions</w:t>
      </w:r>
      <w:r w:rsidRPr="002630CC">
        <w:rPr>
          <w:rFonts w:ascii="Times New Roman" w:hAnsi="Times New Roman" w:cs="Times New Roman"/>
          <w:sz w:val="24"/>
          <w:szCs w:val="24"/>
        </w:rPr>
        <w:t>.</w:t>
      </w:r>
      <w:r w:rsidR="0046654A" w:rsidRPr="002630CC">
        <w:rPr>
          <w:rFonts w:ascii="Times New Roman" w:hAnsi="Times New Roman" w:cs="Times New Roman"/>
          <w:sz w:val="24"/>
          <w:szCs w:val="24"/>
        </w:rPr>
        <w:t xml:space="preserve"> </w:t>
      </w:r>
      <w:r w:rsidR="00965A04" w:rsidRPr="002630CC">
        <w:rPr>
          <w:rFonts w:ascii="Times New Roman" w:hAnsi="Times New Roman" w:cs="Times New Roman"/>
          <w:sz w:val="24"/>
          <w:szCs w:val="24"/>
        </w:rPr>
        <w:t xml:space="preserve">These were seen as a potential </w:t>
      </w:r>
      <w:r w:rsidRPr="002630CC">
        <w:rPr>
          <w:rFonts w:ascii="Times New Roman" w:hAnsi="Times New Roman" w:cs="Times New Roman"/>
          <w:sz w:val="24"/>
          <w:szCs w:val="24"/>
        </w:rPr>
        <w:t xml:space="preserve">means </w:t>
      </w:r>
      <w:r w:rsidR="00965A04" w:rsidRPr="002630CC">
        <w:rPr>
          <w:rFonts w:ascii="Times New Roman" w:hAnsi="Times New Roman" w:cs="Times New Roman"/>
          <w:sz w:val="24"/>
          <w:szCs w:val="24"/>
        </w:rPr>
        <w:t xml:space="preserve">to </w:t>
      </w:r>
      <w:r w:rsidR="00B56B3A" w:rsidRPr="002630CC">
        <w:rPr>
          <w:rFonts w:ascii="Times New Roman" w:hAnsi="Times New Roman" w:cs="Times New Roman"/>
          <w:sz w:val="24"/>
          <w:szCs w:val="24"/>
        </w:rPr>
        <w:t>address the issue of limited</w:t>
      </w:r>
      <w:r w:rsidR="00965A04" w:rsidRPr="002630CC">
        <w:rPr>
          <w:rFonts w:ascii="Times New Roman" w:hAnsi="Times New Roman" w:cs="Times New Roman"/>
          <w:sz w:val="24"/>
          <w:szCs w:val="24"/>
        </w:rPr>
        <w:t xml:space="preserve"> label space as well as provide further education and nutrition information. </w:t>
      </w:r>
    </w:p>
    <w:p w:rsidR="0080353B" w:rsidRPr="002630CC" w:rsidRDefault="007E658F" w:rsidP="003856B9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630CC">
        <w:rPr>
          <w:rFonts w:ascii="Times New Roman" w:hAnsi="Times New Roman" w:cs="Times New Roman"/>
          <w:sz w:val="24"/>
          <w:szCs w:val="24"/>
        </w:rPr>
        <w:t xml:space="preserve">Stakeholders mentioned that the </w:t>
      </w:r>
      <w:r w:rsidR="00E60DDE">
        <w:rPr>
          <w:rFonts w:ascii="Times New Roman" w:hAnsi="Times New Roman" w:cs="Times New Roman"/>
          <w:sz w:val="24"/>
          <w:szCs w:val="24"/>
        </w:rPr>
        <w:t>HSR system</w:t>
      </w:r>
      <w:r w:rsidRPr="002630CC">
        <w:rPr>
          <w:rFonts w:ascii="Times New Roman" w:hAnsi="Times New Roman" w:cs="Times New Roman"/>
          <w:sz w:val="24"/>
          <w:szCs w:val="24"/>
        </w:rPr>
        <w:t xml:space="preserve"> needs to align with r</w:t>
      </w:r>
      <w:r w:rsidR="001A5D59" w:rsidRPr="002630CC">
        <w:rPr>
          <w:rFonts w:ascii="Times New Roman" w:hAnsi="Times New Roman" w:cs="Times New Roman"/>
          <w:sz w:val="24"/>
          <w:szCs w:val="24"/>
        </w:rPr>
        <w:t xml:space="preserve">egulations, namely the Food </w:t>
      </w:r>
      <w:r w:rsidRPr="002630CC">
        <w:rPr>
          <w:rFonts w:ascii="Times New Roman" w:hAnsi="Times New Roman" w:cs="Times New Roman"/>
          <w:sz w:val="24"/>
          <w:szCs w:val="24"/>
        </w:rPr>
        <w:t>Standards Code (FSC)</w:t>
      </w:r>
      <w:r w:rsidR="001A5D59" w:rsidRPr="002630CC">
        <w:rPr>
          <w:rFonts w:ascii="Times New Roman" w:hAnsi="Times New Roman" w:cs="Times New Roman"/>
          <w:sz w:val="24"/>
          <w:szCs w:val="24"/>
        </w:rPr>
        <w:t xml:space="preserve">. Option four was seen to do this. </w:t>
      </w:r>
    </w:p>
    <w:p w:rsidR="001200D4" w:rsidRPr="002630CC" w:rsidRDefault="001A5D59" w:rsidP="003856B9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630CC">
        <w:rPr>
          <w:rFonts w:ascii="Times New Roman" w:hAnsi="Times New Roman" w:cs="Times New Roman"/>
          <w:sz w:val="24"/>
          <w:szCs w:val="24"/>
        </w:rPr>
        <w:t xml:space="preserve">There was broad agreement </w:t>
      </w:r>
      <w:r w:rsidR="00CD5D0A" w:rsidRPr="002630CC">
        <w:rPr>
          <w:rFonts w:ascii="Times New Roman" w:hAnsi="Times New Roman" w:cs="Times New Roman"/>
          <w:sz w:val="24"/>
          <w:szCs w:val="24"/>
        </w:rPr>
        <w:t xml:space="preserve">among stakeholders </w:t>
      </w:r>
      <w:r w:rsidRPr="002630CC">
        <w:rPr>
          <w:rFonts w:ascii="Times New Roman" w:hAnsi="Times New Roman" w:cs="Times New Roman"/>
          <w:sz w:val="24"/>
          <w:szCs w:val="24"/>
        </w:rPr>
        <w:t xml:space="preserve">that whichever option is </w:t>
      </w:r>
      <w:r w:rsidR="00C55CC1" w:rsidRPr="002630CC">
        <w:rPr>
          <w:rFonts w:ascii="Times New Roman" w:hAnsi="Times New Roman" w:cs="Times New Roman"/>
          <w:sz w:val="24"/>
          <w:szCs w:val="24"/>
        </w:rPr>
        <w:t>chosen</w:t>
      </w:r>
      <w:r w:rsidR="007C0C17">
        <w:rPr>
          <w:rFonts w:ascii="Times New Roman" w:hAnsi="Times New Roman" w:cs="Times New Roman"/>
          <w:sz w:val="24"/>
          <w:szCs w:val="24"/>
        </w:rPr>
        <w:t xml:space="preserve"> it</w:t>
      </w:r>
      <w:r w:rsidRPr="002630CC">
        <w:rPr>
          <w:rFonts w:ascii="Times New Roman" w:hAnsi="Times New Roman" w:cs="Times New Roman"/>
          <w:sz w:val="24"/>
          <w:szCs w:val="24"/>
        </w:rPr>
        <w:t xml:space="preserve"> needs to be as reflective as possible of how the products are actually consumed. </w:t>
      </w:r>
    </w:p>
    <w:p w:rsidR="001200D4" w:rsidRPr="002630CC" w:rsidRDefault="00EA0ED5" w:rsidP="00B94590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630CC">
        <w:rPr>
          <w:rFonts w:ascii="Times New Roman" w:hAnsi="Times New Roman" w:cs="Times New Roman"/>
          <w:sz w:val="24"/>
          <w:szCs w:val="24"/>
        </w:rPr>
        <w:t>Credibility</w:t>
      </w:r>
      <w:r w:rsidR="00BF0AB5" w:rsidRPr="002630CC">
        <w:rPr>
          <w:rFonts w:ascii="Times New Roman" w:hAnsi="Times New Roman" w:cs="Times New Roman"/>
          <w:sz w:val="24"/>
          <w:szCs w:val="24"/>
        </w:rPr>
        <w:t xml:space="preserve"> and </w:t>
      </w:r>
      <w:r w:rsidRPr="002630CC">
        <w:rPr>
          <w:rFonts w:ascii="Times New Roman" w:hAnsi="Times New Roman" w:cs="Times New Roman"/>
          <w:sz w:val="24"/>
          <w:szCs w:val="24"/>
        </w:rPr>
        <w:t>consumer</w:t>
      </w:r>
      <w:r w:rsidR="00BF0AB5" w:rsidRPr="002630CC">
        <w:rPr>
          <w:rFonts w:ascii="Times New Roman" w:hAnsi="Times New Roman" w:cs="Times New Roman"/>
          <w:sz w:val="24"/>
          <w:szCs w:val="24"/>
        </w:rPr>
        <w:t xml:space="preserve"> confidence</w:t>
      </w:r>
      <w:r w:rsidR="00C55CC1" w:rsidRPr="002630CC">
        <w:rPr>
          <w:rFonts w:ascii="Times New Roman" w:hAnsi="Times New Roman" w:cs="Times New Roman"/>
          <w:sz w:val="24"/>
          <w:szCs w:val="24"/>
        </w:rPr>
        <w:t xml:space="preserve"> was </w:t>
      </w:r>
      <w:r w:rsidR="0056126B" w:rsidRPr="002630CC">
        <w:rPr>
          <w:rFonts w:ascii="Times New Roman" w:hAnsi="Times New Roman" w:cs="Times New Roman"/>
          <w:sz w:val="24"/>
          <w:szCs w:val="24"/>
        </w:rPr>
        <w:t>a topic of focus across options. The system as it stands (</w:t>
      </w:r>
      <w:r w:rsidR="00AD3E79" w:rsidRPr="002630CC">
        <w:rPr>
          <w:rFonts w:ascii="Times New Roman" w:hAnsi="Times New Roman" w:cs="Times New Roman"/>
          <w:sz w:val="24"/>
          <w:szCs w:val="24"/>
        </w:rPr>
        <w:t xml:space="preserve">option one – </w:t>
      </w:r>
      <w:r w:rsidR="0056126B" w:rsidRPr="002630CC">
        <w:rPr>
          <w:rFonts w:ascii="Times New Roman" w:hAnsi="Times New Roman" w:cs="Times New Roman"/>
          <w:sz w:val="24"/>
          <w:szCs w:val="24"/>
        </w:rPr>
        <w:t xml:space="preserve">status quo) was seen to have low consumer confidence. </w:t>
      </w:r>
      <w:r w:rsidR="00C076B8" w:rsidRPr="002630CC">
        <w:rPr>
          <w:rFonts w:ascii="Times New Roman" w:hAnsi="Times New Roman" w:cs="Times New Roman"/>
          <w:sz w:val="24"/>
          <w:szCs w:val="24"/>
        </w:rPr>
        <w:t xml:space="preserve">Option three </w:t>
      </w:r>
      <w:r w:rsidR="00B94590" w:rsidRPr="002630CC">
        <w:rPr>
          <w:rFonts w:ascii="Times New Roman" w:hAnsi="Times New Roman" w:cs="Times New Roman"/>
          <w:sz w:val="24"/>
          <w:szCs w:val="24"/>
        </w:rPr>
        <w:t xml:space="preserve">(multiple HSRs on pack) </w:t>
      </w:r>
      <w:r w:rsidR="00C076B8" w:rsidRPr="002630CC">
        <w:rPr>
          <w:rFonts w:ascii="Times New Roman" w:hAnsi="Times New Roman" w:cs="Times New Roman"/>
          <w:sz w:val="24"/>
          <w:szCs w:val="24"/>
        </w:rPr>
        <w:t xml:space="preserve">was seen </w:t>
      </w:r>
      <w:r w:rsidR="00A97EB5" w:rsidRPr="002630CC">
        <w:rPr>
          <w:rFonts w:ascii="Times New Roman" w:hAnsi="Times New Roman" w:cs="Times New Roman"/>
          <w:sz w:val="24"/>
          <w:szCs w:val="24"/>
        </w:rPr>
        <w:t xml:space="preserve">by some </w:t>
      </w:r>
      <w:r w:rsidR="00C076B8" w:rsidRPr="002630CC">
        <w:rPr>
          <w:rFonts w:ascii="Times New Roman" w:hAnsi="Times New Roman" w:cs="Times New Roman"/>
          <w:sz w:val="24"/>
          <w:szCs w:val="24"/>
        </w:rPr>
        <w:t xml:space="preserve">to potentially increase consumer confidence and credibility. </w:t>
      </w:r>
    </w:p>
    <w:p w:rsidR="00BF0AB5" w:rsidRPr="002630CC" w:rsidRDefault="00E11035" w:rsidP="003856B9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Stakeholders raised ‘</w:t>
      </w:r>
      <w:r w:rsidR="00CD5D0A" w:rsidRPr="002630CC">
        <w:rPr>
          <w:rFonts w:ascii="Times New Roman" w:hAnsi="Times New Roman" w:cs="Times New Roman"/>
          <w:sz w:val="24"/>
          <w:szCs w:val="24"/>
        </w:rPr>
        <w:t>g</w:t>
      </w:r>
      <w:r w:rsidR="00E13259" w:rsidRPr="002630CC">
        <w:rPr>
          <w:rFonts w:ascii="Times New Roman" w:hAnsi="Times New Roman" w:cs="Times New Roman"/>
          <w:sz w:val="24"/>
          <w:szCs w:val="24"/>
        </w:rPr>
        <w:t>aming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272032" w:rsidRPr="002630CC">
        <w:rPr>
          <w:rFonts w:ascii="Times New Roman" w:hAnsi="Times New Roman" w:cs="Times New Roman"/>
          <w:sz w:val="24"/>
          <w:szCs w:val="24"/>
        </w:rPr>
        <w:t xml:space="preserve"> of the </w:t>
      </w:r>
      <w:r w:rsidR="00E60DDE">
        <w:rPr>
          <w:rFonts w:ascii="Times New Roman" w:hAnsi="Times New Roman" w:cs="Times New Roman"/>
          <w:sz w:val="24"/>
          <w:szCs w:val="24"/>
        </w:rPr>
        <w:t>HSR system</w:t>
      </w:r>
      <w:r w:rsidR="00272032" w:rsidRPr="002630CC">
        <w:rPr>
          <w:rFonts w:ascii="Times New Roman" w:hAnsi="Times New Roman" w:cs="Times New Roman"/>
          <w:sz w:val="24"/>
          <w:szCs w:val="24"/>
        </w:rPr>
        <w:t xml:space="preserve"> </w:t>
      </w:r>
      <w:r w:rsidR="00CD5D0A" w:rsidRPr="002630CC">
        <w:rPr>
          <w:rFonts w:ascii="Times New Roman" w:hAnsi="Times New Roman" w:cs="Times New Roman"/>
          <w:sz w:val="24"/>
          <w:szCs w:val="24"/>
        </w:rPr>
        <w:t>as</w:t>
      </w:r>
      <w:r w:rsidR="00272032" w:rsidRPr="002630CC">
        <w:rPr>
          <w:rFonts w:ascii="Times New Roman" w:hAnsi="Times New Roman" w:cs="Times New Roman"/>
          <w:sz w:val="24"/>
          <w:szCs w:val="24"/>
        </w:rPr>
        <w:t xml:space="preserve"> a concern, with option two suggested</w:t>
      </w:r>
      <w:r w:rsidR="00CD5D0A" w:rsidRPr="002630CC">
        <w:rPr>
          <w:rFonts w:ascii="Times New Roman" w:hAnsi="Times New Roman" w:cs="Times New Roman"/>
          <w:sz w:val="24"/>
          <w:szCs w:val="24"/>
        </w:rPr>
        <w:t xml:space="preserve"> by some</w:t>
      </w:r>
      <w:r w:rsidR="00272032" w:rsidRPr="002630CC">
        <w:rPr>
          <w:rFonts w:ascii="Times New Roman" w:hAnsi="Times New Roman" w:cs="Times New Roman"/>
          <w:sz w:val="24"/>
          <w:szCs w:val="24"/>
        </w:rPr>
        <w:t xml:space="preserve"> as a way to address this. </w:t>
      </w:r>
    </w:p>
    <w:p w:rsidR="00E13259" w:rsidRPr="002630CC" w:rsidRDefault="00E46056" w:rsidP="003856B9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630CC">
        <w:rPr>
          <w:rFonts w:ascii="Times New Roman" w:hAnsi="Times New Roman" w:cs="Times New Roman"/>
          <w:sz w:val="24"/>
          <w:szCs w:val="24"/>
        </w:rPr>
        <w:t>Current n</w:t>
      </w:r>
      <w:r w:rsidR="00E13259" w:rsidRPr="002630CC">
        <w:rPr>
          <w:rFonts w:ascii="Times New Roman" w:hAnsi="Times New Roman" w:cs="Times New Roman"/>
          <w:sz w:val="24"/>
          <w:szCs w:val="24"/>
        </w:rPr>
        <w:t>egative media attention</w:t>
      </w:r>
      <w:r w:rsidRPr="002630CC">
        <w:rPr>
          <w:rFonts w:ascii="Times New Roman" w:hAnsi="Times New Roman" w:cs="Times New Roman"/>
          <w:sz w:val="24"/>
          <w:szCs w:val="24"/>
        </w:rPr>
        <w:t>, with a focus on a few specific products,</w:t>
      </w:r>
      <w:r w:rsidR="00272032" w:rsidRPr="002630CC">
        <w:rPr>
          <w:rFonts w:ascii="Times New Roman" w:hAnsi="Times New Roman" w:cs="Times New Roman"/>
          <w:sz w:val="24"/>
          <w:szCs w:val="24"/>
        </w:rPr>
        <w:t xml:space="preserve"> was </w:t>
      </w:r>
      <w:r w:rsidR="00FF46B0" w:rsidRPr="002630CC">
        <w:rPr>
          <w:rFonts w:ascii="Times New Roman" w:hAnsi="Times New Roman" w:cs="Times New Roman"/>
          <w:sz w:val="24"/>
          <w:szCs w:val="24"/>
        </w:rPr>
        <w:t xml:space="preserve">a topic </w:t>
      </w:r>
      <w:r w:rsidRPr="002630CC">
        <w:rPr>
          <w:rFonts w:ascii="Times New Roman" w:hAnsi="Times New Roman" w:cs="Times New Roman"/>
          <w:sz w:val="24"/>
          <w:szCs w:val="24"/>
        </w:rPr>
        <w:t xml:space="preserve">of concern among stakeholders. There </w:t>
      </w:r>
      <w:r w:rsidR="00FF46B0" w:rsidRPr="002630CC">
        <w:rPr>
          <w:rFonts w:ascii="Times New Roman" w:hAnsi="Times New Roman" w:cs="Times New Roman"/>
          <w:sz w:val="24"/>
          <w:szCs w:val="24"/>
        </w:rPr>
        <w:t xml:space="preserve">was concern that such </w:t>
      </w:r>
      <w:r w:rsidRPr="002630CC">
        <w:rPr>
          <w:rFonts w:ascii="Times New Roman" w:hAnsi="Times New Roman" w:cs="Times New Roman"/>
          <w:sz w:val="24"/>
          <w:szCs w:val="24"/>
        </w:rPr>
        <w:t xml:space="preserve">attention is damaging to the objectives of the </w:t>
      </w:r>
      <w:r w:rsidR="00E60DDE">
        <w:rPr>
          <w:rFonts w:ascii="Times New Roman" w:hAnsi="Times New Roman" w:cs="Times New Roman"/>
          <w:sz w:val="24"/>
          <w:szCs w:val="24"/>
        </w:rPr>
        <w:t>HSR system</w:t>
      </w:r>
      <w:r w:rsidRPr="002630CC">
        <w:rPr>
          <w:rFonts w:ascii="Times New Roman" w:hAnsi="Times New Roman" w:cs="Times New Roman"/>
          <w:sz w:val="24"/>
          <w:szCs w:val="24"/>
        </w:rPr>
        <w:t xml:space="preserve"> and that option one would not address this.</w:t>
      </w:r>
    </w:p>
    <w:p w:rsidR="00E13259" w:rsidRPr="002630CC" w:rsidRDefault="003D3DC4" w:rsidP="003856B9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630CC">
        <w:rPr>
          <w:rFonts w:ascii="Times New Roman" w:hAnsi="Times New Roman" w:cs="Times New Roman"/>
          <w:sz w:val="24"/>
          <w:szCs w:val="24"/>
        </w:rPr>
        <w:t xml:space="preserve">Stakeholders agreed that whichever option is chosen, there </w:t>
      </w:r>
      <w:r w:rsidR="00A46DC3" w:rsidRPr="002630CC">
        <w:rPr>
          <w:rFonts w:ascii="Times New Roman" w:hAnsi="Times New Roman" w:cs="Times New Roman"/>
          <w:sz w:val="24"/>
          <w:szCs w:val="24"/>
        </w:rPr>
        <w:t>must</w:t>
      </w:r>
      <w:r w:rsidRPr="002630CC">
        <w:rPr>
          <w:rFonts w:ascii="Times New Roman" w:hAnsi="Times New Roman" w:cs="Times New Roman"/>
          <w:sz w:val="24"/>
          <w:szCs w:val="24"/>
        </w:rPr>
        <w:t xml:space="preserve"> be an effort to meet </w:t>
      </w:r>
      <w:r w:rsidR="003856B9" w:rsidRPr="002630CC">
        <w:rPr>
          <w:rFonts w:ascii="Times New Roman" w:hAnsi="Times New Roman" w:cs="Times New Roman"/>
          <w:sz w:val="24"/>
          <w:szCs w:val="24"/>
        </w:rPr>
        <w:t>the objectives</w:t>
      </w:r>
      <w:r w:rsidR="00E13259" w:rsidRPr="002630CC">
        <w:rPr>
          <w:rFonts w:ascii="Times New Roman" w:hAnsi="Times New Roman" w:cs="Times New Roman"/>
          <w:sz w:val="24"/>
          <w:szCs w:val="24"/>
        </w:rPr>
        <w:t xml:space="preserve"> of </w:t>
      </w:r>
      <w:r w:rsidR="003B5A60">
        <w:rPr>
          <w:rFonts w:ascii="Times New Roman" w:hAnsi="Times New Roman" w:cs="Times New Roman"/>
          <w:sz w:val="24"/>
          <w:szCs w:val="24"/>
        </w:rPr>
        <w:t xml:space="preserve">the </w:t>
      </w:r>
      <w:r w:rsidR="00E13259" w:rsidRPr="002630CC">
        <w:rPr>
          <w:rFonts w:ascii="Times New Roman" w:hAnsi="Times New Roman" w:cs="Times New Roman"/>
          <w:sz w:val="24"/>
          <w:szCs w:val="24"/>
        </w:rPr>
        <w:t xml:space="preserve">HSR – </w:t>
      </w:r>
      <w:r w:rsidRPr="002630CC">
        <w:rPr>
          <w:rFonts w:ascii="Times New Roman" w:hAnsi="Times New Roman" w:cs="Times New Roman"/>
          <w:sz w:val="24"/>
          <w:szCs w:val="24"/>
        </w:rPr>
        <w:t xml:space="preserve">namely </w:t>
      </w:r>
      <w:r w:rsidR="00E13259" w:rsidRPr="002630CC">
        <w:rPr>
          <w:rFonts w:ascii="Times New Roman" w:hAnsi="Times New Roman" w:cs="Times New Roman"/>
          <w:sz w:val="24"/>
          <w:szCs w:val="24"/>
        </w:rPr>
        <w:t>simplicity, at a glance</w:t>
      </w:r>
      <w:r w:rsidRPr="002630CC">
        <w:rPr>
          <w:rFonts w:ascii="Times New Roman" w:hAnsi="Times New Roman" w:cs="Times New Roman"/>
          <w:sz w:val="24"/>
          <w:szCs w:val="24"/>
        </w:rPr>
        <w:t xml:space="preserve"> information, and</w:t>
      </w:r>
      <w:r w:rsidR="00E13259" w:rsidRPr="002630CC">
        <w:rPr>
          <w:rFonts w:ascii="Times New Roman" w:hAnsi="Times New Roman" w:cs="Times New Roman"/>
          <w:sz w:val="24"/>
          <w:szCs w:val="24"/>
        </w:rPr>
        <w:t xml:space="preserve"> </w:t>
      </w:r>
      <w:r w:rsidR="00EA0ED5" w:rsidRPr="002630CC">
        <w:rPr>
          <w:rFonts w:ascii="Times New Roman" w:hAnsi="Times New Roman" w:cs="Times New Roman"/>
          <w:sz w:val="24"/>
          <w:szCs w:val="24"/>
        </w:rPr>
        <w:t>comparison</w:t>
      </w:r>
      <w:r w:rsidRPr="002630CC">
        <w:rPr>
          <w:rFonts w:ascii="Times New Roman" w:hAnsi="Times New Roman" w:cs="Times New Roman"/>
          <w:sz w:val="24"/>
          <w:szCs w:val="24"/>
        </w:rPr>
        <w:t xml:space="preserve"> within categories. </w:t>
      </w:r>
    </w:p>
    <w:p w:rsidR="00E13259" w:rsidRPr="002630CC" w:rsidRDefault="00E13259" w:rsidP="003856B9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630CC">
        <w:rPr>
          <w:rFonts w:ascii="Times New Roman" w:hAnsi="Times New Roman" w:cs="Times New Roman"/>
          <w:sz w:val="24"/>
          <w:szCs w:val="24"/>
        </w:rPr>
        <w:t xml:space="preserve">Cost </w:t>
      </w:r>
      <w:r w:rsidR="00B576C7" w:rsidRPr="002630CC">
        <w:rPr>
          <w:rFonts w:ascii="Times New Roman" w:hAnsi="Times New Roman" w:cs="Times New Roman"/>
          <w:sz w:val="24"/>
          <w:szCs w:val="24"/>
        </w:rPr>
        <w:t>and effort for</w:t>
      </w:r>
      <w:r w:rsidRPr="002630CC">
        <w:rPr>
          <w:rFonts w:ascii="Times New Roman" w:hAnsi="Times New Roman" w:cs="Times New Roman"/>
          <w:sz w:val="24"/>
          <w:szCs w:val="24"/>
        </w:rPr>
        <w:t xml:space="preserve"> industry</w:t>
      </w:r>
      <w:r w:rsidR="00A46DC3" w:rsidRPr="002630CC">
        <w:rPr>
          <w:rFonts w:ascii="Times New Roman" w:hAnsi="Times New Roman" w:cs="Times New Roman"/>
          <w:sz w:val="24"/>
          <w:szCs w:val="24"/>
        </w:rPr>
        <w:t xml:space="preserve"> was a concern among</w:t>
      </w:r>
      <w:r w:rsidR="007C0C17">
        <w:rPr>
          <w:rFonts w:ascii="Times New Roman" w:hAnsi="Times New Roman" w:cs="Times New Roman"/>
          <w:sz w:val="24"/>
          <w:szCs w:val="24"/>
        </w:rPr>
        <w:t xml:space="preserve"> some</w:t>
      </w:r>
      <w:r w:rsidR="00A46DC3" w:rsidRPr="002630CC">
        <w:rPr>
          <w:rFonts w:ascii="Times New Roman" w:hAnsi="Times New Roman" w:cs="Times New Roman"/>
          <w:sz w:val="24"/>
          <w:szCs w:val="24"/>
        </w:rPr>
        <w:t xml:space="preserve"> stakeholders in regards to any </w:t>
      </w:r>
      <w:r w:rsidR="00B576C7" w:rsidRPr="002630CC">
        <w:rPr>
          <w:rFonts w:ascii="Times New Roman" w:hAnsi="Times New Roman" w:cs="Times New Roman"/>
          <w:sz w:val="24"/>
          <w:szCs w:val="24"/>
        </w:rPr>
        <w:t xml:space="preserve">option requiring a </w:t>
      </w:r>
      <w:r w:rsidR="00A46DC3" w:rsidRPr="002630CC">
        <w:rPr>
          <w:rFonts w:ascii="Times New Roman" w:hAnsi="Times New Roman" w:cs="Times New Roman"/>
          <w:sz w:val="24"/>
          <w:szCs w:val="24"/>
        </w:rPr>
        <w:t xml:space="preserve">change to the current system. It was </w:t>
      </w:r>
      <w:r w:rsidR="00B576C7" w:rsidRPr="002630CC">
        <w:rPr>
          <w:rFonts w:ascii="Times New Roman" w:hAnsi="Times New Roman" w:cs="Times New Roman"/>
          <w:sz w:val="24"/>
          <w:szCs w:val="24"/>
        </w:rPr>
        <w:t>expressed</w:t>
      </w:r>
      <w:r w:rsidR="00A46DC3" w:rsidRPr="002630CC">
        <w:rPr>
          <w:rFonts w:ascii="Times New Roman" w:hAnsi="Times New Roman" w:cs="Times New Roman"/>
          <w:sz w:val="24"/>
          <w:szCs w:val="24"/>
        </w:rPr>
        <w:t xml:space="preserve"> that this </w:t>
      </w:r>
      <w:r w:rsidR="00EB4A0F" w:rsidRPr="002630CC">
        <w:rPr>
          <w:rFonts w:ascii="Times New Roman" w:hAnsi="Times New Roman" w:cs="Times New Roman"/>
          <w:sz w:val="24"/>
          <w:szCs w:val="24"/>
        </w:rPr>
        <w:t>may see industry withdraw</w:t>
      </w:r>
      <w:r w:rsidR="00A46DC3" w:rsidRPr="002630CC">
        <w:rPr>
          <w:rFonts w:ascii="Times New Roman" w:hAnsi="Times New Roman" w:cs="Times New Roman"/>
          <w:sz w:val="24"/>
          <w:szCs w:val="24"/>
        </w:rPr>
        <w:t xml:space="preserve"> from using the system, or that the cost</w:t>
      </w:r>
      <w:r w:rsidR="00EB4A0F" w:rsidRPr="002630CC">
        <w:rPr>
          <w:rFonts w:ascii="Times New Roman" w:hAnsi="Times New Roman" w:cs="Times New Roman"/>
          <w:sz w:val="24"/>
          <w:szCs w:val="24"/>
        </w:rPr>
        <w:t xml:space="preserve"> may be </w:t>
      </w:r>
      <w:r w:rsidRPr="002630CC">
        <w:rPr>
          <w:rFonts w:ascii="Times New Roman" w:hAnsi="Times New Roman" w:cs="Times New Roman"/>
          <w:sz w:val="24"/>
          <w:szCs w:val="24"/>
        </w:rPr>
        <w:t>passed on to consumers</w:t>
      </w:r>
      <w:r w:rsidR="00A46DC3" w:rsidRPr="002630CC">
        <w:rPr>
          <w:rFonts w:ascii="Times New Roman" w:hAnsi="Times New Roman" w:cs="Times New Roman"/>
          <w:sz w:val="24"/>
          <w:szCs w:val="24"/>
        </w:rPr>
        <w:t xml:space="preserve">. </w:t>
      </w:r>
      <w:r w:rsidRPr="00263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259" w:rsidRPr="002630CC" w:rsidRDefault="00945B6B" w:rsidP="003856B9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630CC">
        <w:rPr>
          <w:rFonts w:ascii="Times New Roman" w:hAnsi="Times New Roman" w:cs="Times New Roman"/>
          <w:sz w:val="24"/>
          <w:szCs w:val="24"/>
        </w:rPr>
        <w:t>Stakeholders saw f</w:t>
      </w:r>
      <w:r w:rsidR="00A46DC3" w:rsidRPr="002630CC">
        <w:rPr>
          <w:rFonts w:ascii="Times New Roman" w:hAnsi="Times New Roman" w:cs="Times New Roman"/>
          <w:sz w:val="24"/>
          <w:szCs w:val="24"/>
        </w:rPr>
        <w:t>ostering reformulation and</w:t>
      </w:r>
      <w:r w:rsidR="00EA0ED5" w:rsidRPr="002630CC">
        <w:rPr>
          <w:rFonts w:ascii="Times New Roman" w:hAnsi="Times New Roman" w:cs="Times New Roman"/>
          <w:sz w:val="24"/>
          <w:szCs w:val="24"/>
        </w:rPr>
        <w:t xml:space="preserve"> innovation</w:t>
      </w:r>
      <w:r w:rsidRPr="002630CC">
        <w:rPr>
          <w:rFonts w:ascii="Times New Roman" w:hAnsi="Times New Roman" w:cs="Times New Roman"/>
          <w:sz w:val="24"/>
          <w:szCs w:val="24"/>
        </w:rPr>
        <w:t xml:space="preserve"> </w:t>
      </w:r>
      <w:r w:rsidR="00CE1A2C" w:rsidRPr="002630CC">
        <w:rPr>
          <w:rFonts w:ascii="Times New Roman" w:hAnsi="Times New Roman" w:cs="Times New Roman"/>
          <w:sz w:val="24"/>
          <w:szCs w:val="24"/>
        </w:rPr>
        <w:t xml:space="preserve">as </w:t>
      </w:r>
      <w:r w:rsidRPr="002630CC">
        <w:rPr>
          <w:rFonts w:ascii="Times New Roman" w:hAnsi="Times New Roman" w:cs="Times New Roman"/>
          <w:sz w:val="24"/>
          <w:szCs w:val="24"/>
        </w:rPr>
        <w:t xml:space="preserve">a positive. </w:t>
      </w:r>
    </w:p>
    <w:p w:rsidR="00566DAC" w:rsidRPr="002630CC" w:rsidRDefault="0064024B" w:rsidP="003A61CF">
      <w:pPr>
        <w:pStyle w:val="Heading2"/>
      </w:pPr>
      <w:r w:rsidRPr="002630CC">
        <w:lastRenderedPageBreak/>
        <w:t>Pros and cons of each option</w:t>
      </w:r>
    </w:p>
    <w:tbl>
      <w:tblPr>
        <w:tblStyle w:val="TableGrid"/>
        <w:tblW w:w="9889" w:type="dxa"/>
        <w:tblLook w:val="04A0" w:firstRow="1" w:lastRow="0" w:firstColumn="1" w:lastColumn="0" w:noHBand="0" w:noVBand="1"/>
        <w:tblCaption w:val="Pros and cons of each option"/>
        <w:tblDescription w:val="This table describes the pros in column 1 and the cons in column 2."/>
      </w:tblPr>
      <w:tblGrid>
        <w:gridCol w:w="4877"/>
        <w:gridCol w:w="5012"/>
      </w:tblGrid>
      <w:tr w:rsidR="00ED7867" w:rsidRPr="002630CC" w:rsidTr="00FF1BA4">
        <w:trPr>
          <w:trHeight w:val="306"/>
          <w:tblHeader/>
        </w:trPr>
        <w:tc>
          <w:tcPr>
            <w:tcW w:w="9889" w:type="dxa"/>
            <w:gridSpan w:val="2"/>
            <w:shd w:val="clear" w:color="auto" w:fill="F2F2F2" w:themeFill="background1" w:themeFillShade="F2"/>
            <w:vAlign w:val="center"/>
          </w:tcPr>
          <w:p w:rsidR="0064024B" w:rsidRPr="002630CC" w:rsidRDefault="0064024B" w:rsidP="0016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b/>
                <w:sz w:val="24"/>
                <w:szCs w:val="24"/>
              </w:rPr>
              <w:t>Option one</w:t>
            </w:r>
            <w:r w:rsidR="00986DD0" w:rsidRPr="00263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734C0D" w:rsidRPr="00263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Status </w:t>
            </w:r>
            <w:r w:rsidR="001619D6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="00734C0D" w:rsidRPr="002630CC">
              <w:rPr>
                <w:rFonts w:ascii="Times New Roman" w:hAnsi="Times New Roman" w:cs="Times New Roman"/>
                <w:b/>
                <w:sz w:val="24"/>
                <w:szCs w:val="24"/>
              </w:rPr>
              <w:t>uo</w:t>
            </w:r>
          </w:p>
        </w:tc>
      </w:tr>
      <w:tr w:rsidR="00ED7867" w:rsidRPr="002630CC" w:rsidTr="00E379A3">
        <w:tc>
          <w:tcPr>
            <w:tcW w:w="4877" w:type="dxa"/>
          </w:tcPr>
          <w:p w:rsidR="0064024B" w:rsidRPr="002630CC" w:rsidRDefault="0064024B" w:rsidP="006C2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  <w:r w:rsidR="00D102D5" w:rsidRPr="002630C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012" w:type="dxa"/>
          </w:tcPr>
          <w:p w:rsidR="0064024B" w:rsidRPr="002630CC" w:rsidRDefault="00D102D5" w:rsidP="006C2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b/>
                <w:sz w:val="24"/>
                <w:szCs w:val="24"/>
              </w:rPr>
              <w:t>Cons</w:t>
            </w:r>
          </w:p>
        </w:tc>
      </w:tr>
      <w:tr w:rsidR="00ED7867" w:rsidRPr="002630CC" w:rsidTr="00E379A3">
        <w:tc>
          <w:tcPr>
            <w:tcW w:w="4877" w:type="dxa"/>
          </w:tcPr>
          <w:p w:rsidR="00ED7867" w:rsidRPr="002630CC" w:rsidRDefault="00ED7867" w:rsidP="00ED78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Is simple for consumers </w:t>
            </w:r>
          </w:p>
          <w:p w:rsidR="00ED7867" w:rsidRPr="002630CC" w:rsidRDefault="00C73153" w:rsidP="00ED78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D7867" w:rsidRPr="002630CC">
              <w:rPr>
                <w:rFonts w:ascii="Times New Roman" w:hAnsi="Times New Roman" w:cs="Times New Roman"/>
                <w:sz w:val="24"/>
                <w:szCs w:val="24"/>
              </w:rPr>
              <w:t>o time lag</w:t>
            </w:r>
          </w:p>
          <w:p w:rsidR="00ED7867" w:rsidRPr="002630CC" w:rsidRDefault="00C73153" w:rsidP="00ED78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D7867" w:rsidRPr="002630CC">
              <w:rPr>
                <w:rFonts w:ascii="Times New Roman" w:hAnsi="Times New Roman" w:cs="Times New Roman"/>
                <w:sz w:val="24"/>
                <w:szCs w:val="24"/>
              </w:rPr>
              <w:t>ess or no cost to industry currently invested in HSR labelling</w:t>
            </w:r>
          </w:p>
          <w:p w:rsidR="00ED7867" w:rsidRPr="002630CC" w:rsidRDefault="00C73153" w:rsidP="00ED78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D7867" w:rsidRPr="002630CC">
              <w:rPr>
                <w:rFonts w:ascii="Times New Roman" w:hAnsi="Times New Roman" w:cs="Times New Roman"/>
                <w:sz w:val="24"/>
                <w:szCs w:val="24"/>
              </w:rPr>
              <w:t>ess or no change will be easier for the public to follow</w:t>
            </w:r>
          </w:p>
          <w:p w:rsidR="00ED7867" w:rsidRPr="002630CC" w:rsidRDefault="00ED7867" w:rsidP="00ED78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Is an opportunity to build more education and standardised communication, and correct any existing misconceptions </w:t>
            </w:r>
          </w:p>
          <w:p w:rsidR="00ED7867" w:rsidRPr="002630CC" w:rsidRDefault="00ED7867" w:rsidP="00ED78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Is defined well at present </w:t>
            </w:r>
          </w:p>
          <w:p w:rsidR="00ED7867" w:rsidRPr="002630CC" w:rsidRDefault="00ED7867" w:rsidP="00ED78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Formulated supplementary food is defined well</w:t>
            </w:r>
          </w:p>
          <w:p w:rsidR="00ED7867" w:rsidRPr="002630CC" w:rsidRDefault="00ED7867" w:rsidP="00ED78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Flexible </w:t>
            </w:r>
          </w:p>
          <w:p w:rsidR="00ED7867" w:rsidRPr="002630CC" w:rsidRDefault="00ED7867" w:rsidP="00ED78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Aligns with regulations such as the </w:t>
            </w:r>
            <w:r w:rsidR="009C2874">
              <w:rPr>
                <w:rFonts w:ascii="Times New Roman" w:hAnsi="Times New Roman" w:cs="Times New Roman"/>
                <w:sz w:val="24"/>
                <w:szCs w:val="24"/>
              </w:rPr>
              <w:t>FSC</w:t>
            </w: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, including 1.2.7</w:t>
            </w:r>
          </w:p>
          <w:p w:rsidR="00ED7867" w:rsidRPr="002630CC" w:rsidRDefault="00ED7867" w:rsidP="00ED78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Reflective of how foods will be consumed </w:t>
            </w:r>
          </w:p>
          <w:p w:rsidR="00ED7867" w:rsidRPr="002630CC" w:rsidRDefault="00ED7867" w:rsidP="00ED78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Provides certainty for foods or recipes that have to be prepared very closely e.g. cake mixes</w:t>
            </w:r>
          </w:p>
          <w:p w:rsidR="00ED7867" w:rsidRPr="002630CC" w:rsidRDefault="00ED7867" w:rsidP="00ED78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Reconstituted and as consumed comparison</w:t>
            </w:r>
          </w:p>
          <w:p w:rsidR="00ED7867" w:rsidRPr="002630CC" w:rsidRDefault="00ED7867" w:rsidP="00ED78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May encourage consumers to prepare and consume foods in the healthiest way (e.g. by adding more vegetables and/or lean meat)</w:t>
            </w:r>
          </w:p>
          <w:p w:rsidR="00ED7867" w:rsidRPr="002630CC" w:rsidRDefault="0099097C" w:rsidP="00ED78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Correlates conversion of Nutrition Information Panel (NIP)</w:t>
            </w:r>
            <w:r w:rsidR="00ED7867"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 – pro for reconstitution</w:t>
            </w:r>
          </w:p>
          <w:p w:rsidR="00ED7867" w:rsidRPr="002630CC" w:rsidRDefault="00ED7867" w:rsidP="00ED78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Works when applied to </w:t>
            </w:r>
            <w:r w:rsidR="0095116A" w:rsidRPr="002630CC">
              <w:rPr>
                <w:rFonts w:ascii="Times New Roman" w:hAnsi="Times New Roman" w:cs="Times New Roman"/>
                <w:sz w:val="24"/>
                <w:szCs w:val="24"/>
              </w:rPr>
              <w:t>ready to eat (RTE) foods</w:t>
            </w: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, drained</w:t>
            </w:r>
          </w:p>
          <w:p w:rsidR="00ED7867" w:rsidRPr="002630CC" w:rsidRDefault="00ED7867" w:rsidP="00ED78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Works when applied to cooked foods</w:t>
            </w:r>
          </w:p>
          <w:p w:rsidR="00ED7867" w:rsidRPr="002630CC" w:rsidRDefault="00ED7867" w:rsidP="00ED78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Works when applied to edible portion</w:t>
            </w:r>
          </w:p>
          <w:p w:rsidR="00ED7867" w:rsidRPr="002630CC" w:rsidRDefault="00ED7867" w:rsidP="00ED78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Works when applied to rehydrated foods</w:t>
            </w:r>
          </w:p>
          <w:p w:rsidR="00ED7867" w:rsidRPr="002630CC" w:rsidRDefault="00ED7867" w:rsidP="00ED78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Small number of products affected</w:t>
            </w:r>
          </w:p>
          <w:p w:rsidR="00E379A3" w:rsidRPr="002630CC" w:rsidRDefault="00E379A3" w:rsidP="00ED7867">
            <w:pPr>
              <w:pStyle w:val="ListParagraph"/>
              <w:tabs>
                <w:tab w:val="left" w:pos="284"/>
              </w:tabs>
              <w:ind w:left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ED7867" w:rsidRPr="002630CC" w:rsidRDefault="00ED7867" w:rsidP="00ED78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5153C" w:rsidRPr="002630CC">
              <w:rPr>
                <w:rFonts w:ascii="Times New Roman" w:hAnsi="Times New Roman" w:cs="Times New Roman"/>
                <w:sz w:val="24"/>
                <w:szCs w:val="24"/>
              </w:rPr>
              <w:t>urrent confusion won’t be addressed</w:t>
            </w:r>
          </w:p>
          <w:p w:rsidR="00ED7867" w:rsidRPr="002630CC" w:rsidRDefault="00C73153" w:rsidP="00ED78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D7867" w:rsidRPr="002630CC">
              <w:rPr>
                <w:rFonts w:ascii="Times New Roman" w:hAnsi="Times New Roman" w:cs="Times New Roman"/>
                <w:sz w:val="24"/>
                <w:szCs w:val="24"/>
              </w:rPr>
              <w:t>educe</w:t>
            </w: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D7867"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 credibility / consumer confidence and trust in the scheme</w:t>
            </w:r>
          </w:p>
          <w:p w:rsidR="00ED7867" w:rsidRPr="002630CC" w:rsidRDefault="00ED7867" w:rsidP="00ED78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Possibly nee</w:t>
            </w:r>
            <w:r w:rsidR="00BF6366"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d more education for consumers - to date </w:t>
            </w: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r w:rsidR="00BF6366"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 has been very simple</w:t>
            </w: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 and not well funded</w:t>
            </w:r>
          </w:p>
          <w:p w:rsidR="00ED7867" w:rsidRPr="002630CC" w:rsidRDefault="00ED7867" w:rsidP="00ED78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Would like to consider how the rule looks across categories</w:t>
            </w:r>
          </w:p>
          <w:p w:rsidR="00ED7867" w:rsidRPr="002630CC" w:rsidRDefault="0055153C" w:rsidP="00ED78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Query whether</w:t>
            </w:r>
            <w:r w:rsidR="00ED7867"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 improvements should be </w:t>
            </w: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in algorithm or communication</w:t>
            </w:r>
          </w:p>
          <w:p w:rsidR="00ED7867" w:rsidRPr="002630CC" w:rsidRDefault="00ED7867" w:rsidP="00ED78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People don’t necessarily consume the food according to packet instructions </w:t>
            </w:r>
          </w:p>
          <w:p w:rsidR="00ED7867" w:rsidRPr="002630CC" w:rsidRDefault="00ED7867" w:rsidP="00ED78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It is u</w:t>
            </w:r>
            <w:r w:rsidR="00FA3D75">
              <w:rPr>
                <w:rFonts w:ascii="Times New Roman" w:hAnsi="Times New Roman" w:cs="Times New Roman"/>
                <w:sz w:val="24"/>
                <w:szCs w:val="24"/>
              </w:rPr>
              <w:t xml:space="preserve">nclear which foods are rated </w:t>
            </w:r>
            <w:r w:rsidR="00E11035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7C0C1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71AD0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7C0C1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AD0">
              <w:rPr>
                <w:rFonts w:ascii="Times New Roman" w:hAnsi="Times New Roman" w:cs="Times New Roman"/>
                <w:sz w:val="24"/>
                <w:szCs w:val="24"/>
              </w:rPr>
              <w:t>repared</w:t>
            </w:r>
            <w:r w:rsidR="00E11035">
              <w:rPr>
                <w:rFonts w:ascii="Times New Roman" w:hAnsi="Times New Roman" w:cs="Times New Roman"/>
                <w:sz w:val="24"/>
                <w:szCs w:val="24"/>
              </w:rPr>
              <w:t>’ or ‘as sold’</w:t>
            </w: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D7867" w:rsidRPr="002630CC" w:rsidRDefault="00ED7867" w:rsidP="00ED78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Some foods do not make sense to sell ‘as sold’ e.g</w:t>
            </w:r>
            <w:r w:rsidR="00BF63BA" w:rsidRPr="00263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 cake mix, pasta and spice mix/sauces</w:t>
            </w:r>
          </w:p>
          <w:p w:rsidR="00ED7867" w:rsidRPr="002630CC" w:rsidRDefault="00ED7867" w:rsidP="00ED78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Multiple ways to consume products</w:t>
            </w:r>
          </w:p>
          <w:p w:rsidR="00ED7867" w:rsidRPr="002630CC" w:rsidRDefault="00D14DB7" w:rsidP="00ED78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At present, consumers are</w:t>
            </w:r>
            <w:r w:rsidR="00ED7867"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 not aw</w:t>
            </w:r>
            <w:r w:rsidR="00FA3D75">
              <w:rPr>
                <w:rFonts w:ascii="Times New Roman" w:hAnsi="Times New Roman" w:cs="Times New Roman"/>
                <w:sz w:val="24"/>
                <w:szCs w:val="24"/>
              </w:rPr>
              <w:t>are of the criteria around ‘</w:t>
            </w:r>
            <w:r w:rsidR="007C0C1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A3D75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7C0C1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A3D75">
              <w:rPr>
                <w:rFonts w:ascii="Times New Roman" w:hAnsi="Times New Roman" w:cs="Times New Roman"/>
                <w:sz w:val="24"/>
                <w:szCs w:val="24"/>
              </w:rPr>
              <w:t>repared</w:t>
            </w:r>
            <w:r w:rsidR="00ED7867" w:rsidRPr="002630CC">
              <w:rPr>
                <w:rFonts w:ascii="Times New Roman" w:hAnsi="Times New Roman" w:cs="Times New Roman"/>
                <w:sz w:val="24"/>
                <w:szCs w:val="24"/>
              </w:rPr>
              <w:t>’ i.e. based on direction on back of pack</w:t>
            </w:r>
          </w:p>
          <w:p w:rsidR="00ED7867" w:rsidRPr="002630CC" w:rsidRDefault="00ED7867" w:rsidP="00ED78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Doesn’t allow for food comparison within categories (e.g. cake mixes)- one of the main objectives of the </w:t>
            </w:r>
            <w:r w:rsidR="00E60DDE">
              <w:rPr>
                <w:rFonts w:ascii="Times New Roman" w:hAnsi="Times New Roman" w:cs="Times New Roman"/>
                <w:sz w:val="24"/>
                <w:szCs w:val="24"/>
              </w:rPr>
              <w:t>HSR system</w:t>
            </w:r>
          </w:p>
          <w:p w:rsidR="00ED7867" w:rsidRPr="002630CC" w:rsidRDefault="00ED7867" w:rsidP="00ED78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Potential for restriction on how HSR is consumed</w:t>
            </w:r>
          </w:p>
          <w:p w:rsidR="00ED7867" w:rsidRPr="002630CC" w:rsidRDefault="00ED7867" w:rsidP="00ED78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Media attention particularly on selected products is damaging to </w:t>
            </w:r>
            <w:r w:rsidR="00E60DDE">
              <w:rPr>
                <w:rFonts w:ascii="Times New Roman" w:hAnsi="Times New Roman" w:cs="Times New Roman"/>
                <w:sz w:val="24"/>
                <w:szCs w:val="24"/>
              </w:rPr>
              <w:t>HSR system</w:t>
            </w:r>
          </w:p>
          <w:p w:rsidR="00ED7867" w:rsidRPr="002630CC" w:rsidRDefault="00880C5B" w:rsidP="00ED78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Does not</w:t>
            </w:r>
            <w:r w:rsidR="00ED7867"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 help promote </w:t>
            </w:r>
            <w:r w:rsidR="00D14DB7"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the Australian Dietary Guidelines (ADGs) </w:t>
            </w:r>
          </w:p>
          <w:p w:rsidR="00ED7867" w:rsidRPr="002630CC" w:rsidRDefault="00ED7867" w:rsidP="00ED78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Shouldn’t penalise foods that are</w:t>
            </w:r>
            <w:r w:rsidR="00D14DB7"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 designed to add </w:t>
            </w: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positive ingredients</w:t>
            </w:r>
            <w:r w:rsidR="00D14DB7"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</w:p>
          <w:p w:rsidR="00ED7867" w:rsidRPr="002630CC" w:rsidRDefault="000A0C04" w:rsidP="00ED78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Consumers may be</w:t>
            </w:r>
            <w:r w:rsidR="00ED7867"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 likely to eat veggies if adding sauce or gravy</w:t>
            </w:r>
          </w:p>
          <w:p w:rsidR="00ED7867" w:rsidRPr="002630CC" w:rsidRDefault="00ED7867" w:rsidP="00ED78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Uncertainty if different from preparation instructions</w:t>
            </w:r>
          </w:p>
          <w:p w:rsidR="00ED7867" w:rsidRPr="002630CC" w:rsidRDefault="00ED7867" w:rsidP="00ED78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Disproportionate change for </w:t>
            </w:r>
            <w:r w:rsidR="000A0C04" w:rsidRPr="002630CC">
              <w:rPr>
                <w:rFonts w:ascii="Times New Roman" w:hAnsi="Times New Roman" w:cs="Times New Roman"/>
                <w:sz w:val="24"/>
                <w:szCs w:val="24"/>
              </w:rPr>
              <w:t>a few</w:t>
            </w: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 products</w:t>
            </w:r>
          </w:p>
          <w:p w:rsidR="00ED7867" w:rsidRPr="002630CC" w:rsidRDefault="00ED7867" w:rsidP="00ED78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Could cause companies to choose </w:t>
            </w:r>
            <w:r w:rsidR="000A0C04" w:rsidRPr="002630CC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 to utilise the </w:t>
            </w:r>
            <w:r w:rsidR="00E60DDE">
              <w:rPr>
                <w:rFonts w:ascii="Times New Roman" w:hAnsi="Times New Roman" w:cs="Times New Roman"/>
                <w:sz w:val="24"/>
                <w:szCs w:val="24"/>
              </w:rPr>
              <w:t>HSR system</w:t>
            </w:r>
          </w:p>
          <w:p w:rsidR="00ED7867" w:rsidRPr="002630CC" w:rsidRDefault="00ED7867" w:rsidP="00ED78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Potential for industry manipulation due to flexible/open conditions</w:t>
            </w:r>
          </w:p>
          <w:p w:rsidR="00ED7867" w:rsidRPr="002630CC" w:rsidRDefault="00ED7867" w:rsidP="00ED78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Not reflecting nutritional value of added ingredients (e.g. flavourings)</w:t>
            </w:r>
          </w:p>
          <w:p w:rsidR="00ED7867" w:rsidRPr="002630CC" w:rsidRDefault="00ED7867" w:rsidP="00ED78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Does not deal well with single nutrient flavours (e.g. sugar and salt)</w:t>
            </w:r>
          </w:p>
          <w:p w:rsidR="00ED7867" w:rsidRPr="002630CC" w:rsidRDefault="00ED7867" w:rsidP="00ED78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Doesn't encourage reformulation – easier to add core foods to recipe than reformulate product</w:t>
            </w:r>
          </w:p>
          <w:p w:rsidR="00ED7867" w:rsidRPr="002630CC" w:rsidRDefault="00ED7867" w:rsidP="00ED78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Does not align with NIP (unless reconstituted) </w:t>
            </w:r>
          </w:p>
          <w:p w:rsidR="00ED7867" w:rsidRPr="002630CC" w:rsidRDefault="0095116A" w:rsidP="00ED78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Lack of enforcement options, with Australian Consumer Law (ACL) the only recourse</w:t>
            </w:r>
          </w:p>
          <w:p w:rsidR="00ED7867" w:rsidRPr="002630CC" w:rsidRDefault="00ED7867" w:rsidP="00ED78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Does not meet</w:t>
            </w:r>
            <w:r w:rsidR="00880C5B"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 the HSR</w:t>
            </w: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 principle to educate consumers about healthy eating</w:t>
            </w:r>
          </w:p>
          <w:p w:rsidR="00ED7867" w:rsidRPr="002630CC" w:rsidRDefault="00ED7867" w:rsidP="00ED78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Sending adverse health messages </w:t>
            </w:r>
          </w:p>
          <w:p w:rsidR="00E379A3" w:rsidRPr="002630CC" w:rsidRDefault="00ED7867" w:rsidP="00D50699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Unnecessary health halo</w:t>
            </w:r>
          </w:p>
        </w:tc>
      </w:tr>
      <w:tr w:rsidR="00690941" w:rsidRPr="002630CC" w:rsidTr="00E379A3">
        <w:trPr>
          <w:trHeight w:val="571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D50699" w:rsidRPr="002630CC" w:rsidRDefault="0048101B" w:rsidP="006C2102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Comments</w:t>
            </w:r>
          </w:p>
          <w:p w:rsidR="00C7542B" w:rsidRPr="002630CC" w:rsidRDefault="000F259E" w:rsidP="00D50699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</w:t>
            </w:r>
            <w:r w:rsidR="00C7542B"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 consumer education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required</w:t>
            </w:r>
            <w:r w:rsidR="00C7542B"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 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22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  <w:r w:rsidR="00C7542B"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1AE">
              <w:rPr>
                <w:rFonts w:ascii="Times New Roman" w:hAnsi="Times New Roman" w:cs="Times New Roman"/>
                <w:sz w:val="24"/>
                <w:szCs w:val="24"/>
              </w:rPr>
              <w:t>‘a</w:t>
            </w:r>
            <w:r w:rsidR="00FA3D75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8D41A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A3D75">
              <w:rPr>
                <w:rFonts w:ascii="Times New Roman" w:hAnsi="Times New Roman" w:cs="Times New Roman"/>
                <w:sz w:val="24"/>
                <w:szCs w:val="24"/>
              </w:rPr>
              <w:t>repared</w:t>
            </w:r>
            <w:r w:rsidR="008D41A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29291E">
              <w:rPr>
                <w:rFonts w:ascii="Times New Roman" w:hAnsi="Times New Roman" w:cs="Times New Roman"/>
                <w:sz w:val="24"/>
                <w:szCs w:val="24"/>
              </w:rPr>
              <w:t xml:space="preserve"> rules</w:t>
            </w:r>
          </w:p>
          <w:p w:rsidR="001C3702" w:rsidRPr="002630CC" w:rsidRDefault="00F73EAE" w:rsidP="00D50699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Could present</w:t>
            </w:r>
            <w:r w:rsidR="001C3702"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 preparation instructions</w:t>
            </w: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 on website </w:t>
            </w:r>
          </w:p>
          <w:p w:rsidR="001C3702" w:rsidRPr="002630CC" w:rsidRDefault="00A0322F" w:rsidP="00D50699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C0774F" w:rsidRPr="002630CC">
              <w:rPr>
                <w:rFonts w:ascii="Times New Roman" w:hAnsi="Times New Roman" w:cs="Times New Roman"/>
                <w:sz w:val="24"/>
                <w:szCs w:val="24"/>
              </w:rPr>
              <w:t>HSR could</w:t>
            </w:r>
            <w:r w:rsidR="001C3702"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 default to the optimally prepared product </w:t>
            </w:r>
          </w:p>
          <w:p w:rsidR="00E379A3" w:rsidRPr="002630CC" w:rsidRDefault="00F73EAE" w:rsidP="00D50699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C3702"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eep the </w:t>
            </w:r>
            <w:r w:rsidR="00C0774F" w:rsidRPr="002630CC">
              <w:rPr>
                <w:rFonts w:ascii="Times New Roman" w:hAnsi="Times New Roman" w:cs="Times New Roman"/>
                <w:sz w:val="24"/>
                <w:szCs w:val="24"/>
              </w:rPr>
              <w:t>ruling</w:t>
            </w:r>
            <w:r w:rsidR="001C3702"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 the same</w:t>
            </w:r>
            <w:r w:rsidR="007B3B39">
              <w:rPr>
                <w:rFonts w:ascii="Times New Roman" w:hAnsi="Times New Roman" w:cs="Times New Roman"/>
                <w:sz w:val="24"/>
                <w:szCs w:val="24"/>
              </w:rPr>
              <w:t xml:space="preserve">, just fix the few </w:t>
            </w:r>
            <w:r w:rsidR="00C0774F" w:rsidRPr="002630CC">
              <w:rPr>
                <w:rFonts w:ascii="Times New Roman" w:hAnsi="Times New Roman" w:cs="Times New Roman"/>
                <w:sz w:val="24"/>
                <w:szCs w:val="24"/>
              </w:rPr>
              <w:t>outlying products</w:t>
            </w:r>
          </w:p>
        </w:tc>
      </w:tr>
    </w:tbl>
    <w:p w:rsidR="00FF1BA4" w:rsidRDefault="00FF1BA4" w:rsidP="00FF1BA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BA4" w:rsidRDefault="00FF1BA4" w:rsidP="00FF1BA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  <w:tblCaption w:val="Pros and cons of each option"/>
        <w:tblDescription w:val="This table describes the pros in column 1 and the cons in column 2."/>
      </w:tblPr>
      <w:tblGrid>
        <w:gridCol w:w="4877"/>
        <w:gridCol w:w="5012"/>
      </w:tblGrid>
      <w:tr w:rsidR="00FF1BA4" w:rsidRPr="002630CC" w:rsidTr="00FF1BA4">
        <w:trPr>
          <w:trHeight w:val="318"/>
          <w:tblHeader/>
        </w:trPr>
        <w:tc>
          <w:tcPr>
            <w:tcW w:w="9889" w:type="dxa"/>
            <w:gridSpan w:val="2"/>
            <w:shd w:val="clear" w:color="auto" w:fill="F2F2F2" w:themeFill="background1" w:themeFillShade="F2"/>
            <w:vAlign w:val="center"/>
          </w:tcPr>
          <w:p w:rsidR="00FF1BA4" w:rsidRPr="002630CC" w:rsidRDefault="00FF1BA4" w:rsidP="00DF1E47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263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‘</w:t>
            </w:r>
            <w:r w:rsidRPr="00263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2630CC">
              <w:rPr>
                <w:rFonts w:ascii="Times New Roman" w:hAnsi="Times New Roman" w:cs="Times New Roman"/>
                <w:b/>
                <w:sz w:val="24"/>
                <w:szCs w:val="24"/>
              </w:rPr>
              <w:t>old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263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only</w:t>
            </w:r>
          </w:p>
        </w:tc>
      </w:tr>
      <w:tr w:rsidR="00FF1BA4" w:rsidRPr="002630CC" w:rsidTr="00DF1E47">
        <w:tc>
          <w:tcPr>
            <w:tcW w:w="4877" w:type="dxa"/>
          </w:tcPr>
          <w:p w:rsidR="00FF1BA4" w:rsidRPr="002630CC" w:rsidRDefault="00FF1BA4" w:rsidP="00DF1E47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b/>
                <w:sz w:val="24"/>
                <w:szCs w:val="24"/>
              </w:rPr>
              <w:t>Pros</w:t>
            </w:r>
          </w:p>
        </w:tc>
        <w:tc>
          <w:tcPr>
            <w:tcW w:w="5012" w:type="dxa"/>
          </w:tcPr>
          <w:p w:rsidR="00FF1BA4" w:rsidRPr="002630CC" w:rsidRDefault="00FF1BA4" w:rsidP="00DF1E47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b/>
                <w:sz w:val="24"/>
                <w:szCs w:val="24"/>
              </w:rPr>
              <w:t>Cons</w:t>
            </w:r>
          </w:p>
        </w:tc>
      </w:tr>
      <w:tr w:rsidR="00FF1BA4" w:rsidRPr="002630CC" w:rsidTr="00DF1E47">
        <w:tc>
          <w:tcPr>
            <w:tcW w:w="4877" w:type="dxa"/>
            <w:tcBorders>
              <w:bottom w:val="single" w:sz="4" w:space="0" w:color="auto"/>
            </w:tcBorders>
          </w:tcPr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NIP presents detailed facts whereas the HSR would be interpretive 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HSR based on product at shelf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Includes total products e.g. – in oil if not drained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Encourages changes to product recipes to increase stars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May only be a small number of products that are impacted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Clearer – less need for interpretation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May prevent gaming or varying ingredients to get extra stars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May be more in line with ADGs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Might address current negative media attention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Will be consistent (but not for cooked or reconstituted)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Compliance may be easier for industry and enforcement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Less discretion for industry 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More consistent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Easier and more accurate for consumers to choose within a category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Encourages reformulation with positive nutrients to increase the HSR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People don’t need to turn the product over to look for caveats</w:t>
            </w:r>
          </w:p>
          <w:p w:rsidR="00FF1BA4" w:rsidRPr="00171AD0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System built for consumers, if consumers are unhappy with status quo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Won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t align with NIP data – e.g. condensed soup, sold in can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NIP 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‘as prepared’</w:t>
            </w: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 due to FSC regulations, whereas the HSR will 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as sold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Loses confidence for consumers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Nutrition analysis costs would be doubled 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Many products have the option to be healthier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as sold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 might not encourage this 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People may not follow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‘as prepared’</w:t>
            </w: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 instructions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Some products aren’t eaten alone e.g. tomato paste 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Still not good for comparison between powdered and liquid products and concentrates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Drained products will be disadvantaged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Products with small serving sizes will be disadvantaged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Costly for industry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More guidance required for consumers and industry (and this may be inconsistent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 objectives of the system)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Isn’t a true representation of the product consumed – consumers don’t eat the food ‘as sold’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Some powder mixes will all have the same HSR and consumers won’t be able to differentiate</w:t>
            </w:r>
          </w:p>
          <w:p w:rsidR="00FF1BA4" w:rsidRPr="00171AD0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Does not allow ‘like for like’ basis</w:t>
            </w:r>
          </w:p>
        </w:tc>
      </w:tr>
    </w:tbl>
    <w:p w:rsidR="00FF1BA4" w:rsidRDefault="00FF1BA4" w:rsidP="00FF1BA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BA4" w:rsidRDefault="00FF1BA4" w:rsidP="00FF1BA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  <w:tblCaption w:val="Pros and cons of each option"/>
        <w:tblDescription w:val="This table describes the pros in column 1 and the cons in column 2."/>
      </w:tblPr>
      <w:tblGrid>
        <w:gridCol w:w="4877"/>
        <w:gridCol w:w="5012"/>
      </w:tblGrid>
      <w:tr w:rsidR="00FF1BA4" w:rsidRPr="002630CC" w:rsidTr="00FF1BA4">
        <w:trPr>
          <w:trHeight w:val="358"/>
          <w:tblHeader/>
        </w:trPr>
        <w:tc>
          <w:tcPr>
            <w:tcW w:w="9889" w:type="dxa"/>
            <w:gridSpan w:val="2"/>
            <w:shd w:val="clear" w:color="auto" w:fill="F2F2F2" w:themeFill="background1" w:themeFillShade="F2"/>
            <w:vAlign w:val="center"/>
          </w:tcPr>
          <w:p w:rsidR="00FF1BA4" w:rsidRPr="002630CC" w:rsidRDefault="00FF1BA4" w:rsidP="00FF1BA4">
            <w:pPr>
              <w:keepNext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Option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2630CC">
              <w:rPr>
                <w:rFonts w:ascii="Times New Roman" w:hAnsi="Times New Roman" w:cs="Times New Roman"/>
                <w:b/>
                <w:sz w:val="24"/>
                <w:szCs w:val="24"/>
              </w:rPr>
              <w:t>hree – Multiple HSRs on pack</w:t>
            </w:r>
          </w:p>
        </w:tc>
      </w:tr>
      <w:tr w:rsidR="00FF1BA4" w:rsidRPr="002630CC" w:rsidTr="00DF1E47">
        <w:tc>
          <w:tcPr>
            <w:tcW w:w="4877" w:type="dxa"/>
          </w:tcPr>
          <w:p w:rsidR="00FF1BA4" w:rsidRPr="002630CC" w:rsidRDefault="00FF1BA4" w:rsidP="00DF1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b/>
                <w:sz w:val="24"/>
                <w:szCs w:val="24"/>
              </w:rPr>
              <w:t>Pros</w:t>
            </w:r>
          </w:p>
        </w:tc>
        <w:tc>
          <w:tcPr>
            <w:tcW w:w="5012" w:type="dxa"/>
          </w:tcPr>
          <w:p w:rsidR="00FF1BA4" w:rsidRPr="002630CC" w:rsidRDefault="00FF1BA4" w:rsidP="00DF1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b/>
                <w:sz w:val="24"/>
                <w:szCs w:val="24"/>
              </w:rPr>
              <w:t>Cons</w:t>
            </w:r>
          </w:p>
        </w:tc>
      </w:tr>
      <w:tr w:rsidR="00FF1BA4" w:rsidRPr="002630CC" w:rsidTr="00DF1E47">
        <w:tc>
          <w:tcPr>
            <w:tcW w:w="4877" w:type="dxa"/>
            <w:tcBorders>
              <w:bottom w:val="single" w:sz="4" w:space="0" w:color="auto"/>
            </w:tcBorders>
          </w:tcPr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Less confusing for consumers 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Increased transparency of what the HSR means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Covers all bases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Is already permitted on multipacks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May guide consumers on most appropriate way to consume products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Good for those consumers who do understand how the system works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Would be good if HSRs were assigned to recipes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Flexible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Would align with NIP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Less potential for misleading information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Helps with credibility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HSR system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More confusing, less simple 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Doesn’t solve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‘as prepared’</w:t>
            </w: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 problem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Label space and associated increased costs for industry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Doesn’t </w:t>
            </w:r>
            <w:r w:rsidRPr="002630C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allow</w:t>
            </w: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 people to compare at a glance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Consumers may just see the star they want to see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Time consuming to read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Doesn’t account for different cooking methods 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Consumer compares at point of purchase in the aisle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HSR may become too small to read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Not aligned with the NIP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How would industry choose which HSR to use in advertising 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Still requires good or possibly more literacy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May not be understood by different socio-economic groups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Needs guidelines as to where and how prominent HSRs should be 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Heavy burden for small to medium businesses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Still allows potential gaming of system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More contextual information required for consumers to understand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Goes against HSR objective of a quick and easy look</w:t>
            </w:r>
          </w:p>
          <w:p w:rsidR="00FF1BA4" w:rsidRPr="00A679F7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Not a substitute for education</w:t>
            </w:r>
          </w:p>
        </w:tc>
      </w:tr>
      <w:tr w:rsidR="00FF1BA4" w:rsidRPr="002630CC" w:rsidTr="00DF1E47">
        <w:trPr>
          <w:trHeight w:val="571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FF1BA4" w:rsidRPr="002630CC" w:rsidRDefault="00FF1BA4" w:rsidP="00DF1E4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Potential for an application to be used on phones to scan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QRs</w:t>
            </w: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 and explain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multiple ratings. This is an o</w:t>
            </w: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pportunity for education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Could state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‘as prepared’</w:t>
            </w: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 in words or use a different coloured logo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Could provide an option to state “Check website for further information – can be made up in other ways”. Some products are already doing this,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back of packs displaying other preparation options </w:t>
            </w:r>
          </w:p>
          <w:p w:rsidR="00FF1BA4" w:rsidRPr="00E574D0" w:rsidRDefault="00FF1BA4" w:rsidP="00DF1E47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Standardise across the industry so everyone is using the same language</w:t>
            </w:r>
          </w:p>
        </w:tc>
      </w:tr>
    </w:tbl>
    <w:p w:rsidR="00FF1BA4" w:rsidRDefault="00FF1BA4" w:rsidP="00FF1BA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BA4" w:rsidRDefault="00FF1BA4" w:rsidP="00FF1BA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  <w:tblCaption w:val="Pros and cons of each option"/>
        <w:tblDescription w:val="This table describes the pros in column 1 and the cons in column 2."/>
      </w:tblPr>
      <w:tblGrid>
        <w:gridCol w:w="4877"/>
        <w:gridCol w:w="5012"/>
      </w:tblGrid>
      <w:tr w:rsidR="00FF1BA4" w:rsidRPr="002630CC" w:rsidTr="00FF1BA4">
        <w:trPr>
          <w:trHeight w:val="364"/>
          <w:tblHeader/>
        </w:trPr>
        <w:tc>
          <w:tcPr>
            <w:tcW w:w="9889" w:type="dxa"/>
            <w:gridSpan w:val="2"/>
            <w:shd w:val="clear" w:color="auto" w:fill="F2F2F2" w:themeFill="background1" w:themeFillShade="F2"/>
            <w:vAlign w:val="center"/>
          </w:tcPr>
          <w:p w:rsidR="00FF1BA4" w:rsidRPr="002630CC" w:rsidRDefault="00FF1BA4" w:rsidP="00DF1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2630CC">
              <w:rPr>
                <w:rFonts w:ascii="Times New Roman" w:hAnsi="Times New Roman" w:cs="Times New Roman"/>
                <w:b/>
                <w:sz w:val="24"/>
                <w:szCs w:val="24"/>
              </w:rPr>
              <w:t>our – ‘As sold’ with specific exemptions</w:t>
            </w:r>
          </w:p>
        </w:tc>
      </w:tr>
      <w:tr w:rsidR="00FF1BA4" w:rsidRPr="002630CC" w:rsidTr="00DF1E47">
        <w:tc>
          <w:tcPr>
            <w:tcW w:w="4877" w:type="dxa"/>
          </w:tcPr>
          <w:p w:rsidR="00FF1BA4" w:rsidRPr="002630CC" w:rsidRDefault="00FF1BA4" w:rsidP="00DF1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b/>
                <w:sz w:val="24"/>
                <w:szCs w:val="24"/>
              </w:rPr>
              <w:t>Pros</w:t>
            </w:r>
          </w:p>
        </w:tc>
        <w:tc>
          <w:tcPr>
            <w:tcW w:w="5012" w:type="dxa"/>
          </w:tcPr>
          <w:p w:rsidR="00FF1BA4" w:rsidRPr="002630CC" w:rsidRDefault="00FF1BA4" w:rsidP="00DF1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b/>
                <w:sz w:val="24"/>
                <w:szCs w:val="24"/>
              </w:rPr>
              <w:t>Cons</w:t>
            </w:r>
          </w:p>
        </w:tc>
      </w:tr>
      <w:tr w:rsidR="00FF1BA4" w:rsidRPr="002630CC" w:rsidTr="00DF1E47">
        <w:tc>
          <w:tcPr>
            <w:tcW w:w="4877" w:type="dxa"/>
            <w:tcBorders>
              <w:bottom w:val="single" w:sz="4" w:space="0" w:color="auto"/>
            </w:tcBorders>
          </w:tcPr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Good option when applied to rehydration and draining as the only 2 exemptions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More accurately reflects nutritional value of ingredients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Less financial impact on some companies compared with options 2 and 3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Reflects how most consumers would consume the food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Limits scope for abuse of system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For consumer – broadly the same system, what they expect and know of the system already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Maintains some simplicity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Potentially puts a parameter around what expectations should be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Allows flexibility considering food system is complex 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Consistency between NIP and HSR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Compares similar products within same category 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Representative of what consumer would eat with little room for risk or variation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Common sense – can’t eat plain spice mixes, cake mix</w:t>
            </w:r>
          </w:p>
          <w:p w:rsidR="00FF1BA4" w:rsidRPr="002630CC" w:rsidRDefault="00FF1BA4" w:rsidP="00DF1E4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Requires clear regulations regarding exemptions 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May disadvantage concentrates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Developing and implementing will be difficult 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More information required on pack is a burden on industry 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May be more confusing to consumers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How different is this in reality to ‘as sold’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Limited application 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Takes away the comparison aspect 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Costs to industry may be passed on to consumers</w:t>
            </w:r>
          </w:p>
          <w:p w:rsidR="00FF1BA4" w:rsidRPr="00E574D0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Increased complexity, particularly for small to medium business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Exemptions allow manufacturers to potentially manipulate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Makes system more complex, more difficult to educate people on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HSR wouldn’t reflect some products ‘as consumed’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Variation in how the product is used, e.g. concentrates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Can be misinterpreted 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Inconsistency between star rating and NIP</w:t>
            </w:r>
          </w:p>
        </w:tc>
      </w:tr>
      <w:tr w:rsidR="00FF1BA4" w:rsidRPr="002630CC" w:rsidTr="00DF1E47">
        <w:trPr>
          <w:trHeight w:val="571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FF1BA4" w:rsidRPr="00AA280B" w:rsidRDefault="00FF1BA4" w:rsidP="00DF1E4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28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Comments</w:t>
            </w:r>
          </w:p>
          <w:p w:rsidR="00FF1BA4" w:rsidRPr="00AA280B" w:rsidRDefault="00FF1BA4" w:rsidP="00DF1E47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280B">
              <w:rPr>
                <w:rFonts w:ascii="Times New Roman" w:hAnsi="Times New Roman" w:cs="Times New Roman"/>
                <w:sz w:val="24"/>
                <w:szCs w:val="24"/>
              </w:rPr>
              <w:t>Include reference sentence under the HSR icon as indication to consumer that the HSR is based on 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A280B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A280B">
              <w:rPr>
                <w:rFonts w:ascii="Times New Roman" w:hAnsi="Times New Roman" w:cs="Times New Roman"/>
                <w:sz w:val="24"/>
                <w:szCs w:val="24"/>
              </w:rPr>
              <w:t>repared’</w:t>
            </w:r>
          </w:p>
          <w:p w:rsidR="00FF1BA4" w:rsidRPr="00AA280B" w:rsidRDefault="00FF1BA4" w:rsidP="00DF1E47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280B">
              <w:rPr>
                <w:rFonts w:ascii="Times New Roman" w:hAnsi="Times New Roman" w:cs="Times New Roman"/>
                <w:sz w:val="24"/>
                <w:szCs w:val="24"/>
              </w:rPr>
              <w:t>Would need to have an application and approval process for exemptions</w:t>
            </w:r>
          </w:p>
          <w:p w:rsidR="00FF1BA4" w:rsidRDefault="00FF1BA4" w:rsidP="00DF1E4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280B">
              <w:rPr>
                <w:rFonts w:ascii="Times New Roman" w:hAnsi="Times New Roman" w:cs="Times New Roman"/>
                <w:sz w:val="24"/>
                <w:szCs w:val="24"/>
              </w:rPr>
              <w:t>Issue that this doesn’t match the evolution of food supply – e.g. tuna in spring water (drain), in oil (maybe drain), in sauce (don’t drain)</w:t>
            </w:r>
          </w:p>
          <w:p w:rsidR="00FF1BA4" w:rsidRPr="009C2E24" w:rsidRDefault="00FF1BA4" w:rsidP="00DF1E4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May need a principle of complexity of recipe to decide which exemptions</w:t>
            </w:r>
          </w:p>
        </w:tc>
      </w:tr>
      <w:tr w:rsidR="00FF1BA4" w:rsidRPr="002630CC" w:rsidTr="00DF1E47">
        <w:trPr>
          <w:trHeight w:val="571"/>
        </w:trPr>
        <w:tc>
          <w:tcPr>
            <w:tcW w:w="9889" w:type="dxa"/>
            <w:gridSpan w:val="2"/>
          </w:tcPr>
          <w:p w:rsidR="00FF1BA4" w:rsidRPr="002630CC" w:rsidRDefault="00FF1BA4" w:rsidP="00DF1E47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Specific exemptions suggestions </w:t>
            </w:r>
          </w:p>
          <w:p w:rsidR="00FF1BA4" w:rsidRDefault="00FF1BA4" w:rsidP="00DF1E4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Foods requiring w</w:t>
            </w: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 rehydration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draining</w:t>
            </w:r>
          </w:p>
          <w:p w:rsidR="00FF1BA4" w:rsidRPr="00602842" w:rsidRDefault="00FF1BA4" w:rsidP="00DF1E4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Formulated supplementary foods or meal replacements</w:t>
            </w:r>
          </w:p>
          <w:p w:rsidR="00FF1BA4" w:rsidRPr="001A140F" w:rsidRDefault="00FF1BA4" w:rsidP="00DF1E4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40F">
              <w:rPr>
                <w:rFonts w:ascii="Times New Roman" w:hAnsi="Times New Roman" w:cs="Times New Roman"/>
                <w:sz w:val="24"/>
                <w:szCs w:val="24"/>
              </w:rPr>
              <w:t>Foods that have specific instructions and can’t be prepared any other way – different from general directions and recipe suggestions</w:t>
            </w:r>
          </w:p>
          <w:p w:rsidR="00FF1BA4" w:rsidRPr="001A140F" w:rsidRDefault="00FF1BA4" w:rsidP="00DF1E47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40F">
              <w:rPr>
                <w:rFonts w:ascii="Times New Roman" w:hAnsi="Times New Roman" w:cs="Times New Roman"/>
                <w:sz w:val="24"/>
                <w:szCs w:val="24"/>
              </w:rPr>
              <w:t>Cake mixes</w:t>
            </w:r>
          </w:p>
          <w:p w:rsidR="00FF1BA4" w:rsidRDefault="00FF1BA4" w:rsidP="00DF1E47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40F">
              <w:rPr>
                <w:rFonts w:ascii="Times New Roman" w:hAnsi="Times New Roman" w:cs="Times New Roman"/>
                <w:sz w:val="24"/>
                <w:szCs w:val="24"/>
              </w:rPr>
              <w:t>Pancake mixes</w:t>
            </w:r>
          </w:p>
          <w:p w:rsidR="00FF1BA4" w:rsidRPr="001A140F" w:rsidRDefault="00FF1BA4" w:rsidP="00DF1E47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40F">
              <w:rPr>
                <w:rFonts w:ascii="Times New Roman" w:hAnsi="Times New Roman" w:cs="Times New Roman"/>
                <w:sz w:val="24"/>
                <w:szCs w:val="24"/>
              </w:rPr>
              <w:t xml:space="preserve">Yoghurt mixes </w:t>
            </w:r>
          </w:p>
          <w:p w:rsidR="00FF1BA4" w:rsidRPr="001A140F" w:rsidRDefault="00FF1BA4" w:rsidP="00DF1E47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40F">
              <w:rPr>
                <w:rFonts w:ascii="Times New Roman" w:hAnsi="Times New Roman" w:cs="Times New Roman"/>
                <w:sz w:val="24"/>
                <w:szCs w:val="24"/>
              </w:rPr>
              <w:t>Cordial</w:t>
            </w:r>
          </w:p>
          <w:p w:rsidR="00FF1BA4" w:rsidRPr="001A140F" w:rsidRDefault="00FF1BA4" w:rsidP="00DF1E47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40F">
              <w:rPr>
                <w:rFonts w:ascii="Times New Roman" w:hAnsi="Times New Roman" w:cs="Times New Roman"/>
                <w:sz w:val="24"/>
                <w:szCs w:val="24"/>
              </w:rPr>
              <w:t>Frozen food</w:t>
            </w:r>
          </w:p>
          <w:p w:rsidR="00FF1BA4" w:rsidRPr="001A140F" w:rsidRDefault="00FF1BA4" w:rsidP="00DF1E47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40F">
              <w:rPr>
                <w:rFonts w:ascii="Times New Roman" w:hAnsi="Times New Roman" w:cs="Times New Roman"/>
                <w:sz w:val="24"/>
                <w:szCs w:val="24"/>
              </w:rPr>
              <w:t xml:space="preserve">Food requiring cooking </w:t>
            </w:r>
          </w:p>
          <w:p w:rsidR="00FF1BA4" w:rsidRPr="001A140F" w:rsidRDefault="00FF1BA4" w:rsidP="00DF1E47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40F">
              <w:rPr>
                <w:rFonts w:ascii="Times New Roman" w:hAnsi="Times New Roman" w:cs="Times New Roman"/>
                <w:sz w:val="24"/>
                <w:szCs w:val="24"/>
              </w:rPr>
              <w:t>Creamy condensed soup (1/2 soup ½ water)</w:t>
            </w:r>
          </w:p>
          <w:p w:rsidR="00FF1BA4" w:rsidRPr="001A140F" w:rsidRDefault="00FF1BA4" w:rsidP="00DF1E4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40F">
              <w:rPr>
                <w:rFonts w:ascii="Times New Roman" w:hAnsi="Times New Roman" w:cs="Times New Roman"/>
                <w:sz w:val="24"/>
                <w:szCs w:val="24"/>
              </w:rPr>
              <w:t xml:space="preserve">Implement a serve size cap with reference to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ADGs</w:t>
            </w:r>
          </w:p>
          <w:p w:rsidR="00FF1BA4" w:rsidRPr="001A140F" w:rsidRDefault="00FF1BA4" w:rsidP="00DF1E4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RTE foods</w:t>
            </w:r>
            <w:r w:rsidRPr="001A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should not be</w:t>
            </w:r>
            <w:r w:rsidRPr="001A140F">
              <w:rPr>
                <w:rFonts w:ascii="Times New Roman" w:hAnsi="Times New Roman" w:cs="Times New Roman"/>
                <w:sz w:val="24"/>
                <w:szCs w:val="24"/>
              </w:rPr>
              <w:t xml:space="preserve"> allowed to use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‘a</w:t>
            </w:r>
            <w:r w:rsidRPr="001A140F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A140F">
              <w:rPr>
                <w:rFonts w:ascii="Times New Roman" w:hAnsi="Times New Roman" w:cs="Times New Roman"/>
                <w:sz w:val="24"/>
                <w:szCs w:val="24"/>
              </w:rPr>
              <w:t>repared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 a</w:t>
            </w:r>
            <w:r w:rsidRPr="001A140F">
              <w:rPr>
                <w:rFonts w:ascii="Times New Roman" w:hAnsi="Times New Roman" w:cs="Times New Roman"/>
                <w:sz w:val="24"/>
                <w:szCs w:val="24"/>
              </w:rPr>
              <w:t xml:space="preserve"> requirement to provide additional information alongside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rating – e.g. “w</w:t>
            </w: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hen prepared according to directions”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 “w</w:t>
            </w: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hen drained” 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Must align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>prepared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 figures in NIP where allowed</w:t>
            </w:r>
          </w:p>
          <w:p w:rsidR="00FF1BA4" w:rsidRPr="002630CC" w:rsidRDefault="00FF1BA4" w:rsidP="00DF1E4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Products such as noodles requiring additional protein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Fruit Vegetable Nut Legume content (FVNL)</w:t>
            </w:r>
            <w:r w:rsidRPr="002630CC">
              <w:rPr>
                <w:rFonts w:ascii="Times New Roman" w:hAnsi="Times New Roman" w:cs="Times New Roman"/>
                <w:sz w:val="24"/>
                <w:szCs w:val="24"/>
              </w:rPr>
              <w:t xml:space="preserve"> should not be allowed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have exemptions </w:t>
            </w:r>
          </w:p>
          <w:p w:rsidR="00FF1BA4" w:rsidRPr="001A140F" w:rsidRDefault="00FF1BA4" w:rsidP="00DF1E4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40F">
              <w:rPr>
                <w:rFonts w:ascii="Times New Roman" w:hAnsi="Times New Roman" w:cs="Times New Roman"/>
                <w:sz w:val="24"/>
                <w:szCs w:val="24"/>
              </w:rPr>
              <w:t xml:space="preserve">Exempt condiments e.g. spices 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HSR system</w:t>
            </w:r>
            <w:r w:rsidRPr="001A140F">
              <w:rPr>
                <w:rFonts w:ascii="Times New Roman" w:hAnsi="Times New Roman" w:cs="Times New Roman"/>
                <w:sz w:val="24"/>
                <w:szCs w:val="24"/>
              </w:rPr>
              <w:t xml:space="preserve"> altogether</w:t>
            </w:r>
          </w:p>
          <w:p w:rsidR="00FF1BA4" w:rsidRDefault="00FF1BA4" w:rsidP="00DF1E4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exemptions based on energy</w:t>
            </w:r>
          </w:p>
          <w:p w:rsidR="00FF1BA4" w:rsidRPr="00D96815" w:rsidRDefault="00FF1BA4" w:rsidP="00DF1E4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exemptions based on number of ingredients</w:t>
            </w:r>
          </w:p>
        </w:tc>
      </w:tr>
    </w:tbl>
    <w:p w:rsidR="003A61CF" w:rsidRDefault="003A61CF" w:rsidP="00FF1BA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BA4" w:rsidRPr="003A61CF" w:rsidRDefault="003A61CF" w:rsidP="003A61CF">
      <w:r>
        <w:br w:type="page"/>
      </w:r>
    </w:p>
    <w:p w:rsidR="0074576F" w:rsidRPr="002630CC" w:rsidRDefault="0074576F" w:rsidP="003A61CF">
      <w:pPr>
        <w:pStyle w:val="Heading2"/>
      </w:pPr>
      <w:r w:rsidRPr="002630CC">
        <w:lastRenderedPageBreak/>
        <w:t>Additional Comments</w:t>
      </w:r>
    </w:p>
    <w:p w:rsidR="007C0C17" w:rsidRPr="002630CC" w:rsidRDefault="007C0C17" w:rsidP="007C0C17">
      <w:pPr>
        <w:pStyle w:val="ListParagraph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2630CC">
        <w:rPr>
          <w:rFonts w:ascii="Times New Roman" w:hAnsi="Times New Roman" w:cs="Times New Roman"/>
          <w:sz w:val="24"/>
          <w:szCs w:val="24"/>
        </w:rPr>
        <w:t>Is ‘the more stars the</w:t>
      </w:r>
      <w:r>
        <w:rPr>
          <w:rFonts w:ascii="Times New Roman" w:hAnsi="Times New Roman" w:cs="Times New Roman"/>
          <w:sz w:val="24"/>
          <w:szCs w:val="24"/>
        </w:rPr>
        <w:t xml:space="preserve"> healthier’ the right messaging for the current system? </w:t>
      </w:r>
    </w:p>
    <w:p w:rsidR="003A4FED" w:rsidRPr="00AA280B" w:rsidRDefault="003A4FED" w:rsidP="003A4FED">
      <w:pPr>
        <w:pStyle w:val="ListParagraph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AA280B">
        <w:rPr>
          <w:rFonts w:ascii="Times New Roman" w:hAnsi="Times New Roman" w:cs="Times New Roman"/>
          <w:sz w:val="24"/>
          <w:szCs w:val="24"/>
        </w:rPr>
        <w:t>Perhaps some foods should not be able to display a HSR at all, e.g. discretionary foods</w:t>
      </w:r>
    </w:p>
    <w:p w:rsidR="003A4FED" w:rsidRDefault="003A4FED" w:rsidP="003A4F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569A2">
        <w:rPr>
          <w:rFonts w:ascii="Times New Roman" w:hAnsi="Times New Roman" w:cs="Times New Roman"/>
          <w:sz w:val="24"/>
          <w:szCs w:val="24"/>
        </w:rPr>
        <w:t>Timing is a factor – would not want a complex solution to slow down an outcome</w:t>
      </w:r>
    </w:p>
    <w:p w:rsidR="00FF1BA4" w:rsidRPr="00FF1BA4" w:rsidRDefault="00FF1BA4" w:rsidP="00FF1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1BA4" w:rsidRPr="00FF1BA4" w:rsidSect="00FF1BA4">
      <w:head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308" w:rsidRDefault="00870308" w:rsidP="00870308">
      <w:pPr>
        <w:spacing w:after="0" w:line="240" w:lineRule="auto"/>
      </w:pPr>
      <w:r>
        <w:separator/>
      </w:r>
    </w:p>
  </w:endnote>
  <w:endnote w:type="continuationSeparator" w:id="0">
    <w:p w:rsidR="00870308" w:rsidRDefault="00870308" w:rsidP="0087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308" w:rsidRDefault="00870308" w:rsidP="00870308">
      <w:pPr>
        <w:spacing w:after="0" w:line="240" w:lineRule="auto"/>
      </w:pPr>
      <w:r>
        <w:separator/>
      </w:r>
    </w:p>
  </w:footnote>
  <w:footnote w:type="continuationSeparator" w:id="0">
    <w:p w:rsidR="00870308" w:rsidRDefault="00870308" w:rsidP="00870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22240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70308" w:rsidRPr="00FF1BA4" w:rsidRDefault="0087030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F1BA4">
          <w:rPr>
            <w:rFonts w:ascii="Times New Roman" w:hAnsi="Times New Roman" w:cs="Times New Roman"/>
            <w:sz w:val="24"/>
            <w:szCs w:val="24"/>
          </w:rPr>
          <w:t>-</w:t>
        </w:r>
        <w:r w:rsidRPr="00FF1B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1BA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1B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2518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FF1BA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FF1BA4">
          <w:rPr>
            <w:rFonts w:ascii="Times New Roman" w:hAnsi="Times New Roman" w:cs="Times New Roman"/>
            <w:noProof/>
            <w:sz w:val="24"/>
            <w:szCs w:val="24"/>
          </w:rPr>
          <w:t>-</w:t>
        </w:r>
      </w:p>
    </w:sdtContent>
  </w:sdt>
  <w:p w:rsidR="00870308" w:rsidRDefault="008703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FCA"/>
    <w:multiLevelType w:val="hybridMultilevel"/>
    <w:tmpl w:val="D72E76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2336A"/>
    <w:multiLevelType w:val="hybridMultilevel"/>
    <w:tmpl w:val="56A435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851AE"/>
    <w:multiLevelType w:val="hybridMultilevel"/>
    <w:tmpl w:val="7306407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07A05"/>
    <w:multiLevelType w:val="hybridMultilevel"/>
    <w:tmpl w:val="EB96628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C2351A"/>
    <w:multiLevelType w:val="hybridMultilevel"/>
    <w:tmpl w:val="BB8C70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F2087"/>
    <w:multiLevelType w:val="hybridMultilevel"/>
    <w:tmpl w:val="C0CAA8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03F3F"/>
    <w:multiLevelType w:val="hybridMultilevel"/>
    <w:tmpl w:val="0CD218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F1450"/>
    <w:multiLevelType w:val="hybridMultilevel"/>
    <w:tmpl w:val="15EAF07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097C60"/>
    <w:multiLevelType w:val="hybridMultilevel"/>
    <w:tmpl w:val="864C98D6"/>
    <w:lvl w:ilvl="0" w:tplc="327AF3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C5BC1"/>
    <w:multiLevelType w:val="hybridMultilevel"/>
    <w:tmpl w:val="81145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B1002"/>
    <w:multiLevelType w:val="hybridMultilevel"/>
    <w:tmpl w:val="93F82D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81288"/>
    <w:multiLevelType w:val="hybridMultilevel"/>
    <w:tmpl w:val="61B24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C7942"/>
    <w:multiLevelType w:val="hybridMultilevel"/>
    <w:tmpl w:val="4498E0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3C3FEA"/>
    <w:multiLevelType w:val="hybridMultilevel"/>
    <w:tmpl w:val="8862B6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646D25"/>
    <w:multiLevelType w:val="hybridMultilevel"/>
    <w:tmpl w:val="03369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B91E6E"/>
    <w:multiLevelType w:val="hybridMultilevel"/>
    <w:tmpl w:val="51B60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  <w:num w:numId="12">
    <w:abstractNumId w:val="9"/>
  </w:num>
  <w:num w:numId="13">
    <w:abstractNumId w:val="13"/>
  </w:num>
  <w:num w:numId="14">
    <w:abstractNumId w:val="15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A0"/>
    <w:rsid w:val="0000088C"/>
    <w:rsid w:val="00006DC9"/>
    <w:rsid w:val="0002757D"/>
    <w:rsid w:val="00031C1D"/>
    <w:rsid w:val="00034A15"/>
    <w:rsid w:val="00036287"/>
    <w:rsid w:val="000800D2"/>
    <w:rsid w:val="00080C05"/>
    <w:rsid w:val="0008149D"/>
    <w:rsid w:val="000852F6"/>
    <w:rsid w:val="000A0C04"/>
    <w:rsid w:val="000D2765"/>
    <w:rsid w:val="000E085C"/>
    <w:rsid w:val="000F259E"/>
    <w:rsid w:val="00111202"/>
    <w:rsid w:val="001200D4"/>
    <w:rsid w:val="00126BE1"/>
    <w:rsid w:val="00130ED4"/>
    <w:rsid w:val="001615D1"/>
    <w:rsid w:val="001619D6"/>
    <w:rsid w:val="00162CB2"/>
    <w:rsid w:val="00171AD0"/>
    <w:rsid w:val="00197E7C"/>
    <w:rsid w:val="001A140F"/>
    <w:rsid w:val="001A5D59"/>
    <w:rsid w:val="001A7D6C"/>
    <w:rsid w:val="001C3702"/>
    <w:rsid w:val="001C7200"/>
    <w:rsid w:val="001D6BF2"/>
    <w:rsid w:val="00202AE9"/>
    <w:rsid w:val="002111A9"/>
    <w:rsid w:val="00254D0C"/>
    <w:rsid w:val="00262657"/>
    <w:rsid w:val="002630CC"/>
    <w:rsid w:val="00266A83"/>
    <w:rsid w:val="00271874"/>
    <w:rsid w:val="00272032"/>
    <w:rsid w:val="0027215D"/>
    <w:rsid w:val="00273BD6"/>
    <w:rsid w:val="002874A1"/>
    <w:rsid w:val="0029291E"/>
    <w:rsid w:val="002B45FA"/>
    <w:rsid w:val="002B4B3D"/>
    <w:rsid w:val="002C7D2A"/>
    <w:rsid w:val="002E54CC"/>
    <w:rsid w:val="002F4AFC"/>
    <w:rsid w:val="003047A4"/>
    <w:rsid w:val="0032740F"/>
    <w:rsid w:val="00341F29"/>
    <w:rsid w:val="003470DB"/>
    <w:rsid w:val="0035258A"/>
    <w:rsid w:val="00355A60"/>
    <w:rsid w:val="00367839"/>
    <w:rsid w:val="003856B9"/>
    <w:rsid w:val="00387A1F"/>
    <w:rsid w:val="00393C35"/>
    <w:rsid w:val="003962B3"/>
    <w:rsid w:val="003A4FED"/>
    <w:rsid w:val="003A61CF"/>
    <w:rsid w:val="003A7E5E"/>
    <w:rsid w:val="003B1EDD"/>
    <w:rsid w:val="003B5A60"/>
    <w:rsid w:val="003B78D4"/>
    <w:rsid w:val="003C149C"/>
    <w:rsid w:val="003C16B7"/>
    <w:rsid w:val="003C74FC"/>
    <w:rsid w:val="003D3DC4"/>
    <w:rsid w:val="003D50DC"/>
    <w:rsid w:val="003E3647"/>
    <w:rsid w:val="003F2E58"/>
    <w:rsid w:val="003F3424"/>
    <w:rsid w:val="003F4198"/>
    <w:rsid w:val="004104C5"/>
    <w:rsid w:val="00414E8D"/>
    <w:rsid w:val="00417FE9"/>
    <w:rsid w:val="00431301"/>
    <w:rsid w:val="00432375"/>
    <w:rsid w:val="00442134"/>
    <w:rsid w:val="00452A74"/>
    <w:rsid w:val="00452D14"/>
    <w:rsid w:val="004607C0"/>
    <w:rsid w:val="004620E7"/>
    <w:rsid w:val="0046654A"/>
    <w:rsid w:val="0048101B"/>
    <w:rsid w:val="00482136"/>
    <w:rsid w:val="004935B0"/>
    <w:rsid w:val="00493F5B"/>
    <w:rsid w:val="004A6BDD"/>
    <w:rsid w:val="004B2461"/>
    <w:rsid w:val="004D04B3"/>
    <w:rsid w:val="004D2379"/>
    <w:rsid w:val="004D23C1"/>
    <w:rsid w:val="004D7845"/>
    <w:rsid w:val="004E0C7C"/>
    <w:rsid w:val="004E1270"/>
    <w:rsid w:val="005070D0"/>
    <w:rsid w:val="005109EB"/>
    <w:rsid w:val="00511862"/>
    <w:rsid w:val="00516D3B"/>
    <w:rsid w:val="00522A45"/>
    <w:rsid w:val="005456B0"/>
    <w:rsid w:val="00545F5A"/>
    <w:rsid w:val="005477A7"/>
    <w:rsid w:val="005507E1"/>
    <w:rsid w:val="0055153C"/>
    <w:rsid w:val="005517A0"/>
    <w:rsid w:val="005602C0"/>
    <w:rsid w:val="0056126B"/>
    <w:rsid w:val="00566DAC"/>
    <w:rsid w:val="00567728"/>
    <w:rsid w:val="00570981"/>
    <w:rsid w:val="0057103D"/>
    <w:rsid w:val="00575FEE"/>
    <w:rsid w:val="00576801"/>
    <w:rsid w:val="00583F43"/>
    <w:rsid w:val="00594909"/>
    <w:rsid w:val="005978E0"/>
    <w:rsid w:val="005C214B"/>
    <w:rsid w:val="005E2C4F"/>
    <w:rsid w:val="005E57A6"/>
    <w:rsid w:val="00600D4E"/>
    <w:rsid w:val="00602842"/>
    <w:rsid w:val="006167B0"/>
    <w:rsid w:val="006271F8"/>
    <w:rsid w:val="00636E7C"/>
    <w:rsid w:val="0064024B"/>
    <w:rsid w:val="00660A72"/>
    <w:rsid w:val="00662FD9"/>
    <w:rsid w:val="00666CD6"/>
    <w:rsid w:val="00672CFB"/>
    <w:rsid w:val="006809ED"/>
    <w:rsid w:val="00684E57"/>
    <w:rsid w:val="00685ABE"/>
    <w:rsid w:val="00685B3D"/>
    <w:rsid w:val="00690941"/>
    <w:rsid w:val="006A0232"/>
    <w:rsid w:val="006A7245"/>
    <w:rsid w:val="006B50CE"/>
    <w:rsid w:val="006C2102"/>
    <w:rsid w:val="006C399F"/>
    <w:rsid w:val="006E0AFD"/>
    <w:rsid w:val="006E4E35"/>
    <w:rsid w:val="00706BD7"/>
    <w:rsid w:val="00734C0D"/>
    <w:rsid w:val="007450A8"/>
    <w:rsid w:val="0074576F"/>
    <w:rsid w:val="00746090"/>
    <w:rsid w:val="00751BE8"/>
    <w:rsid w:val="007563F6"/>
    <w:rsid w:val="00763E47"/>
    <w:rsid w:val="00767224"/>
    <w:rsid w:val="00794B89"/>
    <w:rsid w:val="00795361"/>
    <w:rsid w:val="007B3B39"/>
    <w:rsid w:val="007B60EA"/>
    <w:rsid w:val="007C0C17"/>
    <w:rsid w:val="007C2E9D"/>
    <w:rsid w:val="007C4B37"/>
    <w:rsid w:val="007E2D05"/>
    <w:rsid w:val="007E320D"/>
    <w:rsid w:val="007E658F"/>
    <w:rsid w:val="007F2B0C"/>
    <w:rsid w:val="00801600"/>
    <w:rsid w:val="0080353B"/>
    <w:rsid w:val="00806B68"/>
    <w:rsid w:val="00813138"/>
    <w:rsid w:val="00821B8C"/>
    <w:rsid w:val="00821D8E"/>
    <w:rsid w:val="008227F3"/>
    <w:rsid w:val="00826627"/>
    <w:rsid w:val="00833319"/>
    <w:rsid w:val="00834710"/>
    <w:rsid w:val="00851443"/>
    <w:rsid w:val="00856A53"/>
    <w:rsid w:val="00860921"/>
    <w:rsid w:val="00865B73"/>
    <w:rsid w:val="00870308"/>
    <w:rsid w:val="00880C5B"/>
    <w:rsid w:val="00893498"/>
    <w:rsid w:val="008A5DC0"/>
    <w:rsid w:val="008B21CA"/>
    <w:rsid w:val="008D1A0D"/>
    <w:rsid w:val="008D41AE"/>
    <w:rsid w:val="00922737"/>
    <w:rsid w:val="0092723E"/>
    <w:rsid w:val="0094402A"/>
    <w:rsid w:val="00945B6B"/>
    <w:rsid w:val="0095116A"/>
    <w:rsid w:val="00956CA0"/>
    <w:rsid w:val="00965A04"/>
    <w:rsid w:val="009679FD"/>
    <w:rsid w:val="00986DD0"/>
    <w:rsid w:val="00987FAA"/>
    <w:rsid w:val="0099097C"/>
    <w:rsid w:val="009B002B"/>
    <w:rsid w:val="009B0483"/>
    <w:rsid w:val="009C2874"/>
    <w:rsid w:val="009C2A7A"/>
    <w:rsid w:val="009C2E24"/>
    <w:rsid w:val="009C455F"/>
    <w:rsid w:val="009D48F6"/>
    <w:rsid w:val="009E559D"/>
    <w:rsid w:val="009F135E"/>
    <w:rsid w:val="009F2FF8"/>
    <w:rsid w:val="009F3DFA"/>
    <w:rsid w:val="009F4EC2"/>
    <w:rsid w:val="00A0322F"/>
    <w:rsid w:val="00A034EC"/>
    <w:rsid w:val="00A23D76"/>
    <w:rsid w:val="00A30458"/>
    <w:rsid w:val="00A41376"/>
    <w:rsid w:val="00A46DC3"/>
    <w:rsid w:val="00A57199"/>
    <w:rsid w:val="00A679F7"/>
    <w:rsid w:val="00A82DA7"/>
    <w:rsid w:val="00A91B9B"/>
    <w:rsid w:val="00A92244"/>
    <w:rsid w:val="00A92424"/>
    <w:rsid w:val="00A97EB5"/>
    <w:rsid w:val="00AA280B"/>
    <w:rsid w:val="00AC44FF"/>
    <w:rsid w:val="00AC611D"/>
    <w:rsid w:val="00AC76FA"/>
    <w:rsid w:val="00AD3E79"/>
    <w:rsid w:val="00AD42EF"/>
    <w:rsid w:val="00AE6843"/>
    <w:rsid w:val="00B11231"/>
    <w:rsid w:val="00B149C6"/>
    <w:rsid w:val="00B417EA"/>
    <w:rsid w:val="00B43D81"/>
    <w:rsid w:val="00B47733"/>
    <w:rsid w:val="00B50F0C"/>
    <w:rsid w:val="00B52369"/>
    <w:rsid w:val="00B554DC"/>
    <w:rsid w:val="00B56B3A"/>
    <w:rsid w:val="00B576C7"/>
    <w:rsid w:val="00B6114F"/>
    <w:rsid w:val="00B80CFD"/>
    <w:rsid w:val="00B86E36"/>
    <w:rsid w:val="00B90371"/>
    <w:rsid w:val="00B94590"/>
    <w:rsid w:val="00BA0C87"/>
    <w:rsid w:val="00BA5C21"/>
    <w:rsid w:val="00BC432E"/>
    <w:rsid w:val="00BC7B7B"/>
    <w:rsid w:val="00BD1298"/>
    <w:rsid w:val="00BF0AB5"/>
    <w:rsid w:val="00BF133E"/>
    <w:rsid w:val="00BF2C57"/>
    <w:rsid w:val="00BF6366"/>
    <w:rsid w:val="00BF63BA"/>
    <w:rsid w:val="00BF6E0D"/>
    <w:rsid w:val="00C076B8"/>
    <w:rsid w:val="00C0774F"/>
    <w:rsid w:val="00C121E6"/>
    <w:rsid w:val="00C14E3D"/>
    <w:rsid w:val="00C249F7"/>
    <w:rsid w:val="00C27391"/>
    <w:rsid w:val="00C45B54"/>
    <w:rsid w:val="00C47D59"/>
    <w:rsid w:val="00C55CC1"/>
    <w:rsid w:val="00C639D8"/>
    <w:rsid w:val="00C709D2"/>
    <w:rsid w:val="00C709F4"/>
    <w:rsid w:val="00C73153"/>
    <w:rsid w:val="00C74BE0"/>
    <w:rsid w:val="00C7542B"/>
    <w:rsid w:val="00C936ED"/>
    <w:rsid w:val="00C9530C"/>
    <w:rsid w:val="00CA1C44"/>
    <w:rsid w:val="00CA6CA3"/>
    <w:rsid w:val="00CB73DA"/>
    <w:rsid w:val="00CD5D0A"/>
    <w:rsid w:val="00CE1A2C"/>
    <w:rsid w:val="00CF32FE"/>
    <w:rsid w:val="00D04BB7"/>
    <w:rsid w:val="00D102D5"/>
    <w:rsid w:val="00D14DB7"/>
    <w:rsid w:val="00D177B5"/>
    <w:rsid w:val="00D2153E"/>
    <w:rsid w:val="00D50699"/>
    <w:rsid w:val="00D61859"/>
    <w:rsid w:val="00D63260"/>
    <w:rsid w:val="00D7037B"/>
    <w:rsid w:val="00D74F31"/>
    <w:rsid w:val="00D80629"/>
    <w:rsid w:val="00D90B03"/>
    <w:rsid w:val="00D96815"/>
    <w:rsid w:val="00D97696"/>
    <w:rsid w:val="00DC1B41"/>
    <w:rsid w:val="00DC2418"/>
    <w:rsid w:val="00DC7742"/>
    <w:rsid w:val="00DC7D43"/>
    <w:rsid w:val="00DD069E"/>
    <w:rsid w:val="00DD44F2"/>
    <w:rsid w:val="00DE08A4"/>
    <w:rsid w:val="00DE6137"/>
    <w:rsid w:val="00DF09F3"/>
    <w:rsid w:val="00E02518"/>
    <w:rsid w:val="00E04617"/>
    <w:rsid w:val="00E1075B"/>
    <w:rsid w:val="00E11035"/>
    <w:rsid w:val="00E13259"/>
    <w:rsid w:val="00E14AAE"/>
    <w:rsid w:val="00E379A3"/>
    <w:rsid w:val="00E43477"/>
    <w:rsid w:val="00E436E3"/>
    <w:rsid w:val="00E448B2"/>
    <w:rsid w:val="00E44D71"/>
    <w:rsid w:val="00E46056"/>
    <w:rsid w:val="00E5105E"/>
    <w:rsid w:val="00E574D0"/>
    <w:rsid w:val="00E60DDE"/>
    <w:rsid w:val="00E6152A"/>
    <w:rsid w:val="00E66049"/>
    <w:rsid w:val="00E67254"/>
    <w:rsid w:val="00E95787"/>
    <w:rsid w:val="00EA0ED5"/>
    <w:rsid w:val="00EB4A0F"/>
    <w:rsid w:val="00EC3EB4"/>
    <w:rsid w:val="00ED7867"/>
    <w:rsid w:val="00EF25A2"/>
    <w:rsid w:val="00EF682B"/>
    <w:rsid w:val="00EF7740"/>
    <w:rsid w:val="00F00C31"/>
    <w:rsid w:val="00F02125"/>
    <w:rsid w:val="00F050A9"/>
    <w:rsid w:val="00F06CCA"/>
    <w:rsid w:val="00F11724"/>
    <w:rsid w:val="00F166A1"/>
    <w:rsid w:val="00F26322"/>
    <w:rsid w:val="00F2665C"/>
    <w:rsid w:val="00F34283"/>
    <w:rsid w:val="00F36B67"/>
    <w:rsid w:val="00F37E69"/>
    <w:rsid w:val="00F569A2"/>
    <w:rsid w:val="00F73EAE"/>
    <w:rsid w:val="00F75F06"/>
    <w:rsid w:val="00F81CDF"/>
    <w:rsid w:val="00F95033"/>
    <w:rsid w:val="00FA3D75"/>
    <w:rsid w:val="00FC3FE6"/>
    <w:rsid w:val="00FE3FDF"/>
    <w:rsid w:val="00FE4986"/>
    <w:rsid w:val="00FE4C99"/>
    <w:rsid w:val="00FE5BD1"/>
    <w:rsid w:val="00FF1BA4"/>
    <w:rsid w:val="00FF256B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7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1CF"/>
    <w:pPr>
      <w:keepNext/>
      <w:spacing w:after="12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CA0"/>
    <w:pPr>
      <w:ind w:left="720"/>
      <w:contextualSpacing/>
    </w:pPr>
  </w:style>
  <w:style w:type="paragraph" w:styleId="Title">
    <w:name w:val="Title"/>
    <w:basedOn w:val="Heading1"/>
    <w:next w:val="Normal"/>
    <w:link w:val="TitleChar"/>
    <w:uiPriority w:val="10"/>
    <w:qFormat/>
    <w:rsid w:val="00B47733"/>
    <w:pPr>
      <w:keepNext w:val="0"/>
      <w:keepLines w:val="0"/>
      <w:spacing w:before="0" w:line="276" w:lineRule="auto"/>
      <w:jc w:val="center"/>
    </w:pPr>
    <w:rPr>
      <w:rFonts w:asciiTheme="minorHAnsi" w:eastAsiaTheme="minorHAnsi" w:hAnsiTheme="minorHAnsi" w:cstheme="minorBidi"/>
      <w:b/>
      <w:color w:val="auto"/>
      <w:sz w:val="28"/>
      <w:szCs w:val="22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B47733"/>
    <w:rPr>
      <w:b/>
      <w:sz w:val="28"/>
      <w:lang w:val="en-AU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B47733"/>
    <w:pPr>
      <w:keepNext w:val="0"/>
      <w:keepLines w:val="0"/>
      <w:spacing w:before="0" w:line="276" w:lineRule="auto"/>
      <w:jc w:val="center"/>
    </w:pPr>
    <w:rPr>
      <w:rFonts w:asciiTheme="minorHAnsi" w:eastAsiaTheme="minorHAnsi" w:hAnsiTheme="minorHAnsi" w:cstheme="minorBidi"/>
      <w:b/>
      <w:color w:val="auto"/>
      <w:sz w:val="28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B47733"/>
    <w:rPr>
      <w:b/>
      <w:sz w:val="28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B477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40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BF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F133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70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308"/>
  </w:style>
  <w:style w:type="paragraph" w:styleId="Footer">
    <w:name w:val="footer"/>
    <w:basedOn w:val="Normal"/>
    <w:link w:val="FooterChar"/>
    <w:uiPriority w:val="99"/>
    <w:unhideWhenUsed/>
    <w:rsid w:val="00870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308"/>
  </w:style>
  <w:style w:type="character" w:customStyle="1" w:styleId="Heading2Char">
    <w:name w:val="Heading 2 Char"/>
    <w:basedOn w:val="DefaultParagraphFont"/>
    <w:link w:val="Heading2"/>
    <w:uiPriority w:val="9"/>
    <w:rsid w:val="003A61CF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7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1CF"/>
    <w:pPr>
      <w:keepNext/>
      <w:spacing w:after="12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CA0"/>
    <w:pPr>
      <w:ind w:left="720"/>
      <w:contextualSpacing/>
    </w:pPr>
  </w:style>
  <w:style w:type="paragraph" w:styleId="Title">
    <w:name w:val="Title"/>
    <w:basedOn w:val="Heading1"/>
    <w:next w:val="Normal"/>
    <w:link w:val="TitleChar"/>
    <w:uiPriority w:val="10"/>
    <w:qFormat/>
    <w:rsid w:val="00B47733"/>
    <w:pPr>
      <w:keepNext w:val="0"/>
      <w:keepLines w:val="0"/>
      <w:spacing w:before="0" w:line="276" w:lineRule="auto"/>
      <w:jc w:val="center"/>
    </w:pPr>
    <w:rPr>
      <w:rFonts w:asciiTheme="minorHAnsi" w:eastAsiaTheme="minorHAnsi" w:hAnsiTheme="minorHAnsi" w:cstheme="minorBidi"/>
      <w:b/>
      <w:color w:val="auto"/>
      <w:sz w:val="28"/>
      <w:szCs w:val="22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B47733"/>
    <w:rPr>
      <w:b/>
      <w:sz w:val="28"/>
      <w:lang w:val="en-AU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B47733"/>
    <w:pPr>
      <w:keepNext w:val="0"/>
      <w:keepLines w:val="0"/>
      <w:spacing w:before="0" w:line="276" w:lineRule="auto"/>
      <w:jc w:val="center"/>
    </w:pPr>
    <w:rPr>
      <w:rFonts w:asciiTheme="minorHAnsi" w:eastAsiaTheme="minorHAnsi" w:hAnsiTheme="minorHAnsi" w:cstheme="minorBidi"/>
      <w:b/>
      <w:color w:val="auto"/>
      <w:sz w:val="28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B47733"/>
    <w:rPr>
      <w:b/>
      <w:sz w:val="28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B477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40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BF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F133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70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308"/>
  </w:style>
  <w:style w:type="paragraph" w:styleId="Footer">
    <w:name w:val="footer"/>
    <w:basedOn w:val="Normal"/>
    <w:link w:val="FooterChar"/>
    <w:uiPriority w:val="99"/>
    <w:unhideWhenUsed/>
    <w:rsid w:val="00870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308"/>
  </w:style>
  <w:style w:type="character" w:customStyle="1" w:styleId="Heading2Char">
    <w:name w:val="Heading 2 Char"/>
    <w:basedOn w:val="DefaultParagraphFont"/>
    <w:link w:val="Heading2"/>
    <w:uiPriority w:val="9"/>
    <w:rsid w:val="003A61CF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65C3C-4C85-4ADC-8ED7-5249DD1F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2240</Words>
  <Characters>12035</Characters>
  <Application>Microsoft Office Word</Application>
  <DocSecurity>0</DocSecurity>
  <Lines>364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14029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Huard John</cp:lastModifiedBy>
  <cp:revision>8</cp:revision>
  <cp:lastPrinted>2017-10-20T00:45:00Z</cp:lastPrinted>
  <dcterms:created xsi:type="dcterms:W3CDTF">2017-12-05T00:15:00Z</dcterms:created>
  <dcterms:modified xsi:type="dcterms:W3CDTF">2017-12-12T23:01:00Z</dcterms:modified>
</cp:coreProperties>
</file>