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E01" w:rsidRPr="008F3F06" w:rsidRDefault="00051E01" w:rsidP="00051E01">
      <w:pPr>
        <w:pStyle w:val="360mCoverSubject"/>
        <w:spacing w:before="2200"/>
        <w:ind w:left="567" w:right="-113" w:firstLine="567"/>
        <w:jc w:val="right"/>
      </w:pPr>
      <w:bookmarkStart w:id="0" w:name="_Toc293478084"/>
      <w:bookmarkStart w:id="1" w:name="_Toc293478103"/>
      <w:bookmarkStart w:id="2" w:name="_Toc293667377"/>
      <w:bookmarkStart w:id="3" w:name="_Toc293667431"/>
      <w:bookmarkStart w:id="4" w:name="_Toc293667434"/>
      <w:bookmarkStart w:id="5" w:name="_GoBack"/>
      <w:bookmarkEnd w:id="5"/>
      <w:r w:rsidRPr="00BF3849">
        <w:rPr>
          <w:noProof/>
        </w:rPr>
        <w:drawing>
          <wp:anchor distT="0" distB="0" distL="114300" distR="114300" simplePos="0" relativeHeight="251661312" behindDoc="1" locked="0" layoutInCell="1" allowOverlap="1" wp14:anchorId="549EC9DA" wp14:editId="6AB297BE">
            <wp:simplePos x="0" y="0"/>
            <wp:positionH relativeFrom="page">
              <wp:align>left</wp:align>
            </wp:positionH>
            <wp:positionV relativeFrom="page">
              <wp:align>top</wp:align>
            </wp:positionV>
            <wp:extent cx="10832400" cy="7657200"/>
            <wp:effectExtent l="0" t="0" r="0" b="0"/>
            <wp:wrapNone/>
            <wp:docPr id="1" name="Picture 1" descr="Isentia Insights front cover" title="Isentia Insight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Analysis Report_front cover.png"/>
                    <pic:cNvPicPr/>
                  </pic:nvPicPr>
                  <pic:blipFill>
                    <a:blip r:embed="rId9">
                      <a:extLst>
                        <a:ext uri="{28A0092B-C50C-407E-A947-70E740481C1C}">
                          <a14:useLocalDpi xmlns:a14="http://schemas.microsoft.com/office/drawing/2010/main" val="0"/>
                        </a:ext>
                      </a:extLst>
                    </a:blip>
                    <a:stretch>
                      <a:fillRect/>
                    </a:stretch>
                  </pic:blipFill>
                  <pic:spPr>
                    <a:xfrm>
                      <a:off x="0" y="0"/>
                      <a:ext cx="10832400" cy="7657200"/>
                    </a:xfrm>
                    <a:prstGeom prst="rect">
                      <a:avLst/>
                    </a:prstGeom>
                  </pic:spPr>
                </pic:pic>
              </a:graphicData>
            </a:graphic>
            <wp14:sizeRelH relativeFrom="margin">
              <wp14:pctWidth>0</wp14:pctWidth>
            </wp14:sizeRelH>
            <wp14:sizeRelV relativeFrom="margin">
              <wp14:pctHeight>0</wp14:pctHeight>
            </wp14:sizeRelV>
          </wp:anchor>
        </w:drawing>
      </w:r>
      <w:r w:rsidRPr="00190BE6">
        <w:rPr>
          <w:rFonts w:cstheme="majorHAnsi"/>
          <w:caps w:val="0"/>
          <w:szCs w:val="56"/>
        </w:rPr>
        <w:t>M</w:t>
      </w:r>
      <w:r>
        <w:rPr>
          <w:rFonts w:cstheme="majorHAnsi"/>
          <w:caps w:val="0"/>
          <w:szCs w:val="56"/>
        </w:rPr>
        <w:t>edia</w:t>
      </w:r>
      <w:r w:rsidRPr="00190BE6">
        <w:rPr>
          <w:rFonts w:cstheme="majorHAnsi"/>
          <w:caps w:val="0"/>
          <w:szCs w:val="56"/>
        </w:rPr>
        <w:t xml:space="preserve"> Analysis Report</w:t>
      </w:r>
      <w:bookmarkEnd w:id="0"/>
      <w:bookmarkEnd w:id="1"/>
      <w:bookmarkEnd w:id="2"/>
      <w:bookmarkEnd w:id="3"/>
      <w:bookmarkEnd w:id="4"/>
    </w:p>
    <w:p w:rsidR="00051E01" w:rsidRPr="008F3F06" w:rsidRDefault="00051E01" w:rsidP="00051E01">
      <w:pPr>
        <w:pStyle w:val="BodyText"/>
        <w:jc w:val="right"/>
        <w:rPr>
          <w:rFonts w:asciiTheme="majorHAnsi" w:hAnsiTheme="majorHAnsi"/>
        </w:rPr>
      </w:pPr>
    </w:p>
    <w:p w:rsidR="00051E01" w:rsidRDefault="00051E01" w:rsidP="00051E01">
      <w:pPr>
        <w:pStyle w:val="360mTitle"/>
        <w:ind w:right="32"/>
        <w:jc w:val="right"/>
      </w:pPr>
      <w:r w:rsidRPr="009327D2">
        <w:rPr>
          <w:rFonts w:cs="Arial"/>
        </w:rPr>
        <w:t>July 2014 – June 2016</w:t>
      </w:r>
    </w:p>
    <w:p w:rsidR="00051E01" w:rsidRDefault="00051E01" w:rsidP="00051E01">
      <w:pPr>
        <w:pStyle w:val="360mCoverClientName"/>
        <w:ind w:right="28"/>
        <w:jc w:val="right"/>
      </w:pPr>
      <w:r>
        <w:rPr>
          <w:rFonts w:cs="Arial"/>
        </w:rPr>
        <w:t>SA Health – Health Star Rating</w:t>
      </w:r>
    </w:p>
    <w:p w:rsidR="00051E01" w:rsidRDefault="00051E01">
      <w:pPr>
        <w:sectPr w:rsidR="00051E01" w:rsidSect="00051E01">
          <w:footerReference w:type="default" r:id="rId10"/>
          <w:pgSz w:w="16838" w:h="11906" w:orient="landscape"/>
          <w:pgMar w:top="1418" w:right="1242" w:bottom="964" w:left="1247" w:header="709" w:footer="709" w:gutter="0"/>
          <w:cols w:space="708"/>
          <w:docGrid w:linePitch="360"/>
        </w:sectPr>
      </w:pPr>
      <w:r w:rsidRPr="00BF3849">
        <w:rPr>
          <w:noProof/>
          <w:lang w:eastAsia="en-AU"/>
        </w:rPr>
        <w:drawing>
          <wp:anchor distT="0" distB="0" distL="114300" distR="114300" simplePos="0" relativeHeight="251659264" behindDoc="1" locked="0" layoutInCell="1" allowOverlap="1" wp14:anchorId="60745546" wp14:editId="69F844EE">
            <wp:simplePos x="0" y="0"/>
            <wp:positionH relativeFrom="page">
              <wp:align>left</wp:align>
            </wp:positionH>
            <wp:positionV relativeFrom="page">
              <wp:align>top</wp:align>
            </wp:positionV>
            <wp:extent cx="10832400" cy="7657200"/>
            <wp:effectExtent l="0" t="0" r="7620" b="1270"/>
            <wp:wrapNone/>
            <wp:docPr id="4" name="Picture 1" descr="Isentia Insights front cover" title="Isentia Insight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Analysis Report_front cover.png"/>
                    <pic:cNvPicPr/>
                  </pic:nvPicPr>
                  <pic:blipFill>
                    <a:blip r:embed="rId9">
                      <a:extLst>
                        <a:ext uri="{28A0092B-C50C-407E-A947-70E740481C1C}">
                          <a14:useLocalDpi xmlns:a14="http://schemas.microsoft.com/office/drawing/2010/main" val="0"/>
                        </a:ext>
                      </a:extLst>
                    </a:blip>
                    <a:stretch>
                      <a:fillRect/>
                    </a:stretch>
                  </pic:blipFill>
                  <pic:spPr>
                    <a:xfrm>
                      <a:off x="0" y="0"/>
                      <a:ext cx="10832400" cy="7657200"/>
                    </a:xfrm>
                    <a:prstGeom prst="rect">
                      <a:avLst/>
                    </a:prstGeom>
                  </pic:spPr>
                </pic:pic>
              </a:graphicData>
            </a:graphic>
            <wp14:sizeRelH relativeFrom="margin">
              <wp14:pctWidth>0</wp14:pctWidth>
            </wp14:sizeRelH>
            <wp14:sizeRelV relativeFrom="margin">
              <wp14:pctHeight>0</wp14:pctHeight>
            </wp14:sizeRelV>
          </wp:anchor>
        </w:drawing>
      </w:r>
    </w:p>
    <w:p w:rsidR="00051E01" w:rsidRPr="00892222" w:rsidRDefault="00051E01" w:rsidP="00051E01">
      <w:pPr>
        <w:pStyle w:val="TOCHeading"/>
        <w:rPr>
          <w:color w:val="0072BC"/>
        </w:rPr>
      </w:pPr>
      <w:r w:rsidRPr="00892222">
        <w:rPr>
          <w:color w:val="0072BC"/>
        </w:rPr>
        <w:lastRenderedPageBreak/>
        <w:t>Contents</w:t>
      </w:r>
    </w:p>
    <w:sdt>
      <w:sdtPr>
        <w:rPr>
          <w:rFonts w:eastAsiaTheme="minorHAnsi"/>
          <w:caps/>
          <w:color w:val="000000" w:themeColor="text1"/>
          <w:kern w:val="0"/>
          <w:sz w:val="21"/>
          <w:lang w:eastAsia="en-US"/>
        </w:rPr>
        <w:alias w:val="Table of contents"/>
        <w:tag w:val="TOC"/>
        <w:id w:val="367241033"/>
        <w:docPartList>
          <w:docPartGallery w:val="Custom 3"/>
          <w:docPartCategory w:val="Media Monitors TOC"/>
        </w:docPartList>
      </w:sdtPr>
      <w:sdtEndPr>
        <w:rPr>
          <w:caps w:val="0"/>
          <w:color w:val="auto"/>
          <w:sz w:val="22"/>
        </w:rPr>
      </w:sdtEndPr>
      <w:sdtContent>
        <w:p w:rsidR="003926B2" w:rsidRDefault="003926B2">
          <w:pPr>
            <w:pStyle w:val="TOC1"/>
            <w:tabs>
              <w:tab w:val="right" w:leader="dot" w:pos="14339"/>
            </w:tabs>
            <w:rPr>
              <w:caps/>
              <w:color w:val="000000" w:themeColor="text1"/>
              <w:kern w:val="0"/>
              <w:sz w:val="21"/>
            </w:rPr>
            <w:sectPr w:rsidR="003926B2" w:rsidSect="00357312">
              <w:pgSz w:w="16838" w:h="11906" w:orient="landscape"/>
              <w:pgMar w:top="1418" w:right="1242" w:bottom="964" w:left="1247" w:header="0" w:footer="397" w:gutter="0"/>
              <w:cols w:space="708"/>
              <w:docGrid w:linePitch="360"/>
            </w:sectPr>
          </w:pPr>
        </w:p>
        <w:p w:rsidR="008A78D8" w:rsidRDefault="00051E01">
          <w:pPr>
            <w:pStyle w:val="TOC1"/>
            <w:tabs>
              <w:tab w:val="right" w:leader="dot" w:pos="7022"/>
            </w:tabs>
            <w:rPr>
              <w:noProof/>
              <w:kern w:val="0"/>
            </w:rPr>
          </w:pPr>
          <w:r>
            <w:rPr>
              <w:kern w:val="22"/>
              <w:sz w:val="20"/>
            </w:rPr>
            <w:lastRenderedPageBreak/>
            <w:fldChar w:fldCharType="begin"/>
          </w:r>
          <w:r>
            <w:rPr>
              <w:kern w:val="22"/>
              <w:sz w:val="20"/>
            </w:rPr>
            <w:instrText xml:space="preserve"> TOC \o "1-2" </w:instrText>
          </w:r>
          <w:r>
            <w:rPr>
              <w:kern w:val="22"/>
              <w:sz w:val="20"/>
            </w:rPr>
            <w:fldChar w:fldCharType="separate"/>
          </w:r>
          <w:r w:rsidR="008A78D8">
            <w:rPr>
              <w:noProof/>
            </w:rPr>
            <w:t>Introduction</w:t>
          </w:r>
          <w:r w:rsidR="008A78D8">
            <w:rPr>
              <w:noProof/>
            </w:rPr>
            <w:tab/>
          </w:r>
          <w:r w:rsidR="008A78D8">
            <w:rPr>
              <w:noProof/>
            </w:rPr>
            <w:fldChar w:fldCharType="begin"/>
          </w:r>
          <w:r w:rsidR="008A78D8">
            <w:rPr>
              <w:noProof/>
            </w:rPr>
            <w:instrText xml:space="preserve"> PAGEREF _Toc485374962 \h </w:instrText>
          </w:r>
          <w:r w:rsidR="008A78D8">
            <w:rPr>
              <w:noProof/>
            </w:rPr>
          </w:r>
          <w:r w:rsidR="008A78D8">
            <w:rPr>
              <w:noProof/>
            </w:rPr>
            <w:fldChar w:fldCharType="separate"/>
          </w:r>
          <w:r w:rsidR="003972DC">
            <w:rPr>
              <w:noProof/>
            </w:rPr>
            <w:t>3</w:t>
          </w:r>
          <w:r w:rsidR="008A78D8">
            <w:rPr>
              <w:noProof/>
            </w:rPr>
            <w:fldChar w:fldCharType="end"/>
          </w:r>
        </w:p>
        <w:p w:rsidR="008A78D8" w:rsidRDefault="008A78D8">
          <w:pPr>
            <w:pStyle w:val="TOC1"/>
            <w:tabs>
              <w:tab w:val="right" w:leader="dot" w:pos="7022"/>
            </w:tabs>
            <w:rPr>
              <w:noProof/>
              <w:kern w:val="0"/>
            </w:rPr>
          </w:pPr>
          <w:r>
            <w:rPr>
              <w:noProof/>
            </w:rPr>
            <w:t>Executive Summary</w:t>
          </w:r>
          <w:r>
            <w:rPr>
              <w:noProof/>
            </w:rPr>
            <w:tab/>
          </w:r>
          <w:r>
            <w:rPr>
              <w:noProof/>
            </w:rPr>
            <w:fldChar w:fldCharType="begin"/>
          </w:r>
          <w:r>
            <w:rPr>
              <w:noProof/>
            </w:rPr>
            <w:instrText xml:space="preserve"> PAGEREF _Toc485374963 \h </w:instrText>
          </w:r>
          <w:r>
            <w:rPr>
              <w:noProof/>
            </w:rPr>
          </w:r>
          <w:r>
            <w:rPr>
              <w:noProof/>
            </w:rPr>
            <w:fldChar w:fldCharType="separate"/>
          </w:r>
          <w:r w:rsidR="003972DC">
            <w:rPr>
              <w:noProof/>
            </w:rPr>
            <w:t>4</w:t>
          </w:r>
          <w:r>
            <w:rPr>
              <w:noProof/>
            </w:rPr>
            <w:fldChar w:fldCharType="end"/>
          </w:r>
        </w:p>
        <w:p w:rsidR="008A78D8" w:rsidRDefault="008A78D8">
          <w:pPr>
            <w:pStyle w:val="TOC2"/>
            <w:tabs>
              <w:tab w:val="right" w:leader="dot" w:pos="7022"/>
            </w:tabs>
            <w:rPr>
              <w:noProof/>
              <w:kern w:val="0"/>
            </w:rPr>
          </w:pPr>
          <w:r>
            <w:rPr>
              <w:noProof/>
            </w:rPr>
            <w:t>Key Findings</w:t>
          </w:r>
          <w:r>
            <w:rPr>
              <w:noProof/>
            </w:rPr>
            <w:tab/>
          </w:r>
          <w:r>
            <w:rPr>
              <w:noProof/>
            </w:rPr>
            <w:fldChar w:fldCharType="begin"/>
          </w:r>
          <w:r>
            <w:rPr>
              <w:noProof/>
            </w:rPr>
            <w:instrText xml:space="preserve"> PAGEREF _Toc485374964 \h </w:instrText>
          </w:r>
          <w:r>
            <w:rPr>
              <w:noProof/>
            </w:rPr>
          </w:r>
          <w:r>
            <w:rPr>
              <w:noProof/>
            </w:rPr>
            <w:fldChar w:fldCharType="separate"/>
          </w:r>
          <w:r w:rsidR="003972DC">
            <w:rPr>
              <w:noProof/>
            </w:rPr>
            <w:t>4</w:t>
          </w:r>
          <w:r>
            <w:rPr>
              <w:noProof/>
            </w:rPr>
            <w:fldChar w:fldCharType="end"/>
          </w:r>
        </w:p>
        <w:p w:rsidR="008A78D8" w:rsidRDefault="008A78D8">
          <w:pPr>
            <w:pStyle w:val="TOC2"/>
            <w:tabs>
              <w:tab w:val="right" w:leader="dot" w:pos="7022"/>
            </w:tabs>
            <w:rPr>
              <w:noProof/>
              <w:kern w:val="0"/>
            </w:rPr>
          </w:pPr>
          <w:r>
            <w:rPr>
              <w:noProof/>
            </w:rPr>
            <w:t>Stakeholders</w:t>
          </w:r>
          <w:r>
            <w:rPr>
              <w:noProof/>
            </w:rPr>
            <w:tab/>
          </w:r>
          <w:r>
            <w:rPr>
              <w:noProof/>
            </w:rPr>
            <w:fldChar w:fldCharType="begin"/>
          </w:r>
          <w:r>
            <w:rPr>
              <w:noProof/>
            </w:rPr>
            <w:instrText xml:space="preserve"> PAGEREF _Toc485374965 \h </w:instrText>
          </w:r>
          <w:r>
            <w:rPr>
              <w:noProof/>
            </w:rPr>
          </w:r>
          <w:r>
            <w:rPr>
              <w:noProof/>
            </w:rPr>
            <w:fldChar w:fldCharType="separate"/>
          </w:r>
          <w:r w:rsidR="003972DC">
            <w:rPr>
              <w:noProof/>
            </w:rPr>
            <w:t>4</w:t>
          </w:r>
          <w:r>
            <w:rPr>
              <w:noProof/>
            </w:rPr>
            <w:fldChar w:fldCharType="end"/>
          </w:r>
        </w:p>
        <w:p w:rsidR="008A78D8" w:rsidRDefault="008A78D8">
          <w:pPr>
            <w:pStyle w:val="TOC1"/>
            <w:tabs>
              <w:tab w:val="right" w:leader="dot" w:pos="7022"/>
            </w:tabs>
            <w:rPr>
              <w:noProof/>
              <w:kern w:val="0"/>
            </w:rPr>
          </w:pPr>
          <w:r>
            <w:rPr>
              <w:noProof/>
            </w:rPr>
            <w:t>Trend Analysis</w:t>
          </w:r>
          <w:r>
            <w:rPr>
              <w:noProof/>
            </w:rPr>
            <w:tab/>
          </w:r>
          <w:r>
            <w:rPr>
              <w:noProof/>
            </w:rPr>
            <w:fldChar w:fldCharType="begin"/>
          </w:r>
          <w:r>
            <w:rPr>
              <w:noProof/>
            </w:rPr>
            <w:instrText xml:space="preserve"> PAGEREF _Toc485374966 \h </w:instrText>
          </w:r>
          <w:r>
            <w:rPr>
              <w:noProof/>
            </w:rPr>
          </w:r>
          <w:r>
            <w:rPr>
              <w:noProof/>
            </w:rPr>
            <w:fldChar w:fldCharType="separate"/>
          </w:r>
          <w:r w:rsidR="003972DC">
            <w:rPr>
              <w:noProof/>
            </w:rPr>
            <w:t>7</w:t>
          </w:r>
          <w:r>
            <w:rPr>
              <w:noProof/>
            </w:rPr>
            <w:fldChar w:fldCharType="end"/>
          </w:r>
        </w:p>
        <w:p w:rsidR="008A78D8" w:rsidRDefault="008A78D8">
          <w:pPr>
            <w:pStyle w:val="TOC1"/>
            <w:tabs>
              <w:tab w:val="right" w:leader="dot" w:pos="7022"/>
            </w:tabs>
            <w:rPr>
              <w:noProof/>
              <w:kern w:val="0"/>
            </w:rPr>
          </w:pPr>
          <w:r>
            <w:rPr>
              <w:noProof/>
            </w:rPr>
            <w:t>Stakeholders</w:t>
          </w:r>
          <w:r>
            <w:rPr>
              <w:noProof/>
            </w:rPr>
            <w:tab/>
          </w:r>
          <w:r>
            <w:rPr>
              <w:noProof/>
            </w:rPr>
            <w:fldChar w:fldCharType="begin"/>
          </w:r>
          <w:r>
            <w:rPr>
              <w:noProof/>
            </w:rPr>
            <w:instrText xml:space="preserve"> PAGEREF _Toc485374967 \h </w:instrText>
          </w:r>
          <w:r>
            <w:rPr>
              <w:noProof/>
            </w:rPr>
          </w:r>
          <w:r>
            <w:rPr>
              <w:noProof/>
            </w:rPr>
            <w:fldChar w:fldCharType="separate"/>
          </w:r>
          <w:r w:rsidR="003972DC">
            <w:rPr>
              <w:noProof/>
            </w:rPr>
            <w:t>8</w:t>
          </w:r>
          <w:r>
            <w:rPr>
              <w:noProof/>
            </w:rPr>
            <w:fldChar w:fldCharType="end"/>
          </w:r>
        </w:p>
        <w:p w:rsidR="008A78D8" w:rsidRDefault="008A78D8">
          <w:pPr>
            <w:pStyle w:val="TOC1"/>
            <w:tabs>
              <w:tab w:val="right" w:leader="dot" w:pos="7022"/>
            </w:tabs>
            <w:rPr>
              <w:noProof/>
              <w:kern w:val="0"/>
            </w:rPr>
          </w:pPr>
          <w:r>
            <w:rPr>
              <w:noProof/>
            </w:rPr>
            <w:t>Leading Messages by Stakeholders</w:t>
          </w:r>
          <w:r>
            <w:rPr>
              <w:noProof/>
            </w:rPr>
            <w:tab/>
          </w:r>
          <w:r>
            <w:rPr>
              <w:noProof/>
            </w:rPr>
            <w:fldChar w:fldCharType="begin"/>
          </w:r>
          <w:r>
            <w:rPr>
              <w:noProof/>
            </w:rPr>
            <w:instrText xml:space="preserve"> PAGEREF _Toc485374968 \h </w:instrText>
          </w:r>
          <w:r>
            <w:rPr>
              <w:noProof/>
            </w:rPr>
          </w:r>
          <w:r>
            <w:rPr>
              <w:noProof/>
            </w:rPr>
            <w:fldChar w:fldCharType="separate"/>
          </w:r>
          <w:r w:rsidR="003972DC">
            <w:rPr>
              <w:noProof/>
            </w:rPr>
            <w:t>11</w:t>
          </w:r>
          <w:r>
            <w:rPr>
              <w:noProof/>
            </w:rPr>
            <w:fldChar w:fldCharType="end"/>
          </w:r>
        </w:p>
        <w:p w:rsidR="008A78D8" w:rsidRDefault="008A78D8">
          <w:pPr>
            <w:pStyle w:val="TOC2"/>
            <w:tabs>
              <w:tab w:val="right" w:leader="dot" w:pos="7022"/>
            </w:tabs>
            <w:rPr>
              <w:noProof/>
              <w:kern w:val="0"/>
            </w:rPr>
          </w:pPr>
          <w:r>
            <w:rPr>
              <w:noProof/>
            </w:rPr>
            <w:t>Overall</w:t>
          </w:r>
          <w:r>
            <w:rPr>
              <w:noProof/>
            </w:rPr>
            <w:tab/>
          </w:r>
          <w:r>
            <w:rPr>
              <w:noProof/>
            </w:rPr>
            <w:fldChar w:fldCharType="begin"/>
          </w:r>
          <w:r>
            <w:rPr>
              <w:noProof/>
            </w:rPr>
            <w:instrText xml:space="preserve"> PAGEREF _Toc485374969 \h </w:instrText>
          </w:r>
          <w:r>
            <w:rPr>
              <w:noProof/>
            </w:rPr>
          </w:r>
          <w:r>
            <w:rPr>
              <w:noProof/>
            </w:rPr>
            <w:fldChar w:fldCharType="separate"/>
          </w:r>
          <w:r w:rsidR="003972DC">
            <w:rPr>
              <w:noProof/>
            </w:rPr>
            <w:t>11</w:t>
          </w:r>
          <w:r>
            <w:rPr>
              <w:noProof/>
            </w:rPr>
            <w:fldChar w:fldCharType="end"/>
          </w:r>
        </w:p>
        <w:p w:rsidR="008A78D8" w:rsidRDefault="008A78D8">
          <w:pPr>
            <w:pStyle w:val="TOC2"/>
            <w:tabs>
              <w:tab w:val="right" w:leader="dot" w:pos="7022"/>
            </w:tabs>
            <w:rPr>
              <w:noProof/>
              <w:kern w:val="0"/>
            </w:rPr>
          </w:pPr>
          <w:r>
            <w:rPr>
              <w:noProof/>
            </w:rPr>
            <w:t>Public Health/Medical</w:t>
          </w:r>
          <w:r>
            <w:rPr>
              <w:noProof/>
            </w:rPr>
            <w:tab/>
          </w:r>
          <w:r>
            <w:rPr>
              <w:noProof/>
            </w:rPr>
            <w:fldChar w:fldCharType="begin"/>
          </w:r>
          <w:r>
            <w:rPr>
              <w:noProof/>
            </w:rPr>
            <w:instrText xml:space="preserve"> PAGEREF _Toc485374970 \h </w:instrText>
          </w:r>
          <w:r>
            <w:rPr>
              <w:noProof/>
            </w:rPr>
          </w:r>
          <w:r>
            <w:rPr>
              <w:noProof/>
            </w:rPr>
            <w:fldChar w:fldCharType="separate"/>
          </w:r>
          <w:r w:rsidR="003972DC">
            <w:rPr>
              <w:noProof/>
            </w:rPr>
            <w:t>13</w:t>
          </w:r>
          <w:r>
            <w:rPr>
              <w:noProof/>
            </w:rPr>
            <w:fldChar w:fldCharType="end"/>
          </w:r>
        </w:p>
        <w:p w:rsidR="008A78D8" w:rsidRDefault="008A78D8">
          <w:pPr>
            <w:pStyle w:val="TOC2"/>
            <w:tabs>
              <w:tab w:val="right" w:leader="dot" w:pos="7022"/>
            </w:tabs>
            <w:rPr>
              <w:noProof/>
              <w:kern w:val="0"/>
            </w:rPr>
          </w:pPr>
          <w:r>
            <w:rPr>
              <w:noProof/>
            </w:rPr>
            <w:t>Consumers/Consumer Advocates</w:t>
          </w:r>
          <w:r>
            <w:rPr>
              <w:noProof/>
            </w:rPr>
            <w:tab/>
          </w:r>
          <w:r>
            <w:rPr>
              <w:noProof/>
            </w:rPr>
            <w:fldChar w:fldCharType="begin"/>
          </w:r>
          <w:r>
            <w:rPr>
              <w:noProof/>
            </w:rPr>
            <w:instrText xml:space="preserve"> PAGEREF _Toc485374971 \h </w:instrText>
          </w:r>
          <w:r>
            <w:rPr>
              <w:noProof/>
            </w:rPr>
          </w:r>
          <w:r>
            <w:rPr>
              <w:noProof/>
            </w:rPr>
            <w:fldChar w:fldCharType="separate"/>
          </w:r>
          <w:r w:rsidR="003972DC">
            <w:rPr>
              <w:noProof/>
            </w:rPr>
            <w:t>14</w:t>
          </w:r>
          <w:r>
            <w:rPr>
              <w:noProof/>
            </w:rPr>
            <w:fldChar w:fldCharType="end"/>
          </w:r>
        </w:p>
        <w:p w:rsidR="008A78D8" w:rsidRDefault="008A78D8">
          <w:pPr>
            <w:pStyle w:val="TOC2"/>
            <w:tabs>
              <w:tab w:val="right" w:leader="dot" w:pos="7022"/>
            </w:tabs>
            <w:rPr>
              <w:noProof/>
              <w:kern w:val="0"/>
            </w:rPr>
          </w:pPr>
          <w:r>
            <w:rPr>
              <w:noProof/>
            </w:rPr>
            <w:t>Food Manufacturing Industry</w:t>
          </w:r>
          <w:r>
            <w:rPr>
              <w:noProof/>
            </w:rPr>
            <w:tab/>
          </w:r>
          <w:r>
            <w:rPr>
              <w:noProof/>
            </w:rPr>
            <w:fldChar w:fldCharType="begin"/>
          </w:r>
          <w:r>
            <w:rPr>
              <w:noProof/>
            </w:rPr>
            <w:instrText xml:space="preserve"> PAGEREF _Toc485374972 \h </w:instrText>
          </w:r>
          <w:r>
            <w:rPr>
              <w:noProof/>
            </w:rPr>
          </w:r>
          <w:r>
            <w:rPr>
              <w:noProof/>
            </w:rPr>
            <w:fldChar w:fldCharType="separate"/>
          </w:r>
          <w:r w:rsidR="003972DC">
            <w:rPr>
              <w:noProof/>
            </w:rPr>
            <w:t>15</w:t>
          </w:r>
          <w:r>
            <w:rPr>
              <w:noProof/>
            </w:rPr>
            <w:fldChar w:fldCharType="end"/>
          </w:r>
        </w:p>
        <w:p w:rsidR="008A78D8" w:rsidRDefault="008A78D8">
          <w:pPr>
            <w:pStyle w:val="TOC2"/>
            <w:tabs>
              <w:tab w:val="right" w:leader="dot" w:pos="7022"/>
            </w:tabs>
            <w:rPr>
              <w:noProof/>
              <w:kern w:val="0"/>
            </w:rPr>
          </w:pPr>
          <w:r>
            <w:rPr>
              <w:noProof/>
            </w:rPr>
            <w:t>Government/Bureaucracy</w:t>
          </w:r>
          <w:r>
            <w:rPr>
              <w:noProof/>
            </w:rPr>
            <w:tab/>
          </w:r>
          <w:r>
            <w:rPr>
              <w:noProof/>
            </w:rPr>
            <w:fldChar w:fldCharType="begin"/>
          </w:r>
          <w:r>
            <w:rPr>
              <w:noProof/>
            </w:rPr>
            <w:instrText xml:space="preserve"> PAGEREF _Toc485374973 \h </w:instrText>
          </w:r>
          <w:r>
            <w:rPr>
              <w:noProof/>
            </w:rPr>
          </w:r>
          <w:r>
            <w:rPr>
              <w:noProof/>
            </w:rPr>
            <w:fldChar w:fldCharType="separate"/>
          </w:r>
          <w:r w:rsidR="003972DC">
            <w:rPr>
              <w:noProof/>
            </w:rPr>
            <w:t>15</w:t>
          </w:r>
          <w:r>
            <w:rPr>
              <w:noProof/>
            </w:rPr>
            <w:fldChar w:fldCharType="end"/>
          </w:r>
        </w:p>
        <w:p w:rsidR="008A78D8" w:rsidRDefault="008A78D8">
          <w:pPr>
            <w:pStyle w:val="TOC2"/>
            <w:tabs>
              <w:tab w:val="right" w:leader="dot" w:pos="7022"/>
            </w:tabs>
            <w:rPr>
              <w:noProof/>
              <w:kern w:val="0"/>
            </w:rPr>
          </w:pPr>
          <w:r>
            <w:rPr>
              <w:noProof/>
            </w:rPr>
            <w:t>Food Retail Industry</w:t>
          </w:r>
          <w:r>
            <w:rPr>
              <w:noProof/>
            </w:rPr>
            <w:tab/>
          </w:r>
          <w:r>
            <w:rPr>
              <w:noProof/>
            </w:rPr>
            <w:fldChar w:fldCharType="begin"/>
          </w:r>
          <w:r>
            <w:rPr>
              <w:noProof/>
            </w:rPr>
            <w:instrText xml:space="preserve"> PAGEREF _Toc485374974 \h </w:instrText>
          </w:r>
          <w:r>
            <w:rPr>
              <w:noProof/>
            </w:rPr>
          </w:r>
          <w:r>
            <w:rPr>
              <w:noProof/>
            </w:rPr>
            <w:fldChar w:fldCharType="separate"/>
          </w:r>
          <w:r w:rsidR="003972DC">
            <w:rPr>
              <w:noProof/>
            </w:rPr>
            <w:t>16</w:t>
          </w:r>
          <w:r>
            <w:rPr>
              <w:noProof/>
            </w:rPr>
            <w:fldChar w:fldCharType="end"/>
          </w:r>
        </w:p>
        <w:p w:rsidR="008A78D8" w:rsidRDefault="008A78D8">
          <w:pPr>
            <w:pStyle w:val="TOC2"/>
            <w:tabs>
              <w:tab w:val="right" w:leader="dot" w:pos="7022"/>
            </w:tabs>
            <w:rPr>
              <w:noProof/>
              <w:kern w:val="0"/>
            </w:rPr>
          </w:pPr>
          <w:r>
            <w:rPr>
              <w:noProof/>
            </w:rPr>
            <w:t>Primary Producers</w:t>
          </w:r>
          <w:r>
            <w:rPr>
              <w:noProof/>
            </w:rPr>
            <w:tab/>
          </w:r>
          <w:r>
            <w:rPr>
              <w:noProof/>
            </w:rPr>
            <w:fldChar w:fldCharType="begin"/>
          </w:r>
          <w:r>
            <w:rPr>
              <w:noProof/>
            </w:rPr>
            <w:instrText xml:space="preserve"> PAGEREF _Toc485374975 \h </w:instrText>
          </w:r>
          <w:r>
            <w:rPr>
              <w:noProof/>
            </w:rPr>
          </w:r>
          <w:r>
            <w:rPr>
              <w:noProof/>
            </w:rPr>
            <w:fldChar w:fldCharType="separate"/>
          </w:r>
          <w:r w:rsidR="003972DC">
            <w:rPr>
              <w:noProof/>
            </w:rPr>
            <w:t>16</w:t>
          </w:r>
          <w:r>
            <w:rPr>
              <w:noProof/>
            </w:rPr>
            <w:fldChar w:fldCharType="end"/>
          </w:r>
        </w:p>
        <w:p w:rsidR="008A78D8" w:rsidRDefault="008A78D8">
          <w:pPr>
            <w:pStyle w:val="TOC2"/>
            <w:tabs>
              <w:tab w:val="right" w:leader="dot" w:pos="7022"/>
            </w:tabs>
            <w:rPr>
              <w:noProof/>
              <w:kern w:val="0"/>
            </w:rPr>
          </w:pPr>
          <w:r>
            <w:rPr>
              <w:noProof/>
            </w:rPr>
            <w:t>Other</w:t>
          </w:r>
          <w:r>
            <w:rPr>
              <w:noProof/>
            </w:rPr>
            <w:tab/>
          </w:r>
          <w:r>
            <w:rPr>
              <w:noProof/>
            </w:rPr>
            <w:fldChar w:fldCharType="begin"/>
          </w:r>
          <w:r>
            <w:rPr>
              <w:noProof/>
            </w:rPr>
            <w:instrText xml:space="preserve"> PAGEREF _Toc485374976 \h </w:instrText>
          </w:r>
          <w:r>
            <w:rPr>
              <w:noProof/>
            </w:rPr>
          </w:r>
          <w:r>
            <w:rPr>
              <w:noProof/>
            </w:rPr>
            <w:fldChar w:fldCharType="separate"/>
          </w:r>
          <w:r w:rsidR="003972DC">
            <w:rPr>
              <w:noProof/>
            </w:rPr>
            <w:t>17</w:t>
          </w:r>
          <w:r>
            <w:rPr>
              <w:noProof/>
            </w:rPr>
            <w:fldChar w:fldCharType="end"/>
          </w:r>
        </w:p>
        <w:p w:rsidR="008A78D8" w:rsidRDefault="008A78D8">
          <w:pPr>
            <w:pStyle w:val="TOC1"/>
            <w:tabs>
              <w:tab w:val="right" w:leader="dot" w:pos="7022"/>
            </w:tabs>
            <w:rPr>
              <w:noProof/>
              <w:kern w:val="0"/>
            </w:rPr>
          </w:pPr>
          <w:r>
            <w:rPr>
              <w:noProof/>
            </w:rPr>
            <w:lastRenderedPageBreak/>
            <w:t>Leading Spokespeople</w:t>
          </w:r>
          <w:r>
            <w:rPr>
              <w:noProof/>
            </w:rPr>
            <w:tab/>
          </w:r>
          <w:r>
            <w:rPr>
              <w:noProof/>
            </w:rPr>
            <w:fldChar w:fldCharType="begin"/>
          </w:r>
          <w:r>
            <w:rPr>
              <w:noProof/>
            </w:rPr>
            <w:instrText xml:space="preserve"> PAGEREF _Toc485374977 \h </w:instrText>
          </w:r>
          <w:r>
            <w:rPr>
              <w:noProof/>
            </w:rPr>
          </w:r>
          <w:r>
            <w:rPr>
              <w:noProof/>
            </w:rPr>
            <w:fldChar w:fldCharType="separate"/>
          </w:r>
          <w:r w:rsidR="003972DC">
            <w:rPr>
              <w:noProof/>
            </w:rPr>
            <w:t>18</w:t>
          </w:r>
          <w:r>
            <w:rPr>
              <w:noProof/>
            </w:rPr>
            <w:fldChar w:fldCharType="end"/>
          </w:r>
        </w:p>
        <w:p w:rsidR="008A78D8" w:rsidRDefault="008A78D8">
          <w:pPr>
            <w:pStyle w:val="TOC1"/>
            <w:tabs>
              <w:tab w:val="right" w:leader="dot" w:pos="7022"/>
            </w:tabs>
            <w:rPr>
              <w:noProof/>
              <w:kern w:val="0"/>
            </w:rPr>
          </w:pPr>
          <w:r>
            <w:rPr>
              <w:noProof/>
            </w:rPr>
            <w:t>Quarterly Breakdown</w:t>
          </w:r>
          <w:r>
            <w:rPr>
              <w:noProof/>
            </w:rPr>
            <w:tab/>
          </w:r>
          <w:r>
            <w:rPr>
              <w:noProof/>
            </w:rPr>
            <w:fldChar w:fldCharType="begin"/>
          </w:r>
          <w:r>
            <w:rPr>
              <w:noProof/>
            </w:rPr>
            <w:instrText xml:space="preserve"> PAGEREF _Toc485374978 \h </w:instrText>
          </w:r>
          <w:r>
            <w:rPr>
              <w:noProof/>
            </w:rPr>
          </w:r>
          <w:r>
            <w:rPr>
              <w:noProof/>
            </w:rPr>
            <w:fldChar w:fldCharType="separate"/>
          </w:r>
          <w:r w:rsidR="003972DC">
            <w:rPr>
              <w:noProof/>
            </w:rPr>
            <w:t>19</w:t>
          </w:r>
          <w:r>
            <w:rPr>
              <w:noProof/>
            </w:rPr>
            <w:fldChar w:fldCharType="end"/>
          </w:r>
        </w:p>
        <w:p w:rsidR="008A78D8" w:rsidRDefault="008A78D8">
          <w:pPr>
            <w:pStyle w:val="TOC2"/>
            <w:tabs>
              <w:tab w:val="right" w:leader="dot" w:pos="7022"/>
            </w:tabs>
            <w:rPr>
              <w:noProof/>
              <w:kern w:val="0"/>
            </w:rPr>
          </w:pPr>
          <w:r>
            <w:rPr>
              <w:noProof/>
            </w:rPr>
            <w:t>Quarter 3 2014</w:t>
          </w:r>
          <w:r>
            <w:rPr>
              <w:noProof/>
            </w:rPr>
            <w:tab/>
          </w:r>
          <w:r>
            <w:rPr>
              <w:noProof/>
            </w:rPr>
            <w:fldChar w:fldCharType="begin"/>
          </w:r>
          <w:r>
            <w:rPr>
              <w:noProof/>
            </w:rPr>
            <w:instrText xml:space="preserve"> PAGEREF _Toc485374979 \h </w:instrText>
          </w:r>
          <w:r>
            <w:rPr>
              <w:noProof/>
            </w:rPr>
          </w:r>
          <w:r>
            <w:rPr>
              <w:noProof/>
            </w:rPr>
            <w:fldChar w:fldCharType="separate"/>
          </w:r>
          <w:r w:rsidR="003972DC">
            <w:rPr>
              <w:noProof/>
            </w:rPr>
            <w:t>19</w:t>
          </w:r>
          <w:r>
            <w:rPr>
              <w:noProof/>
            </w:rPr>
            <w:fldChar w:fldCharType="end"/>
          </w:r>
        </w:p>
        <w:p w:rsidR="008A78D8" w:rsidRDefault="008A78D8">
          <w:pPr>
            <w:pStyle w:val="TOC2"/>
            <w:tabs>
              <w:tab w:val="right" w:leader="dot" w:pos="7022"/>
            </w:tabs>
            <w:rPr>
              <w:noProof/>
              <w:kern w:val="0"/>
            </w:rPr>
          </w:pPr>
          <w:r>
            <w:rPr>
              <w:noProof/>
            </w:rPr>
            <w:t>Quarter 4 2014</w:t>
          </w:r>
          <w:r>
            <w:rPr>
              <w:noProof/>
            </w:rPr>
            <w:tab/>
          </w:r>
          <w:r>
            <w:rPr>
              <w:noProof/>
            </w:rPr>
            <w:fldChar w:fldCharType="begin"/>
          </w:r>
          <w:r>
            <w:rPr>
              <w:noProof/>
            </w:rPr>
            <w:instrText xml:space="preserve"> PAGEREF _Toc485374980 \h </w:instrText>
          </w:r>
          <w:r>
            <w:rPr>
              <w:noProof/>
            </w:rPr>
          </w:r>
          <w:r>
            <w:rPr>
              <w:noProof/>
            </w:rPr>
            <w:fldChar w:fldCharType="separate"/>
          </w:r>
          <w:r w:rsidR="003972DC">
            <w:rPr>
              <w:noProof/>
            </w:rPr>
            <w:t>21</w:t>
          </w:r>
          <w:r>
            <w:rPr>
              <w:noProof/>
            </w:rPr>
            <w:fldChar w:fldCharType="end"/>
          </w:r>
        </w:p>
        <w:p w:rsidR="008A78D8" w:rsidRDefault="008A78D8">
          <w:pPr>
            <w:pStyle w:val="TOC2"/>
            <w:tabs>
              <w:tab w:val="right" w:leader="dot" w:pos="7022"/>
            </w:tabs>
            <w:rPr>
              <w:noProof/>
              <w:kern w:val="0"/>
            </w:rPr>
          </w:pPr>
          <w:r>
            <w:rPr>
              <w:noProof/>
            </w:rPr>
            <w:t>Quarter 1 2015</w:t>
          </w:r>
          <w:r>
            <w:rPr>
              <w:noProof/>
            </w:rPr>
            <w:tab/>
          </w:r>
          <w:r>
            <w:rPr>
              <w:noProof/>
            </w:rPr>
            <w:fldChar w:fldCharType="begin"/>
          </w:r>
          <w:r>
            <w:rPr>
              <w:noProof/>
            </w:rPr>
            <w:instrText xml:space="preserve"> PAGEREF _Toc485374981 \h </w:instrText>
          </w:r>
          <w:r>
            <w:rPr>
              <w:noProof/>
            </w:rPr>
          </w:r>
          <w:r>
            <w:rPr>
              <w:noProof/>
            </w:rPr>
            <w:fldChar w:fldCharType="separate"/>
          </w:r>
          <w:r w:rsidR="003972DC">
            <w:rPr>
              <w:noProof/>
            </w:rPr>
            <w:t>23</w:t>
          </w:r>
          <w:r>
            <w:rPr>
              <w:noProof/>
            </w:rPr>
            <w:fldChar w:fldCharType="end"/>
          </w:r>
        </w:p>
        <w:p w:rsidR="008A78D8" w:rsidRDefault="008A78D8">
          <w:pPr>
            <w:pStyle w:val="TOC2"/>
            <w:tabs>
              <w:tab w:val="right" w:leader="dot" w:pos="7022"/>
            </w:tabs>
            <w:rPr>
              <w:noProof/>
              <w:kern w:val="0"/>
            </w:rPr>
          </w:pPr>
          <w:r>
            <w:rPr>
              <w:noProof/>
            </w:rPr>
            <w:t>Quarter 2 2015</w:t>
          </w:r>
          <w:r>
            <w:rPr>
              <w:noProof/>
            </w:rPr>
            <w:tab/>
          </w:r>
          <w:r>
            <w:rPr>
              <w:noProof/>
            </w:rPr>
            <w:fldChar w:fldCharType="begin"/>
          </w:r>
          <w:r>
            <w:rPr>
              <w:noProof/>
            </w:rPr>
            <w:instrText xml:space="preserve"> PAGEREF _Toc485374982 \h </w:instrText>
          </w:r>
          <w:r>
            <w:rPr>
              <w:noProof/>
            </w:rPr>
          </w:r>
          <w:r>
            <w:rPr>
              <w:noProof/>
            </w:rPr>
            <w:fldChar w:fldCharType="separate"/>
          </w:r>
          <w:r w:rsidR="003972DC">
            <w:rPr>
              <w:noProof/>
            </w:rPr>
            <w:t>25</w:t>
          </w:r>
          <w:r>
            <w:rPr>
              <w:noProof/>
            </w:rPr>
            <w:fldChar w:fldCharType="end"/>
          </w:r>
        </w:p>
        <w:p w:rsidR="008A78D8" w:rsidRDefault="008A78D8">
          <w:pPr>
            <w:pStyle w:val="TOC2"/>
            <w:tabs>
              <w:tab w:val="right" w:leader="dot" w:pos="7022"/>
            </w:tabs>
            <w:rPr>
              <w:noProof/>
              <w:kern w:val="0"/>
            </w:rPr>
          </w:pPr>
          <w:r>
            <w:rPr>
              <w:noProof/>
            </w:rPr>
            <w:t>Quarter 3 2015</w:t>
          </w:r>
          <w:r>
            <w:rPr>
              <w:noProof/>
            </w:rPr>
            <w:tab/>
          </w:r>
          <w:r>
            <w:rPr>
              <w:noProof/>
            </w:rPr>
            <w:fldChar w:fldCharType="begin"/>
          </w:r>
          <w:r>
            <w:rPr>
              <w:noProof/>
            </w:rPr>
            <w:instrText xml:space="preserve"> PAGEREF _Toc485374983 \h </w:instrText>
          </w:r>
          <w:r>
            <w:rPr>
              <w:noProof/>
            </w:rPr>
          </w:r>
          <w:r>
            <w:rPr>
              <w:noProof/>
            </w:rPr>
            <w:fldChar w:fldCharType="separate"/>
          </w:r>
          <w:r w:rsidR="003972DC">
            <w:rPr>
              <w:noProof/>
            </w:rPr>
            <w:t>27</w:t>
          </w:r>
          <w:r>
            <w:rPr>
              <w:noProof/>
            </w:rPr>
            <w:fldChar w:fldCharType="end"/>
          </w:r>
        </w:p>
        <w:p w:rsidR="008A78D8" w:rsidRDefault="008A78D8">
          <w:pPr>
            <w:pStyle w:val="TOC2"/>
            <w:tabs>
              <w:tab w:val="right" w:leader="dot" w:pos="7022"/>
            </w:tabs>
            <w:rPr>
              <w:noProof/>
              <w:kern w:val="0"/>
            </w:rPr>
          </w:pPr>
          <w:r>
            <w:rPr>
              <w:noProof/>
            </w:rPr>
            <w:t>Quarter 4 2015</w:t>
          </w:r>
          <w:r>
            <w:rPr>
              <w:noProof/>
            </w:rPr>
            <w:tab/>
          </w:r>
          <w:r>
            <w:rPr>
              <w:noProof/>
            </w:rPr>
            <w:fldChar w:fldCharType="begin"/>
          </w:r>
          <w:r>
            <w:rPr>
              <w:noProof/>
            </w:rPr>
            <w:instrText xml:space="preserve"> PAGEREF _Toc485374984 \h </w:instrText>
          </w:r>
          <w:r>
            <w:rPr>
              <w:noProof/>
            </w:rPr>
          </w:r>
          <w:r>
            <w:rPr>
              <w:noProof/>
            </w:rPr>
            <w:fldChar w:fldCharType="separate"/>
          </w:r>
          <w:r w:rsidR="003972DC">
            <w:rPr>
              <w:noProof/>
            </w:rPr>
            <w:t>29</w:t>
          </w:r>
          <w:r>
            <w:rPr>
              <w:noProof/>
            </w:rPr>
            <w:fldChar w:fldCharType="end"/>
          </w:r>
        </w:p>
        <w:p w:rsidR="008A78D8" w:rsidRDefault="008A78D8">
          <w:pPr>
            <w:pStyle w:val="TOC2"/>
            <w:tabs>
              <w:tab w:val="right" w:leader="dot" w:pos="7022"/>
            </w:tabs>
            <w:rPr>
              <w:noProof/>
              <w:kern w:val="0"/>
            </w:rPr>
          </w:pPr>
          <w:r>
            <w:rPr>
              <w:noProof/>
            </w:rPr>
            <w:t>Quarter 1 2016</w:t>
          </w:r>
          <w:r>
            <w:rPr>
              <w:noProof/>
            </w:rPr>
            <w:tab/>
          </w:r>
          <w:r>
            <w:rPr>
              <w:noProof/>
            </w:rPr>
            <w:fldChar w:fldCharType="begin"/>
          </w:r>
          <w:r>
            <w:rPr>
              <w:noProof/>
            </w:rPr>
            <w:instrText xml:space="preserve"> PAGEREF _Toc485374985 \h </w:instrText>
          </w:r>
          <w:r>
            <w:rPr>
              <w:noProof/>
            </w:rPr>
          </w:r>
          <w:r>
            <w:rPr>
              <w:noProof/>
            </w:rPr>
            <w:fldChar w:fldCharType="separate"/>
          </w:r>
          <w:r w:rsidR="003972DC">
            <w:rPr>
              <w:noProof/>
            </w:rPr>
            <w:t>31</w:t>
          </w:r>
          <w:r>
            <w:rPr>
              <w:noProof/>
            </w:rPr>
            <w:fldChar w:fldCharType="end"/>
          </w:r>
        </w:p>
        <w:p w:rsidR="008A78D8" w:rsidRDefault="008A78D8">
          <w:pPr>
            <w:pStyle w:val="TOC2"/>
            <w:tabs>
              <w:tab w:val="right" w:leader="dot" w:pos="7022"/>
            </w:tabs>
            <w:rPr>
              <w:noProof/>
              <w:kern w:val="0"/>
            </w:rPr>
          </w:pPr>
          <w:r>
            <w:rPr>
              <w:noProof/>
            </w:rPr>
            <w:t>Quarter 2 2016</w:t>
          </w:r>
          <w:r>
            <w:rPr>
              <w:noProof/>
            </w:rPr>
            <w:tab/>
          </w:r>
          <w:r>
            <w:rPr>
              <w:noProof/>
            </w:rPr>
            <w:fldChar w:fldCharType="begin"/>
          </w:r>
          <w:r>
            <w:rPr>
              <w:noProof/>
            </w:rPr>
            <w:instrText xml:space="preserve"> PAGEREF _Toc485374986 \h </w:instrText>
          </w:r>
          <w:r>
            <w:rPr>
              <w:noProof/>
            </w:rPr>
          </w:r>
          <w:r>
            <w:rPr>
              <w:noProof/>
            </w:rPr>
            <w:fldChar w:fldCharType="separate"/>
          </w:r>
          <w:r w:rsidR="003972DC">
            <w:rPr>
              <w:noProof/>
            </w:rPr>
            <w:t>33</w:t>
          </w:r>
          <w:r>
            <w:rPr>
              <w:noProof/>
            </w:rPr>
            <w:fldChar w:fldCharType="end"/>
          </w:r>
        </w:p>
        <w:p w:rsidR="008A78D8" w:rsidRDefault="008A78D8">
          <w:pPr>
            <w:pStyle w:val="TOC1"/>
            <w:tabs>
              <w:tab w:val="right" w:leader="dot" w:pos="7022"/>
            </w:tabs>
            <w:rPr>
              <w:noProof/>
              <w:kern w:val="0"/>
            </w:rPr>
          </w:pPr>
          <w:r>
            <w:rPr>
              <w:noProof/>
            </w:rPr>
            <w:t>Leading Media</w:t>
          </w:r>
          <w:r>
            <w:rPr>
              <w:noProof/>
            </w:rPr>
            <w:tab/>
          </w:r>
          <w:r>
            <w:rPr>
              <w:noProof/>
            </w:rPr>
            <w:fldChar w:fldCharType="begin"/>
          </w:r>
          <w:r>
            <w:rPr>
              <w:noProof/>
            </w:rPr>
            <w:instrText xml:space="preserve"> PAGEREF _Toc485374987 \h </w:instrText>
          </w:r>
          <w:r>
            <w:rPr>
              <w:noProof/>
            </w:rPr>
          </w:r>
          <w:r>
            <w:rPr>
              <w:noProof/>
            </w:rPr>
            <w:fldChar w:fldCharType="separate"/>
          </w:r>
          <w:r w:rsidR="003972DC">
            <w:rPr>
              <w:noProof/>
            </w:rPr>
            <w:t>35</w:t>
          </w:r>
          <w:r>
            <w:rPr>
              <w:noProof/>
            </w:rPr>
            <w:fldChar w:fldCharType="end"/>
          </w:r>
        </w:p>
        <w:p w:rsidR="008A78D8" w:rsidRDefault="008A78D8">
          <w:pPr>
            <w:pStyle w:val="TOC1"/>
            <w:tabs>
              <w:tab w:val="right" w:leader="dot" w:pos="7022"/>
            </w:tabs>
            <w:rPr>
              <w:noProof/>
              <w:kern w:val="0"/>
            </w:rPr>
          </w:pPr>
          <w:r>
            <w:rPr>
              <w:noProof/>
            </w:rPr>
            <w:t>Leading Bylines/Comperes</w:t>
          </w:r>
          <w:r>
            <w:rPr>
              <w:noProof/>
            </w:rPr>
            <w:tab/>
          </w:r>
          <w:r>
            <w:rPr>
              <w:noProof/>
            </w:rPr>
            <w:fldChar w:fldCharType="begin"/>
          </w:r>
          <w:r>
            <w:rPr>
              <w:noProof/>
            </w:rPr>
            <w:instrText xml:space="preserve"> PAGEREF _Toc485374988 \h </w:instrText>
          </w:r>
          <w:r>
            <w:rPr>
              <w:noProof/>
            </w:rPr>
          </w:r>
          <w:r>
            <w:rPr>
              <w:noProof/>
            </w:rPr>
            <w:fldChar w:fldCharType="separate"/>
          </w:r>
          <w:r w:rsidR="003972DC">
            <w:rPr>
              <w:noProof/>
            </w:rPr>
            <w:t>37</w:t>
          </w:r>
          <w:r>
            <w:rPr>
              <w:noProof/>
            </w:rPr>
            <w:fldChar w:fldCharType="end"/>
          </w:r>
        </w:p>
        <w:p w:rsidR="008A78D8" w:rsidRDefault="008A78D8">
          <w:pPr>
            <w:pStyle w:val="TOC1"/>
            <w:tabs>
              <w:tab w:val="right" w:leader="dot" w:pos="7022"/>
            </w:tabs>
            <w:rPr>
              <w:noProof/>
              <w:kern w:val="0"/>
            </w:rPr>
          </w:pPr>
          <w:r>
            <w:rPr>
              <w:noProof/>
            </w:rPr>
            <w:t>Methodology</w:t>
          </w:r>
          <w:r>
            <w:rPr>
              <w:noProof/>
            </w:rPr>
            <w:tab/>
          </w:r>
          <w:r>
            <w:rPr>
              <w:noProof/>
            </w:rPr>
            <w:fldChar w:fldCharType="begin"/>
          </w:r>
          <w:r>
            <w:rPr>
              <w:noProof/>
            </w:rPr>
            <w:instrText xml:space="preserve"> PAGEREF _Toc485374989 \h </w:instrText>
          </w:r>
          <w:r>
            <w:rPr>
              <w:noProof/>
            </w:rPr>
          </w:r>
          <w:r>
            <w:rPr>
              <w:noProof/>
            </w:rPr>
            <w:fldChar w:fldCharType="separate"/>
          </w:r>
          <w:r w:rsidR="003972DC">
            <w:rPr>
              <w:noProof/>
            </w:rPr>
            <w:t>40</w:t>
          </w:r>
          <w:r>
            <w:rPr>
              <w:noProof/>
            </w:rPr>
            <w:fldChar w:fldCharType="end"/>
          </w:r>
        </w:p>
        <w:p w:rsidR="008A78D8" w:rsidRDefault="008A78D8">
          <w:pPr>
            <w:pStyle w:val="TOC2"/>
            <w:tabs>
              <w:tab w:val="right" w:leader="dot" w:pos="7022"/>
            </w:tabs>
            <w:rPr>
              <w:noProof/>
              <w:kern w:val="0"/>
            </w:rPr>
          </w:pPr>
          <w:r>
            <w:rPr>
              <w:noProof/>
            </w:rPr>
            <w:t>Best Practice Media Analysis</w:t>
          </w:r>
          <w:r>
            <w:rPr>
              <w:noProof/>
            </w:rPr>
            <w:tab/>
          </w:r>
          <w:r>
            <w:rPr>
              <w:noProof/>
            </w:rPr>
            <w:fldChar w:fldCharType="begin"/>
          </w:r>
          <w:r>
            <w:rPr>
              <w:noProof/>
            </w:rPr>
            <w:instrText xml:space="preserve"> PAGEREF _Toc485374990 \h </w:instrText>
          </w:r>
          <w:r>
            <w:rPr>
              <w:noProof/>
            </w:rPr>
          </w:r>
          <w:r>
            <w:rPr>
              <w:noProof/>
            </w:rPr>
            <w:fldChar w:fldCharType="separate"/>
          </w:r>
          <w:r w:rsidR="003972DC">
            <w:rPr>
              <w:noProof/>
            </w:rPr>
            <w:t>40</w:t>
          </w:r>
          <w:r>
            <w:rPr>
              <w:noProof/>
            </w:rPr>
            <w:fldChar w:fldCharType="end"/>
          </w:r>
        </w:p>
        <w:p w:rsidR="003926B2" w:rsidRDefault="00051E01" w:rsidP="00051E01">
          <w:pPr>
            <w:rPr>
              <w:kern w:val="22"/>
              <w:sz w:val="20"/>
            </w:rPr>
            <w:sectPr w:rsidR="003926B2" w:rsidSect="003926B2">
              <w:type w:val="continuous"/>
              <w:pgSz w:w="16838" w:h="11906" w:orient="landscape"/>
              <w:pgMar w:top="1418" w:right="1242" w:bottom="964" w:left="1247" w:header="709" w:footer="709" w:gutter="0"/>
              <w:cols w:num="2" w:space="284"/>
              <w:docGrid w:linePitch="360"/>
            </w:sectPr>
          </w:pPr>
          <w:r>
            <w:rPr>
              <w:kern w:val="22"/>
              <w:sz w:val="20"/>
            </w:rPr>
            <w:fldChar w:fldCharType="end"/>
          </w:r>
        </w:p>
        <w:p w:rsidR="008E2432" w:rsidRDefault="003972DC" w:rsidP="00051E01"/>
      </w:sdtContent>
    </w:sdt>
    <w:p w:rsidR="00051E01" w:rsidRDefault="00051E01" w:rsidP="00051E01">
      <w:pPr>
        <w:sectPr w:rsidR="00051E01" w:rsidSect="003926B2">
          <w:type w:val="continuous"/>
          <w:pgSz w:w="16838" w:h="11906" w:orient="landscape"/>
          <w:pgMar w:top="1418" w:right="1242" w:bottom="964" w:left="1247" w:header="709" w:footer="709" w:gutter="0"/>
          <w:cols w:num="2" w:space="284"/>
          <w:docGrid w:linePitch="360"/>
        </w:sectPr>
      </w:pPr>
    </w:p>
    <w:p w:rsidR="00051E01" w:rsidRDefault="00051E01" w:rsidP="00396CFB">
      <w:pPr>
        <w:pStyle w:val="Heading1"/>
        <w:rPr>
          <w:rFonts w:asciiTheme="minorHAnsi" w:eastAsiaTheme="minorEastAsia" w:hAnsiTheme="minorHAnsi" w:cstheme="minorBidi"/>
          <w:color w:val="000000"/>
          <w:sz w:val="22"/>
          <w:szCs w:val="22"/>
          <w14:textFill>
            <w14:solidFill>
              <w14:srgbClr w14:val="000000">
                <w14:lumMod w14:val="75000"/>
              </w14:srgbClr>
            </w14:solidFill>
          </w14:textFill>
        </w:rPr>
      </w:pPr>
      <w:bookmarkStart w:id="6" w:name="_Toc418752707"/>
      <w:bookmarkStart w:id="7" w:name="_Toc419980572"/>
      <w:bookmarkStart w:id="8" w:name="_Toc477525411"/>
      <w:bookmarkStart w:id="9" w:name="_Toc480283422"/>
      <w:bookmarkStart w:id="10" w:name="_Toc295307555"/>
      <w:bookmarkStart w:id="11" w:name="_Toc294260788"/>
      <w:bookmarkStart w:id="12" w:name="_Toc293667435"/>
      <w:bookmarkStart w:id="13" w:name="_Toc293667432"/>
      <w:bookmarkStart w:id="14" w:name="_Toc293667378"/>
      <w:r>
        <w:lastRenderedPageBreak/>
        <w:t xml:space="preserve"> </w:t>
      </w:r>
      <w:bookmarkStart w:id="15" w:name="_Toc485374962"/>
      <w:r w:rsidRPr="00396CFB">
        <w:t>Introduction</w:t>
      </w:r>
      <w:bookmarkEnd w:id="6"/>
      <w:bookmarkEnd w:id="7"/>
      <w:bookmarkEnd w:id="8"/>
      <w:bookmarkEnd w:id="9"/>
      <w:bookmarkEnd w:id="10"/>
      <w:bookmarkEnd w:id="11"/>
      <w:bookmarkEnd w:id="12"/>
      <w:bookmarkEnd w:id="13"/>
      <w:bookmarkEnd w:id="14"/>
      <w:bookmarkEnd w:id="15"/>
    </w:p>
    <w:p w:rsidR="00051E01" w:rsidRDefault="00051E01" w:rsidP="00051E01">
      <w:pPr>
        <w:pStyle w:val="PartIntro"/>
        <w:rPr>
          <w:rFonts w:eastAsia="Arial Unicode MS"/>
        </w:rPr>
        <w:sectPr w:rsidR="00051E01" w:rsidSect="00396CFB">
          <w:headerReference w:type="default" r:id="rId11"/>
          <w:headerReference w:type="first" r:id="rId12"/>
          <w:footerReference w:type="first" r:id="rId13"/>
          <w:pgSz w:w="16838" w:h="11906" w:orient="landscape" w:code="9"/>
          <w:pgMar w:top="964" w:right="1242" w:bottom="964" w:left="1247" w:header="0" w:footer="397" w:gutter="0"/>
          <w:cols w:space="284"/>
          <w:docGrid w:linePitch="360"/>
        </w:sectPr>
      </w:pPr>
    </w:p>
    <w:p w:rsidR="00051E01" w:rsidRPr="001601AA" w:rsidRDefault="00051E01" w:rsidP="00051E01">
      <w:pPr>
        <w:pStyle w:val="PartIntro"/>
        <w:rPr>
          <w:rFonts w:eastAsia="Arial Unicode MS"/>
        </w:rPr>
      </w:pPr>
      <w:r w:rsidRPr="001601AA">
        <w:rPr>
          <w:rFonts w:eastAsia="Arial Unicode MS"/>
        </w:rPr>
        <w:t xml:space="preserve">This document presents the results of </w:t>
      </w:r>
      <w:r w:rsidRPr="002C4F4D">
        <w:rPr>
          <w:rFonts w:eastAsia="Arial Unicode MS"/>
        </w:rPr>
        <w:t xml:space="preserve">analysis of media coverage of the Health Star </w:t>
      </w:r>
      <w:r>
        <w:rPr>
          <w:rFonts w:eastAsia="Arial Unicode MS"/>
        </w:rPr>
        <w:t>Rating</w:t>
      </w:r>
      <w:r w:rsidRPr="002C4F4D">
        <w:rPr>
          <w:rFonts w:eastAsia="Arial Unicode MS"/>
        </w:rPr>
        <w:t xml:space="preserve"> (HSR) system between 1 J</w:t>
      </w:r>
      <w:r>
        <w:rPr>
          <w:rFonts w:eastAsia="Arial Unicode MS"/>
        </w:rPr>
        <w:t>uly</w:t>
      </w:r>
      <w:r w:rsidRPr="002C4F4D">
        <w:rPr>
          <w:rFonts w:eastAsia="Arial Unicode MS"/>
        </w:rPr>
        <w:t xml:space="preserve"> 2014 and 3</w:t>
      </w:r>
      <w:r>
        <w:rPr>
          <w:rFonts w:eastAsia="Arial Unicode MS"/>
        </w:rPr>
        <w:t>0</w:t>
      </w:r>
      <w:r w:rsidRPr="002C4F4D">
        <w:rPr>
          <w:rFonts w:eastAsia="Arial Unicode MS"/>
        </w:rPr>
        <w:t xml:space="preserve"> Ju</w:t>
      </w:r>
      <w:r>
        <w:rPr>
          <w:rFonts w:eastAsia="Arial Unicode MS"/>
        </w:rPr>
        <w:t>ne</w:t>
      </w:r>
      <w:r w:rsidRPr="002C4F4D">
        <w:rPr>
          <w:rFonts w:eastAsia="Arial Unicode MS"/>
        </w:rPr>
        <w:t xml:space="preserve"> 201</w:t>
      </w:r>
      <w:r>
        <w:rPr>
          <w:rFonts w:eastAsia="Arial Unicode MS"/>
        </w:rPr>
        <w:t>6</w:t>
      </w:r>
      <w:r w:rsidRPr="002C4F4D">
        <w:rPr>
          <w:rFonts w:eastAsia="Arial Unicode MS"/>
        </w:rPr>
        <w:t>.</w:t>
      </w:r>
    </w:p>
    <w:p w:rsidR="00051E01" w:rsidRDefault="00051E01" w:rsidP="00051E01">
      <w:pPr>
        <w:pStyle w:val="ListBullet"/>
      </w:pPr>
      <w:r w:rsidRPr="003B5FDF">
        <w:t>The information in the report is presented in eight quarterly periods, from Q</w:t>
      </w:r>
      <w:r>
        <w:t xml:space="preserve">uarter </w:t>
      </w:r>
      <w:r w:rsidRPr="003B5FDF">
        <w:t>3 2014 to Q</w:t>
      </w:r>
      <w:r>
        <w:t xml:space="preserve">uarter </w:t>
      </w:r>
      <w:r w:rsidRPr="003B5FDF">
        <w:t>2 2016 inclusive.</w:t>
      </w:r>
    </w:p>
    <w:p w:rsidR="00051E01" w:rsidRDefault="00051E01" w:rsidP="00051E01">
      <w:pPr>
        <w:pStyle w:val="ListBullet"/>
      </w:pPr>
      <w:r w:rsidRPr="003B5FDF">
        <w:t>The report integrates previous research which analysed press and broadcast reporting during 2014 and 2015, and includes Australian online coverage from 1 July 2014.</w:t>
      </w:r>
    </w:p>
    <w:p w:rsidR="00051E01" w:rsidRDefault="00051E01" w:rsidP="00051E01">
      <w:pPr>
        <w:pStyle w:val="ListBullet"/>
      </w:pPr>
      <w:r w:rsidRPr="003B5FDF">
        <w:rPr>
          <w:noProof/>
        </w:rPr>
        <w:t>The scope of press coverage was limited to national, capital city daily, and selected rural new</w:t>
      </w:r>
      <w:r>
        <w:rPr>
          <w:noProof/>
        </w:rPr>
        <w:t>spapers, and relevant magazines.</w:t>
      </w:r>
      <w:r w:rsidRPr="003B5FDF">
        <w:t xml:space="preserve"> </w:t>
      </w:r>
    </w:p>
    <w:p w:rsidR="00051E01" w:rsidRDefault="00051E01" w:rsidP="00051E01">
      <w:pPr>
        <w:pStyle w:val="ListBullet"/>
      </w:pPr>
      <w:r w:rsidRPr="00781CD7">
        <w:t xml:space="preserve">With the exception of the first analysis period when it was capped at 60 reports, broadcast coverage included all relevant Australian radio and television reports, excluding syndications. </w:t>
      </w:r>
    </w:p>
    <w:p w:rsidR="00051E01" w:rsidRDefault="00051E01" w:rsidP="00051E01">
      <w:pPr>
        <w:pStyle w:val="ListBullet"/>
      </w:pPr>
      <w:r>
        <w:rPr>
          <w:noProof/>
        </w:rPr>
        <w:t>Internet coverage was limited to Australian sites, with the exclusion of the online editions of regional and suburban newspapers. A 50% cap using random sampling was applied to this content.</w:t>
      </w:r>
    </w:p>
    <w:p w:rsidR="00051E01" w:rsidRPr="00E82A4B" w:rsidRDefault="00051E01" w:rsidP="00051E01">
      <w:pPr>
        <w:pStyle w:val="ListBullet"/>
        <w:rPr>
          <w:i/>
        </w:rPr>
      </w:pPr>
      <w:r w:rsidRPr="003B5FDF">
        <w:t>There were slight modifications to the research matrix for the period 1 July 2015 to 30 June 2016, with the most sign</w:t>
      </w:r>
      <w:r>
        <w:t>i</w:t>
      </w:r>
      <w:r w:rsidRPr="003B5FDF">
        <w:t>ficant being the inclusion of the food retail industry as a stakeholder</w:t>
      </w:r>
      <w:r w:rsidRPr="002C4F4D">
        <w:t>.</w:t>
      </w:r>
    </w:p>
    <w:p w:rsidR="00051E01" w:rsidRPr="00CF67F8" w:rsidRDefault="00051E01" w:rsidP="00051E01">
      <w:pPr>
        <w:pStyle w:val="BodyText"/>
        <w:spacing w:before="240"/>
        <w:rPr>
          <w:i/>
        </w:rPr>
      </w:pPr>
      <w:r>
        <w:br w:type="column"/>
      </w:r>
      <w:r>
        <w:br w:type="column"/>
      </w:r>
      <w:r w:rsidRPr="00CF67F8">
        <w:rPr>
          <w:i/>
        </w:rPr>
        <w:t>Media analysis reports by Isentia use the CARMA® methodology – for more information, see the end of the report.</w:t>
      </w:r>
    </w:p>
    <w:p w:rsidR="00051E01" w:rsidRDefault="00051E01" w:rsidP="00051E01">
      <w:pPr>
        <w:pStyle w:val="Figure"/>
        <w:jc w:val="right"/>
        <w:rPr>
          <w:sz w:val="20"/>
        </w:rPr>
      </w:pPr>
      <w:r w:rsidRPr="00051E01">
        <w:rPr>
          <w:noProof/>
        </w:rPr>
        <w:drawing>
          <wp:inline distT="0" distB="0" distL="0" distR="0" wp14:anchorId="173F0097" wp14:editId="67065D8C">
            <wp:extent cx="1428750" cy="733425"/>
            <wp:effectExtent l="0" t="0" r="0" b="0"/>
            <wp:docPr id="12" name="Picture 11" descr="CARMA Asia Pacific logo" title="C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A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733425"/>
                    </a:xfrm>
                    <a:prstGeom prst="rect">
                      <a:avLst/>
                    </a:prstGeom>
                  </pic:spPr>
                </pic:pic>
              </a:graphicData>
            </a:graphic>
          </wp:inline>
        </w:drawing>
      </w:r>
    </w:p>
    <w:p w:rsidR="00051E01" w:rsidRDefault="00051E01" w:rsidP="00396CFB">
      <w:pPr>
        <w:pStyle w:val="Disclaimer"/>
        <w:spacing w:before="5040"/>
      </w:pPr>
      <w:r w:rsidRPr="00A700FB">
        <w:rPr>
          <w:rFonts w:asciiTheme="majorHAnsi" w:hAnsiTheme="majorHAnsi"/>
          <w:color w:val="0072BC" w:themeColor="accent1"/>
        </w:rPr>
        <w:t>DISCLAIMER:</w:t>
      </w:r>
      <w:r w:rsidRPr="00A700FB">
        <w:t xml:space="preserve"> </w:t>
      </w:r>
      <w:r w:rsidRPr="00120FD7">
        <w:t xml:space="preserve">While </w:t>
      </w:r>
      <w:r>
        <w:t xml:space="preserve">Isentia </w:t>
      </w:r>
      <w:r w:rsidRPr="00120FD7">
        <w:t>endeavours to provide accurate, reliable and complete information,</w:t>
      </w:r>
      <w:r>
        <w:t xml:space="preserve"> Isentia </w:t>
      </w:r>
      <w:r w:rsidRPr="00120FD7">
        <w:t xml:space="preserve">makes no representations in relation to the accuracy, reliability or completeness of the information contained in this report. To the extent permitted by law, </w:t>
      </w:r>
      <w:r>
        <w:t xml:space="preserve">Isentia </w:t>
      </w:r>
      <w:r w:rsidRPr="00120FD7">
        <w:t xml:space="preserve">excludes all conditions, warranties and other obligations in relation to the supply of this report and otherwise limits its liability to the amount paid by the recipient for the report. In no circumstances will </w:t>
      </w:r>
      <w:r>
        <w:t xml:space="preserve">Isentia </w:t>
      </w:r>
      <w:r w:rsidRPr="00120FD7">
        <w:t>be liable to the recipient or to any third party for any consequential loss or damage, including loss of profit, in connection with the supply of this report.</w:t>
      </w:r>
    </w:p>
    <w:p w:rsidR="00051E01" w:rsidRDefault="00051E01" w:rsidP="00051E01">
      <w:pPr>
        <w:sectPr w:rsidR="00051E01" w:rsidSect="00396CFB">
          <w:type w:val="continuous"/>
          <w:pgSz w:w="16838" w:h="11906" w:orient="landscape" w:code="9"/>
          <w:pgMar w:top="964" w:right="1242" w:bottom="964" w:left="1247" w:header="709" w:footer="709" w:gutter="0"/>
          <w:cols w:num="3" w:space="284"/>
          <w:docGrid w:linePitch="360"/>
        </w:sectPr>
      </w:pPr>
    </w:p>
    <w:p w:rsidR="00396CFB" w:rsidRDefault="008E2432" w:rsidP="00396CFB">
      <w:pPr>
        <w:pStyle w:val="Heading1"/>
      </w:pPr>
      <w:bookmarkStart w:id="16" w:name="_Toc480283338"/>
      <w:bookmarkStart w:id="17" w:name="_Toc483559192"/>
      <w:r>
        <w:t xml:space="preserve"> </w:t>
      </w:r>
      <w:bookmarkStart w:id="18" w:name="_Toc485374963"/>
      <w:r w:rsidR="00396CFB" w:rsidRPr="00F064E4">
        <w:t>Executive Summary</w:t>
      </w:r>
      <w:bookmarkEnd w:id="16"/>
      <w:bookmarkEnd w:id="17"/>
      <w:bookmarkEnd w:id="18"/>
    </w:p>
    <w:p w:rsidR="00396CFB" w:rsidRDefault="00396CFB" w:rsidP="000C48A1">
      <w:pPr>
        <w:pStyle w:val="Heading2"/>
        <w:sectPr w:rsidR="00396CFB" w:rsidSect="008E2432">
          <w:headerReference w:type="first" r:id="rId15"/>
          <w:footerReference w:type="first" r:id="rId16"/>
          <w:pgSz w:w="16838" w:h="11906" w:orient="landscape" w:code="9"/>
          <w:pgMar w:top="964" w:right="1242" w:bottom="964" w:left="1247" w:header="0" w:footer="397" w:gutter="0"/>
          <w:cols w:space="284"/>
          <w:docGrid w:linePitch="360"/>
        </w:sectPr>
      </w:pPr>
      <w:bookmarkStart w:id="19" w:name="_Toc483559193"/>
    </w:p>
    <w:p w:rsidR="00396CFB" w:rsidRDefault="00396CFB" w:rsidP="000C48A1">
      <w:pPr>
        <w:pStyle w:val="Heading2"/>
      </w:pPr>
      <w:bookmarkStart w:id="20" w:name="_Toc485374964"/>
      <w:r>
        <w:t xml:space="preserve">Key </w:t>
      </w:r>
      <w:r w:rsidRPr="00A56259">
        <w:t>Findings</w:t>
      </w:r>
      <w:bookmarkEnd w:id="19"/>
      <w:bookmarkEnd w:id="20"/>
    </w:p>
    <w:p w:rsidR="00396CFB" w:rsidRPr="00F1670F" w:rsidRDefault="00396CFB" w:rsidP="00396CFB">
      <w:pPr>
        <w:pStyle w:val="BodyText"/>
      </w:pPr>
      <w:r w:rsidRPr="00F1670F">
        <w:t xml:space="preserve">The Health Star </w:t>
      </w:r>
      <w:r>
        <w:t>Rating</w:t>
      </w:r>
      <w:r w:rsidRPr="00F1670F">
        <w:t xml:space="preserve"> (HSR) system remained a significant topic of reporting on public health policy over the whole of the analysis period.</w:t>
      </w:r>
    </w:p>
    <w:p w:rsidR="00396CFB" w:rsidRPr="00F1670F" w:rsidRDefault="00396CFB" w:rsidP="00396CFB">
      <w:pPr>
        <w:pStyle w:val="BodyText"/>
      </w:pPr>
      <w:r w:rsidRPr="00BA3791">
        <w:t>The favourability of coverage was highest in late 2014, when then-Assistant Health Minister Fiona Nash and the Public Health Association's Michael Moore each promoted the relaunch of the HSR website. This followed frequent criticisms of the federal government, after the site was hurriedly p</w:t>
      </w:r>
      <w:r>
        <w:t>ulled offline earlier that year</w:t>
      </w:r>
      <w:r w:rsidRPr="00F1670F">
        <w:t>.</w:t>
      </w:r>
    </w:p>
    <w:p w:rsidR="00396CFB" w:rsidRPr="00F1670F" w:rsidRDefault="00396CFB" w:rsidP="00396CFB">
      <w:pPr>
        <w:pStyle w:val="BodyText"/>
      </w:pPr>
      <w:r w:rsidRPr="00F1670F">
        <w:t>However, in the first half of 2016 the HSR system again became the focus of criticism. Coverage over this period frequently cited spokespeople from CHOICE</w:t>
      </w:r>
      <w:r>
        <w:t xml:space="preserve"> </w:t>
      </w:r>
      <w:r w:rsidRPr="00F1670F">
        <w:t xml:space="preserve">and the Obesity Policy Coalition, with each arguing that the food industry was </w:t>
      </w:r>
      <w:r>
        <w:t>“</w:t>
      </w:r>
      <w:r w:rsidRPr="00F1670F">
        <w:t>gaming the system</w:t>
      </w:r>
      <w:r>
        <w:t>”</w:t>
      </w:r>
      <w:r w:rsidRPr="00F1670F">
        <w:t xml:space="preserve"> by choosing some products but not others to be rated.</w:t>
      </w:r>
      <w:r>
        <w:t xml:space="preserve"> </w:t>
      </w:r>
      <w:r w:rsidRPr="00F1670F">
        <w:t xml:space="preserve">These reports </w:t>
      </w:r>
      <w:r>
        <w:t>c</w:t>
      </w:r>
      <w:r w:rsidRPr="00F1670F">
        <w:t xml:space="preserve">ontributed significantly to the leading unfavourable message overall, that </w:t>
      </w:r>
      <w:r w:rsidRPr="00FA3483">
        <w:rPr>
          <w:i/>
        </w:rPr>
        <w:t>HSR allows the food industry to game the system</w:t>
      </w:r>
      <w:r w:rsidRPr="00F1670F">
        <w:t>.</w:t>
      </w:r>
    </w:p>
    <w:p w:rsidR="00396CFB" w:rsidRPr="00A56682" w:rsidRDefault="00396CFB" w:rsidP="00396CFB">
      <w:pPr>
        <w:pStyle w:val="BodyText"/>
      </w:pPr>
      <w:r w:rsidRPr="00F1670F">
        <w:t>Notably, the three leading favourab</w:t>
      </w:r>
      <w:r>
        <w:t xml:space="preserve">le messages </w:t>
      </w:r>
      <w:r w:rsidRPr="00F1670F">
        <w:t xml:space="preserve">were conveyed most frequently by the food industry. These were that </w:t>
      </w:r>
      <w:r>
        <w:t>HSR</w:t>
      </w:r>
      <w:r w:rsidRPr="00F1670F">
        <w:t xml:space="preserve"> </w:t>
      </w:r>
      <w:r w:rsidRPr="00FA3483">
        <w:rPr>
          <w:i/>
        </w:rPr>
        <w:t>help</w:t>
      </w:r>
      <w:r>
        <w:rPr>
          <w:i/>
        </w:rPr>
        <w:t>s</w:t>
      </w:r>
      <w:r w:rsidRPr="00FA3483">
        <w:rPr>
          <w:i/>
        </w:rPr>
        <w:t xml:space="preserve"> promote food products</w:t>
      </w:r>
      <w:r>
        <w:t xml:space="preserve">, </w:t>
      </w:r>
      <w:r w:rsidRPr="00F1670F">
        <w:t xml:space="preserve">that it </w:t>
      </w:r>
      <w:r w:rsidRPr="00FA3483">
        <w:rPr>
          <w:i/>
        </w:rPr>
        <w:t>drives innovation and product reformulation</w:t>
      </w:r>
      <w:r>
        <w:t>,</w:t>
      </w:r>
      <w:r w:rsidRPr="00F1670F">
        <w:t xml:space="preserve"> and that </w:t>
      </w:r>
      <w:r w:rsidRPr="00FA3483">
        <w:rPr>
          <w:i/>
        </w:rPr>
        <w:t>the industry is acting to introduce the system</w:t>
      </w:r>
      <w:r w:rsidRPr="00F1670F">
        <w:t>.</w:t>
      </w:r>
    </w:p>
    <w:p w:rsidR="00396CFB" w:rsidRDefault="00396CFB" w:rsidP="00396CFB">
      <w:pPr>
        <w:pStyle w:val="Heading3"/>
      </w:pPr>
      <w:r>
        <w:t>Coverage Highlights</w:t>
      </w:r>
    </w:p>
    <w:p w:rsidR="00396CFB" w:rsidRDefault="00396CFB" w:rsidP="00396CFB">
      <w:pPr>
        <w:pStyle w:val="BodyText"/>
      </w:pPr>
      <w:r>
        <w:t>T</w:t>
      </w:r>
      <w:r w:rsidRPr="00BA1798">
        <w:t>here were several important periods in coverage of Health Star Ratings, with the relaunch of the HSR website in December 2014 a notable instance</w:t>
      </w:r>
      <w:r>
        <w:t>.</w:t>
      </w:r>
    </w:p>
    <w:p w:rsidR="00396CFB" w:rsidRDefault="00396CFB" w:rsidP="00396CFB">
      <w:pPr>
        <w:pStyle w:val="BodyText"/>
      </w:pPr>
      <w:r>
        <w:t>The move by Kellogg’s to begin including HSR labels on its cereal products was frequently covered during April 2015. In July 2015, the federal government announced $2.1 million in spending to promote the HSR system, with the Heart Foundation appointed to monitor its uptake. Then, in December 2015 it was reported that the National Heart Foundation would retire its tick logo and adopt the HSR system.</w:t>
      </w:r>
    </w:p>
    <w:p w:rsidR="00396CFB" w:rsidRDefault="00396CFB" w:rsidP="00396CFB">
      <w:pPr>
        <w:pStyle w:val="BodyText"/>
      </w:pPr>
      <w:r>
        <w:t>The system was again promoted during February 2016, when reports citing Michael Moore from the Public Health Association highlighted its continued uptake. However, criticisms of the system were also reported at that time, with CHOICE’s Tom Godfrey accusing food manufacturers of gaming the system, and a report commissioned by NSW Health comparing the HSR Rating unfavourably with the state’s existing traffic light classifications.</w:t>
      </w:r>
    </w:p>
    <w:p w:rsidR="00396CFB" w:rsidRPr="0060764E" w:rsidRDefault="00396CFB" w:rsidP="00396CFB">
      <w:pPr>
        <w:pStyle w:val="BodyText"/>
      </w:pPr>
      <w:r>
        <w:t>In March 2016 the HSR system again became the focus of reports, with the Obesity Policy Coalition calling on snack bar manufacturers to display the Rating on their products.</w:t>
      </w:r>
    </w:p>
    <w:p w:rsidR="00396CFB" w:rsidRDefault="00396CFB" w:rsidP="000C48A1">
      <w:pPr>
        <w:pStyle w:val="Heading2"/>
      </w:pPr>
      <w:bookmarkStart w:id="21" w:name="_Toc483559194"/>
      <w:bookmarkStart w:id="22" w:name="_Toc485374965"/>
      <w:r>
        <w:t>Stakeholders</w:t>
      </w:r>
      <w:bookmarkEnd w:id="21"/>
      <w:bookmarkEnd w:id="22"/>
    </w:p>
    <w:p w:rsidR="00396CFB" w:rsidRDefault="00396CFB" w:rsidP="00396CFB">
      <w:pPr>
        <w:pStyle w:val="Heading3"/>
      </w:pPr>
      <w:r>
        <w:t>Food Manufacturing Industry</w:t>
      </w:r>
    </w:p>
    <w:p w:rsidR="00396CFB" w:rsidRDefault="00396CFB" w:rsidP="00396CFB">
      <w:pPr>
        <w:pStyle w:val="BodyText"/>
      </w:pPr>
      <w:r>
        <w:t>Because different stakeholder groups were often discussed together, there were strong similarities in the breakdown of reporting on each. Typifying this were food manufacturing industry stakeholders and consumers or consumer advocates, with each cited or prominently discussed in the same number of analysed reports (520, or half of the total analysed coverage.</w:t>
      </w:r>
    </w:p>
    <w:p w:rsidR="00396CFB" w:rsidRDefault="00396CFB" w:rsidP="00396CFB">
      <w:pPr>
        <w:pStyle w:val="BodyText"/>
      </w:pPr>
      <w:r>
        <w:t>There was significant disparity in the tone of radio and television coverage of the food manufacturing industry, and this shifted over time. Television news reports in Quarter 2 2015 were frequently favourable, with many noting Kellogg’s decision to adopt the HSR system. The increasing uptake of the system was also highlighted in television reports in the first half of 2016, and as a result, the tone of television coverage was relatively high (58.0 average rating).</w:t>
      </w:r>
    </w:p>
    <w:p w:rsidR="00396CFB" w:rsidRDefault="00396CFB" w:rsidP="00396CFB">
      <w:pPr>
        <w:pStyle w:val="BodyText"/>
      </w:pPr>
      <w:r>
        <w:t>By contrast, calls by the Obesity Policy Coalition for confectionary makers to display Health Star Rating on their products were frequently covered in radio news reports and interviews during the second quarter of 2016. These reports were largely neutral or unfavourable in tone, with a significantly lower average rating of 52.9.</w:t>
      </w:r>
    </w:p>
    <w:p w:rsidR="00396CFB" w:rsidRDefault="00396CFB" w:rsidP="00396CFB">
      <w:pPr>
        <w:pStyle w:val="BodyText"/>
      </w:pPr>
      <w:r>
        <w:t>As noted, the food manufacturing industry was the most frequently cited stakeholder in reports conveying the three leading favourable messages.</w:t>
      </w:r>
    </w:p>
    <w:p w:rsidR="00396CFB" w:rsidRDefault="00396CFB" w:rsidP="00396CFB">
      <w:pPr>
        <w:pStyle w:val="Heading3"/>
      </w:pPr>
      <w:r>
        <w:t>Consumers or Consumer Advocates</w:t>
      </w:r>
    </w:p>
    <w:p w:rsidR="00396CFB" w:rsidRDefault="00396CFB" w:rsidP="00396CFB">
      <w:pPr>
        <w:pStyle w:val="BodyText"/>
      </w:pPr>
      <w:r>
        <w:t xml:space="preserve">A total of 520 analysed reports discussed consumers or their advocates. While they were mentioned second most frequently in press and broadcast coverage, consumers were the leading stakeholder in online coverage. Contributing significantly to this were unfavourable reports from the </w:t>
      </w:r>
      <w:r w:rsidRPr="00CD20CF">
        <w:rPr>
          <w:i/>
        </w:rPr>
        <w:t>I Quit Sugar</w:t>
      </w:r>
      <w:r>
        <w:t xml:space="preserve"> website, which were critical of the HSR methodology and frequently conveyed the unfavourable message that </w:t>
      </w:r>
      <w:r w:rsidRPr="002131CC">
        <w:rPr>
          <w:i/>
        </w:rPr>
        <w:t>HSR allows industry to game this system</w:t>
      </w:r>
      <w:r>
        <w:t xml:space="preserve"> (chart 10).</w:t>
      </w:r>
    </w:p>
    <w:p w:rsidR="00396CFB" w:rsidRDefault="00396CFB" w:rsidP="00396CFB">
      <w:pPr>
        <w:pStyle w:val="BodyText"/>
      </w:pPr>
      <w:r>
        <w:t xml:space="preserve">While this was the leading consumer message, and was largely conveyed in the first quarter of 2016, the second leading message was that </w:t>
      </w:r>
      <w:r w:rsidRPr="002131CC">
        <w:rPr>
          <w:i/>
        </w:rPr>
        <w:t>labels communicate effectively with consumers</w:t>
      </w:r>
      <w:r>
        <w:t>, which was mostly conveyed in the second quarter of 2015, when CHOICE used the HSR system to highlight misleading health claims on some processed food products. CHOICE’s Tom Godfrey was also the second most frequently cited spokesperson overall (73 reports).</w:t>
      </w:r>
    </w:p>
    <w:p w:rsidR="00396CFB" w:rsidRDefault="00396CFB" w:rsidP="00396CFB">
      <w:pPr>
        <w:pStyle w:val="Heading3"/>
      </w:pPr>
      <w:r>
        <w:t>Public Health/Medical</w:t>
      </w:r>
    </w:p>
    <w:p w:rsidR="00396CFB" w:rsidRDefault="00396CFB" w:rsidP="00396CFB">
      <w:pPr>
        <w:pStyle w:val="BodyText"/>
      </w:pPr>
      <w:r>
        <w:t xml:space="preserve">Public health and medical experts were the third most prominently discussed stakeholder group (394 reports, or 38.0% of overall coverage). While these stakeholders were often critical of Health Star Rating, they frequently called for the </w:t>
      </w:r>
      <w:r w:rsidRPr="00895516">
        <w:rPr>
          <w:i/>
        </w:rPr>
        <w:t>system to become mandatory</w:t>
      </w:r>
      <w:r>
        <w:t>. With 60 reports, this was the leading favourable message conveyed by this group.</w:t>
      </w:r>
    </w:p>
    <w:p w:rsidR="00396CFB" w:rsidRDefault="00396CFB" w:rsidP="00396CFB">
      <w:pPr>
        <w:pStyle w:val="BodyText"/>
      </w:pPr>
      <w:r>
        <w:t xml:space="preserve">A range of other favourable messages were also communicated by public health and medical stakeholders, including that </w:t>
      </w:r>
      <w:r w:rsidRPr="00895516">
        <w:rPr>
          <w:i/>
        </w:rPr>
        <w:t xml:space="preserve">Health Star </w:t>
      </w:r>
      <w:r>
        <w:rPr>
          <w:i/>
        </w:rPr>
        <w:t>Rating</w:t>
      </w:r>
      <w:r w:rsidRPr="00895516">
        <w:rPr>
          <w:i/>
        </w:rPr>
        <w:t xml:space="preserve"> will drive changes in consumer behaviour</w:t>
      </w:r>
      <w:r>
        <w:t xml:space="preserve">, that </w:t>
      </w:r>
      <w:r w:rsidRPr="00895516">
        <w:rPr>
          <w:i/>
        </w:rPr>
        <w:t>labels communicate effectively with consumers</w:t>
      </w:r>
      <w:r>
        <w:t>,</w:t>
      </w:r>
      <w:r w:rsidRPr="00895516">
        <w:rPr>
          <w:i/>
        </w:rPr>
        <w:t xml:space="preserve"> </w:t>
      </w:r>
      <w:r w:rsidRPr="002F61A1">
        <w:t>and</w:t>
      </w:r>
      <w:r w:rsidRPr="00895516">
        <w:rPr>
          <w:i/>
        </w:rPr>
        <w:t xml:space="preserve"> </w:t>
      </w:r>
      <w:r w:rsidRPr="002F61A1">
        <w:t>that</w:t>
      </w:r>
      <w:r w:rsidRPr="00895516">
        <w:rPr>
          <w:i/>
        </w:rPr>
        <w:t xml:space="preserve"> HSR is superior to other systems</w:t>
      </w:r>
      <w:r>
        <w:t>.</w:t>
      </w:r>
    </w:p>
    <w:p w:rsidR="00396CFB" w:rsidRDefault="00396CFB" w:rsidP="00396CFB">
      <w:pPr>
        <w:pStyle w:val="BodyText"/>
      </w:pPr>
      <w:r>
        <w:t xml:space="preserve">Notably, the unfavourable message that the </w:t>
      </w:r>
      <w:r w:rsidRPr="00F9764B">
        <w:rPr>
          <w:i/>
        </w:rPr>
        <w:t>HSR allows industry to game th</w:t>
      </w:r>
      <w:r>
        <w:rPr>
          <w:i/>
        </w:rPr>
        <w:t>e</w:t>
      </w:r>
      <w:r w:rsidRPr="00F9764B">
        <w:rPr>
          <w:i/>
        </w:rPr>
        <w:t xml:space="preserve"> system</w:t>
      </w:r>
      <w:r>
        <w:t xml:space="preserve"> was also often conveyed by this group, most frequently in the second quarter of 2016. Many of these reports cited Jane Martin from the Obesity Policy Coalition, who called on snack bar manufacturers to display Health Star Rating on their products. Martin was the most frequently cited spokesperson overall (74 reports).</w:t>
      </w:r>
    </w:p>
    <w:p w:rsidR="00396CFB" w:rsidRDefault="00396CFB" w:rsidP="00396CFB">
      <w:pPr>
        <w:pStyle w:val="Heading3"/>
      </w:pPr>
      <w:r>
        <w:t>Government or Bureaucracy</w:t>
      </w:r>
    </w:p>
    <w:p w:rsidR="00396CFB" w:rsidRDefault="00396CFB" w:rsidP="00396CFB">
      <w:pPr>
        <w:pStyle w:val="BodyText"/>
      </w:pPr>
      <w:r>
        <w:t>Governments at a state or federal level were prominently discussed in a total of 384 reports, or 37.0% of total coverage.</w:t>
      </w:r>
    </w:p>
    <w:p w:rsidR="00396CFB" w:rsidRDefault="00396CFB" w:rsidP="00396CFB">
      <w:pPr>
        <w:pStyle w:val="BodyText"/>
      </w:pPr>
      <w:r w:rsidRPr="00E40006">
        <w:rPr>
          <w:i/>
        </w:rPr>
        <w:t>Government</w:t>
      </w:r>
      <w:r>
        <w:t xml:space="preserve"> </w:t>
      </w:r>
      <w:r w:rsidRPr="00E40006">
        <w:rPr>
          <w:i/>
        </w:rPr>
        <w:t>support for the HSR system</w:t>
      </w:r>
      <w:r>
        <w:t xml:space="preserve"> was the most frequently conveyed message in this coverage, and was communicated most often in the fourth quarter of 2014, when the HSR website was relaunched. Reports at the time also conveyed the favourable messages that the </w:t>
      </w:r>
      <w:r w:rsidRPr="00E40006">
        <w:rPr>
          <w:i/>
        </w:rPr>
        <w:t>HSR system will drive changes in consumer behaviour</w:t>
      </w:r>
      <w:r>
        <w:t xml:space="preserve"> and </w:t>
      </w:r>
      <w:r w:rsidRPr="002F61A1">
        <w:t>that</w:t>
      </w:r>
      <w:r w:rsidRPr="00E40006">
        <w:rPr>
          <w:i/>
        </w:rPr>
        <w:t xml:space="preserve"> labels communicate effectively with consumers</w:t>
      </w:r>
      <w:r>
        <w:t>, which were the second and third leading government messages overall.</w:t>
      </w:r>
    </w:p>
    <w:p w:rsidR="00396CFB" w:rsidRDefault="00396CFB" w:rsidP="00396CFB">
      <w:pPr>
        <w:pStyle w:val="BodyText"/>
      </w:pPr>
      <w:r>
        <w:t xml:space="preserve">With the exception of Quarter 4 2014, while government policy was a frequent subject of debate, its representatives rarely participated. Former Assistant Health Minister and Minister for Rural Health Fiona Nash was the most frequently cited government spokesperson (37 analysed reports), while unnamed federal health department representatives were cited in 10 reports. </w:t>
      </w:r>
      <w:r w:rsidRPr="00BA1798">
        <w:t>Nash promoted the HSR system in proactively generated reports on the website's relaunch in December 2014, and occasionally commented on the</w:t>
      </w:r>
      <w:r>
        <w:t xml:space="preserve"> </w:t>
      </w:r>
      <w:r w:rsidRPr="00BA1798">
        <w:t>government’s</w:t>
      </w:r>
      <w:r>
        <w:t xml:space="preserve"> position that it would not introduce a sugar tax or junk food tax, despite repeated calls by other stakeholders for them to be considered.</w:t>
      </w:r>
    </w:p>
    <w:p w:rsidR="00396CFB" w:rsidRDefault="00396CFB" w:rsidP="00396CFB">
      <w:pPr>
        <w:pStyle w:val="Heading3"/>
      </w:pPr>
      <w:r>
        <w:t>Food Retail Industry</w:t>
      </w:r>
    </w:p>
    <w:p w:rsidR="00396CFB" w:rsidRDefault="00396CFB" w:rsidP="00396CFB">
      <w:pPr>
        <w:pStyle w:val="BodyText"/>
      </w:pPr>
      <w:r>
        <w:t xml:space="preserve">The food retail industry, including the Coles and Woolworths supermarket chains, was mentioned prominently in 125 reports, or 12.0% of analysed coverage. </w:t>
      </w:r>
    </w:p>
    <w:p w:rsidR="00396CFB" w:rsidRDefault="00396CFB" w:rsidP="00396CFB">
      <w:pPr>
        <w:pStyle w:val="BodyText"/>
      </w:pPr>
      <w:r>
        <w:t>A significant proportion of favourable reports promoted the sale of products with Health Star Rating, including Woolworths and Coles “home brand” ready-made meals.</w:t>
      </w:r>
    </w:p>
    <w:p w:rsidR="00396CFB" w:rsidRDefault="00396CFB" w:rsidP="00396CFB">
      <w:pPr>
        <w:pStyle w:val="BodyText"/>
      </w:pPr>
      <w:r>
        <w:t>Food retailers were also discussed in unfavourable reports in which the health claims of specific products were criticised by consumer advocates and medical experts.</w:t>
      </w:r>
    </w:p>
    <w:p w:rsidR="00396CFB" w:rsidRDefault="00396CFB" w:rsidP="00396CFB">
      <w:pPr>
        <w:pStyle w:val="BodyText"/>
      </w:pPr>
      <w:r>
        <w:t xml:space="preserve">The availability of products at supermarkets was noted in wider coverage of the HSR system, including reports on its two-year review in the second quarter of 2016, which highlighted its continued adoption. These reports conveyed the favourable message that </w:t>
      </w:r>
      <w:r w:rsidRPr="007F629E">
        <w:rPr>
          <w:i/>
        </w:rPr>
        <w:t xml:space="preserve">Health Star </w:t>
      </w:r>
      <w:r>
        <w:rPr>
          <w:i/>
        </w:rPr>
        <w:t>Rating</w:t>
      </w:r>
      <w:r w:rsidRPr="007F629E">
        <w:rPr>
          <w:i/>
        </w:rPr>
        <w:t xml:space="preserve"> help promote food products</w:t>
      </w:r>
      <w:r>
        <w:t>, which was the leading food retail industry message.</w:t>
      </w:r>
    </w:p>
    <w:p w:rsidR="00396CFB" w:rsidRDefault="00396CFB" w:rsidP="00396CFB">
      <w:pPr>
        <w:pStyle w:val="Heading3"/>
      </w:pPr>
      <w:r>
        <w:t>Primary Producers</w:t>
      </w:r>
    </w:p>
    <w:p w:rsidR="00396CFB" w:rsidRDefault="00396CFB" w:rsidP="00396CFB">
      <w:pPr>
        <w:pStyle w:val="BodyText"/>
      </w:pPr>
      <w:r>
        <w:t>Primary producers were discussed less prominently than most other stakeholders, in 37 reports or 3.5% of total coverage.</w:t>
      </w:r>
    </w:p>
    <w:p w:rsidR="00396CFB" w:rsidRDefault="00396CFB" w:rsidP="00396CFB">
      <w:pPr>
        <w:pStyle w:val="BodyText"/>
      </w:pPr>
      <w:r>
        <w:t>They were mentioned most frequently during the third quarter of 2014, when AusVeg complained that vegetables such as celery, lettuce, and pumpkin failed to meet the criteria for a five-star rating, despite their widely verified health benefits.</w:t>
      </w:r>
    </w:p>
    <w:p w:rsidR="00396CFB" w:rsidRDefault="00396CFB" w:rsidP="00396CFB">
      <w:pPr>
        <w:pStyle w:val="BodyText"/>
      </w:pPr>
      <w:r>
        <w:t xml:space="preserve">These criticisms were repeated in the first quarter of 2015, when a series of reports cited Rob McGavin from Cobram Estate and Boundary Bend. McGavin argued that the HSR system misled olive oil consumers because it did not recognise the presence of antioxidants and the absence of trans-fats in the product. As a result of these criticisms, the two most frequently conveyed primary producer messages were that </w:t>
      </w:r>
      <w:r w:rsidRPr="002F61A1">
        <w:rPr>
          <w:i/>
        </w:rPr>
        <w:t>fresh or unprocessed foods and juices do not rate highly</w:t>
      </w:r>
      <w:r>
        <w:t xml:space="preserve"> and that </w:t>
      </w:r>
      <w:r w:rsidRPr="002F61A1">
        <w:rPr>
          <w:i/>
        </w:rPr>
        <w:t xml:space="preserve">the HSR </w:t>
      </w:r>
      <w:r>
        <w:rPr>
          <w:i/>
        </w:rPr>
        <w:t>Rating</w:t>
      </w:r>
      <w:r w:rsidRPr="002F61A1">
        <w:rPr>
          <w:i/>
        </w:rPr>
        <w:t xml:space="preserve"> are misleading</w:t>
      </w:r>
      <w:r>
        <w:t>. These were conveyed in eight reports each.</w:t>
      </w:r>
    </w:p>
    <w:p w:rsidR="00396CFB" w:rsidRDefault="00396CFB" w:rsidP="00396CFB">
      <w:pPr>
        <w:pStyle w:val="Heading3"/>
      </w:pPr>
      <w:r>
        <w:t>Other Stakeholders</w:t>
      </w:r>
    </w:p>
    <w:p w:rsidR="00051E01" w:rsidRDefault="00396CFB" w:rsidP="008E2432">
      <w:pPr>
        <w:pStyle w:val="BodyText"/>
      </w:pPr>
      <w:r w:rsidRPr="00FA65A7">
        <w:t xml:space="preserve">Most other stakeholders were broadcast commentators </w:t>
      </w:r>
      <w:r>
        <w:t>who</w:t>
      </w:r>
      <w:r w:rsidRPr="00FA65A7">
        <w:t xml:space="preserve"> mentioned the HSR system incidentally. As a result, this group had little influence over the debate on the HSR</w:t>
      </w:r>
      <w:r>
        <w:t>’</w:t>
      </w:r>
      <w:r w:rsidRPr="00FA65A7">
        <w:t>s implementation.</w:t>
      </w:r>
    </w:p>
    <w:p w:rsidR="008E2432" w:rsidRDefault="008E2432" w:rsidP="008E2432">
      <w:pPr>
        <w:pStyle w:val="BodyText"/>
        <w:sectPr w:rsidR="008E2432" w:rsidSect="008E2432">
          <w:type w:val="continuous"/>
          <w:pgSz w:w="16838" w:h="11906" w:orient="landscape" w:code="9"/>
          <w:pgMar w:top="964" w:right="1242" w:bottom="964" w:left="1247" w:header="0" w:footer="397" w:gutter="0"/>
          <w:cols w:num="3" w:space="284"/>
          <w:docGrid w:linePitch="360"/>
        </w:sectPr>
      </w:pPr>
    </w:p>
    <w:p w:rsidR="008E2432" w:rsidRDefault="008E2432" w:rsidP="008E2432">
      <w:pPr>
        <w:pStyle w:val="Caption"/>
      </w:pPr>
      <w:r>
        <w:t xml:space="preserve">Table </w:t>
      </w:r>
      <w:fldSimple w:instr=" SEQ Table \* ARABIC ">
        <w:r w:rsidR="003972DC">
          <w:rPr>
            <w:noProof/>
          </w:rPr>
          <w:t>1</w:t>
        </w:r>
      </w:fldSimple>
      <w:r>
        <w:t xml:space="preserve"> </w:t>
      </w:r>
    </w:p>
    <w:p w:rsidR="008E2432" w:rsidRPr="005F1D1C" w:rsidRDefault="008E2432" w:rsidP="008E2432">
      <w:pPr>
        <w:pStyle w:val="BodyText"/>
        <w:rPr>
          <w:i/>
        </w:rPr>
      </w:pPr>
      <w:r>
        <w:rPr>
          <w:i/>
        </w:rPr>
        <w:t>This table shows the key metrics for the period of analysis.</w:t>
      </w:r>
    </w:p>
    <w:tbl>
      <w:tblPr>
        <w:tblStyle w:val="MediaMonitors1"/>
        <w:tblW w:w="5000" w:type="pct"/>
        <w:tblLook w:val="0620" w:firstRow="1" w:lastRow="0" w:firstColumn="0" w:lastColumn="0" w:noHBand="1" w:noVBand="1"/>
        <w:tblCaption w:val="Key metrics"/>
        <w:tblDescription w:val="Table 1 is a list of key metrics for the period of analysis.  This table contains two heading columns: 1. Key Metrics and 2. Blank heading."/>
      </w:tblPr>
      <w:tblGrid>
        <w:gridCol w:w="3624"/>
        <w:gridCol w:w="1811"/>
        <w:gridCol w:w="1813"/>
      </w:tblGrid>
      <w:tr w:rsidR="008E2432" w:rsidTr="008E2432">
        <w:trPr>
          <w:cnfStyle w:val="100000000000" w:firstRow="1" w:lastRow="0" w:firstColumn="0" w:lastColumn="0" w:oddVBand="0" w:evenVBand="0" w:oddHBand="0" w:evenHBand="0" w:firstRowFirstColumn="0" w:firstRowLastColumn="0" w:lastRowFirstColumn="0" w:lastRowLastColumn="0"/>
          <w:tblHeader/>
        </w:trPr>
        <w:tc>
          <w:tcPr>
            <w:tcW w:w="3623" w:type="dxa"/>
          </w:tcPr>
          <w:p w:rsidR="008E2432" w:rsidRDefault="008E2432" w:rsidP="008E2432">
            <w:pPr>
              <w:pStyle w:val="TableTextHeading"/>
            </w:pPr>
            <w:r>
              <w:rPr>
                <w:caps w:val="0"/>
                <w:noProof/>
              </w:rPr>
              <w:t>Key Metrics</w:t>
            </w:r>
          </w:p>
        </w:tc>
        <w:tc>
          <w:tcPr>
            <w:tcW w:w="3623" w:type="dxa"/>
            <w:gridSpan w:val="2"/>
          </w:tcPr>
          <w:p w:rsidR="008E2432" w:rsidRPr="00ED2A6F" w:rsidRDefault="008E2432" w:rsidP="008E2432">
            <w:pPr>
              <w:pStyle w:val="TableTextHeadingRight"/>
            </w:pPr>
          </w:p>
        </w:tc>
      </w:tr>
      <w:tr w:rsidR="008E2432" w:rsidTr="008E2432">
        <w:tc>
          <w:tcPr>
            <w:tcW w:w="3623" w:type="dxa"/>
            <w:vMerge w:val="restart"/>
          </w:tcPr>
          <w:p w:rsidR="008E2432" w:rsidRDefault="008E2432" w:rsidP="008E2432">
            <w:pPr>
              <w:pStyle w:val="TableText"/>
              <w:rPr>
                <w:noProof/>
              </w:rPr>
            </w:pPr>
            <w:r>
              <w:rPr>
                <w:noProof/>
              </w:rPr>
              <w:t>Total Volume</w:t>
            </w:r>
          </w:p>
        </w:tc>
        <w:tc>
          <w:tcPr>
            <w:tcW w:w="1811" w:type="dxa"/>
          </w:tcPr>
          <w:p w:rsidR="008E2432" w:rsidRDefault="008E2432" w:rsidP="008E2432">
            <w:pPr>
              <w:pStyle w:val="TableTextRight"/>
              <w:rPr>
                <w:noProof/>
              </w:rPr>
            </w:pPr>
            <w:r>
              <w:rPr>
                <w:noProof/>
              </w:rPr>
              <w:t>Overall</w:t>
            </w:r>
          </w:p>
        </w:tc>
        <w:tc>
          <w:tcPr>
            <w:tcW w:w="1812" w:type="dxa"/>
          </w:tcPr>
          <w:p w:rsidR="008E2432" w:rsidRPr="00EB2427" w:rsidRDefault="008E2432" w:rsidP="008E2432">
            <w:pPr>
              <w:pStyle w:val="TableText"/>
              <w:jc w:val="right"/>
            </w:pPr>
            <w:r>
              <w:t>1,040</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Press</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450</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Broadcast</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178</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Internet</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412</w:t>
            </w:r>
          </w:p>
        </w:tc>
      </w:tr>
      <w:tr w:rsidR="008E2432" w:rsidTr="008E2432">
        <w:tc>
          <w:tcPr>
            <w:tcW w:w="3623" w:type="dxa"/>
            <w:vMerge w:val="restart"/>
          </w:tcPr>
          <w:p w:rsidR="008E2432" w:rsidRDefault="008E2432" w:rsidP="008E2432">
            <w:pPr>
              <w:pStyle w:val="TableText"/>
              <w:rPr>
                <w:noProof/>
              </w:rPr>
            </w:pPr>
            <w:r>
              <w:rPr>
                <w:noProof/>
              </w:rPr>
              <w:t>Average Favourability</w:t>
            </w:r>
          </w:p>
        </w:tc>
        <w:tc>
          <w:tcPr>
            <w:tcW w:w="1811" w:type="dxa"/>
          </w:tcPr>
          <w:p w:rsidR="008E2432" w:rsidRDefault="008E2432" w:rsidP="008E2432">
            <w:pPr>
              <w:pStyle w:val="TableTextRight"/>
              <w:rPr>
                <w:noProof/>
              </w:rPr>
            </w:pPr>
            <w:r>
              <w:rPr>
                <w:noProof/>
              </w:rPr>
              <w:t>Overall</w:t>
            </w:r>
          </w:p>
        </w:tc>
        <w:tc>
          <w:tcPr>
            <w:tcW w:w="1812" w:type="dxa"/>
          </w:tcPr>
          <w:p w:rsidR="008E2432" w:rsidRPr="00EB2427" w:rsidRDefault="008E2432" w:rsidP="008E2432">
            <w:pPr>
              <w:pStyle w:val="TableText"/>
              <w:jc w:val="right"/>
            </w:pPr>
            <w:r>
              <w:t>54.8</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Press</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55.0</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Broadcast</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54.4</w:t>
            </w:r>
          </w:p>
        </w:tc>
      </w:tr>
      <w:tr w:rsidR="008E2432" w:rsidTr="008E2432">
        <w:tc>
          <w:tcPr>
            <w:tcW w:w="3623" w:type="dxa"/>
            <w:vMerge/>
          </w:tcPr>
          <w:p w:rsidR="008E2432" w:rsidRDefault="008E2432" w:rsidP="008E2432">
            <w:pPr>
              <w:pStyle w:val="TableText"/>
              <w:rPr>
                <w:noProof/>
              </w:rPr>
            </w:pPr>
          </w:p>
        </w:tc>
        <w:tc>
          <w:tcPr>
            <w:tcW w:w="1811" w:type="dxa"/>
          </w:tcPr>
          <w:p w:rsidR="008E2432" w:rsidRDefault="008E2432" w:rsidP="008E2432">
            <w:pPr>
              <w:pStyle w:val="TableTextRight"/>
              <w:rPr>
                <w:noProof/>
              </w:rPr>
            </w:pPr>
            <w:r>
              <w:rPr>
                <w:noProof/>
              </w:rPr>
              <w:t>Internet</w:t>
            </w:r>
          </w:p>
        </w:tc>
        <w:tc>
          <w:tcPr>
            <w:tcW w:w="1812" w:type="dxa"/>
          </w:tcPr>
          <w:p w:rsidR="008E2432" w:rsidRDefault="008E2432" w:rsidP="008E2432">
            <w:pPr>
              <w:pStyle w:val="TableText"/>
              <w:jc w:val="right"/>
              <w:rPr>
                <w:rFonts w:ascii="Arial" w:hAnsi="Arial" w:cs="Arial"/>
                <w:color w:val="000000"/>
                <w:szCs w:val="16"/>
              </w:rPr>
            </w:pPr>
            <w:r>
              <w:rPr>
                <w:rFonts w:ascii="Arial" w:hAnsi="Arial" w:cs="Arial"/>
                <w:color w:val="000000"/>
                <w:szCs w:val="16"/>
              </w:rPr>
              <w:t>54.9</w:t>
            </w:r>
          </w:p>
        </w:tc>
      </w:tr>
      <w:tr w:rsidR="008E2432" w:rsidTr="008E2432">
        <w:tc>
          <w:tcPr>
            <w:tcW w:w="3623" w:type="dxa"/>
          </w:tcPr>
          <w:p w:rsidR="008E2432" w:rsidRDefault="008E2432" w:rsidP="008E2432">
            <w:pPr>
              <w:pStyle w:val="TableText"/>
              <w:rPr>
                <w:noProof/>
              </w:rPr>
            </w:pPr>
            <w:r>
              <w:rPr>
                <w:noProof/>
              </w:rPr>
              <w:t>Leading Stakeholders (Mentions)</w:t>
            </w:r>
          </w:p>
        </w:tc>
        <w:tc>
          <w:tcPr>
            <w:tcW w:w="3623" w:type="dxa"/>
            <w:gridSpan w:val="2"/>
          </w:tcPr>
          <w:p w:rsidR="008E2432" w:rsidRPr="00EB2427" w:rsidRDefault="008E2432" w:rsidP="008E2432">
            <w:pPr>
              <w:pStyle w:val="TableTextRight"/>
            </w:pPr>
            <w:r>
              <w:t>Consumers/consumer advocates; Food manufacturing industry ( 520 each)</w:t>
            </w:r>
          </w:p>
        </w:tc>
      </w:tr>
      <w:tr w:rsidR="008E2432" w:rsidTr="008E2432">
        <w:tc>
          <w:tcPr>
            <w:tcW w:w="3623" w:type="dxa"/>
          </w:tcPr>
          <w:p w:rsidR="008E2432" w:rsidRDefault="008E2432" w:rsidP="008E2432">
            <w:pPr>
              <w:pStyle w:val="TableText"/>
              <w:rPr>
                <w:noProof/>
              </w:rPr>
            </w:pPr>
            <w:r>
              <w:rPr>
                <w:noProof/>
              </w:rPr>
              <w:t>Leading Message (Mentions)</w:t>
            </w:r>
          </w:p>
        </w:tc>
        <w:tc>
          <w:tcPr>
            <w:tcW w:w="3623" w:type="dxa"/>
            <w:gridSpan w:val="2"/>
          </w:tcPr>
          <w:p w:rsidR="008E2432" w:rsidRPr="00EB2427" w:rsidRDefault="008E2432" w:rsidP="008E2432">
            <w:pPr>
              <w:pStyle w:val="TableTextRight"/>
            </w:pPr>
            <w:r w:rsidRPr="004D67E7">
              <w:t>Food industry is acting to introduce HSR</w:t>
            </w:r>
            <w:r>
              <w:t xml:space="preserve"> (143)</w:t>
            </w:r>
          </w:p>
        </w:tc>
      </w:tr>
      <w:tr w:rsidR="008E2432" w:rsidTr="008E2432">
        <w:tc>
          <w:tcPr>
            <w:tcW w:w="3623" w:type="dxa"/>
          </w:tcPr>
          <w:p w:rsidR="008E2432" w:rsidRDefault="008E2432" w:rsidP="008E2432">
            <w:pPr>
              <w:pStyle w:val="TableText"/>
              <w:rPr>
                <w:noProof/>
              </w:rPr>
            </w:pPr>
            <w:r>
              <w:rPr>
                <w:noProof/>
              </w:rPr>
              <w:t>Leading Spokesperson (Mentions)</w:t>
            </w:r>
          </w:p>
        </w:tc>
        <w:tc>
          <w:tcPr>
            <w:tcW w:w="3623" w:type="dxa"/>
            <w:gridSpan w:val="2"/>
          </w:tcPr>
          <w:p w:rsidR="008E2432" w:rsidRPr="00EB2427" w:rsidRDefault="008E2432" w:rsidP="008E2432">
            <w:pPr>
              <w:pStyle w:val="TableTextRight"/>
            </w:pPr>
            <w:r w:rsidRPr="002B3E8E">
              <w:t>Jane Martin, Obesity Policy Coalition</w:t>
            </w:r>
            <w:r>
              <w:t xml:space="preserve"> (74)</w:t>
            </w:r>
          </w:p>
        </w:tc>
      </w:tr>
      <w:tr w:rsidR="008E2432" w:rsidTr="008E2432">
        <w:tc>
          <w:tcPr>
            <w:tcW w:w="3623" w:type="dxa"/>
          </w:tcPr>
          <w:p w:rsidR="008E2432" w:rsidRDefault="008E2432" w:rsidP="008E2432">
            <w:pPr>
              <w:pStyle w:val="TableText"/>
              <w:rPr>
                <w:noProof/>
              </w:rPr>
            </w:pPr>
            <w:r>
              <w:rPr>
                <w:noProof/>
              </w:rPr>
              <w:t>Leading Bylines/Comperes (Reports)</w:t>
            </w:r>
          </w:p>
        </w:tc>
        <w:tc>
          <w:tcPr>
            <w:tcW w:w="3623" w:type="dxa"/>
            <w:gridSpan w:val="2"/>
          </w:tcPr>
          <w:p w:rsidR="008E2432" w:rsidRPr="00EB2427" w:rsidRDefault="008E2432" w:rsidP="008E2432">
            <w:pPr>
              <w:pStyle w:val="TableTextRight"/>
            </w:pPr>
            <w:r w:rsidRPr="002B3E8E">
              <w:t>Esther Han</w:t>
            </w:r>
            <w:r>
              <w:t xml:space="preserve"> (12)</w:t>
            </w:r>
          </w:p>
        </w:tc>
      </w:tr>
      <w:tr w:rsidR="008E2432" w:rsidTr="008E2432">
        <w:tc>
          <w:tcPr>
            <w:tcW w:w="3623" w:type="dxa"/>
          </w:tcPr>
          <w:p w:rsidR="008E2432" w:rsidRDefault="008E2432" w:rsidP="008E2432">
            <w:pPr>
              <w:pStyle w:val="TableText"/>
              <w:rPr>
                <w:noProof/>
              </w:rPr>
            </w:pPr>
            <w:r>
              <w:rPr>
                <w:noProof/>
              </w:rPr>
              <w:t>Leading Media (Reports)</w:t>
            </w:r>
          </w:p>
        </w:tc>
        <w:tc>
          <w:tcPr>
            <w:tcW w:w="3623" w:type="dxa"/>
            <w:gridSpan w:val="2"/>
          </w:tcPr>
          <w:p w:rsidR="008E2432" w:rsidRPr="00EB2427" w:rsidRDefault="008E2432" w:rsidP="008E2432">
            <w:pPr>
              <w:pStyle w:val="TableTextRight"/>
            </w:pPr>
            <w:r>
              <w:t>a</w:t>
            </w:r>
            <w:r w:rsidRPr="0010551E">
              <w:t>usfoodnews.</w:t>
            </w:r>
            <w:r>
              <w:t>c</w:t>
            </w:r>
            <w:r w:rsidRPr="0010551E">
              <w:t>om.</w:t>
            </w:r>
            <w:r>
              <w:t>a</w:t>
            </w:r>
            <w:r w:rsidRPr="0010551E">
              <w:t>u</w:t>
            </w:r>
            <w:r>
              <w:t xml:space="preserve"> (77)</w:t>
            </w:r>
          </w:p>
        </w:tc>
      </w:tr>
    </w:tbl>
    <w:p w:rsidR="008E2432" w:rsidRDefault="008E2432" w:rsidP="008E2432">
      <w:pPr>
        <w:pStyle w:val="BodyText"/>
        <w:sectPr w:rsidR="008E2432" w:rsidSect="008E2432">
          <w:pgSz w:w="16838" w:h="11906" w:orient="landscape" w:code="9"/>
          <w:pgMar w:top="964" w:right="1242" w:bottom="964" w:left="1247" w:header="0" w:footer="397" w:gutter="0"/>
          <w:cols w:num="2" w:space="284"/>
          <w:docGrid w:linePitch="360"/>
        </w:sectPr>
      </w:pPr>
    </w:p>
    <w:p w:rsidR="008E2432" w:rsidRDefault="008E2432" w:rsidP="008E2432">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bookmarkStart w:id="23" w:name="_Toc480283339"/>
      <w:bookmarkStart w:id="24" w:name="_Toc483559195"/>
      <w:bookmarkStart w:id="25" w:name="_Toc485374966"/>
      <w:r w:rsidRPr="00F064E4">
        <w:t>Trend Analysis</w:t>
      </w:r>
      <w:bookmarkEnd w:id="23"/>
      <w:bookmarkEnd w:id="24"/>
      <w:bookmarkEnd w:id="25"/>
    </w:p>
    <w:p w:rsidR="008E2432" w:rsidRDefault="008E2432" w:rsidP="008E2432">
      <w:pPr>
        <w:pStyle w:val="Caption"/>
      </w:pPr>
      <w:r>
        <w:t xml:space="preserve">Chart </w:t>
      </w:r>
      <w:fldSimple w:instr=" SEQ Chart \* ARABIC ">
        <w:r w:rsidR="003972DC">
          <w:rPr>
            <w:noProof/>
          </w:rPr>
          <w:t>1</w:t>
        </w:r>
      </w:fldSimple>
      <w:r>
        <w:rPr>
          <w:noProof/>
        </w:rPr>
        <w:t xml:space="preserve"> Trend: all media</w:t>
      </w:r>
    </w:p>
    <w:p w:rsidR="008E2432" w:rsidRDefault="008E2432" w:rsidP="008E2432">
      <w:pPr>
        <w:pStyle w:val="Figure"/>
      </w:pPr>
      <w:r w:rsidRPr="004E1094">
        <w:rPr>
          <w:noProof/>
        </w:rPr>
        <w:drawing>
          <wp:inline distT="0" distB="0" distL="0" distR="0" wp14:anchorId="50F31016" wp14:editId="17BCF1DD">
            <wp:extent cx="8909743" cy="5400675"/>
            <wp:effectExtent l="0" t="0" r="5715" b="0"/>
            <wp:docPr id="2" name="Picture 2" descr="This stacked bar chart shows the volume and favourability of the analysed coverage from July 2014 to June 2016, with a line graph showing the average favourability of coverage in each month.&#10;2014&#10;July: 16 favourable, 8 neutral and 9 unfavourable reports, 33 in total, with a 51.4 average rating&#10;August: 12 favourable, 2 neutral and 3 unfavourable reports, 17 in total, with a 56.2 average rating&#10;September: 14 favourable, 6 neutral and 2 unfavourable reports, 22 in total, with a 54.8 average rating&#10;October: 12 favourable, 7 neutral and 1 unfavourable reports, 20 in total, with a 55.8 average rating&#10;November: 7 favourable and 12 neutral reports, 19 in total, with a 53.9 average rating&#10;December: 29 favourable and 7 neutral reports, 36 in total, with a 61.8 average rating&#10;2015&#10;January: 36 favourable and 5 neutral reports, 41 in total, with a 60.5 average rating&#10;February: 20 favourable, 9 neutral and 1 unfavourable reports, 30 in total, with a 60.5 average rating&#10;March: 35 favourable, 19 neutral and 2 unfavourable reports, 56 in total, with a 58.8 average rating&#10;April: 32 favourable, 17 neutral and 6 unfavourable reports, 55 in total, with a 56.6 average rating&#10;May: 29 favourable adn 13 neutral reports, 42 in total, with a 56.8 average rating&#10;June: 17 favourable and 20 neutral reports, 37 in total, with a 53.8 average rating&#10;July: 31 favourable, 21 neutral and 7 unfavourable reports, 59 in total, with a 53.4 average rating&#10;August: 18 favourable and 16 neutral reports, 34 in total, with a 54.7 average rating&#10;September: 17 favourable, 19 neutral and 10 unfavourable reports, 46 in total, with a 51.0 average rating&#10;October: 42 favourable, 27 neutral and 6 unfavourable reports, 75 in total, with a 54.7 average rating&#10;November: 30 favourable, 15 neutral and 3 unfavourable reports, 48 in total, with a 55.6 average rating&#10;December: 28 favourable, 45 neutral and 3 unfavourable reports, 76 in total, with a 53.7 average rating&#10;2016&#10;January: 23 favourable, 11 neutral and 3 unfavourable reports, 37 in total, with a 54.1 average rating&#10;February: 27 favourable, 21 neutral and 21 unfavourable reports, 69 in total, with a 52.5 average rating&#10;March: 20 favourable and 10 neutral reports, 30 in total, with a 56.3 average rating&#10;April: 26 favourable, 21 neutral and 5 unfavourable reports, 52 in total, with a 52.9 average rating&#10;May: 34 favourable, 34 neutral and 6 unfavourable reports, 74 in total, with a 53.8 average rating&#10;June: 19 favourable, 5 neutral and 8 unfavourable reports, 32 in total, with a 51.3 average rating" title="Trend: July 2014 -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09743" cy="5400675"/>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567" w:right="1242" w:bottom="964" w:left="1247" w:header="0" w:footer="397" w:gutter="0"/>
          <w:cols w:space="283" w:equalWidth="0">
            <w:col w:w="14350" w:space="283"/>
          </w:cols>
          <w:formProt w:val="0"/>
          <w:titlePg/>
          <w:docGrid w:linePitch="360"/>
        </w:sectPr>
      </w:pPr>
    </w:p>
    <w:p w:rsidR="008E2432" w:rsidRDefault="008E2432" w:rsidP="008E2432">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r>
        <w:t xml:space="preserve"> </w:t>
      </w:r>
      <w:bookmarkStart w:id="26" w:name="_Toc480283340"/>
      <w:bookmarkStart w:id="27" w:name="_Toc483559196"/>
      <w:bookmarkStart w:id="28" w:name="_Toc485374967"/>
      <w:r w:rsidRPr="00F064E4">
        <w:t>Stakeholders</w:t>
      </w:r>
      <w:bookmarkEnd w:id="26"/>
      <w:bookmarkEnd w:id="27"/>
      <w:bookmarkEnd w:id="28"/>
    </w:p>
    <w:p w:rsidR="008E2432" w:rsidRDefault="008E2432" w:rsidP="008E2432">
      <w:pPr>
        <w:pStyle w:val="Caption"/>
      </w:pPr>
      <w:r>
        <w:t xml:space="preserve">Chart </w:t>
      </w:r>
      <w:fldSimple w:instr=" SEQ Chart \* ARABIC ">
        <w:r w:rsidR="003972DC">
          <w:rPr>
            <w:noProof/>
          </w:rPr>
          <w:t>2</w:t>
        </w:r>
      </w:fldSimple>
      <w:r>
        <w:rPr>
          <w:noProof/>
        </w:rPr>
        <w:t xml:space="preserve"> Stakeholders: overall</w:t>
      </w:r>
    </w:p>
    <w:p w:rsidR="008E2432" w:rsidRDefault="008E2432" w:rsidP="008E2432">
      <w:pPr>
        <w:pStyle w:val="Figure"/>
      </w:pPr>
      <w:r w:rsidRPr="001C4C50">
        <w:rPr>
          <w:noProof/>
        </w:rPr>
        <w:drawing>
          <wp:inline distT="0" distB="0" distL="0" distR="0" wp14:anchorId="5D44893A" wp14:editId="29515B73">
            <wp:extent cx="8899921" cy="2409825"/>
            <wp:effectExtent l="0" t="0" r="0" b="0"/>
            <wp:docPr id="16" name="Picture 16" descr="This stacked bar chart shows the number of favourable, neutral, unfavourable and total mentions of each nominated stakeholder in the analysed coverage overall, with a line graph showing the average favourability of the reports in which they were mentioned.&#10;Food manufacturing industry: 309 favourable, 175 neutral and 36 unfavourable mentions, 520 in total, with a 55.9 average rating&#10;Consumers/consumer advocates: 318 favourable, 133 neutral and 69 unfavourable mentions, 520 in total, with a 54.8 average rating&#10;Public health/medical: 245 favourable, 118 neutral and 31 unfavourable mentions, 394 in total, with a 56.4 average rating&#10;Government/bureaucracy: 209 favourable, 132 neutral and 43 unfavourable mentions, 384 in total, with a 54.8 average rating&#10;Food retail industry: 57 favourable, 55 neutral and 13 unfavourable mentions, 125 in total, with a 54.3 average rating&#10;Primary producers: 17 favourable, 6 neutral and 14 unfavourable mentions, 37 in total, with a 51.6 average rating&#10;Other: 4 favourable, 1 neutral and 2 unfavourable mentions, 7 in total, with a 54.3 average rating" title="Stakeholders: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Caption"/>
      </w:pPr>
      <w:r>
        <w:t xml:space="preserve">Chart </w:t>
      </w:r>
      <w:fldSimple w:instr=" SEQ Chart \* ARABIC ">
        <w:r w:rsidR="003972DC">
          <w:rPr>
            <w:noProof/>
          </w:rPr>
          <w:t>3</w:t>
        </w:r>
      </w:fldSimple>
      <w:r>
        <w:rPr>
          <w:noProof/>
        </w:rPr>
        <w:t xml:space="preserve"> Stakeholders: press</w:t>
      </w:r>
    </w:p>
    <w:p w:rsidR="008E2432" w:rsidRDefault="008E2432" w:rsidP="008E2432">
      <w:pPr>
        <w:pStyle w:val="Figure"/>
      </w:pPr>
      <w:r w:rsidRPr="001C4C50">
        <w:rPr>
          <w:noProof/>
        </w:rPr>
        <w:drawing>
          <wp:inline distT="0" distB="0" distL="0" distR="0" wp14:anchorId="312E1B67" wp14:editId="50DE02FA">
            <wp:extent cx="9001125" cy="2409531"/>
            <wp:effectExtent l="0" t="0" r="0" b="0"/>
            <wp:docPr id="32" name="Picture 32" descr="This stacked bar chart shows the number of favourable, neutral, unfavourable and total mentions of each nominated stakeholder in the analysed press coverage, with a line graph showing the average favourability of the reports in which they were mentioned.&#10;Food manufacturing industry: 134 favourable, 76 neutral and 11 unfavourable mentions, 221 in total, with a 55.9 average rating&#10;Consumers/consumer advocates: 135 favourable, 27 neutral and 26 unfavourable mentions, 188 in total, with a 55.1 average rating&#10;Public health/medical: 102 favourable, 45 neutral and 7 unfavourable mentions, 154 in total, with a 56.7 average rating&#10;Government/bureaucracy: 80 favourable, 37 neutral and 19 unfavourable mentions, 136 in total, with a 54.4 average rating&#10;Food retail industry: 32 favourable, 7 neutral and 6 unfavourable mentions, 45 in total, with a 56.4 average rating&#10;Primary producers: 14 favourable, 5 neutral and 5 unfavourable mentions, 24 in total, with a 58.1 average rating&#10;Other: 1 favourable mention with a 70.0 rating" title="Stakeholders: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001125" cy="2409531"/>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567" w:right="1242" w:bottom="964" w:left="1247" w:header="0" w:footer="397" w:gutter="0"/>
          <w:cols w:space="283" w:equalWidth="0">
            <w:col w:w="14350" w:space="283"/>
          </w:cols>
          <w:formProt w:val="0"/>
          <w:titlePg/>
          <w:docGrid w:linePitch="360"/>
        </w:sectPr>
      </w:pPr>
    </w:p>
    <w:p w:rsidR="008E2432" w:rsidRDefault="008E2432" w:rsidP="008E2432">
      <w:pPr>
        <w:pStyle w:val="Caption"/>
      </w:pPr>
      <w:r>
        <w:t xml:space="preserve">Chart </w:t>
      </w:r>
      <w:fldSimple w:instr=" SEQ Chart \* ARABIC ">
        <w:r w:rsidR="003972DC">
          <w:rPr>
            <w:noProof/>
          </w:rPr>
          <w:t>4</w:t>
        </w:r>
      </w:fldSimple>
      <w:r>
        <w:rPr>
          <w:noProof/>
        </w:rPr>
        <w:t xml:space="preserve"> Stakeholders: radio</w:t>
      </w:r>
      <w:r w:rsidRPr="00551499">
        <w:rPr>
          <w:noProof/>
          <w:highlight w:val="yellow"/>
        </w:rPr>
        <w:t xml:space="preserve"> </w:t>
      </w:r>
    </w:p>
    <w:p w:rsidR="008E2432" w:rsidRDefault="00D33A5F" w:rsidP="008E2432">
      <w:pPr>
        <w:pStyle w:val="Figure"/>
      </w:pPr>
      <w:r>
        <w:rPr>
          <w:noProof/>
        </w:rPr>
        <w:drawing>
          <wp:inline distT="0" distB="0" distL="0" distR="0">
            <wp:extent cx="8899921" cy="2409825"/>
            <wp:effectExtent l="0" t="0" r="0" b="0"/>
            <wp:docPr id="34" name="Picture 34" descr="This stacked bar chart shows the number of favourable, neutral, unfavourable and total mentions of each nominated stakeholder in the analysed radio coverage, with a line graph showing the average favourability of the reports in which they were mentioned.&#10;Public health/medical: 35 favourable, 32 neutral and 5 unfavourable mentions, 72 in total, with a 54.0 average rating&#10;Consumers/consumer advocates: 22 favourable, 37 neutral and 6 unfavourable mentions, 65 in total, with a 52.8 average rating&#10;Food manufacturing industry: 16 favourable, 27 neutral and 2 unfavourable mentions, 45 in total, with a 52.9 average rating&#10;Government/bureaucracy: 9 favourable, 27 neutral and 2 unfavourable mentions, 38 in total, with a 52.0 average rating&#10;Food retail industry: 1 favourable, 6 neutral and 4 unfavourable mentions, 11 in total, with a 49.5 average rating&#10;Other: 3 favourable, 1 neutral and 2 unfavourable mentions, 6 in total, with a 51.7 average rating" title="Stakeholders: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stacked bar chart shows the number of favourable, neutral, unfavourable and total mentions of each nominated stakeholder in the analysed radio coverage, with a line graph showing the average favourability of the reports in which they were mentioned.&#10;Public health/medical: 35 favourable, 32 neutral and 5 unfavourable mentions, 72 in total, with a 54.0 average rating&#10;Consumers/consumer advocates: 22 favourable, 37 neutral and 6 unfavourable mentions, 65 in total, with a 52.8 average rating&#10;Food manufacturing industry: 16 favourable, 27 neutral and 2 unfavourable mentions, 45 in total, with a 52.9 average rating&#10;Government/bureaucracy: 9 favourable, 27 neutral and 2 unfavourable mentions, 38 in total, with a 52.0 average rating&#10;Food retail industry: 1 favourable, 6 neutral and 4 unfavourable mentions, 11 in total, with a 49.5 average rating&#10;Other: 3 favourable, 1 neutral and 2 unfavourable mentions, 6 in total, with a 51.7 average rating" title="Stakeholders: radi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Caption"/>
      </w:pPr>
      <w:r>
        <w:t xml:space="preserve">Chart </w:t>
      </w:r>
      <w:fldSimple w:instr=" SEQ Chart \* ARABIC ">
        <w:r w:rsidR="003972DC">
          <w:rPr>
            <w:noProof/>
          </w:rPr>
          <w:t>5</w:t>
        </w:r>
      </w:fldSimple>
      <w:r>
        <w:rPr>
          <w:noProof/>
        </w:rPr>
        <w:t xml:space="preserve"> Stakeholders: television</w:t>
      </w:r>
      <w:r w:rsidRPr="00551499">
        <w:rPr>
          <w:noProof/>
          <w:highlight w:val="yellow"/>
        </w:rPr>
        <w:t xml:space="preserve"> </w:t>
      </w:r>
    </w:p>
    <w:p w:rsidR="008E2432" w:rsidRDefault="008E2432" w:rsidP="008E2432">
      <w:pPr>
        <w:pStyle w:val="Figure"/>
      </w:pPr>
      <w:r w:rsidRPr="001C4C50">
        <w:rPr>
          <w:noProof/>
        </w:rPr>
        <w:drawing>
          <wp:inline distT="0" distB="0" distL="0" distR="0" wp14:anchorId="5B344B61" wp14:editId="003C9DA9">
            <wp:extent cx="8899921" cy="2409825"/>
            <wp:effectExtent l="0" t="0" r="0" b="0"/>
            <wp:docPr id="38" name="Picture 38" descr="This stacked bar chart shows the number of favourable, neutral, unfavourable and total mentions of each nominated stakeholder in the analysed television coverage, with a line graph showing the average favourability of the reports in which they were mentioned.&#10;Public health/medical: 20 favourable, 17 neutral and 1 unfavourable mentions, 38 in total, with a 58.3 average rating&#10;Consumers/consumer advocates: 16 favourable and 20 neutral mentions, with a 56.1 average rating&#10;Food manufacturing industry: 17 favourable and 13 neutral mentsions, 30 in total, with a 58.0 average rating&#10;Food retail industry: 3 favourable and 11 neutral mentions, 14 in total, with a 55.4 average rating&#10;Government/bureaucracy: 4 favourable and 10 neutral mentions, 14 in total, with a 53.2 average rating" title="Stakeholders: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1418" w:right="1240" w:bottom="964" w:left="1247" w:header="0" w:footer="397" w:gutter="0"/>
          <w:cols w:space="283" w:equalWidth="0">
            <w:col w:w="14352" w:space="283"/>
          </w:cols>
          <w:formProt w:val="0"/>
          <w:titlePg/>
          <w:docGrid w:linePitch="360"/>
        </w:sectPr>
      </w:pPr>
    </w:p>
    <w:p w:rsidR="008E2432" w:rsidRDefault="008E2432" w:rsidP="008E2432">
      <w:pPr>
        <w:pStyle w:val="Caption"/>
      </w:pPr>
      <w:r>
        <w:t xml:space="preserve">Chart </w:t>
      </w:r>
      <w:fldSimple w:instr=" SEQ Chart \* ARABIC ">
        <w:r w:rsidR="003972DC">
          <w:rPr>
            <w:noProof/>
          </w:rPr>
          <w:t>6</w:t>
        </w:r>
      </w:fldSimple>
      <w:r>
        <w:rPr>
          <w:noProof/>
        </w:rPr>
        <w:t xml:space="preserve"> Stakeholders: internet</w:t>
      </w:r>
    </w:p>
    <w:p w:rsidR="008E2432" w:rsidRDefault="008E2432" w:rsidP="008E2432">
      <w:pPr>
        <w:pStyle w:val="Figure"/>
      </w:pPr>
      <w:r w:rsidRPr="001C4C50">
        <w:rPr>
          <w:noProof/>
        </w:rPr>
        <w:drawing>
          <wp:inline distT="0" distB="0" distL="0" distR="0" wp14:anchorId="30791292" wp14:editId="2FCA2B08">
            <wp:extent cx="8915399" cy="2743200"/>
            <wp:effectExtent l="0" t="0" r="635" b="0"/>
            <wp:docPr id="21" name="Picture 21" descr="This stacked bar chart shows the number of favourable, neutral, unfavourable and total mentions of each nominated stakeholder in the analysed internet coverage, with a line graph showing the average favourability of the reports in which they were mentioned.&#10;Consumers/consumer advocates: 145 favourable, 49 neutral and 37 unfavourable mentions, 231 in total, with a 54.8 average rating&#10;Food manufacturing industry: 142 favourable, 59 neutral and 23 unfavourable mentions, 224 in total, with a 56.1 average rating&#10;Government/bureaucracy: 116 favourable, 58 neutral and 22 unfavourable mentions, 196 in total, with a 55.7 average rating&#10;Public health/medical: 88 favourable, 24 neutral and 18 unfavourable mentions, 130 in total, with a 56.8 average rating&#10;Food retail industry: 21 favourable, 31 neutral and 3 unfavourable mentions, 55 in total, with a 53.3 average rating&#10;Primary producers: 3 favourable, 1 neutral and 9 unfavourable mentions, 13 in total, with a 39.6 average rating" title="Stakeholder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915399" cy="2743200"/>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1418" w:right="1240" w:bottom="964" w:left="1247" w:header="0" w:footer="397" w:gutter="0"/>
          <w:cols w:space="283" w:equalWidth="0">
            <w:col w:w="14352" w:space="283"/>
          </w:cols>
          <w:formProt w:val="0"/>
          <w:titlePg/>
          <w:docGrid w:linePitch="360"/>
        </w:sectPr>
      </w:pPr>
    </w:p>
    <w:p w:rsidR="008E2432" w:rsidRDefault="008E2432" w:rsidP="008E2432">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r>
        <w:t xml:space="preserve"> </w:t>
      </w:r>
      <w:bookmarkStart w:id="29" w:name="_Toc480283341"/>
      <w:bookmarkStart w:id="30" w:name="_Toc483559197"/>
      <w:bookmarkStart w:id="31" w:name="_Toc485374968"/>
      <w:r>
        <w:t xml:space="preserve">Leading Messages by </w:t>
      </w:r>
      <w:r w:rsidRPr="00F064E4">
        <w:t>Stakeholders</w:t>
      </w:r>
      <w:bookmarkEnd w:id="29"/>
      <w:bookmarkEnd w:id="30"/>
      <w:bookmarkEnd w:id="31"/>
    </w:p>
    <w:p w:rsidR="008E2432" w:rsidRDefault="008E2432" w:rsidP="000C48A1">
      <w:pPr>
        <w:pStyle w:val="Heading2"/>
      </w:pPr>
      <w:bookmarkStart w:id="32" w:name="_Toc483559198"/>
      <w:bookmarkStart w:id="33" w:name="_Toc485374969"/>
      <w:r>
        <w:t>Overall</w:t>
      </w:r>
      <w:bookmarkEnd w:id="32"/>
      <w:bookmarkEnd w:id="33"/>
    </w:p>
    <w:p w:rsidR="008E2432" w:rsidRDefault="008E2432" w:rsidP="008E2432">
      <w:pPr>
        <w:pStyle w:val="Caption"/>
      </w:pPr>
      <w:r>
        <w:t xml:space="preserve">Chart </w:t>
      </w:r>
      <w:fldSimple w:instr=" SEQ Chart \* ARABIC ">
        <w:r w:rsidR="003972DC">
          <w:rPr>
            <w:noProof/>
          </w:rPr>
          <w:t>7</w:t>
        </w:r>
      </w:fldSimple>
      <w:r>
        <w:rPr>
          <w:noProof/>
        </w:rPr>
        <w:t xml:space="preserve"> Favourable messages by stakeholders</w:t>
      </w:r>
      <w:r w:rsidRPr="00551499">
        <w:rPr>
          <w:noProof/>
          <w:highlight w:val="yellow"/>
        </w:rPr>
        <w:t xml:space="preserve"> </w:t>
      </w:r>
    </w:p>
    <w:p w:rsidR="008E2432" w:rsidRDefault="008E2432" w:rsidP="008E2432">
      <w:pPr>
        <w:pStyle w:val="Figure"/>
      </w:pPr>
      <w:r>
        <w:rPr>
          <w:noProof/>
        </w:rPr>
        <w:drawing>
          <wp:inline distT="0" distB="0" distL="0" distR="0" wp14:anchorId="79E19869" wp14:editId="5EA0F16C">
            <wp:extent cx="8917200" cy="5039361"/>
            <wp:effectExtent l="0" t="0" r="0" b="8890"/>
            <wp:docPr id="6" name="Picture 3" descr="This horizontal stacked bar chart shows the most frequently conveyed favourable messages, broken down into the number of mentions by each stakeholder group.&#10;Health Star Rating helps promote food products: 4 mentions by public health/medical, 64 by food manufacturing industry, 13 by consumers/consumer advocates, 17 by food retail industry, and 1 by primary producers&#10;Health Star Rating drives innovation/product reformulation: 25 mentions by public health/medical, 40 by food manufacturing industry, 12 by consumers/consumer advocates, 13 by government/bureaucracy, 3 by food retail industry and 3 by primary producers&#10;Food industry is acting to introduce Health Star Rating: 19 mentions by public health/medical, 50 by food manufacturing industry, 7 by consumers/consumer advocates, 12 by government/bureaucracy, 3 by food retail industry and 1 by other&#10;Health Star Rating should be mandatory: 60 mentions by public health/medical, 15 by consumers/consumer advocates and 9 by government/bureaucracy&#10;Labels communicate effectively with consumers: 27 mentions by public health/medical, 9 by food manufacturing industry, 25 by consumers/consumer advocates, 20 by government/bureaucracy and 2 by food retail industry&#10;Health Star Rating will drive changes in consumer behaviour: 27 mentions by public health/medical, 4 by food manufacturing industry, 16 by consumers/consumer advocates, 21 by government/bureaucracy and 1 by food retail industry&#10;Health Star Rating reveals healthy foods: 23 mentions by public health/medical, 6 by food manufacturing industry, 25 by consumers/consumer advocates, 7 by government/bureaucracy and 1 by food retail industry&#10;Health Star Rating has government support: 5 mentions by public health/medical, 3 by food manufacturing industry, 5 by consumers/consumer advocates and 32 by government/bureaucracy&#10;Health Star Rating is superior to other systems: 26 mentions by public health/medical, 3 by food manufacturing industry, 8 by consumers/consumer advocates and 7 by government/bureaucracy&#10;Health Star Rating is an effective public health strategy: 19 mentions by public health/medical, 2 by food manufacturing industry, 8 by consumers/consumer advocates and 9 by government/bureaucracy&#10;Health Star Rating reveals unhealthy foods: 12 mentions by public health/medical and 16 by consumers/consumer advocates&#10;Health Star Rating has industry support: 1 mention by public health/medical, 19 mentions by food manufacturing industry, 2 by consumers/consumer advocates, 1 by government/bureaucracy, 2 by food retail industry and 3 by primary producers&#10;Health Star Rating reflects agreed public health policy: 12 mentions by public health/medical, 1 by food manufacturing industry, 3 by consumers/consumer advocates and 10 by government/bureaucracy&#10;Government should intervene to improve eating habits: 11 mentions by public health/medical, 2 by consumers/consumer advocates and 4 by government/bureaucracy&#10;Health Star Rating has public support: 6 mentions by public health/medical, 5 by consumers/consumer advocates, 5 by government/bureaucracy adn 1 by other" title="Leading favourable messages b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917200" cy="5039361"/>
                    </a:xfrm>
                    <a:prstGeom prst="rect">
                      <a:avLst/>
                    </a:prstGeom>
                    <a:noFill/>
                    <a:extLst/>
                  </pic:spPr>
                </pic:pic>
              </a:graphicData>
            </a:graphic>
          </wp:inline>
        </w:drawing>
      </w:r>
    </w:p>
    <w:p w:rsidR="008E2432" w:rsidRDefault="008E2432" w:rsidP="008E2432">
      <w:pPr>
        <w:pStyle w:val="BodyText"/>
      </w:pPr>
    </w:p>
    <w:p w:rsidR="008E2432" w:rsidRPr="00FD02DE" w:rsidRDefault="008E2432" w:rsidP="008E2432">
      <w:pPr>
        <w:pStyle w:val="BodyText"/>
        <w:sectPr w:rsidR="008E2432" w:rsidRPr="00FD02DE" w:rsidSect="00357312">
          <w:pgSz w:w="16839" w:h="11907" w:orient="landscape" w:code="9"/>
          <w:pgMar w:top="567" w:right="1242" w:bottom="964" w:left="1247" w:header="0" w:footer="397" w:gutter="0"/>
          <w:cols w:space="283" w:equalWidth="0">
            <w:col w:w="14350" w:space="283"/>
          </w:cols>
          <w:formProt w:val="0"/>
          <w:titlePg/>
          <w:docGrid w:linePitch="360"/>
        </w:sectPr>
      </w:pPr>
    </w:p>
    <w:p w:rsidR="008E2432" w:rsidRDefault="008E2432" w:rsidP="008E2432">
      <w:pPr>
        <w:pStyle w:val="Caption"/>
      </w:pPr>
      <w:r>
        <w:t xml:space="preserve">Chart </w:t>
      </w:r>
      <w:fldSimple w:instr=" SEQ Chart \* ARABIC ">
        <w:r w:rsidR="003972DC">
          <w:rPr>
            <w:noProof/>
          </w:rPr>
          <w:t>8</w:t>
        </w:r>
      </w:fldSimple>
      <w:r>
        <w:rPr>
          <w:noProof/>
        </w:rPr>
        <w:t xml:space="preserve"> Unfavourable messages by stakeholders</w:t>
      </w:r>
      <w:r w:rsidRPr="00551499">
        <w:rPr>
          <w:noProof/>
          <w:highlight w:val="yellow"/>
        </w:rPr>
        <w:t xml:space="preserve"> </w:t>
      </w:r>
    </w:p>
    <w:p w:rsidR="008E2432" w:rsidRDefault="008E2432" w:rsidP="008E2432">
      <w:pPr>
        <w:pStyle w:val="Figure"/>
      </w:pPr>
      <w:r w:rsidRPr="0032219B">
        <w:rPr>
          <w:noProof/>
        </w:rPr>
        <w:drawing>
          <wp:inline distT="0" distB="0" distL="0" distR="0" wp14:anchorId="5F5AB10C" wp14:editId="3546FA05">
            <wp:extent cx="8909743" cy="5400675"/>
            <wp:effectExtent l="0" t="0" r="5715" b="0"/>
            <wp:docPr id="28" name="Picture 28" descr="This horizontal stacked bar chart shows the most frequently conveyed unfavourable messages, broken down into the number of mentions by each stakeholder group.&#10;Health Star Rating allows industry to game the system: 24 mentions by public health/medical, 29 by consumers/consumer advocates, 1 by food manufacturers adn 1 by government/bureaucracy&#10;Ratings are misleading: 13 mentions by public health/medical, 6 by consumers/consumer advocates, 11 by primary producers, 2 by food manufacturers and 1 by other&#10;Ratings do not provide fair/realistic comparisons: 12 mentions by public health/medical, 3 by consumers/consumer advocates, 1 by primary producers, 1 by food manufacturers and 1 by other&#10;Fresh/unprocessed foods/juices do not rate highly: 1 mention by public health/medical, 1 by consumers/consumer advocates, 13 mentions by primary producers and 1 by other&#10;Ratings are not trustworthy/credible: 4 mentions by public health/medical and 8 by consumers/consumer advocates&#10;Health Star Rating is not accurate: 4 mentions by public health/medical, 6 by consumers/consumer advocates and 1 by food manufacturing industry&#10;Food industry is not acting to introduce Health Star Rating: 7 mentions by public health/medical and 3 by consumers/consumer advocates&#10;Health Star Rating encourages the purchase/consumption of processed foods: 5 mentions by public health/medical, 4 by consumers/consumer advocates adn 1 by food manufacturing industry&#10;Labels do not communicate effectively with consumers: 5 mentions by public health/medical and 3 by consumers/consumer advocates&#10;Health Star Rating does not reveal unhealthy foods: 5 mentions by public health/medical and 2 by consumers/consumer advocates&#10;Health Star Rating conflicts with existing labelling schemes: 2 mentions each by public health/medical, consumers/consumer advocates and government/bureaucracy&#10;Health Star Rating does not have government support: 3 mentions by public health/medical, 1 by consumers/consumer advocates and 2 by government/bureaucracy&#10;Health Star Rating does not have industry support: 5 mentions by public health/medical and 1 by other&#10;Health Star Rating is not effective public health strategy: 4 mentions by public health/medical and 2 by consumers/consumer advocates&#10;Consumers do not rely on/ignore Health Star Rating system: 1 mention by public health/medical, 3 by consumers/consumer advocates and 1 by other&#10;Health Star Rating drives negative reformulation of food products: 2 mentions by public health/medical and 3 by consumers/consumer advocates" title="Leading unfavourable messages b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09743" cy="5400675"/>
                    </a:xfrm>
                    <a:prstGeom prst="rect">
                      <a:avLst/>
                    </a:prstGeom>
                    <a:noFill/>
                    <a:ln>
                      <a:noFill/>
                    </a:ln>
                  </pic:spPr>
                </pic:pic>
              </a:graphicData>
            </a:graphic>
          </wp:inline>
        </w:drawing>
      </w:r>
    </w:p>
    <w:p w:rsidR="008E2432" w:rsidRDefault="008E2432" w:rsidP="008E2432">
      <w:pPr>
        <w:pStyle w:val="BodyText"/>
      </w:pPr>
    </w:p>
    <w:p w:rsidR="008E2432" w:rsidRPr="00304EA7" w:rsidRDefault="008E2432" w:rsidP="008E2432">
      <w:pPr>
        <w:sectPr w:rsidR="008E2432" w:rsidRPr="00304EA7" w:rsidSect="00357312">
          <w:pgSz w:w="16839" w:h="11907" w:orient="landscape" w:code="9"/>
          <w:pgMar w:top="1418" w:right="1240" w:bottom="964" w:left="1247" w:header="0" w:footer="397" w:gutter="0"/>
          <w:cols w:space="283" w:equalWidth="0">
            <w:col w:w="14352" w:space="283"/>
          </w:cols>
          <w:formProt w:val="0"/>
          <w:titlePg/>
          <w:docGrid w:linePitch="360"/>
        </w:sectPr>
      </w:pPr>
    </w:p>
    <w:p w:rsidR="008E2432" w:rsidRDefault="008E2432" w:rsidP="000C48A1">
      <w:pPr>
        <w:pStyle w:val="Heading2"/>
      </w:pPr>
      <w:bookmarkStart w:id="34" w:name="_Toc483559199"/>
      <w:bookmarkStart w:id="35" w:name="_Toc485374970"/>
      <w:r>
        <w:t>Public Health/Medical</w:t>
      </w:r>
      <w:bookmarkEnd w:id="34"/>
      <w:bookmarkEnd w:id="35"/>
    </w:p>
    <w:p w:rsidR="008E2432" w:rsidRDefault="008E2432" w:rsidP="008E2432">
      <w:pPr>
        <w:pStyle w:val="Caption"/>
      </w:pPr>
      <w:r>
        <w:t xml:space="preserve">Chart </w:t>
      </w:r>
      <w:fldSimple w:instr=" SEQ Chart \* ARABIC ">
        <w:r w:rsidR="003972DC">
          <w:rPr>
            <w:noProof/>
          </w:rPr>
          <w:t>9</w:t>
        </w:r>
      </w:fldSimple>
      <w:r w:rsidRPr="00F51099">
        <w:rPr>
          <w:noProof/>
        </w:rPr>
        <w:t xml:space="preserve"> Public health/medical messages in each </w:t>
      </w:r>
      <w:r>
        <w:rPr>
          <w:noProof/>
        </w:rPr>
        <w:t xml:space="preserve">time </w:t>
      </w:r>
      <w:r w:rsidRPr="00F51099">
        <w:rPr>
          <w:noProof/>
        </w:rPr>
        <w:t xml:space="preserve">period </w:t>
      </w:r>
    </w:p>
    <w:p w:rsidR="008E2432" w:rsidRDefault="008E2432" w:rsidP="008E2432">
      <w:pPr>
        <w:pStyle w:val="Figure"/>
      </w:pPr>
      <w:r w:rsidRPr="000B389C">
        <w:rPr>
          <w:noProof/>
        </w:rPr>
        <w:drawing>
          <wp:inline distT="0" distB="0" distL="0" distR="0" wp14:anchorId="7EF2516D" wp14:editId="312ACAF8">
            <wp:extent cx="8915400" cy="5038344"/>
            <wp:effectExtent l="0" t="0" r="0" b="0"/>
            <wp:docPr id="27" name="Picture 27" descr="This horizontal stacked bar chart shows the most frequently conveyed favourable and unfavourable messages conveyed in relation to public health/medical, broken down by which time period they appeared in.&#10;Favourable messages:&#10;Health Star Rating should be mandatory: 3 mentions in Quarter 4 2014, 21 in Quarter 1 2015, 2 in Quarter 2 2015, 4 in Quarter 3 2015, 1 in Quarter 1 2016 and 29 in Quarter 2 2016&#10;Health Star Rating will drive changes in consumer behaviour: 2 mentions in Quarter 3 2014, 1 in Quarter 4 2014, 2 in Quarter 1 2015, 4 in Quarter 2 2015, 1 in Quarter 3 2015, 8 in Quarter 4 2015, 5 in Quarter 1 2016 and 4 in Quarter 2 2016&#10;Labels communicate effectively with consumers: 2 mentions in Quarter 3 2014, 4 in Quarter 4 2014, 12 in Quarter 1 2015, 4 in Quarter 2 2015, 2 in Quarter 4 2015, 1 in Quarter 1 2016 and 2 in Quarter 2 2016&#10;Health Star Rating is superior to other systems: 3 mentions in Quarter 3 2014, 1 in Quarter 4 2014, 8 in Quarter 1 2015, 1 in Quarter 2 2015, 6 in Quarter 4 2015 and 7 in Quarter 1 2016&#10;Health Star Rating drives innovation/product reformulation: 4 mentions in Quarter 4 2014, 10 in Quarter 1 2015, 1 in Quarter 4 2015, 9 in Quarter 1 2016 and 1 in Quarter 2 2016&#10;Health Star Rating reveals healthy foods: 1 mention in Quarter 4 2014, 2 mentions in Quarter 2 2015, 9 in Quarter 3 2015, 2 in Quarter 4 2015, 6 in Quarter 1 2016 and 3 in Quarter 2 2016&#10;Food industry is acting to introduce Health Star Rating: 1 mention in Quarter 3 2014, 2 mentions in Quarter 4 2014, 1 in Quarter 2 2015, 2 in Quarter 4 2015, 8 in Quarter 1 2016 and 5 in Quarter 2 2016&#10;Health Star Rating is an effective public health strategy: 3 mentions in Quarter 3 2014, 5 in Quarter 4 2014, 4 in Quarter 1 2015, 3 in Quarter 3 2015, 1 in Quarter 4 2015, 1 in Quarter 1 2016 and 2 in Quarter 2 2016&#10;Unfavourable messages:&#10;Health Star Rating allows industry to game the system: 2 mentions in Quarter 3 2015, 3 in Quarter 1 2016 and 19 in Quarter 2 2016&#10;Ratings are misleading: 1 mention in Quarter 3 2014, 4 mentions in Quarter 2 2015, 4 in Quarter 3 2015, 1 in Quarter 4 2015, 1 in Quarter 1 2016 and 2 in Quarter 2 2016&#10;Ratings do not provide fair/realistic comparisons: 1 mention in Quarter 3 2014, 1 in Quarter 1 2015, 5 mentions in Quarter 2 2015, 3 in Quarter 3 2015, 1 in Quarter 4 2015 and 1 in Quarter 2 2016&#10;Food industry is not acting to introduce Health Star Rating: 3 mentions in Quarter 4 2014, and 1 each in Quarter 1 2015, Quarter 2 2015, Quarter 3 2015 and Quarter 2 2016&#10;Health Star Rating does not reveal unhealthy foods: 1 mention in Quarter 2 2015, 2 mentions in Quarter 3 2015 and 2 in Quarter 2 2016&#10;Health Star Rating encourages the purchase/consumption of processed foods: 1 mention in Quarter 2 2015, 2 mentions in Quarter 3 2015 and 2 in Quarter 1 2016&#10;Health Star Rating does not have industry support: 2 mentions in Quarter 3 2015, 1 in Quarter 4 2014 and 2 in Quarter 1 2015&#10;Labels do not communicate effectively with consumers: 3 mentions in Quarter 2 2015 and 2 in Quarter 3 2015" title="Public health/medical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15400" cy="5038344"/>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1418" w:right="1240" w:bottom="964" w:left="1247" w:header="0" w:footer="397" w:gutter="0"/>
          <w:cols w:space="283" w:equalWidth="0">
            <w:col w:w="14352" w:space="283"/>
          </w:cols>
          <w:formProt w:val="0"/>
          <w:titlePg/>
          <w:docGrid w:linePitch="360"/>
        </w:sectPr>
      </w:pPr>
    </w:p>
    <w:p w:rsidR="008E2432" w:rsidRDefault="008E2432" w:rsidP="000C48A1">
      <w:pPr>
        <w:pStyle w:val="Heading2"/>
      </w:pPr>
      <w:bookmarkStart w:id="36" w:name="_Toc483559200"/>
      <w:bookmarkStart w:id="37" w:name="_Toc485374971"/>
      <w:r>
        <w:t>Consumers/Consumer Advocates</w:t>
      </w:r>
      <w:bookmarkEnd w:id="36"/>
      <w:bookmarkEnd w:id="37"/>
    </w:p>
    <w:p w:rsidR="008E2432" w:rsidRDefault="008E2432" w:rsidP="008E2432">
      <w:pPr>
        <w:pStyle w:val="Caption"/>
      </w:pPr>
      <w:r>
        <w:t xml:space="preserve">Chart </w:t>
      </w:r>
      <w:fldSimple w:instr=" SEQ Chart \* ARABIC ">
        <w:r w:rsidR="003972DC">
          <w:rPr>
            <w:noProof/>
          </w:rPr>
          <w:t>10</w:t>
        </w:r>
      </w:fldSimple>
      <w:r>
        <w:rPr>
          <w:noProof/>
        </w:rPr>
        <w:t xml:space="preserve"> Consumers/consumer advocates </w:t>
      </w:r>
      <w:r w:rsidRPr="00F51099">
        <w:rPr>
          <w:noProof/>
        </w:rPr>
        <w:t xml:space="preserve">messages in each </w:t>
      </w:r>
      <w:r>
        <w:rPr>
          <w:noProof/>
        </w:rPr>
        <w:t xml:space="preserve">time </w:t>
      </w:r>
      <w:r w:rsidRPr="00F51099">
        <w:rPr>
          <w:noProof/>
        </w:rPr>
        <w:t>period</w:t>
      </w:r>
      <w:r w:rsidRPr="00551499">
        <w:rPr>
          <w:noProof/>
          <w:highlight w:val="yellow"/>
        </w:rPr>
        <w:t xml:space="preserve"> </w:t>
      </w:r>
    </w:p>
    <w:p w:rsidR="008E2432" w:rsidRDefault="008E2432" w:rsidP="008E2432">
      <w:pPr>
        <w:pStyle w:val="Figure"/>
      </w:pPr>
      <w:r w:rsidRPr="009D7C71">
        <w:rPr>
          <w:noProof/>
        </w:rPr>
        <w:drawing>
          <wp:inline distT="0" distB="0" distL="0" distR="0" wp14:anchorId="51B9560C" wp14:editId="4E26EEEA">
            <wp:extent cx="8915400" cy="5038344"/>
            <wp:effectExtent l="0" t="0" r="0" b="0"/>
            <wp:docPr id="26" name="Picture 26" descr="This horizontal stacked bar chart shows the most frequently conveyed favourable and unfavourable messages conveyed in relation to consumers/consumer advocates, broken down by which time period they appeared in.&#10;Favourable messages:&#10;Labels communicate effectively with consumers: 1 mention in Quarter 3 2014, 5 mentions in Quarter 1 2015, 13 in Quarter 2 2015, 2 in Quarter 3 2015, 2 in Quarter 4 2015 and 1 each in Quarter 1 and Quarter 2 2016&#10;Health Star Rating reveals healthy foods: 1 mention in Quarter 3 2014, 2 mentions in Quarter 1 2015, 2 in Quarter 2 2015, 9 in Quarter 3 2015, 3 in Quarter 4 2015, 5 in Quarter 1 2016 and 3 in Quarter 2 2016&#10;Health Star Rating will drive changes in consumer behaviour: 1 mention in Quarter 3 2014, 6 mentions in Quarter 1 2015, 6 in Quarter 4 2015, 1 in Quarter 1 2016 and 2 in Quarter 2 2016&#10;Health Star Rating reveals unhealthy foods: 2 mentions in Quarter 3 2014, 2 in Quarter 1 2015, 10 in Quarter 2 2015, 1 in Quarter 3 2015 and 1 in Quarter 4 2015&#10;Health Star Rating should be mandatory: 11 mentions in Quarter 1 2015, 1 in Quarter 3 2015 and 3 in Quarter 2 2016&#10;Health Star Rating helps promote food products: 2 mentions in Quarter 2 2015, 5 in Quarter 3 2015, 1 in Quarter 4 2015, 4 in Quarter 1 2016 and 1 in Quarter 2 2016&#10;Health Star Rating drives innovation/product reformulation: 2 mentions in Quarter 1 2015, 4 in Quarter 2 2015, 2 in Quarter 1 2016 and 4 in Quarter 2 2016&#10;Unfavourable messages:&#10;Health Star Rating allows industry to game the system: 2 mentions in Quarter 1 2015, 2 in Quarter 2 2015, 20 in Quarter 1 2016 and 5 in Quarter 2 2016&#10;Health Star Rating is not accurate: 2 mentions in Quarter 1 2015, 3 in Quarter 2 2015 and 1 in Quarter 1 2016&#10;Ratings are misleading: 1 mention each in Quarter 3 2014, Quarter 1 2015 and Quarter 2 2016, and 3 mentions in Quarter 1 2016&#10;Health Star Rating encourages the purchase/consumption of processed foods: 1 mention in Quarter 1 2015, 2 mentions in Quarter 1 2016 and 1 in Quarter 2 2016&#10;Labels do not communicate effectively with consumers: 1 mention each in Quarter 3 2015, Quarter 1 2016 and Quarter 2 2016&#10;Food industry is not acting to introduce Health Star Rating: 1 mention each in Quarter 3 2014, Quarter 1 2015 adn Quarter 3 2015&#10;Health Star Rating drives negative reformulation of food products: 3 mentions in Quarter 1 2016&#10;Consumers do not rely on/ignore Health Star Rating system: 2 mentions in Quarter 3 2015 and 1 in Quarter 2 2016&#10;Ratings do not provide fair/realistic comparisons: 1 mention each in Quarter 1 2015, Quarter 1 2016 and Quarter 2 2016" title="Consumers/consumer advocates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915400" cy="5038344"/>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357312">
          <w:pgSz w:w="16839" w:h="11907" w:orient="landscape" w:code="9"/>
          <w:pgMar w:top="1418" w:right="1240" w:bottom="964" w:left="1247" w:header="0" w:footer="397" w:gutter="0"/>
          <w:cols w:space="283" w:equalWidth="0">
            <w:col w:w="14352" w:space="283"/>
          </w:cols>
          <w:formProt w:val="0"/>
          <w:titlePg/>
          <w:docGrid w:linePitch="360"/>
        </w:sectPr>
      </w:pPr>
    </w:p>
    <w:p w:rsidR="008E2432" w:rsidRDefault="008E2432" w:rsidP="000C48A1">
      <w:pPr>
        <w:pStyle w:val="Heading2"/>
      </w:pPr>
      <w:bookmarkStart w:id="38" w:name="_Toc483559201"/>
      <w:bookmarkStart w:id="39" w:name="_Toc485374972"/>
      <w:r>
        <w:t xml:space="preserve">Food Manufacturing </w:t>
      </w:r>
      <w:r w:rsidRPr="000C48A1">
        <w:t>Industry</w:t>
      </w:r>
      <w:bookmarkEnd w:id="38"/>
      <w:bookmarkEnd w:id="39"/>
    </w:p>
    <w:p w:rsidR="008E2432" w:rsidRDefault="008E2432" w:rsidP="008E2432">
      <w:pPr>
        <w:pStyle w:val="Caption"/>
      </w:pPr>
      <w:r>
        <w:t xml:space="preserve">Chart </w:t>
      </w:r>
      <w:fldSimple w:instr=" SEQ Chart \* ARABIC ">
        <w:r w:rsidR="003972DC">
          <w:rPr>
            <w:noProof/>
          </w:rPr>
          <w:t>11</w:t>
        </w:r>
      </w:fldSimple>
      <w:r>
        <w:rPr>
          <w:noProof/>
        </w:rPr>
        <w:t xml:space="preserve"> Food manufacturing industry </w:t>
      </w:r>
      <w:r w:rsidRPr="00F51099">
        <w:rPr>
          <w:noProof/>
        </w:rPr>
        <w:t xml:space="preserve">messages in each </w:t>
      </w:r>
      <w:r>
        <w:rPr>
          <w:noProof/>
        </w:rPr>
        <w:t xml:space="preserve">time </w:t>
      </w:r>
      <w:r w:rsidRPr="00F51099">
        <w:rPr>
          <w:noProof/>
        </w:rPr>
        <w:t>period</w:t>
      </w:r>
    </w:p>
    <w:p w:rsidR="008E2432" w:rsidRDefault="008E2432" w:rsidP="008E2432">
      <w:pPr>
        <w:pStyle w:val="Figure"/>
      </w:pPr>
      <w:r w:rsidRPr="009D7C71">
        <w:rPr>
          <w:noProof/>
        </w:rPr>
        <w:drawing>
          <wp:inline distT="0" distB="0" distL="0" distR="0" wp14:anchorId="46A857B5" wp14:editId="43398648">
            <wp:extent cx="4401440" cy="5396787"/>
            <wp:effectExtent l="0" t="0" r="0" b="0"/>
            <wp:docPr id="25" name="Picture 25" descr="This horizontal stacked bar chart shows the most frequently conveyed favourable and unfavourable messages conveyed in relation to the food manufacturing industry, broken down by which time period they appeared in.&#10;Favourable messages:&#10;Health Star Rating helps promote food products: 4 mentions in Quarter 3 2014, 2 in Quarter 4 2014, 6 in Quarter 1 2015, 7 in Quarter 2 2015, 10 in Quarter 3 2015, 8 in Quarter 4 2015, 9 in Quarter 1 2016 and 18 in Quarter 2 2016&#10;Food industry is acting to introduce Health Star Rating: 4 mentions in Quarter 3 2014, 6 in Quarter 2 2014, 8 in Quarter 1 2015, 17 in Quarter 2 2015, 4 in Quarter 3 2015, 1 in Quarter 4 2015, 4 in Quarter 1 2016 and 6 in Quarter 2 2016&#10;Health Star Rating drives innovation/product reformulation: 2 mentions in Quarter 3 2014, 2 in Quarter 4 2014, 4 in Quarter 1 2015, 5 in Quarter 2 2015, 2 in Quarter 3 2015, 10 in Quarter 4 2015, 8 in Quarter 1 2016 and 7 in Quarter 2 2016&#10;Health Star Rating has industry support: 7 mentions in Quarter 3 2014, 3 in Quarter 4 2014, 1 in Quarter 1 2015, 2 in Quarter 2 2015, 2 in Quarter 3 2015, 1 in Quarter 4 2015, 2 in Quarter 1 2016 and 1 in Quarter 2 2016&#10;Labels communicate effectively with consumers: 1 mention in Quarter 3 2014, 2 mentions in Quarter 4 2014, 3 in Quarter 1 2015, 2 in Quarter 2 2015 and 1 in Quarter 3 2015&#10;Unfavourable messages:&#10;Ratings are misleading: 1 mention each in Quarter 3 2014 and Quarter 1 2015 &#10;Health Star Rating allows industry to game the system: 1 mention in Quarter 1 2016&#10;Health Star Rating encourages the purchase/consumption of processed foods: 1 mention in Quarter 1 2015&#10;Health Star Rating is not accurate: 1 mention in Quarter 1 2015&#10;Health Star Rating is a business impost:1 mention in Quarter 3 2014&#10;Ratings do not provide fair/realistic comparisons: 1 mention in Quarter 2 2016" title="Food manufacturing industry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01440" cy="5396787"/>
                    </a:xfrm>
                    <a:prstGeom prst="rect">
                      <a:avLst/>
                    </a:prstGeom>
                    <a:noFill/>
                    <a:ln>
                      <a:noFill/>
                    </a:ln>
                  </pic:spPr>
                </pic:pic>
              </a:graphicData>
            </a:graphic>
          </wp:inline>
        </w:drawing>
      </w:r>
    </w:p>
    <w:p w:rsidR="008E2432" w:rsidRDefault="008E2432" w:rsidP="000C48A1">
      <w:pPr>
        <w:pStyle w:val="Heading2"/>
      </w:pPr>
      <w:r>
        <w:br w:type="column"/>
      </w:r>
      <w:bookmarkStart w:id="40" w:name="_Toc483559202"/>
      <w:bookmarkStart w:id="41" w:name="_Toc485374973"/>
      <w:r w:rsidRPr="000C48A1">
        <w:t>Government</w:t>
      </w:r>
      <w:r w:rsidRPr="009E7227">
        <w:t>/Bureaucracy</w:t>
      </w:r>
      <w:bookmarkEnd w:id="40"/>
      <w:bookmarkEnd w:id="41"/>
    </w:p>
    <w:p w:rsidR="008E2432" w:rsidRDefault="008E2432" w:rsidP="008E2432">
      <w:pPr>
        <w:pStyle w:val="Caption"/>
      </w:pPr>
      <w:r>
        <w:t xml:space="preserve">Chart </w:t>
      </w:r>
      <w:fldSimple w:instr=" SEQ Chart \* ARABIC ">
        <w:r w:rsidR="003972DC">
          <w:rPr>
            <w:noProof/>
          </w:rPr>
          <w:t>12</w:t>
        </w:r>
      </w:fldSimple>
      <w:r>
        <w:rPr>
          <w:noProof/>
        </w:rPr>
        <w:t xml:space="preserve"> Government/bureaucracy </w:t>
      </w:r>
      <w:r w:rsidRPr="00F51099">
        <w:rPr>
          <w:noProof/>
        </w:rPr>
        <w:t xml:space="preserve">messages in each </w:t>
      </w:r>
      <w:r>
        <w:rPr>
          <w:noProof/>
        </w:rPr>
        <w:t xml:space="preserve">time </w:t>
      </w:r>
      <w:r w:rsidRPr="00F51099">
        <w:rPr>
          <w:noProof/>
        </w:rPr>
        <w:t>period</w:t>
      </w:r>
    </w:p>
    <w:p w:rsidR="008E2432" w:rsidRDefault="008E2432" w:rsidP="008E2432">
      <w:pPr>
        <w:pStyle w:val="Figure"/>
      </w:pPr>
      <w:r w:rsidRPr="009D7C71">
        <w:rPr>
          <w:noProof/>
        </w:rPr>
        <w:drawing>
          <wp:inline distT="0" distB="0" distL="0" distR="0" wp14:anchorId="2E2A04A2" wp14:editId="1D009418">
            <wp:extent cx="4401440" cy="5396787"/>
            <wp:effectExtent l="0" t="0" r="0" b="0"/>
            <wp:docPr id="24" name="Picture 24" descr="This horizontal stacked bar chart shows the most frequently conveyed favourable and unfavourable messages conveyed in relation to government/bureaucracy, broken down by which time period they appeared in.&#10;Favourable messages:&#10;Health Star Rating has government support: 1 mention in Quarter 3 2014, 12 mentions in Quarter 4 2014, 6 in Quarter 1 2015, 2 in Quarter 2 2015, 5 in Quarter 3 2015, 4 in Quarter 4 2015 and 2 in Quarter 2 2016&#10;Health Star Rating will drive changes in consumer behaviour: 1 mention in Quarter 3 2014, 5 mentions in Quarter 4 2014, 4 in Quarter 1 2015, 2 in Quarter 2 2015, 4 in Quarter 3 2015, 3 in Quarter 4 2015 and 2 in Quarter 1 2016&#10;Labels communicate effectively with consumers: 1 mention in Quarter 3 2014, 8 mentions in Quarter 4 2014, 6 in Quarter 1 2015, 2 in Quarter 2 2015, and 1 each in Quarter 4 2015, Quarter 1 2016 and Quarter 2 2016&#10;Health Star Rating drives innovation/product reformulation: 4 mentions in Quarter 3 2015, 7 in Quarter 4 2015 and 2 in Quarter 1 2016&#10;Food industry is acting to introduce Health Star Rating: 2 mentions in Quarter 4 2014, 3 in Quarter 1 2015, 2 in Quarter 2 2015, 2 in Quarter 3 2015 and 1 each in Quarter 4 2015, Quarter 1 2016 and Quarter 2 2016&#10;Health Star Rating reflects agreed public health policy: 1 mention in Quarter 3 2014, 4 mentions in Quarter 4 2014, 3 in Quarter 1 2015 and 2 in Quarter 2 2015&#10;Health Star Rating should be mandatory: 2 mentions in Quarter 4 2014, 1 in Quarter 3 2015, 2 in Quarter 4 2015, 3 in Quarter 1 2016 and 1 in Quarter 2 2016&#10;Health Star Rating is an effective public health strategy: 1 mention in Quarter 3 2014, 2 mentions in Quarter 4 2014, 2 in Quarter 1 2015 and 4 in Quarter 4 2015&#10;Unfavourable messages:&#10;Health Star Rating conflicts with existing labelling schemes: 1 mention each in Quarter 1 2015 and Quarter 1 2016&#10;Health Star Rating does not have government support: 2 mentions in Quarter 4 2014&#10;Health Star Rating does not have public support: 1 mention in Quarter 2 2016&#10;Health Star Rating allows industry to game the system: 1 mention in Quarter 1 2016" title="Government/bureaucracy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01440" cy="5396787"/>
                    </a:xfrm>
                    <a:prstGeom prst="rect">
                      <a:avLst/>
                    </a:prstGeom>
                    <a:noFill/>
                    <a:ln>
                      <a:noFill/>
                    </a:ln>
                  </pic:spPr>
                </pic:pic>
              </a:graphicData>
            </a:graphic>
          </wp:inline>
        </w:drawing>
      </w:r>
    </w:p>
    <w:p w:rsidR="008E2432" w:rsidRDefault="008E2432" w:rsidP="000C48A1">
      <w:pPr>
        <w:pStyle w:val="Heading2"/>
      </w:pPr>
      <w:r>
        <w:br w:type="column"/>
      </w:r>
      <w:bookmarkStart w:id="42" w:name="_Toc483559203"/>
      <w:bookmarkStart w:id="43" w:name="_Toc485374974"/>
      <w:r>
        <w:t>Food Retail Industry</w:t>
      </w:r>
      <w:bookmarkEnd w:id="42"/>
      <w:bookmarkEnd w:id="43"/>
    </w:p>
    <w:p w:rsidR="008E2432" w:rsidRDefault="008E2432" w:rsidP="008E2432">
      <w:pPr>
        <w:pStyle w:val="Caption"/>
        <w:rPr>
          <w:noProof/>
        </w:rPr>
      </w:pPr>
      <w:r>
        <w:t xml:space="preserve">Chart </w:t>
      </w:r>
      <w:fldSimple w:instr=" SEQ Chart \* ARABIC ">
        <w:r w:rsidR="003972DC">
          <w:rPr>
            <w:noProof/>
          </w:rPr>
          <w:t>13</w:t>
        </w:r>
      </w:fldSimple>
      <w:r>
        <w:rPr>
          <w:noProof/>
        </w:rPr>
        <w:t xml:space="preserve"> Food retail industry messages in each time period</w:t>
      </w:r>
    </w:p>
    <w:p w:rsidR="008E2432" w:rsidRDefault="008E2432" w:rsidP="008E2432">
      <w:pPr>
        <w:pStyle w:val="Figure"/>
      </w:pPr>
      <w:r w:rsidRPr="009D7C71">
        <w:rPr>
          <w:noProof/>
        </w:rPr>
        <w:drawing>
          <wp:inline distT="0" distB="0" distL="0" distR="0" wp14:anchorId="5B3A2F40" wp14:editId="6233819D">
            <wp:extent cx="4404567" cy="5035097"/>
            <wp:effectExtent l="0" t="0" r="0" b="0"/>
            <wp:docPr id="23" name="Picture 23" descr="This horizontal stacked bar chart shows the most frequently conveyed favourable and unfavourable messages conveyed in relation to the food retail industry, broken down by which time period they appeared in.&#10;Favourable messages:&#10;Health Star Rating helps promote food products: 5 mentions in Quarter 3 2015, 1 in Quarter 4 2015, 4 in Quarter 1 2016 and 7 in Quarter 2 2016&#10;Health Star Rating drives innovation/product reformulation: 3 mentions in Quarter 1 2016&#10;Food industry is acting to introduce Health Star Rating: 3 mentions in Quarter 3 2015&#10;Ratings provide marketing opportunities: 1 mention each in Quarter 3 2015 and Quarter 1 2016&#10;Health Star Rating has industry support: 2 mentions in Quarter 4 2015&#10;Industry does not game the system through Healthy Star Rating: 1 mention in Quarter 2 2016&#10;Health Star Rating will drive changes in consumer behaviour: 1 mention in Quarter 3 2015&#10;Health Star Rating reveals healthy foods: 1 mention in Quarter 3 2015" title="Food retail industry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0C48A1">
      <w:pPr>
        <w:pStyle w:val="Heading2"/>
      </w:pPr>
      <w:r>
        <w:br w:type="column"/>
      </w:r>
      <w:bookmarkStart w:id="44" w:name="_Toc483559204"/>
      <w:bookmarkStart w:id="45" w:name="_Toc485374975"/>
      <w:r>
        <w:t>Primary Producers</w:t>
      </w:r>
      <w:bookmarkEnd w:id="44"/>
      <w:bookmarkEnd w:id="45"/>
    </w:p>
    <w:p w:rsidR="008E2432" w:rsidRDefault="008E2432" w:rsidP="008E2432">
      <w:pPr>
        <w:pStyle w:val="Caption"/>
      </w:pPr>
      <w:r>
        <w:t xml:space="preserve">Chart </w:t>
      </w:r>
      <w:fldSimple w:instr=" SEQ Chart \* ARABIC ">
        <w:r w:rsidR="003972DC">
          <w:rPr>
            <w:noProof/>
          </w:rPr>
          <w:t>14</w:t>
        </w:r>
      </w:fldSimple>
      <w:r>
        <w:rPr>
          <w:noProof/>
        </w:rPr>
        <w:t xml:space="preserve"> Primary producers </w:t>
      </w:r>
      <w:r w:rsidRPr="00F51099">
        <w:rPr>
          <w:noProof/>
        </w:rPr>
        <w:t xml:space="preserve">messages in each </w:t>
      </w:r>
      <w:r>
        <w:rPr>
          <w:noProof/>
        </w:rPr>
        <w:t xml:space="preserve">time </w:t>
      </w:r>
      <w:r w:rsidRPr="00F51099">
        <w:rPr>
          <w:noProof/>
        </w:rPr>
        <w:t>period</w:t>
      </w:r>
    </w:p>
    <w:p w:rsidR="008E2432" w:rsidRDefault="008E2432" w:rsidP="008E2432">
      <w:pPr>
        <w:pStyle w:val="Figure"/>
      </w:pPr>
      <w:r w:rsidRPr="006C3E17">
        <w:rPr>
          <w:noProof/>
        </w:rPr>
        <w:drawing>
          <wp:inline distT="0" distB="0" distL="0" distR="0" wp14:anchorId="622CA34C" wp14:editId="65818262">
            <wp:extent cx="4405916" cy="5036639"/>
            <wp:effectExtent l="0" t="0" r="0" b="0"/>
            <wp:docPr id="33" name="Picture 33" descr="This horizontal stacked bar chart shows the most frequently conveyed favourable and unfavourable messages conveyed in relation to primary producers, broken down by which time period they appeared in.&#10;Favourable messages:&#10;Health Star Rating has industry support: 1 mention in Quarter 3 2015 and 2 mentions in Quarter 4 2015&#10;Health Star Rating drives innovation/product reformulation: 2 mentions in Quarter 3 2014 and 1 in Quarter 4 2015&#10;Health Star Rating helps promote food products: 1 mention in Quarter 3 2015&#10;Health Star Rating applies to packaged foods only: 1 mention in Quarter 2 2016&#10;Unfavourable messages:&#10;Fresh/unprocessed foods/juices do not rate highly: 3 mentions in Quarter 3 2014, 1 in Quarter 4 2014, 8 in Quarter 1 2015 and 1 in Quarter 2 2015&#10;Ratings are misleading: 2 mentions in Quarter 3 2014, 1 in Quarter 4 2014 and 8 in Quarter 1 2015&#10;Ratings do not provide fair/realistic comparisons: 1 mention in Quarter 3 2014&#10;Fresh/unprocessed foods/juices are not disadvantaged by Health Star Rating: 1 mention in Quarter 3 2014" title="Primary producers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405916" cy="5036639"/>
                    </a:xfrm>
                    <a:prstGeom prst="rect">
                      <a:avLst/>
                    </a:prstGeom>
                    <a:noFill/>
                    <a:ln>
                      <a:noFill/>
                    </a:ln>
                  </pic:spPr>
                </pic:pic>
              </a:graphicData>
            </a:graphic>
          </wp:inline>
        </w:drawing>
      </w:r>
    </w:p>
    <w:p w:rsidR="008E2432" w:rsidRDefault="008E2432" w:rsidP="000C48A1">
      <w:pPr>
        <w:pStyle w:val="Heading2"/>
      </w:pPr>
      <w:r>
        <w:br w:type="column"/>
      </w:r>
      <w:bookmarkStart w:id="46" w:name="_Toc483559205"/>
      <w:bookmarkStart w:id="47" w:name="_Toc485374976"/>
      <w:r>
        <w:t>Other</w:t>
      </w:r>
      <w:bookmarkEnd w:id="46"/>
      <w:bookmarkEnd w:id="47"/>
    </w:p>
    <w:p w:rsidR="008E2432" w:rsidRDefault="008E2432" w:rsidP="008E2432">
      <w:pPr>
        <w:pStyle w:val="Caption"/>
      </w:pPr>
      <w:r>
        <w:t xml:space="preserve">Chart </w:t>
      </w:r>
      <w:fldSimple w:instr=" SEQ Chart \* ARABIC ">
        <w:r w:rsidR="003972DC">
          <w:rPr>
            <w:noProof/>
          </w:rPr>
          <w:t>15</w:t>
        </w:r>
      </w:fldSimple>
      <w:r>
        <w:rPr>
          <w:noProof/>
        </w:rPr>
        <w:t xml:space="preserve"> Other </w:t>
      </w:r>
      <w:r w:rsidRPr="00F51099">
        <w:rPr>
          <w:noProof/>
        </w:rPr>
        <w:t xml:space="preserve">messages in each </w:t>
      </w:r>
      <w:r>
        <w:rPr>
          <w:noProof/>
        </w:rPr>
        <w:t xml:space="preserve">time </w:t>
      </w:r>
      <w:r w:rsidRPr="00F51099">
        <w:rPr>
          <w:noProof/>
        </w:rPr>
        <w:t>period</w:t>
      </w:r>
    </w:p>
    <w:p w:rsidR="008E2432" w:rsidRDefault="008E2432" w:rsidP="008E2432">
      <w:pPr>
        <w:pStyle w:val="Figure"/>
      </w:pPr>
      <w:r w:rsidRPr="00432C31">
        <w:rPr>
          <w:noProof/>
        </w:rPr>
        <w:drawing>
          <wp:inline distT="0" distB="0" distL="0" distR="0" wp14:anchorId="40F6F95A" wp14:editId="5DC8C550">
            <wp:extent cx="4405916" cy="5036639"/>
            <wp:effectExtent l="0" t="0" r="0" b="0"/>
            <wp:docPr id="31" name="Picture 31" descr="This horizontal stacked bar chart shows the most frequently conveyed favourable and unfavourable messages conveyed in relation to other stakeholders, broken down by which time period they appeared in.&#10;Favourable messages:&#10;Food industry is acting to introduce Health Star Rating: 1 mention in Quarter 4 2014&#10;Health Star Rating has public support: 1 mention in Quarter 1 2015&#10;Government should intervene to improve eating habits: 1 mention in Quarter 4 2014&#10;Unfavourable messages:&#10;Ratings are misleading: 1 mention in Quarter 2 2015&#10;Consumers do not rely on/ignore Health Star Rating system: 1 mention in Quarter 3 2015&#10;Ratings do not provide fair/realistic comparisons: 1 mention in Quarter 2 2015&#10;Fresh/unprocessed foods/juices do not rate highly: 1 mention in Quarter 2 2015&#10;Health Star Rating does not have industry support: 1 mention in Quarter 4 2014" title="Other messages in each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405916" cy="5036639"/>
                    </a:xfrm>
                    <a:prstGeom prst="rect">
                      <a:avLst/>
                    </a:prstGeom>
                    <a:noFill/>
                    <a:ln>
                      <a:noFill/>
                    </a:ln>
                  </pic:spPr>
                </pic:pic>
              </a:graphicData>
            </a:graphic>
          </wp:inline>
        </w:drawing>
      </w:r>
    </w:p>
    <w:p w:rsidR="008E2432" w:rsidRPr="008E2432" w:rsidRDefault="008E2432" w:rsidP="008E2432">
      <w:pPr>
        <w:pStyle w:val="BodyText"/>
      </w:pPr>
    </w:p>
    <w:p w:rsidR="008E2432" w:rsidRDefault="008E2432" w:rsidP="008E2432">
      <w:pPr>
        <w:pStyle w:val="BodyText"/>
        <w:sectPr w:rsidR="008E2432" w:rsidSect="008E2432">
          <w:pgSz w:w="16838" w:h="11906" w:orient="landscape" w:code="9"/>
          <w:pgMar w:top="964" w:right="1242" w:bottom="964" w:left="1247" w:header="0" w:footer="397" w:gutter="0"/>
          <w:cols w:num="2" w:space="289"/>
          <w:docGrid w:linePitch="360"/>
        </w:sectPr>
      </w:pPr>
    </w:p>
    <w:p w:rsidR="008E2432" w:rsidRDefault="000C48A1" w:rsidP="008E2432">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bookmarkStart w:id="48" w:name="_Toc480283423"/>
      <w:bookmarkStart w:id="49" w:name="_Toc483493710"/>
      <w:r>
        <w:t xml:space="preserve"> </w:t>
      </w:r>
      <w:bookmarkStart w:id="50" w:name="_Toc485374977"/>
      <w:r w:rsidR="008E2432">
        <w:t xml:space="preserve">Leading </w:t>
      </w:r>
      <w:r w:rsidR="008E2432" w:rsidRPr="00F064E4">
        <w:t>Spokespeople</w:t>
      </w:r>
      <w:bookmarkEnd w:id="48"/>
      <w:bookmarkEnd w:id="49"/>
      <w:bookmarkEnd w:id="50"/>
    </w:p>
    <w:p w:rsidR="008E2432" w:rsidRDefault="008E2432" w:rsidP="008E2432">
      <w:pPr>
        <w:pStyle w:val="Caption"/>
      </w:pPr>
      <w:r>
        <w:t xml:space="preserve">Chart </w:t>
      </w:r>
      <w:fldSimple w:instr=" SEQ Chart \* ARABIC ">
        <w:r w:rsidR="003972DC">
          <w:rPr>
            <w:noProof/>
          </w:rPr>
          <w:t>16</w:t>
        </w:r>
      </w:fldSimple>
      <w:r>
        <w:rPr>
          <w:noProof/>
        </w:rPr>
        <w:t xml:space="preserve"> Leading spokespeople: overall</w:t>
      </w:r>
      <w:r w:rsidRPr="00551499">
        <w:rPr>
          <w:noProof/>
          <w:highlight w:val="yellow"/>
        </w:rPr>
        <w:t xml:space="preserve"> </w:t>
      </w:r>
    </w:p>
    <w:p w:rsidR="008E2432" w:rsidRDefault="008E2432" w:rsidP="008E2432">
      <w:pPr>
        <w:pStyle w:val="Figure"/>
      </w:pPr>
      <w:r w:rsidRPr="009B683F">
        <w:rPr>
          <w:noProof/>
        </w:rPr>
        <w:drawing>
          <wp:inline distT="0" distB="0" distL="0" distR="0" wp14:anchorId="7A46832C" wp14:editId="7E232B83">
            <wp:extent cx="9001125" cy="2409531"/>
            <wp:effectExtent l="0" t="0" r="0" b="0"/>
            <wp:docPr id="14" name="Picture 14" descr="This stacked bar chart shows the most frequently cited spokespeople or other commentators and the bias of their comments, with a line graph showing the average favourability of the reports in which they were cited.&#10;Jane Martin, Obesity Policy Coalition: 41 favourable &amp; 33 neutral comments, 74 in total, with a 57.8 average rating&#10;Tom Godfrey, CHOICE: 36 favourable, 36 neutral &amp; 1 unfavourable comments, 73 in total, with a 57.0 average rating&#10;Mary Barry, Heart Foundation: 34 favourable &amp; 11 neutral comments, 45 in total, with a 61.3 average rating&#10;Fiona Nash, Former Federal Assistant Health Minister: 33 favourable &amp; 4 neutral comments, 37 in total, with a 64.3 average rating&#10;Michael Moore, Public Health Association: 20 favourable &amp; 3 neutral comments, 23 in total, with a 66.7 average rating&#10;Mark Lawrence, Deakin University: 1 favourable, 6 neutral &amp; 7 unfavourable comments, 14 in total, with a 44.6 average rating&#10;Bruce Neal, The George Institute: 7 favourable, 5 neutral &amp; 1 unfavourable comments, 14 in total, with a 58.9 average rating" title="Leading spokespeople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001125" cy="2409531"/>
                    </a:xfrm>
                    <a:prstGeom prst="rect">
                      <a:avLst/>
                    </a:prstGeom>
                    <a:noFill/>
                    <a:ln>
                      <a:noFill/>
                    </a:ln>
                  </pic:spPr>
                </pic:pic>
              </a:graphicData>
            </a:graphic>
          </wp:inline>
        </w:drawing>
      </w:r>
    </w:p>
    <w:p w:rsidR="008E2432" w:rsidRDefault="008E2432" w:rsidP="008E2432">
      <w:pPr>
        <w:pStyle w:val="BodyText"/>
      </w:pPr>
    </w:p>
    <w:p w:rsidR="008E2432" w:rsidRDefault="008E2432" w:rsidP="008E2432">
      <w:pPr>
        <w:pStyle w:val="BodyText"/>
        <w:sectPr w:rsidR="008E2432" w:rsidSect="008E2432">
          <w:headerReference w:type="default" r:id="rId33"/>
          <w:footerReference w:type="first" r:id="rId34"/>
          <w:pgSz w:w="16839" w:h="11907" w:orient="landscape" w:code="9"/>
          <w:pgMar w:top="567" w:right="1242" w:bottom="964" w:left="1247" w:header="142" w:footer="397" w:gutter="0"/>
          <w:cols w:space="283" w:equalWidth="0">
            <w:col w:w="14350" w:space="283"/>
          </w:cols>
          <w:formProt w:val="0"/>
          <w:titlePg/>
          <w:docGrid w:linePitch="360"/>
        </w:sectPr>
      </w:pPr>
    </w:p>
    <w:p w:rsidR="008E2432" w:rsidRDefault="008E2432" w:rsidP="008E2432">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r>
        <w:t xml:space="preserve"> </w:t>
      </w:r>
      <w:bookmarkStart w:id="51" w:name="_Toc480283424"/>
      <w:bookmarkStart w:id="52" w:name="_Toc483493711"/>
      <w:bookmarkStart w:id="53" w:name="_Toc485374978"/>
      <w:r>
        <w:t xml:space="preserve">Quarterly </w:t>
      </w:r>
      <w:r w:rsidRPr="00F064E4">
        <w:t>Breakdown</w:t>
      </w:r>
      <w:bookmarkEnd w:id="51"/>
      <w:bookmarkEnd w:id="52"/>
      <w:bookmarkEnd w:id="53"/>
    </w:p>
    <w:p w:rsidR="008E2432" w:rsidRDefault="008E2432" w:rsidP="000C48A1">
      <w:pPr>
        <w:pStyle w:val="Heading2"/>
        <w:sectPr w:rsidR="008E2432" w:rsidSect="008E2432">
          <w:pgSz w:w="16839" w:h="11907" w:orient="landscape" w:code="9"/>
          <w:pgMar w:top="567" w:right="1242" w:bottom="964" w:left="1247" w:header="142" w:footer="397" w:gutter="0"/>
          <w:cols w:space="283"/>
          <w:formProt w:val="0"/>
          <w:titlePg/>
          <w:docGrid w:linePitch="360"/>
        </w:sectPr>
      </w:pPr>
    </w:p>
    <w:p w:rsidR="008E2432" w:rsidRDefault="008E2432" w:rsidP="000C48A1">
      <w:pPr>
        <w:pStyle w:val="Heading2"/>
      </w:pPr>
      <w:bookmarkStart w:id="54" w:name="_Toc483493712"/>
      <w:bookmarkStart w:id="55" w:name="_Toc485374979"/>
      <w:r>
        <w:t>Quarter 3 2014</w:t>
      </w:r>
      <w:bookmarkEnd w:id="54"/>
      <w:bookmarkEnd w:id="55"/>
    </w:p>
    <w:p w:rsidR="008E2432" w:rsidRDefault="008E2432" w:rsidP="008E2432">
      <w:pPr>
        <w:pStyle w:val="Caption"/>
        <w:sectPr w:rsidR="008E2432" w:rsidSect="008E2432">
          <w:type w:val="continuous"/>
          <w:pgSz w:w="16839" w:h="11907" w:orient="landscape" w:code="9"/>
          <w:pgMar w:top="567"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17</w:t>
        </w:r>
      </w:fldSimple>
      <w:r>
        <w:rPr>
          <w:noProof/>
        </w:rPr>
        <w:t xml:space="preserve"> Messages by stakeholders: Quarter 3 2014</w:t>
      </w:r>
    </w:p>
    <w:p w:rsidR="008E2432" w:rsidRDefault="008E2432" w:rsidP="008E2432">
      <w:pPr>
        <w:pStyle w:val="Figure"/>
      </w:pPr>
      <w:r w:rsidRPr="001E6339">
        <w:rPr>
          <w:noProof/>
        </w:rPr>
        <w:drawing>
          <wp:inline distT="0" distB="0" distL="0" distR="0" wp14:anchorId="153BE594" wp14:editId="35E30D4C">
            <wp:extent cx="4404567" cy="5035097"/>
            <wp:effectExtent l="0" t="0" r="0" b="0"/>
            <wp:docPr id="5" name="Picture 5" descr="Chart 17 is a horizontal stacked bar chart which shows the number of favourable and unfavourable messages conveyed by each stakeholder group in Quarter 3 2014.&#10;Favourable messages:&#10;Health Star Rating has industry support: 7 mentions by the food manufacturing industry and 1 by consumers/conumer advocates; 8 mentions in total.&#10;Health Star Rating is superior to other systems: 2 mentions by the food manufacturing industry, 3 by public health/medical and 2 by consumers/consumer advocates; 7 mentions in total.&#10;Health Star Rating will drive changes in consumer behaviour: 2 mentions by the food manufacturing industry, 2 by public health/medical, 1 by consumers/consumer advocates, and 1 by government/bureaucracy; 6 mentions in total.&#10;Food industry is acting to introduce : 4 mentions by the food manufacturing industry, 1 by public health/medical and 1 by consumers/consumer advocates; 6 mentions in total.&#10;Health Star Rating is an effective public health strategy: 1 mention by the food manufacturing industry, 3 by public health/medical, 1 by consumers/consumer advocates and 1 by government/bureaucracy; 6 mentions in total.&#10;Unfavourable messages:&#10;Ratings are misleading: 1 mention by the food manufacturing industry, 1 by public health/medical, 1 by consumers/consumer advocates and 2 by primary producers; 5 mentions in total.&#10;Fresh/unprocessed foods/juices do not rate highly: 1 mention by the public health/medical industry, 1 by consumers/consumer advocates and 3 by primary producers; 5 mentions in total.&#10;Ratings do not provide fair/realistic comparisons: 1 mention by the public health/medical industry and 1 by primary producers; 2 mentions in total.&#10;Health Star Rating does not have industry support: 2 mentions by the public health/medical industry; 2 mentions in total." title="Messages by stakeholders: Quarter 3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2</w:t>
        </w:r>
      </w:fldSimple>
      <w:r>
        <w:t xml:space="preserve"> Leading spokespeople</w:t>
      </w:r>
      <w:r>
        <w:rPr>
          <w:noProof/>
        </w:rPr>
        <w:t>: Quarter 3 2014</w:t>
      </w:r>
    </w:p>
    <w:p w:rsidR="008E2432" w:rsidRPr="00493108" w:rsidRDefault="008E2432" w:rsidP="008E2432">
      <w:pPr>
        <w:pStyle w:val="BodyText"/>
        <w:rPr>
          <w:i/>
        </w:rPr>
      </w:pPr>
      <w:r>
        <w:rPr>
          <w:i/>
        </w:rPr>
        <w:t>This table shows the most frequently cited spokespeople in Quarter 3 2014,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2 is a list of the most frequently cited spokespeople in Quarter 3 2014,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4E6559" w:rsidRPr="004E6559" w:rsidRDefault="008E2432" w:rsidP="004E6559">
            <w:pPr>
              <w:pStyle w:val="TableTextHeading"/>
              <w:rPr>
                <w:caps w:val="0"/>
              </w:rPr>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tcPr>
          <w:p w:rsidR="008E2432" w:rsidRDefault="00370486" w:rsidP="008E2432">
            <w:pPr>
              <w:pStyle w:val="TableText"/>
            </w:pPr>
            <w:r>
              <w:t>Andrew Wh</w:t>
            </w:r>
            <w:r w:rsidR="008E2432">
              <w:t>ite, Ausveg</w:t>
            </w:r>
          </w:p>
        </w:tc>
        <w:tc>
          <w:tcPr>
            <w:tcW w:w="1205" w:type="dxa"/>
            <w:noWrap/>
            <w:vAlign w:val="bottom"/>
          </w:tcPr>
          <w:p w:rsidR="008E2432" w:rsidRDefault="008E2432" w:rsidP="008E2432">
            <w:pPr>
              <w:pStyle w:val="TableTextRight"/>
            </w:pPr>
            <w:r>
              <w:t>8</w:t>
            </w:r>
          </w:p>
        </w:tc>
        <w:tc>
          <w:tcPr>
            <w:tcW w:w="1205" w:type="dxa"/>
            <w:noWrap/>
            <w:vAlign w:val="bottom"/>
          </w:tcPr>
          <w:p w:rsidR="008E2432" w:rsidRDefault="008E2432" w:rsidP="008E2432">
            <w:pPr>
              <w:pStyle w:val="TableTextRight"/>
            </w:pPr>
            <w:r>
              <w:t>31.9</w:t>
            </w:r>
          </w:p>
        </w:tc>
      </w:tr>
      <w:tr w:rsidR="008E2432" w:rsidRPr="00FB7DF8" w:rsidTr="008E2432">
        <w:trPr>
          <w:trHeight w:val="225"/>
        </w:trPr>
        <w:tc>
          <w:tcPr>
            <w:tcW w:w="4786" w:type="dxa"/>
            <w:noWrap/>
            <w:vAlign w:val="bottom"/>
          </w:tcPr>
          <w:p w:rsidR="008E2432" w:rsidRDefault="008E2432" w:rsidP="008E2432">
            <w:pPr>
              <w:pStyle w:val="TableText"/>
            </w:pPr>
            <w:r>
              <w:t>Gary Dawson,  Food &amp; Grocery Council</w:t>
            </w:r>
          </w:p>
        </w:tc>
        <w:tc>
          <w:tcPr>
            <w:tcW w:w="1205" w:type="dxa"/>
            <w:noWrap/>
            <w:vAlign w:val="bottom"/>
          </w:tcPr>
          <w:p w:rsidR="008E2432" w:rsidRDefault="008E2432" w:rsidP="008E2432">
            <w:pPr>
              <w:pStyle w:val="TableTextRight"/>
            </w:pPr>
            <w:r>
              <w:t>7</w:t>
            </w:r>
          </w:p>
        </w:tc>
        <w:tc>
          <w:tcPr>
            <w:tcW w:w="1205" w:type="dxa"/>
            <w:noWrap/>
            <w:vAlign w:val="bottom"/>
          </w:tcPr>
          <w:p w:rsidR="008E2432" w:rsidRDefault="008E2432" w:rsidP="008E2432">
            <w:pPr>
              <w:pStyle w:val="TableTextRight"/>
            </w:pPr>
            <w:r>
              <w:t>60.7</w:t>
            </w:r>
          </w:p>
        </w:tc>
      </w:tr>
      <w:tr w:rsidR="008E2432" w:rsidRPr="00FB7DF8" w:rsidTr="008E2432">
        <w:trPr>
          <w:trHeight w:val="225"/>
        </w:trPr>
        <w:tc>
          <w:tcPr>
            <w:tcW w:w="4786" w:type="dxa"/>
            <w:noWrap/>
            <w:vAlign w:val="bottom"/>
          </w:tcPr>
          <w:p w:rsidR="008E2432" w:rsidRDefault="008E2432" w:rsidP="008E2432">
            <w:pPr>
              <w:pStyle w:val="TableText"/>
            </w:pPr>
            <w:r>
              <w:t>Lisa Yates, Nuts for Life</w:t>
            </w:r>
          </w:p>
        </w:tc>
        <w:tc>
          <w:tcPr>
            <w:tcW w:w="1205" w:type="dxa"/>
            <w:noWrap/>
            <w:vAlign w:val="bottom"/>
          </w:tcPr>
          <w:p w:rsidR="008E2432" w:rsidRDefault="008E2432" w:rsidP="008E2432">
            <w:pPr>
              <w:pStyle w:val="TableTextRight"/>
            </w:pPr>
            <w:r>
              <w:t>3</w:t>
            </w:r>
          </w:p>
        </w:tc>
        <w:tc>
          <w:tcPr>
            <w:tcW w:w="1205" w:type="dxa"/>
            <w:noWrap/>
            <w:vAlign w:val="bottom"/>
          </w:tcPr>
          <w:p w:rsidR="008E2432" w:rsidRDefault="008E2432" w:rsidP="008E2432">
            <w:pPr>
              <w:pStyle w:val="TableTextRight"/>
            </w:pPr>
            <w:r>
              <w:t>63.3</w:t>
            </w:r>
          </w:p>
        </w:tc>
      </w:tr>
      <w:tr w:rsidR="008E2432" w:rsidRPr="00FB7DF8" w:rsidTr="008E2432">
        <w:trPr>
          <w:trHeight w:val="225"/>
        </w:trPr>
        <w:tc>
          <w:tcPr>
            <w:tcW w:w="4786" w:type="dxa"/>
            <w:noWrap/>
            <w:vAlign w:val="bottom"/>
          </w:tcPr>
          <w:p w:rsidR="008E2432" w:rsidRDefault="008E2432" w:rsidP="008E2432">
            <w:pPr>
              <w:pStyle w:val="TableText"/>
            </w:pPr>
            <w:r>
              <w:t>Trevor Lauman, Monster Health Food</w:t>
            </w:r>
          </w:p>
        </w:tc>
        <w:tc>
          <w:tcPr>
            <w:tcW w:w="1205" w:type="dxa"/>
            <w:noWrap/>
            <w:vAlign w:val="bottom"/>
          </w:tcPr>
          <w:p w:rsidR="008E2432" w:rsidRDefault="008E2432" w:rsidP="008E2432">
            <w:pPr>
              <w:pStyle w:val="TableTextRight"/>
            </w:pPr>
            <w:r>
              <w:t>3</w:t>
            </w:r>
          </w:p>
        </w:tc>
        <w:tc>
          <w:tcPr>
            <w:tcW w:w="1205" w:type="dxa"/>
            <w:noWrap/>
            <w:vAlign w:val="bottom"/>
          </w:tcPr>
          <w:p w:rsidR="008E2432" w:rsidRDefault="008E2432" w:rsidP="008E2432">
            <w:pPr>
              <w:pStyle w:val="TableTextRight"/>
            </w:pPr>
            <w:r>
              <w:t>68.3</w:t>
            </w:r>
          </w:p>
        </w:tc>
      </w:tr>
      <w:tr w:rsidR="008E2432" w:rsidRPr="00FB7DF8" w:rsidTr="008E2432">
        <w:trPr>
          <w:trHeight w:val="225"/>
        </w:trPr>
        <w:tc>
          <w:tcPr>
            <w:tcW w:w="4786" w:type="dxa"/>
            <w:noWrap/>
            <w:vAlign w:val="bottom"/>
          </w:tcPr>
          <w:p w:rsidR="008E2432" w:rsidRDefault="008E2432" w:rsidP="008E2432">
            <w:pPr>
              <w:pStyle w:val="TableText"/>
            </w:pPr>
            <w:r>
              <w:t>Jane Martin, Obesity Policy Coalition</w:t>
            </w:r>
          </w:p>
        </w:tc>
        <w:tc>
          <w:tcPr>
            <w:tcW w:w="1205" w:type="dxa"/>
            <w:noWrap/>
            <w:vAlign w:val="bottom"/>
          </w:tcPr>
          <w:p w:rsidR="008E2432" w:rsidRDefault="008E2432" w:rsidP="008E2432">
            <w:pPr>
              <w:pStyle w:val="TableTextRight"/>
            </w:pPr>
            <w:r>
              <w:t>3</w:t>
            </w:r>
          </w:p>
        </w:tc>
        <w:tc>
          <w:tcPr>
            <w:tcW w:w="1205" w:type="dxa"/>
            <w:noWrap/>
            <w:vAlign w:val="bottom"/>
          </w:tcPr>
          <w:p w:rsidR="008E2432" w:rsidRDefault="008E2432" w:rsidP="008E2432">
            <w:pPr>
              <w:pStyle w:val="TableTextRight"/>
            </w:pPr>
            <w:r>
              <w:t>61.7</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567"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18</w:t>
        </w:r>
      </w:fldSimple>
      <w:r>
        <w:rPr>
          <w:noProof/>
        </w:rPr>
        <w:t xml:space="preserve"> Stakeholders: Quarter 3 2014</w:t>
      </w:r>
    </w:p>
    <w:p w:rsidR="008E2432" w:rsidRDefault="008E2432" w:rsidP="008E2432">
      <w:pPr>
        <w:pStyle w:val="Figure"/>
      </w:pPr>
      <w:r w:rsidRPr="003C7712">
        <w:rPr>
          <w:noProof/>
        </w:rPr>
        <w:drawing>
          <wp:inline distT="0" distB="0" distL="0" distR="0" wp14:anchorId="6281EEBB" wp14:editId="2DB058C5">
            <wp:extent cx="8899921" cy="2409825"/>
            <wp:effectExtent l="0" t="0" r="0" b="0"/>
            <wp:docPr id="46" name="Picture 46" descr="This stacked bar chart shows the volume and favourability of coverage which mentioned each stakeholder in Quarte3 2014, with a line graph showing the average favourabliity of reports for each stakeholder.&#10;Food manufacturing industry: 22 favourable, 11 neutral &amp; 5 unfavourable reports, 38 in total, with a 55.1 average rating&#10;Government/bureaucracy: 20 favourable, 7 neutral &amp; 5 unfavourable reports, 32 in total, with a 54.4 average rating&#10;Consumers/consumer advocates: 14 favourable, 5 neutral &amp; 8 unfavourable reports, 27 in total, with a 50.9 average rating&#10;Public health/medical: 15 favourable, 3 neutral &amp; 4 unfavourable reports, 22 in total, with a 53.9 average rating&#10;Primary producers: 1 favourable, 2 neutral &amp; 10 unfavourable reports, 13 in total, with a 38.8 average rating&#10;Food retail industry: 5 neutral reports, with a 50.0 average rating&#10;Other: 1 favourable report, with a 60.0 rating" title="Stakeholders: Q3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D3637D" w:rsidRDefault="008E2432" w:rsidP="008E2432">
      <w:pPr>
        <w:pStyle w:val="BodyText"/>
        <w:sectPr w:rsidR="008E2432" w:rsidRPr="00D3637D"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56" w:name="_Toc483493713"/>
      <w:bookmarkStart w:id="57" w:name="_Toc485374980"/>
      <w:r>
        <w:t>Quarter 4 2014</w:t>
      </w:r>
      <w:bookmarkEnd w:id="56"/>
      <w:bookmarkEnd w:id="57"/>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19</w:t>
        </w:r>
      </w:fldSimple>
      <w:r>
        <w:rPr>
          <w:noProof/>
        </w:rPr>
        <w:t xml:space="preserve"> Messages by stakeholders: Quarter 4 2014</w:t>
      </w:r>
    </w:p>
    <w:p w:rsidR="008E2432" w:rsidRDefault="008E2432" w:rsidP="008E2432">
      <w:pPr>
        <w:pStyle w:val="Figure"/>
      </w:pPr>
      <w:r w:rsidRPr="006051BA">
        <w:rPr>
          <w:noProof/>
        </w:rPr>
        <w:drawing>
          <wp:inline distT="0" distB="0" distL="0" distR="0" wp14:anchorId="587C2659" wp14:editId="2DD8194C">
            <wp:extent cx="4404567" cy="5035097"/>
            <wp:effectExtent l="0" t="0" r="0" b="0"/>
            <wp:docPr id="3" name="Picture 3" descr="Chart 19 is a horizontal stacked bar chart which shows the number of favourable and unfavourable messages most often conveyed overall, broken down by by each stakeholder group, in Quarter 4 2014.&#10;Favourable messages:&#10;Health Star Rating has government support: 12 mentions by government/bureaucracy, 3 by public health/medical and 1 by food manufacturing industry; 16 mentions in total&#10;Labels communicate effectively with consumers: 8 mentions by government/bureaucracy, 4 by public health/medical and 2 by food manufacturing industry; 14 mentions in total&#10;Food industry is acting to introduce Health Star Rating: 2 mentions by government/bureacracy, 2 by public health/medical, 6 by food manufacturing industry and 1 by other; 11 mentions in total&#10;Health Star Rating reflects agreed public health policy: 4 mentions by government/bureaucracy, 4 by public health/medical and 1 by consumers/consumer advocates; 9 mentions in total&#10;Health Star Rating is an effective public health strategy: 2 mentions by government/bureaucracy and 5 by public health/medical; 7 mentions in total&#10;Unfavourable messages:&#10;Food industry is not acting to introduce Health Star Rating: 3 mentions by the public health/medical industry; 3 mentions in total&#10;Health Star Rating does not have government support: 2 mentions by government/bureaucracy and 1 by public health/medical; 3 mentions in total&#10;Health Star Rating does not have industry support: 1 mention by public health/medical and 1 by food manufacturing industry; 2 mentions in total&#10;Ratings are misleading: 1 mention by primary producers&#10;Fresh/unprocessed foods/juices do not rate highly: 1 mention by primary producers" title="Leading messages by stakeholders: Q4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3</w:t>
        </w:r>
      </w:fldSimple>
      <w:r>
        <w:t xml:space="preserve"> Leading spokespeople</w:t>
      </w:r>
      <w:r>
        <w:rPr>
          <w:noProof/>
        </w:rPr>
        <w:t>: Quarter 4 2014</w:t>
      </w:r>
    </w:p>
    <w:p w:rsidR="008E2432" w:rsidRPr="00493108" w:rsidRDefault="008E2432" w:rsidP="008E2432">
      <w:pPr>
        <w:pStyle w:val="Figure"/>
      </w:pPr>
      <w:r>
        <w:rPr>
          <w:i/>
        </w:rPr>
        <w:t>This table shows the most frequently cited spokespeople in Quarter 4 2014,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3 is a list of the most frequently cited spokespeople in Quarter 4 2014,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tcPr>
          <w:p w:rsidR="008E2432" w:rsidRDefault="008E2432" w:rsidP="008E2432">
            <w:pPr>
              <w:pStyle w:val="TableText"/>
            </w:pPr>
            <w:r>
              <w:t>Fiona Nash, Former Federal Assistant Health Minister</w:t>
            </w:r>
          </w:p>
        </w:tc>
        <w:tc>
          <w:tcPr>
            <w:tcW w:w="1205" w:type="dxa"/>
            <w:noWrap/>
          </w:tcPr>
          <w:p w:rsidR="008E2432" w:rsidRDefault="008E2432" w:rsidP="008E2432">
            <w:pPr>
              <w:pStyle w:val="TableText"/>
              <w:jc w:val="right"/>
            </w:pPr>
            <w:r>
              <w:t>16</w:t>
            </w:r>
          </w:p>
        </w:tc>
        <w:tc>
          <w:tcPr>
            <w:tcW w:w="1205" w:type="dxa"/>
            <w:noWrap/>
          </w:tcPr>
          <w:p w:rsidR="008E2432" w:rsidRDefault="008E2432" w:rsidP="008E2432">
            <w:pPr>
              <w:pStyle w:val="TableText"/>
              <w:jc w:val="right"/>
            </w:pPr>
            <w:r>
              <w:t>65.6</w:t>
            </w:r>
          </w:p>
        </w:tc>
      </w:tr>
      <w:tr w:rsidR="008E2432" w:rsidRPr="00FB7DF8" w:rsidTr="008E2432">
        <w:trPr>
          <w:trHeight w:val="225"/>
        </w:trPr>
        <w:tc>
          <w:tcPr>
            <w:tcW w:w="4786" w:type="dxa"/>
            <w:noWrap/>
            <w:vAlign w:val="bottom"/>
          </w:tcPr>
          <w:p w:rsidR="008E2432" w:rsidRDefault="008E2432" w:rsidP="008E2432">
            <w:pPr>
              <w:pStyle w:val="TableText"/>
            </w:pPr>
            <w:r>
              <w:t>Mary Barry, Heart Foundation</w:t>
            </w:r>
          </w:p>
        </w:tc>
        <w:tc>
          <w:tcPr>
            <w:tcW w:w="1205" w:type="dxa"/>
            <w:noWrap/>
          </w:tcPr>
          <w:p w:rsidR="008E2432" w:rsidRDefault="008E2432" w:rsidP="008E2432">
            <w:pPr>
              <w:pStyle w:val="TableText"/>
              <w:jc w:val="right"/>
            </w:pPr>
            <w:r>
              <w:t>14</w:t>
            </w:r>
          </w:p>
        </w:tc>
        <w:tc>
          <w:tcPr>
            <w:tcW w:w="1205" w:type="dxa"/>
            <w:noWrap/>
          </w:tcPr>
          <w:p w:rsidR="008E2432" w:rsidRDefault="008E2432" w:rsidP="008E2432">
            <w:pPr>
              <w:pStyle w:val="TableText"/>
              <w:jc w:val="right"/>
            </w:pPr>
            <w:r>
              <w:t>66.1</w:t>
            </w:r>
          </w:p>
        </w:tc>
      </w:tr>
      <w:tr w:rsidR="008E2432" w:rsidRPr="00FB7DF8" w:rsidTr="008E2432">
        <w:trPr>
          <w:trHeight w:val="225"/>
        </w:trPr>
        <w:tc>
          <w:tcPr>
            <w:tcW w:w="4786" w:type="dxa"/>
            <w:noWrap/>
            <w:vAlign w:val="bottom"/>
          </w:tcPr>
          <w:p w:rsidR="008E2432" w:rsidRDefault="008E2432" w:rsidP="008E2432">
            <w:pPr>
              <w:pStyle w:val="TableText"/>
            </w:pPr>
            <w:r>
              <w:t>Michael Moore, Public Health Association</w:t>
            </w:r>
          </w:p>
        </w:tc>
        <w:tc>
          <w:tcPr>
            <w:tcW w:w="1205" w:type="dxa"/>
            <w:noWrap/>
          </w:tcPr>
          <w:p w:rsidR="008E2432" w:rsidRDefault="008E2432" w:rsidP="008E2432">
            <w:pPr>
              <w:pStyle w:val="TableText"/>
              <w:jc w:val="right"/>
            </w:pPr>
            <w:r>
              <w:t>10</w:t>
            </w:r>
          </w:p>
        </w:tc>
        <w:tc>
          <w:tcPr>
            <w:tcW w:w="1205" w:type="dxa"/>
            <w:noWrap/>
          </w:tcPr>
          <w:p w:rsidR="008E2432" w:rsidRDefault="008E2432" w:rsidP="008E2432">
            <w:pPr>
              <w:pStyle w:val="TableText"/>
              <w:jc w:val="right"/>
            </w:pPr>
            <w:r>
              <w:t>71.0</w:t>
            </w:r>
          </w:p>
        </w:tc>
      </w:tr>
      <w:tr w:rsidR="008E2432" w:rsidRPr="00FB7DF8" w:rsidTr="008E2432">
        <w:trPr>
          <w:trHeight w:val="225"/>
        </w:trPr>
        <w:tc>
          <w:tcPr>
            <w:tcW w:w="4786" w:type="dxa"/>
            <w:noWrap/>
            <w:vAlign w:val="bottom"/>
          </w:tcPr>
          <w:p w:rsidR="008E2432" w:rsidRDefault="008E2432" w:rsidP="008E2432">
            <w:pPr>
              <w:pStyle w:val="TableText"/>
            </w:pPr>
            <w:r>
              <w:t>Bruce Neal, The George Institute</w:t>
            </w:r>
          </w:p>
        </w:tc>
        <w:tc>
          <w:tcPr>
            <w:tcW w:w="1205" w:type="dxa"/>
            <w:noWrap/>
          </w:tcPr>
          <w:p w:rsidR="008E2432" w:rsidRDefault="008E2432" w:rsidP="008E2432">
            <w:pPr>
              <w:pStyle w:val="TableText"/>
              <w:jc w:val="right"/>
            </w:pPr>
            <w:r>
              <w:t>3</w:t>
            </w:r>
          </w:p>
        </w:tc>
        <w:tc>
          <w:tcPr>
            <w:tcW w:w="1205" w:type="dxa"/>
            <w:noWrap/>
          </w:tcPr>
          <w:p w:rsidR="008E2432" w:rsidRDefault="008E2432" w:rsidP="008E2432">
            <w:pPr>
              <w:pStyle w:val="TableText"/>
              <w:jc w:val="right"/>
            </w:pPr>
            <w:r>
              <w:t>65.0</w:t>
            </w:r>
          </w:p>
        </w:tc>
      </w:tr>
      <w:tr w:rsidR="008E2432" w:rsidRPr="00FB7DF8" w:rsidTr="008E2432">
        <w:trPr>
          <w:trHeight w:val="225"/>
        </w:trPr>
        <w:tc>
          <w:tcPr>
            <w:tcW w:w="4786" w:type="dxa"/>
            <w:noWrap/>
            <w:vAlign w:val="bottom"/>
          </w:tcPr>
          <w:p w:rsidR="008E2432" w:rsidRDefault="008E2432" w:rsidP="008E2432">
            <w:pPr>
              <w:pStyle w:val="TableText"/>
            </w:pPr>
            <w:r>
              <w:t>Jane Martin, Obesity Policy Coalition</w:t>
            </w:r>
          </w:p>
        </w:tc>
        <w:tc>
          <w:tcPr>
            <w:tcW w:w="1205" w:type="dxa"/>
            <w:noWrap/>
          </w:tcPr>
          <w:p w:rsidR="008E2432" w:rsidRDefault="008E2432" w:rsidP="008E2432">
            <w:pPr>
              <w:pStyle w:val="TableText"/>
              <w:jc w:val="right"/>
            </w:pPr>
            <w:r>
              <w:t>3</w:t>
            </w:r>
          </w:p>
        </w:tc>
        <w:tc>
          <w:tcPr>
            <w:tcW w:w="1205" w:type="dxa"/>
            <w:noWrap/>
          </w:tcPr>
          <w:p w:rsidR="008E2432" w:rsidRDefault="008E2432" w:rsidP="008E2432">
            <w:pPr>
              <w:pStyle w:val="TableText"/>
              <w:jc w:val="right"/>
            </w:pPr>
            <w:r>
              <w:t>70.0</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20</w:t>
        </w:r>
      </w:fldSimple>
      <w:r>
        <w:rPr>
          <w:noProof/>
        </w:rPr>
        <w:t xml:space="preserve"> Stakeholders: Quarter 4 2014</w:t>
      </w:r>
    </w:p>
    <w:p w:rsidR="008E2432" w:rsidRDefault="008E2432" w:rsidP="008E2432">
      <w:pPr>
        <w:pStyle w:val="Figure"/>
      </w:pPr>
      <w:r w:rsidRPr="003C7712">
        <w:rPr>
          <w:noProof/>
        </w:rPr>
        <w:drawing>
          <wp:inline distT="0" distB="0" distL="0" distR="0" wp14:anchorId="564F40D7" wp14:editId="397755D7">
            <wp:extent cx="8899921" cy="2409825"/>
            <wp:effectExtent l="0" t="0" r="0" b="0"/>
            <wp:docPr id="47" name="Picture 47" descr="This stacked bar chart shows the volume and favourability of coverage which mentioned each stakeholder in Quarter 4 2014, with a line graph showing the average favourabliity of reports for each stakeholder.&#10;Public health/medical: 25 favourable &amp; 18 neutral mentions, 43 in total, with a 58.8 average rating&#10;Food manufacturing industry: 25 favourable &amp; 7 neutral mentions, 32 in total, with a 59.5 average rating&#10;Government/bureaucracy: 28 favourable &amp; 4 neutral mentions, 32 in total, with a 63.1 average rating&#10;Consumers/consumer advocates: 18 favourable &amp; 3 neutral mentions, 21 in total, with a 61.4 average rating&#10;Food retail industry: 1 favourable &amp; 3 neutral mentions, 4 in total, with a 56.3 average rating&#10;Primary producers: 1 neutral &amp; 1 unfavourable mention, 2 in total, with a 47.5 average rating&#10;Other: 1 favourable mention, with a 55.0 rating" title="Stakeholders: Quarter 4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D3637D" w:rsidRDefault="008E2432" w:rsidP="008E2432">
      <w:pPr>
        <w:pStyle w:val="BodyText"/>
        <w:sectPr w:rsidR="008E2432" w:rsidRPr="00D3637D"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58" w:name="_Toc483493714"/>
      <w:bookmarkStart w:id="59" w:name="_Toc485374981"/>
      <w:r>
        <w:t>Quarter 1 2015</w:t>
      </w:r>
      <w:bookmarkEnd w:id="58"/>
      <w:bookmarkEnd w:id="59"/>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21</w:t>
        </w:r>
      </w:fldSimple>
      <w:r>
        <w:rPr>
          <w:noProof/>
        </w:rPr>
        <w:t xml:space="preserve"> Messages by stakeholders: Quarter 1 2015</w:t>
      </w:r>
    </w:p>
    <w:p w:rsidR="008E2432" w:rsidRDefault="008E2432" w:rsidP="008E2432">
      <w:pPr>
        <w:pStyle w:val="Figure"/>
      </w:pPr>
      <w:r w:rsidRPr="00B87792">
        <w:rPr>
          <w:noProof/>
        </w:rPr>
        <w:drawing>
          <wp:inline distT="0" distB="0" distL="0" distR="0" wp14:anchorId="3BA41BD2" wp14:editId="21CC22EE">
            <wp:extent cx="4401440" cy="5396787"/>
            <wp:effectExtent l="0" t="0" r="0" b="0"/>
            <wp:docPr id="7" name="Picture 7" descr="Chart 21 is a horizontal stacked bar chart which shows the number of favourable and unfavourable messages most often conveyed overall, broken down by by each stakeholder group, in Quarter 1 2015.&#10;Favourable messages:&#10;Health Star Rating should be mandatory: 21 mentions by public health/medical and 11 by consumers/consumer advocates; 32 mentions in total&#10;Labels communicate effectively with consumers: 12 mentions by public health/medical, 5 by consumers/consumer advocates, 3 by food manufacturing industry and 6 by government/bureaucracy; 26 mentions in total&#10;Health Star Rating drives innovation/product reformulation:10 mentions by public health/medical, 2 by consumers/consumer advocates and 4 by food manufacturing industry; 16 mentions in total&#10;Health Star Rating will drive changes in consumer behaviour: 2 mentions by public health/medical, 6 by consumers/consumer advocates and 4 by government/bureaucracy; 12 mentions in total&#10;Food industry is acting to introduce Health Star Rating: 1 mention by consumers/consumer advocates, 8 mentions by food manufacturing industry and 3 by government/bureaucracy; 12 mentions in total&#10;Unfavourable messages:&#10;Ratings are misleading: 1 mention by consumers/consumer advocates, 1 by food manufacturing industry, and 8 mentions by primary producers; 10 mentions in total&#10;Fresh/unprocessed foods/juices do not rate highly: 8 mentions by primary producers&#10;Health Star Rating is not accurate: 2 mentions by consumers/consumer advocates and 1 by food manufacturing industry; 3 mentions in total&#10;Health Star Rating does not have government support: 2 mentions by public health/medical and 1 by consumers/consumer advocates; 3 mentions in total" title="Leading messages by stakeholders: Quarter 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401440" cy="539678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4</w:t>
        </w:r>
      </w:fldSimple>
      <w:r>
        <w:t xml:space="preserve"> Leading spokespeople</w:t>
      </w:r>
      <w:r>
        <w:rPr>
          <w:noProof/>
        </w:rPr>
        <w:t>: Quarter 1 2015</w:t>
      </w:r>
    </w:p>
    <w:p w:rsidR="008E2432" w:rsidRPr="00493108" w:rsidRDefault="008E2432" w:rsidP="008E2432">
      <w:pPr>
        <w:pStyle w:val="Figure"/>
      </w:pPr>
      <w:r>
        <w:rPr>
          <w:i/>
        </w:rPr>
        <w:t>This table shows the most frequently cited spokespeople in Quarter 1 2015,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4 is a list of the most frequently cited spokespeople in Quarter 1 2015, the volume of reports in which they were cited, and the average favourability of this coverage. This table contains three heading columns: 1. Spokespeople, 2. Volume and 3. Average Favourability."/>
      </w:tblPr>
      <w:tblGrid>
        <w:gridCol w:w="5353"/>
        <w:gridCol w:w="921"/>
        <w:gridCol w:w="922"/>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5353" w:type="dxa"/>
            <w:noWrap/>
            <w:hideMark/>
          </w:tcPr>
          <w:p w:rsidR="008E2432" w:rsidRPr="00FB7DF8" w:rsidRDefault="008E2432" w:rsidP="008E2432">
            <w:pPr>
              <w:pStyle w:val="TableTextHeading"/>
            </w:pPr>
            <w:r>
              <w:rPr>
                <w:caps w:val="0"/>
              </w:rPr>
              <w:t>Spokespeople</w:t>
            </w:r>
          </w:p>
        </w:tc>
        <w:tc>
          <w:tcPr>
            <w:tcW w:w="921" w:type="dxa"/>
            <w:noWrap/>
            <w:hideMark/>
          </w:tcPr>
          <w:p w:rsidR="008E2432" w:rsidRPr="00FB7DF8" w:rsidRDefault="008E2432" w:rsidP="008E2432">
            <w:pPr>
              <w:pStyle w:val="TableTextHeadingRight"/>
            </w:pPr>
            <w:r w:rsidRPr="00FB7DF8">
              <w:rPr>
                <w:caps w:val="0"/>
              </w:rPr>
              <w:t>Vol</w:t>
            </w:r>
          </w:p>
        </w:tc>
        <w:tc>
          <w:tcPr>
            <w:tcW w:w="922"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5353" w:type="dxa"/>
            <w:noWrap/>
            <w:vAlign w:val="bottom"/>
          </w:tcPr>
          <w:p w:rsidR="008E2432" w:rsidRDefault="008E2432" w:rsidP="008E2432">
            <w:pPr>
              <w:pStyle w:val="TableText"/>
            </w:pPr>
            <w:r>
              <w:t>Jane Martin, Obesity Policy Coalition</w:t>
            </w:r>
          </w:p>
        </w:tc>
        <w:tc>
          <w:tcPr>
            <w:tcW w:w="921" w:type="dxa"/>
            <w:noWrap/>
          </w:tcPr>
          <w:p w:rsidR="008E2432" w:rsidRDefault="008E2432" w:rsidP="008E2432">
            <w:pPr>
              <w:pStyle w:val="TableText"/>
              <w:jc w:val="right"/>
            </w:pPr>
            <w:r>
              <w:t>14</w:t>
            </w:r>
          </w:p>
        </w:tc>
        <w:tc>
          <w:tcPr>
            <w:tcW w:w="922" w:type="dxa"/>
            <w:noWrap/>
          </w:tcPr>
          <w:p w:rsidR="008E2432" w:rsidRDefault="008E2432" w:rsidP="008E2432">
            <w:pPr>
              <w:pStyle w:val="TableText"/>
              <w:jc w:val="right"/>
            </w:pPr>
            <w:r>
              <w:t>62.9</w:t>
            </w:r>
          </w:p>
        </w:tc>
      </w:tr>
      <w:tr w:rsidR="008E2432" w:rsidRPr="00FB7DF8" w:rsidTr="008E2432">
        <w:trPr>
          <w:trHeight w:val="225"/>
        </w:trPr>
        <w:tc>
          <w:tcPr>
            <w:tcW w:w="5353" w:type="dxa"/>
            <w:noWrap/>
            <w:vAlign w:val="bottom"/>
          </w:tcPr>
          <w:p w:rsidR="008E2432" w:rsidRDefault="008E2432" w:rsidP="008E2432">
            <w:pPr>
              <w:pStyle w:val="TableText"/>
            </w:pPr>
            <w:r>
              <w:t xml:space="preserve">Kara Landau, </w:t>
            </w:r>
            <w:r w:rsidR="001E7545">
              <w:t>Dietician</w:t>
            </w:r>
          </w:p>
        </w:tc>
        <w:tc>
          <w:tcPr>
            <w:tcW w:w="921" w:type="dxa"/>
            <w:noWrap/>
          </w:tcPr>
          <w:p w:rsidR="008E2432" w:rsidRDefault="008E2432" w:rsidP="008E2432">
            <w:pPr>
              <w:pStyle w:val="TableText"/>
              <w:jc w:val="right"/>
            </w:pPr>
            <w:r>
              <w:t>10</w:t>
            </w:r>
          </w:p>
        </w:tc>
        <w:tc>
          <w:tcPr>
            <w:tcW w:w="922" w:type="dxa"/>
            <w:noWrap/>
          </w:tcPr>
          <w:p w:rsidR="008E2432" w:rsidRDefault="008E2432" w:rsidP="008E2432">
            <w:pPr>
              <w:pStyle w:val="TableText"/>
              <w:jc w:val="right"/>
            </w:pPr>
            <w:r>
              <w:t>64.0</w:t>
            </w:r>
          </w:p>
        </w:tc>
      </w:tr>
      <w:tr w:rsidR="008E2432" w:rsidRPr="00FB7DF8" w:rsidTr="008E2432">
        <w:trPr>
          <w:trHeight w:val="225"/>
        </w:trPr>
        <w:tc>
          <w:tcPr>
            <w:tcW w:w="5353" w:type="dxa"/>
            <w:noWrap/>
            <w:vAlign w:val="bottom"/>
          </w:tcPr>
          <w:p w:rsidR="008E2432" w:rsidRDefault="008E2432" w:rsidP="008E2432">
            <w:pPr>
              <w:pStyle w:val="TableText"/>
            </w:pPr>
            <w:r>
              <w:t>Tom Godfrey, CHOICE</w:t>
            </w:r>
          </w:p>
        </w:tc>
        <w:tc>
          <w:tcPr>
            <w:tcW w:w="921" w:type="dxa"/>
            <w:noWrap/>
          </w:tcPr>
          <w:p w:rsidR="008E2432" w:rsidRDefault="008E2432" w:rsidP="008E2432">
            <w:pPr>
              <w:pStyle w:val="TableText"/>
              <w:jc w:val="right"/>
            </w:pPr>
            <w:r>
              <w:t>10</w:t>
            </w:r>
          </w:p>
        </w:tc>
        <w:tc>
          <w:tcPr>
            <w:tcW w:w="922" w:type="dxa"/>
            <w:noWrap/>
          </w:tcPr>
          <w:p w:rsidR="008E2432" w:rsidRDefault="008E2432" w:rsidP="008E2432">
            <w:pPr>
              <w:pStyle w:val="TableText"/>
              <w:jc w:val="right"/>
            </w:pPr>
            <w:r>
              <w:t>58.5</w:t>
            </w:r>
          </w:p>
        </w:tc>
      </w:tr>
      <w:tr w:rsidR="008E2432" w:rsidRPr="00FB7DF8" w:rsidTr="008E2432">
        <w:trPr>
          <w:trHeight w:val="225"/>
        </w:trPr>
        <w:tc>
          <w:tcPr>
            <w:tcW w:w="5353" w:type="dxa"/>
            <w:noWrap/>
            <w:vAlign w:val="bottom"/>
          </w:tcPr>
          <w:p w:rsidR="008E2432" w:rsidRDefault="001E7545" w:rsidP="008E2432">
            <w:pPr>
              <w:pStyle w:val="TableText"/>
            </w:pPr>
            <w:r>
              <w:t>Rob McG</w:t>
            </w:r>
            <w:r w:rsidR="008E2432">
              <w:t>avin, Cobram Estate &amp; Boundary Bend</w:t>
            </w:r>
          </w:p>
        </w:tc>
        <w:tc>
          <w:tcPr>
            <w:tcW w:w="921" w:type="dxa"/>
            <w:noWrap/>
          </w:tcPr>
          <w:p w:rsidR="008E2432" w:rsidRDefault="008E2432" w:rsidP="008E2432">
            <w:pPr>
              <w:pStyle w:val="TableText"/>
              <w:jc w:val="right"/>
            </w:pPr>
            <w:r>
              <w:t>9</w:t>
            </w:r>
          </w:p>
        </w:tc>
        <w:tc>
          <w:tcPr>
            <w:tcW w:w="922" w:type="dxa"/>
            <w:noWrap/>
          </w:tcPr>
          <w:p w:rsidR="008E2432" w:rsidRDefault="008E2432" w:rsidP="008E2432">
            <w:pPr>
              <w:pStyle w:val="TableText"/>
              <w:jc w:val="right"/>
            </w:pPr>
            <w:r>
              <w:t>67.8</w:t>
            </w:r>
          </w:p>
        </w:tc>
      </w:tr>
      <w:tr w:rsidR="008E2432" w:rsidRPr="00FB7DF8" w:rsidTr="008E2432">
        <w:trPr>
          <w:trHeight w:val="225"/>
        </w:trPr>
        <w:tc>
          <w:tcPr>
            <w:tcW w:w="5353" w:type="dxa"/>
            <w:noWrap/>
            <w:vAlign w:val="bottom"/>
          </w:tcPr>
          <w:p w:rsidR="008E2432" w:rsidRDefault="008E2432" w:rsidP="008E2432">
            <w:pPr>
              <w:pStyle w:val="TableText"/>
            </w:pPr>
            <w:r>
              <w:t>Catherine Saxelby, Nutritionist &amp; Food Commentator</w:t>
            </w:r>
          </w:p>
        </w:tc>
        <w:tc>
          <w:tcPr>
            <w:tcW w:w="921" w:type="dxa"/>
            <w:noWrap/>
          </w:tcPr>
          <w:p w:rsidR="008E2432" w:rsidRDefault="008E2432" w:rsidP="008E2432">
            <w:pPr>
              <w:pStyle w:val="TableText"/>
              <w:jc w:val="right"/>
            </w:pPr>
            <w:r>
              <w:t>9</w:t>
            </w:r>
          </w:p>
        </w:tc>
        <w:tc>
          <w:tcPr>
            <w:tcW w:w="922" w:type="dxa"/>
            <w:noWrap/>
          </w:tcPr>
          <w:p w:rsidR="008E2432" w:rsidRDefault="008E2432" w:rsidP="008E2432">
            <w:pPr>
              <w:pStyle w:val="TableText"/>
              <w:jc w:val="right"/>
            </w:pPr>
            <w:r>
              <w:t>67.8</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22</w:t>
        </w:r>
      </w:fldSimple>
      <w:r>
        <w:rPr>
          <w:noProof/>
        </w:rPr>
        <w:t xml:space="preserve"> Stakeholders: Quarter 1 2015</w:t>
      </w:r>
    </w:p>
    <w:p w:rsidR="008E2432" w:rsidRDefault="008E2432" w:rsidP="008E2432">
      <w:pPr>
        <w:pStyle w:val="Figure"/>
      </w:pPr>
      <w:r w:rsidRPr="003C7712">
        <w:rPr>
          <w:noProof/>
        </w:rPr>
        <w:drawing>
          <wp:inline distT="0" distB="0" distL="0" distR="0" wp14:anchorId="2F64BD8F" wp14:editId="46C8DA29">
            <wp:extent cx="8899921" cy="2409825"/>
            <wp:effectExtent l="0" t="0" r="0" b="0"/>
            <wp:docPr id="40" name="Picture 40" descr="This stacked bar chart shows the volume and favourability of coverage which mentioned each stakeholder in Quarter 1 2015, with a line graph showing the average favourabliity of reports for each stakeholder.&#10;Consumers/consumer advocates: 58 favourable, 11 neutral &amp; 2 unfavourable reports, 71 in total, with a 59.4 average rating&#10;Public health/medical: 49 favourable, 12 neutral &amp; 1 unfavourable reports, 62 in total, with a 59.9 average rating&#10;Food manufacturing industry: 44 favourable, 10 neutral &amp; 2 unfavourable reports, 56 in total, with a 60.3 average rating&#10;Government/bureaucracy: 37 favourable, 13 neutral &amp; 1 unfavourable reports, 51 in total, with a 59.6 average rating&#10;Food retail industry: 5 favourable, 4 neutral &amp; 1 unfavourable reports, 10 in total, with a 55.0 average rating&#10;Primary producers: 8 favourable reports, with a 70.0 average rating&#10;Other: 2 favourable reports, with a 65.0 average rating" title="Stakeholders: Quarter 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9265B7" w:rsidRDefault="008E2432" w:rsidP="008E2432">
      <w:pPr>
        <w:pStyle w:val="BodyText"/>
        <w:sectPr w:rsidR="008E2432" w:rsidRPr="009265B7"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60" w:name="_Toc483493715"/>
      <w:bookmarkStart w:id="61" w:name="_Toc485374982"/>
      <w:r>
        <w:t>Quarter 2 2015</w:t>
      </w:r>
      <w:bookmarkEnd w:id="60"/>
      <w:bookmarkEnd w:id="61"/>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23</w:t>
        </w:r>
      </w:fldSimple>
      <w:r>
        <w:rPr>
          <w:noProof/>
        </w:rPr>
        <w:t xml:space="preserve"> Messages by stakeholders: Quarter 2 2015</w:t>
      </w:r>
    </w:p>
    <w:p w:rsidR="008E2432" w:rsidRDefault="008E2432" w:rsidP="008E2432">
      <w:pPr>
        <w:pStyle w:val="Figure"/>
      </w:pPr>
      <w:r w:rsidRPr="005F713C">
        <w:rPr>
          <w:noProof/>
        </w:rPr>
        <w:drawing>
          <wp:inline distT="0" distB="0" distL="0" distR="0" wp14:anchorId="6176DCB6" wp14:editId="27FE17F2">
            <wp:extent cx="4401440" cy="5396787"/>
            <wp:effectExtent l="0" t="0" r="0" b="0"/>
            <wp:docPr id="9" name="Picture 9" descr="Chart 23 is a horizontal stacked bar chart which shows the number of favourable and unfavourable messages most often conveyed overall, broken down by by each stakeholder group, in Quarter 2 2015.&#10;Favourable messages:&#10;Food industry is acting to introduce Health Star Rating: 3 mentions by consumers/consumer advocates, 17 by food manufacturing industry, 1 by public health/medical and 2 by government/bureaucracy; 23 mentions in total&#10;Labels communicate effectively with consumers: 13 mentions by consumers/consumer advocates, 2 by food manufacturing industry, 4 by public health/medical and 2 by government/bureaucracy; 21 mentions in total&#10;Health Star Rating reveals unhealthy foods: 10 mentions by consumers/consumer advocates and 6 by public health/medical; 16 mentions in total&#10;Health Star Rating drives innovation/product reformulation: 4 mentions by consumers/consumer advocates and 5 by food manufacturing industry; 9 mentions in total&#10;Health Star Rating helps promote food products: 2 mentions by consumers/consumer advocates and 7 by food manufacturing industry; 9 mentions in total&#10;Unfavourable messages:&#10;Ratings to not provide fair/realistic comparisons: 5 mentions by public health/medical and 1 by other; 6 mentions in total&#10;Ratings are misleading: 4 mentionsby public health/medical and 1 by other; 6 mentions in total &#10;Health Star Rating is not accurate: 3 mentions by consumers/consumer advocates and 1 by public health/medical; 4 mentions in total&#10;Labels do not communicate effectively with consumers: 3 mentions by public health/medical&#10;Health Star Rating allows industry to game the system: 2 mentions by consumers/consumer advocates&#10;Fresh/unprocessed foods/juices do not rate highly: 1 mention by other and 1 by primary producers; 2 mentions in total&#10;Health Star Rating does not reveal unhealthy foods: 1 mention by consumers/consumer advocates and 1 by public health/medical; 2 mentions in total" title="Leading messages by stakeholders: Quarter 2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401440" cy="539678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5</w:t>
        </w:r>
      </w:fldSimple>
      <w:r>
        <w:t xml:space="preserve"> Leading spokespeople</w:t>
      </w:r>
      <w:r>
        <w:rPr>
          <w:noProof/>
        </w:rPr>
        <w:t>: Quarter 2 2015</w:t>
      </w:r>
    </w:p>
    <w:p w:rsidR="008E2432" w:rsidRPr="00493108" w:rsidRDefault="008E2432" w:rsidP="008E2432">
      <w:pPr>
        <w:pStyle w:val="Figure"/>
      </w:pPr>
      <w:r>
        <w:rPr>
          <w:i/>
        </w:rPr>
        <w:t>This table shows the most frequently cited spokespeople in Quarter 2 2015,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5 is a list of the most frequently cited spokespeople in Quarter 2 2015,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hideMark/>
          </w:tcPr>
          <w:p w:rsidR="008E2432" w:rsidRDefault="008E2432" w:rsidP="008E2432">
            <w:pPr>
              <w:pStyle w:val="TableText"/>
            </w:pPr>
            <w:r>
              <w:t>Tom Godfrey, CHOICE</w:t>
            </w:r>
          </w:p>
        </w:tc>
        <w:tc>
          <w:tcPr>
            <w:tcW w:w="1205" w:type="dxa"/>
            <w:noWrap/>
            <w:hideMark/>
          </w:tcPr>
          <w:p w:rsidR="008E2432" w:rsidRDefault="008E2432" w:rsidP="008E2432">
            <w:pPr>
              <w:pStyle w:val="TableText"/>
              <w:jc w:val="right"/>
            </w:pPr>
            <w:r>
              <w:t>24</w:t>
            </w:r>
          </w:p>
        </w:tc>
        <w:tc>
          <w:tcPr>
            <w:tcW w:w="1205" w:type="dxa"/>
            <w:noWrap/>
            <w:hideMark/>
          </w:tcPr>
          <w:p w:rsidR="008E2432" w:rsidRDefault="008E2432" w:rsidP="008E2432">
            <w:pPr>
              <w:pStyle w:val="TableText"/>
              <w:jc w:val="right"/>
            </w:pPr>
            <w:r>
              <w:t>62.5</w:t>
            </w:r>
          </w:p>
        </w:tc>
      </w:tr>
      <w:tr w:rsidR="008E2432" w:rsidRPr="00FB7DF8" w:rsidTr="008E2432">
        <w:trPr>
          <w:trHeight w:val="225"/>
        </w:trPr>
        <w:tc>
          <w:tcPr>
            <w:tcW w:w="4786" w:type="dxa"/>
            <w:noWrap/>
            <w:vAlign w:val="bottom"/>
            <w:hideMark/>
          </w:tcPr>
          <w:p w:rsidR="008E2432" w:rsidRDefault="008E2432" w:rsidP="008E2432">
            <w:pPr>
              <w:pStyle w:val="TableText"/>
            </w:pPr>
            <w:r>
              <w:t>Michelle Celander, Kellogg’s Dietician</w:t>
            </w:r>
          </w:p>
        </w:tc>
        <w:tc>
          <w:tcPr>
            <w:tcW w:w="1205" w:type="dxa"/>
            <w:noWrap/>
            <w:hideMark/>
          </w:tcPr>
          <w:p w:rsidR="008E2432" w:rsidRDefault="008E2432" w:rsidP="008E2432">
            <w:pPr>
              <w:pStyle w:val="TableText"/>
              <w:jc w:val="right"/>
            </w:pPr>
            <w:r>
              <w:t>11</w:t>
            </w:r>
          </w:p>
        </w:tc>
        <w:tc>
          <w:tcPr>
            <w:tcW w:w="1205" w:type="dxa"/>
            <w:noWrap/>
            <w:hideMark/>
          </w:tcPr>
          <w:p w:rsidR="008E2432" w:rsidRDefault="008E2432" w:rsidP="008E2432">
            <w:pPr>
              <w:pStyle w:val="TableText"/>
              <w:jc w:val="right"/>
            </w:pPr>
            <w:r>
              <w:t>69.5</w:t>
            </w:r>
          </w:p>
        </w:tc>
      </w:tr>
      <w:tr w:rsidR="008E2432" w:rsidRPr="00FB7DF8" w:rsidTr="008E2432">
        <w:trPr>
          <w:trHeight w:val="225"/>
        </w:trPr>
        <w:tc>
          <w:tcPr>
            <w:tcW w:w="4786" w:type="dxa"/>
            <w:noWrap/>
            <w:vAlign w:val="bottom"/>
            <w:hideMark/>
          </w:tcPr>
          <w:p w:rsidR="008E2432" w:rsidRDefault="008E2432" w:rsidP="008E2432">
            <w:pPr>
              <w:pStyle w:val="TableText"/>
            </w:pPr>
            <w:r>
              <w:t>Jane Martin, Obesity Policy Coalition</w:t>
            </w:r>
          </w:p>
        </w:tc>
        <w:tc>
          <w:tcPr>
            <w:tcW w:w="1205" w:type="dxa"/>
            <w:noWrap/>
            <w:hideMark/>
          </w:tcPr>
          <w:p w:rsidR="008E2432" w:rsidRDefault="008E2432" w:rsidP="008E2432">
            <w:pPr>
              <w:pStyle w:val="TableText"/>
              <w:jc w:val="right"/>
            </w:pPr>
            <w:r>
              <w:t>7</w:t>
            </w:r>
          </w:p>
        </w:tc>
        <w:tc>
          <w:tcPr>
            <w:tcW w:w="1205" w:type="dxa"/>
            <w:noWrap/>
            <w:hideMark/>
          </w:tcPr>
          <w:p w:rsidR="008E2432" w:rsidRDefault="008E2432" w:rsidP="008E2432">
            <w:pPr>
              <w:pStyle w:val="TableText"/>
              <w:jc w:val="right"/>
            </w:pPr>
            <w:r>
              <w:t>67.1</w:t>
            </w:r>
          </w:p>
        </w:tc>
      </w:tr>
      <w:tr w:rsidR="008E2432" w:rsidRPr="00FB7DF8" w:rsidTr="008E2432">
        <w:trPr>
          <w:trHeight w:val="225"/>
        </w:trPr>
        <w:tc>
          <w:tcPr>
            <w:tcW w:w="4786" w:type="dxa"/>
            <w:noWrap/>
            <w:vAlign w:val="bottom"/>
            <w:hideMark/>
          </w:tcPr>
          <w:p w:rsidR="008E2432" w:rsidRDefault="008E2432" w:rsidP="008E2432">
            <w:pPr>
              <w:pStyle w:val="TableText"/>
            </w:pPr>
            <w:r>
              <w:t>Joanna McMillan, Nutritionist</w:t>
            </w:r>
          </w:p>
        </w:tc>
        <w:tc>
          <w:tcPr>
            <w:tcW w:w="1205" w:type="dxa"/>
            <w:noWrap/>
            <w:hideMark/>
          </w:tcPr>
          <w:p w:rsidR="008E2432" w:rsidRDefault="008E2432" w:rsidP="008E2432">
            <w:pPr>
              <w:pStyle w:val="TableText"/>
              <w:jc w:val="right"/>
            </w:pPr>
            <w:r>
              <w:t>4</w:t>
            </w:r>
          </w:p>
        </w:tc>
        <w:tc>
          <w:tcPr>
            <w:tcW w:w="1205" w:type="dxa"/>
            <w:noWrap/>
            <w:hideMark/>
          </w:tcPr>
          <w:p w:rsidR="008E2432" w:rsidRDefault="008E2432" w:rsidP="008E2432">
            <w:pPr>
              <w:pStyle w:val="TableText"/>
              <w:jc w:val="right"/>
            </w:pPr>
            <w:r>
              <w:t>60.0</w:t>
            </w:r>
          </w:p>
        </w:tc>
      </w:tr>
      <w:tr w:rsidR="008E2432" w:rsidRPr="00FB7DF8" w:rsidTr="008E2432">
        <w:trPr>
          <w:trHeight w:val="225"/>
        </w:trPr>
        <w:tc>
          <w:tcPr>
            <w:tcW w:w="4786" w:type="dxa"/>
            <w:noWrap/>
            <w:vAlign w:val="bottom"/>
            <w:hideMark/>
          </w:tcPr>
          <w:p w:rsidR="008E2432" w:rsidRDefault="008E2432" w:rsidP="008E2432">
            <w:pPr>
              <w:pStyle w:val="TableText"/>
            </w:pPr>
            <w:r>
              <w:t>Steph Wearne, Nutritionist</w:t>
            </w:r>
          </w:p>
        </w:tc>
        <w:tc>
          <w:tcPr>
            <w:tcW w:w="1205" w:type="dxa"/>
            <w:noWrap/>
            <w:hideMark/>
          </w:tcPr>
          <w:p w:rsidR="008E2432" w:rsidRDefault="008E2432" w:rsidP="008E2432">
            <w:pPr>
              <w:pStyle w:val="TableText"/>
              <w:jc w:val="right"/>
            </w:pPr>
            <w:r>
              <w:t>4</w:t>
            </w:r>
          </w:p>
        </w:tc>
        <w:tc>
          <w:tcPr>
            <w:tcW w:w="1205" w:type="dxa"/>
            <w:noWrap/>
            <w:hideMark/>
          </w:tcPr>
          <w:p w:rsidR="008E2432" w:rsidRDefault="008E2432" w:rsidP="008E2432">
            <w:pPr>
              <w:pStyle w:val="TableText"/>
              <w:jc w:val="right"/>
            </w:pPr>
            <w:r>
              <w:t>46.3</w:t>
            </w:r>
          </w:p>
        </w:tc>
      </w:tr>
      <w:tr w:rsidR="008E2432" w:rsidRPr="00FB7DF8" w:rsidTr="008E2432">
        <w:trPr>
          <w:trHeight w:val="225"/>
        </w:trPr>
        <w:tc>
          <w:tcPr>
            <w:tcW w:w="4786" w:type="dxa"/>
            <w:noWrap/>
            <w:vAlign w:val="bottom"/>
          </w:tcPr>
          <w:p w:rsidR="008E2432" w:rsidRDefault="008E2432" w:rsidP="008E2432">
            <w:pPr>
              <w:pStyle w:val="TableText"/>
            </w:pPr>
            <w:r>
              <w:t>Fiona Nash, Former Federal Assistant Health Minister</w:t>
            </w:r>
          </w:p>
        </w:tc>
        <w:tc>
          <w:tcPr>
            <w:tcW w:w="1205" w:type="dxa"/>
            <w:noWrap/>
          </w:tcPr>
          <w:p w:rsidR="008E2432" w:rsidRDefault="008E2432" w:rsidP="008E2432">
            <w:pPr>
              <w:pStyle w:val="TableText"/>
              <w:jc w:val="right"/>
            </w:pPr>
            <w:r>
              <w:t>4</w:t>
            </w:r>
          </w:p>
        </w:tc>
        <w:tc>
          <w:tcPr>
            <w:tcW w:w="1205" w:type="dxa"/>
            <w:noWrap/>
          </w:tcPr>
          <w:p w:rsidR="008E2432" w:rsidRDefault="008E2432" w:rsidP="008E2432">
            <w:pPr>
              <w:pStyle w:val="TableText"/>
              <w:jc w:val="right"/>
            </w:pPr>
            <w:r>
              <w:t>65.0</w:t>
            </w:r>
          </w:p>
        </w:tc>
      </w:tr>
      <w:tr w:rsidR="008E2432" w:rsidRPr="00FB7DF8" w:rsidTr="008E2432">
        <w:trPr>
          <w:trHeight w:val="225"/>
        </w:trPr>
        <w:tc>
          <w:tcPr>
            <w:tcW w:w="4786" w:type="dxa"/>
            <w:noWrap/>
            <w:vAlign w:val="bottom"/>
          </w:tcPr>
          <w:p w:rsidR="008E2432" w:rsidRDefault="008E2432" w:rsidP="008E2432">
            <w:pPr>
              <w:pStyle w:val="TableText"/>
            </w:pPr>
            <w:r>
              <w:t>Bruce Neal, The George Institute</w:t>
            </w:r>
          </w:p>
        </w:tc>
        <w:tc>
          <w:tcPr>
            <w:tcW w:w="1205" w:type="dxa"/>
            <w:noWrap/>
          </w:tcPr>
          <w:p w:rsidR="008E2432" w:rsidRDefault="008E2432" w:rsidP="008E2432">
            <w:pPr>
              <w:pStyle w:val="TableText"/>
              <w:jc w:val="right"/>
            </w:pPr>
            <w:r>
              <w:t>4</w:t>
            </w:r>
          </w:p>
        </w:tc>
        <w:tc>
          <w:tcPr>
            <w:tcW w:w="1205" w:type="dxa"/>
            <w:noWrap/>
          </w:tcPr>
          <w:p w:rsidR="008E2432" w:rsidRDefault="008E2432" w:rsidP="008E2432">
            <w:pPr>
              <w:pStyle w:val="TableText"/>
              <w:jc w:val="right"/>
            </w:pPr>
            <w:r>
              <w:t>48.8</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24</w:t>
        </w:r>
      </w:fldSimple>
      <w:r>
        <w:rPr>
          <w:noProof/>
        </w:rPr>
        <w:t xml:space="preserve"> Stakeholders: Quarter 2 2015</w:t>
      </w:r>
    </w:p>
    <w:p w:rsidR="008E2432" w:rsidRDefault="008E2432" w:rsidP="008E2432">
      <w:pPr>
        <w:pStyle w:val="Figure"/>
      </w:pPr>
      <w:r w:rsidRPr="003C7712">
        <w:rPr>
          <w:noProof/>
        </w:rPr>
        <w:drawing>
          <wp:inline distT="0" distB="0" distL="0" distR="0" wp14:anchorId="59E972FB" wp14:editId="6BECFFBE">
            <wp:extent cx="8899921" cy="2409825"/>
            <wp:effectExtent l="0" t="0" r="0" b="0"/>
            <wp:docPr id="52" name="Picture 52" descr="This stacked bar chart shows the volume and favourability of coverage which mentioned each stakeholder in Quarter 2 2015, with a line graph showing the average favourabliity of reports for each stakeholder.&#10;Food manufacturing industry: 52 favourable and 40 neutral reports, 92 in total, with a 57.2 average rating&#10;Consumers/consumer advocates: 40 favourable, 12 neutral and 3 unfavourable reports, 55 in total, with a 57.6 average rating&#10;Public health/medical: 23 favourable, 7 neutral and 4 unfavourable reports, 34 in total, with a 57.4 average rating&#10;Government/bureaucracy: 22 favourable, 4 neutral and 2 unfavourable reports, 28 in total, wiht a 58.4 average rating&#10;Food retail industry: 7 favourable and 8 neutral reports, 15 in total, with a 53.3 average rating&#10;Other: 1 unfavourable reports, with a 40.0 rating" title="Stakeholders: Quarter 2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03409C" w:rsidRDefault="008E2432" w:rsidP="008E2432">
      <w:pPr>
        <w:pStyle w:val="BodyText"/>
        <w:sectPr w:rsidR="008E2432" w:rsidRPr="0003409C"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62" w:name="_Toc483493716"/>
      <w:bookmarkStart w:id="63" w:name="_Toc485374983"/>
      <w:r>
        <w:t>Quarter 3 2015</w:t>
      </w:r>
      <w:bookmarkEnd w:id="62"/>
      <w:bookmarkEnd w:id="63"/>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25</w:t>
        </w:r>
      </w:fldSimple>
      <w:r>
        <w:rPr>
          <w:noProof/>
        </w:rPr>
        <w:t xml:space="preserve"> Messages by stakeholders: Quarter 3 2015</w:t>
      </w:r>
    </w:p>
    <w:p w:rsidR="008E2432" w:rsidRDefault="008E2432" w:rsidP="008E2432">
      <w:pPr>
        <w:pStyle w:val="Figure"/>
      </w:pPr>
      <w:r w:rsidRPr="004A4D59">
        <w:rPr>
          <w:noProof/>
        </w:rPr>
        <w:drawing>
          <wp:inline distT="0" distB="0" distL="0" distR="0" wp14:anchorId="78535375" wp14:editId="2FB597BB">
            <wp:extent cx="4401440" cy="5396787"/>
            <wp:effectExtent l="0" t="0" r="0" b="0"/>
            <wp:docPr id="11" name="Picture 11" descr="Chart 25 is a horizontal stacked bar chart which shows the number of favourable and unfavourable messages most often conveyed overall, broken down by by each stakeholder group, in Quarter 3 2015.&#10;Favourable messages:&#10;Health Star Rating reveals healthy foods: 9 mentions by public health/medical, 9 by consumers/consumer advocates, 7 by government/bureaucracy adn 1 by food retail industry; 26 mentions in total&#10;Health Star Rating helps promote food products:1 mention by public health/medical, 5 mentions by consumers/consumer advocates, 10 by food manufacturing industry, 5 by food retail industry and 1 by primary producers; 22 mentions in total&#10;Food industry is acting to introduce Health Star Rating: 1 mention by consumers/consumer advocates, 2 mentions by government/bureaucracy, 4 by food manufacturing industry and 3 by food retail industry; 10 mentions in total&#10;Health Star Rating will drive changes in consumer behaviour: 1 mention by public health/medical, 4 by government/bureaucracy, 1 by food manufacturing industry and one by food retail industry; 7 mentions in total&#10;Health Star Rating should be mandatory: 4 mentions by public health/medical, 1 by consumers/consumer advocates and 1 by government/bureaucracy; 6 mentions in total&#10;Health Star Rating drives innovateion/product reformulation: 4 mentions by government/bureaucracy and 2 by food manufacturing industry; 6 mentions in total&#10;Unfavourable messages:&#10;Ratings are misleading: 4 mentions by publi health/medical&#10;Consumers do not rely on/ignore Health Star Rating system: 2 mentions by consumers/consumer advocates adn 1 by other; 3 mentions in total&#10;Ratings do not provide fair/realistic comparisions: 3 mentions by public health/medical&#10;Health Star Rating does not reflect agreed public health policy: 3 mentions by public health/medical&#10;Labels do not communicate effectively with consumers: 2 mentions by public health/medical, 1 by consumers/consumer advocates; 3 mentions in total" title="Leading messages by stakeholders: Quarter 3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401440" cy="539678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6</w:t>
        </w:r>
      </w:fldSimple>
      <w:r>
        <w:t xml:space="preserve"> Leading spokespeople</w:t>
      </w:r>
      <w:r>
        <w:rPr>
          <w:noProof/>
        </w:rPr>
        <w:t>: Quarter 3 2015</w:t>
      </w:r>
    </w:p>
    <w:p w:rsidR="008E2432" w:rsidRPr="00493108" w:rsidRDefault="008E2432" w:rsidP="008E2432">
      <w:pPr>
        <w:pStyle w:val="Figure"/>
      </w:pPr>
      <w:r>
        <w:rPr>
          <w:i/>
        </w:rPr>
        <w:t>This table shows the most frequently cited spokespeople in Quarter 3 2015,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6 is a list of the most frequently cited spokespeople in Quarter 3 2015,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hideMark/>
          </w:tcPr>
          <w:p w:rsidR="008E2432" w:rsidRDefault="008E2432" w:rsidP="008E2432">
            <w:pPr>
              <w:pStyle w:val="TableText"/>
            </w:pPr>
            <w:r>
              <w:t>Mark Lawrence, Deakin University</w:t>
            </w:r>
          </w:p>
        </w:tc>
        <w:tc>
          <w:tcPr>
            <w:tcW w:w="1205" w:type="dxa"/>
            <w:noWrap/>
            <w:hideMark/>
          </w:tcPr>
          <w:p w:rsidR="008E2432" w:rsidRDefault="008E2432" w:rsidP="008E2432">
            <w:pPr>
              <w:pStyle w:val="TableText"/>
              <w:jc w:val="right"/>
            </w:pPr>
            <w:r>
              <w:t>6</w:t>
            </w:r>
          </w:p>
        </w:tc>
        <w:tc>
          <w:tcPr>
            <w:tcW w:w="1205" w:type="dxa"/>
            <w:noWrap/>
            <w:hideMark/>
          </w:tcPr>
          <w:p w:rsidR="008E2432" w:rsidRDefault="008E2432" w:rsidP="008E2432">
            <w:pPr>
              <w:pStyle w:val="TableText"/>
              <w:jc w:val="right"/>
            </w:pPr>
            <w:r>
              <w:t>50.8</w:t>
            </w:r>
          </w:p>
        </w:tc>
      </w:tr>
      <w:tr w:rsidR="008E2432" w:rsidRPr="00FB7DF8" w:rsidTr="008E2432">
        <w:trPr>
          <w:trHeight w:val="225"/>
        </w:trPr>
        <w:tc>
          <w:tcPr>
            <w:tcW w:w="4786" w:type="dxa"/>
            <w:noWrap/>
            <w:vAlign w:val="bottom"/>
            <w:hideMark/>
          </w:tcPr>
          <w:p w:rsidR="008E2432" w:rsidRDefault="008E2432" w:rsidP="008E2432">
            <w:pPr>
              <w:pStyle w:val="TableText"/>
            </w:pPr>
            <w:r>
              <w:t>Megan Doyle, Canstar Blue</w:t>
            </w:r>
          </w:p>
        </w:tc>
        <w:tc>
          <w:tcPr>
            <w:tcW w:w="1205" w:type="dxa"/>
            <w:noWrap/>
            <w:hideMark/>
          </w:tcPr>
          <w:p w:rsidR="008E2432" w:rsidRDefault="008E2432" w:rsidP="008E2432">
            <w:pPr>
              <w:pStyle w:val="TableText"/>
              <w:jc w:val="right"/>
            </w:pPr>
            <w:r>
              <w:t>5</w:t>
            </w:r>
          </w:p>
        </w:tc>
        <w:tc>
          <w:tcPr>
            <w:tcW w:w="1205" w:type="dxa"/>
            <w:noWrap/>
            <w:hideMark/>
          </w:tcPr>
          <w:p w:rsidR="008E2432" w:rsidRDefault="008E2432" w:rsidP="008E2432">
            <w:pPr>
              <w:pStyle w:val="TableText"/>
              <w:jc w:val="right"/>
            </w:pPr>
            <w:r>
              <w:t>42.0</w:t>
            </w:r>
          </w:p>
        </w:tc>
      </w:tr>
      <w:tr w:rsidR="008E2432" w:rsidRPr="00FB7DF8" w:rsidTr="008E2432">
        <w:trPr>
          <w:trHeight w:val="225"/>
        </w:trPr>
        <w:tc>
          <w:tcPr>
            <w:tcW w:w="4786" w:type="dxa"/>
            <w:noWrap/>
            <w:vAlign w:val="bottom"/>
            <w:hideMark/>
          </w:tcPr>
          <w:p w:rsidR="008E2432" w:rsidRDefault="008E2432" w:rsidP="008E2432">
            <w:pPr>
              <w:pStyle w:val="TableText"/>
            </w:pPr>
            <w:r>
              <w:t>Tom Godfrey, CHOICE</w:t>
            </w:r>
          </w:p>
        </w:tc>
        <w:tc>
          <w:tcPr>
            <w:tcW w:w="1205" w:type="dxa"/>
            <w:noWrap/>
            <w:hideMark/>
          </w:tcPr>
          <w:p w:rsidR="008E2432" w:rsidRDefault="008E2432" w:rsidP="008E2432">
            <w:pPr>
              <w:pStyle w:val="TableText"/>
              <w:jc w:val="right"/>
            </w:pPr>
            <w:r>
              <w:t>5</w:t>
            </w:r>
          </w:p>
        </w:tc>
        <w:tc>
          <w:tcPr>
            <w:tcW w:w="1205" w:type="dxa"/>
            <w:noWrap/>
            <w:hideMark/>
          </w:tcPr>
          <w:p w:rsidR="008E2432" w:rsidRDefault="008E2432" w:rsidP="008E2432">
            <w:pPr>
              <w:pStyle w:val="TableText"/>
              <w:jc w:val="right"/>
            </w:pPr>
            <w:r>
              <w:t>53.0</w:t>
            </w:r>
          </w:p>
        </w:tc>
      </w:tr>
      <w:tr w:rsidR="008E2432" w:rsidRPr="00FB7DF8" w:rsidTr="008E2432">
        <w:trPr>
          <w:trHeight w:val="225"/>
        </w:trPr>
        <w:tc>
          <w:tcPr>
            <w:tcW w:w="4786" w:type="dxa"/>
            <w:noWrap/>
            <w:vAlign w:val="bottom"/>
          </w:tcPr>
          <w:p w:rsidR="008E2432" w:rsidRDefault="008E2432" w:rsidP="008E2432">
            <w:pPr>
              <w:pStyle w:val="TableText"/>
            </w:pPr>
            <w:r>
              <w:t>Fiona Nash, Former Federal Assistant Health Minister</w:t>
            </w:r>
          </w:p>
        </w:tc>
        <w:tc>
          <w:tcPr>
            <w:tcW w:w="1205" w:type="dxa"/>
            <w:noWrap/>
          </w:tcPr>
          <w:p w:rsidR="008E2432" w:rsidRDefault="008E2432" w:rsidP="008E2432">
            <w:pPr>
              <w:pStyle w:val="TableText"/>
              <w:jc w:val="right"/>
            </w:pPr>
            <w:r>
              <w:t>4</w:t>
            </w:r>
          </w:p>
        </w:tc>
        <w:tc>
          <w:tcPr>
            <w:tcW w:w="1205" w:type="dxa"/>
            <w:noWrap/>
          </w:tcPr>
          <w:p w:rsidR="008E2432" w:rsidRDefault="008E2432" w:rsidP="008E2432">
            <w:pPr>
              <w:pStyle w:val="TableText"/>
              <w:jc w:val="right"/>
            </w:pPr>
            <w:r>
              <w:t>70.0</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26</w:t>
        </w:r>
      </w:fldSimple>
      <w:r>
        <w:rPr>
          <w:noProof/>
        </w:rPr>
        <w:t xml:space="preserve"> Stakeholders: Quarter 3 2015</w:t>
      </w:r>
    </w:p>
    <w:p w:rsidR="008E2432" w:rsidRDefault="008E2432" w:rsidP="008E2432">
      <w:pPr>
        <w:pStyle w:val="Figure"/>
      </w:pPr>
      <w:r w:rsidRPr="003C7712">
        <w:rPr>
          <w:noProof/>
        </w:rPr>
        <w:drawing>
          <wp:inline distT="0" distB="0" distL="0" distR="0" wp14:anchorId="648AADE2" wp14:editId="373DA5D9">
            <wp:extent cx="8899921" cy="2409825"/>
            <wp:effectExtent l="0" t="0" r="0" b="0"/>
            <wp:docPr id="53" name="Picture 53" descr="This stacked bar chart shows the volume and favourability of coverage which mentioned each stakeholder in Quarter 3 2015, with a line graph showing the average favourabliity of reports for each stakeholder.&#10;Consumers/consumer advocates: 38 favourable, 17 neutral and 12 unfavourable reports, 67 in total, with a 52.6 average rating&#10;Food manufacturing industry: 33 favourable, 18 neutral and 7 unfavourable reports, 58 in total, with a 52.8 average rating&#10;Government/bureaucracy: 23 favourable, 20 neutral and 10 unfavourable reports, 53 in total, with a 51.8 average rating&#10;Public health/medical: 24 favourable, 14 neutral and 5 unfavourable reports, 43 in total, with a 54.2 average rating&#10;Food retail industry: 7 favourable, 13 neutral and 2 unfavourable reports, 22 in total, with a 52.5 average rating&#10;Other: 1 neutral and 1 unfavourable report, 2 in total, with a 47.5 average rating&#10;Primary producers: two favourable reports with a 60.0 average rating" title="Stakeholders: Quarter 3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03409C" w:rsidRDefault="008E2432" w:rsidP="008E2432">
      <w:pPr>
        <w:pStyle w:val="BodyText"/>
        <w:sectPr w:rsidR="008E2432" w:rsidRPr="0003409C"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64" w:name="_Toc483493717"/>
      <w:bookmarkStart w:id="65" w:name="_Toc485374984"/>
      <w:r>
        <w:t>Quarter 4 2015</w:t>
      </w:r>
      <w:bookmarkEnd w:id="64"/>
      <w:bookmarkEnd w:id="65"/>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27</w:t>
        </w:r>
      </w:fldSimple>
      <w:r>
        <w:rPr>
          <w:noProof/>
        </w:rPr>
        <w:t xml:space="preserve"> Messages by stakeholders: Quarter 4 2015</w:t>
      </w:r>
    </w:p>
    <w:p w:rsidR="008E2432" w:rsidRDefault="008E2432" w:rsidP="008E2432">
      <w:pPr>
        <w:pStyle w:val="Figure"/>
      </w:pPr>
      <w:r w:rsidRPr="006228D8">
        <w:rPr>
          <w:noProof/>
        </w:rPr>
        <w:drawing>
          <wp:inline distT="0" distB="0" distL="0" distR="0" wp14:anchorId="27718E78" wp14:editId="4A735D32">
            <wp:extent cx="4404567" cy="5035097"/>
            <wp:effectExtent l="0" t="0" r="0" b="0"/>
            <wp:docPr id="17" name="Picture 17" descr="Chart 27 is a horizontal stacked bar chart which shows the number of favourable and unfavourable messages most often conveyed overall, broken down by by each stakeholder group, in Quarter 4 2015.&#10;Favourable messages:&#10;Health Star Rating drives innovation/product reformulation: 1 mention by public health/medical, 10 mentions by food manufacturing industry, 7 by government/bureaucracy and 1 by primary producers; 19 mentions in total&#10;Health Star Rating will drive changes in consumer behaviour: 8 mentions by public health/medical, 6 by consumers/consumer advocates and 3 by government/bureaucracy; 17 mentions in total&#10;Health Star Rating is superior to other systems: 6 mentions by public health/medical, 5 by consumers/consumer advocates and 2 by government/bureaucracy; 13 mentions in total&#10;Health Star Rating helps promote food products: 1 mention by public health/medical, 8 mentions by food manufacturing industry and 1 by consumers/consumer advocates; 10 mentions in total&#10;Unfavourable messages:&#10;Ratings do not provide fair/realistic comparisons: 1 mention by public health/medical&#10;Fresh/unprocessed foods/juices are not disadvantaged by Health Star Rating: 1 mention by public health/medical&#10;Health Star Rating conflicts with existing labelling schemes: 1 mention by consumers/consumer advocates&#10;Health Star Rating is not effective public health strategy: 1 mention by public health/medical&#10;Ratings are misleading: 1 mention by public health/medical" title="Leading messages by stakeholders: Quarter 4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8E2432">
      <w:pPr>
        <w:pStyle w:val="Caption"/>
        <w:rPr>
          <w:noProof/>
        </w:rPr>
      </w:pPr>
      <w:r>
        <w:rPr>
          <w:color w:val="7A005B" w:themeColor="accent4"/>
          <w:kern w:val="0"/>
          <w:sz w:val="40"/>
          <w:szCs w:val="40"/>
        </w:rPr>
        <w:br w:type="column"/>
      </w:r>
      <w:r>
        <w:t xml:space="preserve">Table </w:t>
      </w:r>
      <w:fldSimple w:instr=" SEQ Table \* ARABIC ">
        <w:r w:rsidR="003972DC">
          <w:rPr>
            <w:noProof/>
          </w:rPr>
          <w:t>7</w:t>
        </w:r>
      </w:fldSimple>
      <w:r>
        <w:t xml:space="preserve"> Leading spokespeople</w:t>
      </w:r>
      <w:r>
        <w:rPr>
          <w:noProof/>
        </w:rPr>
        <w:t>: Quarter 4 2015</w:t>
      </w:r>
    </w:p>
    <w:p w:rsidR="008E2432" w:rsidRPr="00493108" w:rsidRDefault="008E2432" w:rsidP="008E2432">
      <w:pPr>
        <w:pStyle w:val="Figure"/>
      </w:pPr>
      <w:r>
        <w:rPr>
          <w:i/>
        </w:rPr>
        <w:t>This table shows the most frequently cited spokespeople in Quarter 4 2015,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7 is a list of the most frequently cited spokespeople in Quarter 4 2015,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tcPr>
          <w:p w:rsidR="008E2432" w:rsidRDefault="008E2432" w:rsidP="008E2432">
            <w:pPr>
              <w:pStyle w:val="TableText"/>
            </w:pPr>
            <w:r>
              <w:t>Mary Barry, Heart Foundation</w:t>
            </w:r>
          </w:p>
        </w:tc>
        <w:tc>
          <w:tcPr>
            <w:tcW w:w="1205" w:type="dxa"/>
            <w:noWrap/>
          </w:tcPr>
          <w:p w:rsidR="008E2432" w:rsidRDefault="008E2432" w:rsidP="008E2432">
            <w:pPr>
              <w:pStyle w:val="TableText"/>
              <w:jc w:val="right"/>
            </w:pPr>
            <w:r>
              <w:t>15</w:t>
            </w:r>
          </w:p>
        </w:tc>
        <w:tc>
          <w:tcPr>
            <w:tcW w:w="1205" w:type="dxa"/>
            <w:noWrap/>
          </w:tcPr>
          <w:p w:rsidR="008E2432" w:rsidRDefault="008E2432" w:rsidP="008E2432">
            <w:pPr>
              <w:pStyle w:val="TableText"/>
              <w:jc w:val="right"/>
            </w:pPr>
            <w:r>
              <w:t>55.0</w:t>
            </w:r>
          </w:p>
        </w:tc>
      </w:tr>
      <w:tr w:rsidR="008E2432" w:rsidRPr="00FB7DF8" w:rsidTr="008E2432">
        <w:trPr>
          <w:trHeight w:val="225"/>
        </w:trPr>
        <w:tc>
          <w:tcPr>
            <w:tcW w:w="4786" w:type="dxa"/>
            <w:noWrap/>
            <w:vAlign w:val="bottom"/>
          </w:tcPr>
          <w:p w:rsidR="008E2432" w:rsidRDefault="008E2432" w:rsidP="008E2432">
            <w:pPr>
              <w:pStyle w:val="TableText"/>
            </w:pPr>
            <w:r>
              <w:t>Susan Kevork, Nestle Group Nutritionist</w:t>
            </w:r>
          </w:p>
        </w:tc>
        <w:tc>
          <w:tcPr>
            <w:tcW w:w="1205" w:type="dxa"/>
            <w:noWrap/>
          </w:tcPr>
          <w:p w:rsidR="008E2432" w:rsidRDefault="008E2432" w:rsidP="008E2432">
            <w:pPr>
              <w:pStyle w:val="TableText"/>
              <w:jc w:val="right"/>
            </w:pPr>
            <w:r>
              <w:t>13</w:t>
            </w:r>
          </w:p>
        </w:tc>
        <w:tc>
          <w:tcPr>
            <w:tcW w:w="1205" w:type="dxa"/>
            <w:noWrap/>
          </w:tcPr>
          <w:p w:rsidR="008E2432" w:rsidRDefault="008E2432" w:rsidP="008E2432">
            <w:pPr>
              <w:pStyle w:val="TableText"/>
              <w:jc w:val="right"/>
            </w:pPr>
            <w:r>
              <w:t>51.9</w:t>
            </w:r>
          </w:p>
        </w:tc>
      </w:tr>
      <w:tr w:rsidR="008E2432" w:rsidRPr="00FB7DF8" w:rsidTr="008E2432">
        <w:trPr>
          <w:trHeight w:val="225"/>
        </w:trPr>
        <w:tc>
          <w:tcPr>
            <w:tcW w:w="4786" w:type="dxa"/>
            <w:noWrap/>
            <w:vAlign w:val="bottom"/>
          </w:tcPr>
          <w:p w:rsidR="008E2432" w:rsidRDefault="008E2432" w:rsidP="008E2432">
            <w:pPr>
              <w:pStyle w:val="TableText"/>
            </w:pPr>
            <w:r>
              <w:t>Kristin</w:t>
            </w:r>
            <w:r w:rsidR="001E7545">
              <w:t>a Peters</w:t>
            </w:r>
            <w:r>
              <w:t>en, The George Institute</w:t>
            </w:r>
          </w:p>
        </w:tc>
        <w:tc>
          <w:tcPr>
            <w:tcW w:w="1205" w:type="dxa"/>
            <w:noWrap/>
          </w:tcPr>
          <w:p w:rsidR="008E2432" w:rsidRDefault="008E2432" w:rsidP="008E2432">
            <w:pPr>
              <w:pStyle w:val="TableText"/>
              <w:jc w:val="right"/>
            </w:pPr>
            <w:r>
              <w:t>11</w:t>
            </w:r>
          </w:p>
        </w:tc>
        <w:tc>
          <w:tcPr>
            <w:tcW w:w="1205" w:type="dxa"/>
            <w:noWrap/>
          </w:tcPr>
          <w:p w:rsidR="008E2432" w:rsidRDefault="008E2432" w:rsidP="008E2432">
            <w:pPr>
              <w:pStyle w:val="TableText"/>
              <w:jc w:val="right"/>
            </w:pPr>
            <w:r>
              <w:t>50.0</w:t>
            </w:r>
          </w:p>
        </w:tc>
      </w:tr>
      <w:tr w:rsidR="008E2432" w:rsidRPr="00FB7DF8" w:rsidTr="008E2432">
        <w:trPr>
          <w:trHeight w:val="225"/>
        </w:trPr>
        <w:tc>
          <w:tcPr>
            <w:tcW w:w="4786" w:type="dxa"/>
            <w:noWrap/>
            <w:vAlign w:val="bottom"/>
          </w:tcPr>
          <w:p w:rsidR="008E2432" w:rsidRDefault="008E2432" w:rsidP="008E2432">
            <w:pPr>
              <w:pStyle w:val="TableText"/>
            </w:pPr>
            <w:r>
              <w:t>Tom Godfrey, CHOICE</w:t>
            </w:r>
          </w:p>
        </w:tc>
        <w:tc>
          <w:tcPr>
            <w:tcW w:w="1205" w:type="dxa"/>
            <w:noWrap/>
          </w:tcPr>
          <w:p w:rsidR="008E2432" w:rsidRDefault="008E2432" w:rsidP="008E2432">
            <w:pPr>
              <w:pStyle w:val="TableText"/>
              <w:jc w:val="right"/>
            </w:pPr>
            <w:r>
              <w:t>10</w:t>
            </w:r>
          </w:p>
        </w:tc>
        <w:tc>
          <w:tcPr>
            <w:tcW w:w="1205" w:type="dxa"/>
            <w:noWrap/>
          </w:tcPr>
          <w:p w:rsidR="008E2432" w:rsidRDefault="008E2432" w:rsidP="008E2432">
            <w:pPr>
              <w:pStyle w:val="TableText"/>
              <w:jc w:val="right"/>
            </w:pPr>
            <w:r>
              <w:t>60.5</w:t>
            </w:r>
          </w:p>
        </w:tc>
      </w:tr>
      <w:tr w:rsidR="008E2432" w:rsidRPr="00FB7DF8" w:rsidTr="008E2432">
        <w:trPr>
          <w:trHeight w:val="225"/>
        </w:trPr>
        <w:tc>
          <w:tcPr>
            <w:tcW w:w="4786" w:type="dxa"/>
            <w:noWrap/>
            <w:vAlign w:val="bottom"/>
          </w:tcPr>
          <w:p w:rsidR="008E2432" w:rsidRDefault="008E2432" w:rsidP="008E2432">
            <w:pPr>
              <w:pStyle w:val="TableText"/>
            </w:pPr>
            <w:r>
              <w:t>Unnamed Source, Vox Pop</w:t>
            </w:r>
          </w:p>
        </w:tc>
        <w:tc>
          <w:tcPr>
            <w:tcW w:w="1205" w:type="dxa"/>
            <w:noWrap/>
          </w:tcPr>
          <w:p w:rsidR="008E2432" w:rsidRDefault="008E2432" w:rsidP="008E2432">
            <w:pPr>
              <w:pStyle w:val="TableText"/>
              <w:jc w:val="right"/>
            </w:pPr>
            <w:r>
              <w:t>9</w:t>
            </w:r>
          </w:p>
        </w:tc>
        <w:tc>
          <w:tcPr>
            <w:tcW w:w="1205" w:type="dxa"/>
            <w:noWrap/>
          </w:tcPr>
          <w:p w:rsidR="008E2432" w:rsidRDefault="008E2432" w:rsidP="008E2432">
            <w:pPr>
              <w:pStyle w:val="TableText"/>
              <w:jc w:val="right"/>
            </w:pPr>
            <w:r>
              <w:t>50.0</w:t>
            </w:r>
          </w:p>
        </w:tc>
      </w:tr>
    </w:tbl>
    <w:p w:rsidR="008E2432"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28</w:t>
        </w:r>
      </w:fldSimple>
      <w:r>
        <w:rPr>
          <w:noProof/>
        </w:rPr>
        <w:t xml:space="preserve"> Stakeholders: Quarter 4 2015</w:t>
      </w:r>
    </w:p>
    <w:p w:rsidR="008E2432" w:rsidRDefault="008E2432" w:rsidP="008E2432">
      <w:pPr>
        <w:pStyle w:val="Figure"/>
      </w:pPr>
      <w:r w:rsidRPr="003C7712">
        <w:rPr>
          <w:noProof/>
        </w:rPr>
        <w:drawing>
          <wp:inline distT="0" distB="0" distL="0" distR="0" wp14:anchorId="46CB2B91" wp14:editId="7B5342CC">
            <wp:extent cx="8899921" cy="2409825"/>
            <wp:effectExtent l="0" t="0" r="0" b="0"/>
            <wp:docPr id="54" name="Picture 54" descr="This stacked bar chart shows the volume and favourability of coverage which mentioned each stakeholder in Quarter 4 2015, with a line graph showing the average favourabliity of reports for each stakeholder.&#10;Consumers/consumer advocates: 64 favourable, 20 neutral and 7 unfavourable reports, 101 in total, with a 55.6 average rating&#10;Food manufacturing industry: 61 favourable, 34 neutral and 3 unfavourable reports, 98 in total, with a 56.3 average rating&#10;Public health/medical: 41 favourable, 42 neutral and 3 unfavourable reports, 86 in total, with a 54.9 average rating&#10;Government/bureaucracy: 39 favourable, 28 neutral and 5 unfavourable reports, 72 in total, with a 54.9 average rating&#10;Food retail industry: 18 favourable, 13 neutral and 1 unfavourable reports, 32 in total, with a 56.4 average rating&#10;Primary producers: 4 favourable, 3 neutral and 3 unfavourable reports, 10 in total, with a 49.5 average rating" title="Stakeholders: Quarter 4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Default="008E2432" w:rsidP="008E2432">
      <w:pPr>
        <w:pStyle w:val="BodyText"/>
      </w:pPr>
    </w:p>
    <w:p w:rsidR="008E2432" w:rsidRPr="0003409C" w:rsidRDefault="008E2432" w:rsidP="008E2432">
      <w:pPr>
        <w:pStyle w:val="BodyText"/>
        <w:sectPr w:rsidR="008E2432" w:rsidRPr="0003409C"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66" w:name="_Toc483493718"/>
      <w:bookmarkStart w:id="67" w:name="_Toc485374985"/>
      <w:r>
        <w:t>Quarter 1 2016</w:t>
      </w:r>
      <w:bookmarkEnd w:id="66"/>
      <w:bookmarkEnd w:id="67"/>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29</w:t>
        </w:r>
      </w:fldSimple>
      <w:r>
        <w:rPr>
          <w:noProof/>
        </w:rPr>
        <w:t xml:space="preserve"> Messages by stakeholders: Quarter 1 2016</w:t>
      </w:r>
    </w:p>
    <w:p w:rsidR="008E2432" w:rsidRDefault="008E2432" w:rsidP="008E2432">
      <w:pPr>
        <w:pStyle w:val="Figure"/>
      </w:pPr>
      <w:r w:rsidRPr="0020248B">
        <w:rPr>
          <w:noProof/>
        </w:rPr>
        <w:drawing>
          <wp:inline distT="0" distB="0" distL="0" distR="0" wp14:anchorId="3A3505E0" wp14:editId="1F2F334D">
            <wp:extent cx="4404567" cy="5035097"/>
            <wp:effectExtent l="0" t="0" r="0" b="0"/>
            <wp:docPr id="15" name="Picture 15" descr="Chart 29 is a horizontal stacked bar chart which shows the number of favourable and unfavourable messages most often conveyed overall, broken down by by each stakeholder group, in Quarter 1 2016.&#10;Favourable messages:&#10;Health Star Rating drives innovation/product reformulation: 2 mentions by consumers/consumer advocates, 9 by public health/medical, 8 by food manufacturing industry, 2 by government/bureaucracy and 3 by food retail industry; 24 mentions in total&#10;Health Star Rating helps promote food products: 4 mentions by consumers/consumer advocates, 1 by public health/medical, 9 by food manufacturing industry and 4 by food retail industry; 18 mentions in total&#10;Food industry is acting to introduce Health Star Rating: 8 mentions by public health/medical, 4 by food manufacturing industry and 1 by government/bureaucracy; 13 mentions in total&#10;Health Star Rating is superior to other systems: 7 mentions by public health/medical, 1 by food manufacturing industry and 4 by government/bureaucracy; 12 mentions in total&#10;Health Star Rating reveals healthy foods: 5 mentions by consumers/consumer advocates and 6 by public health/medical; 11 mentions in total&#10;Unfavourable messages:&#10;Health Star Rating allows industry to game the system: 10 mentions by consumers/consumer advocates, 3 by public health/medical, 1 by food manufacturing industry and 1 by government/bureaucracy; 25 mentions in total&#10;Ratings are not trustworthy/credible: 5 mentions by consumers/consumer advocates and 1 by public health/medical; 6 mentions in total&#10;Health Star Rating conflicts with existing labelling schemes: 1 mention by consumers/consumer advocates, two mentions by public health/medical and 1 by government/bureaucracy; 4 mentions in total&#10;Health Star Rating encourages the purchase/consumption of processed foods: 2 mentions by consumers/consumer advocates and 2 by public health/medical; 4 mentions in total&#10;Ratings are misleading: 3 mentions by consumers/consumer advocates and 1 by public health/medical; 4 mentions in total" title="Leading messages by stakeholders: Quarter 1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8E2432">
      <w:pPr>
        <w:pStyle w:val="Caption"/>
        <w:rPr>
          <w:noProof/>
        </w:rPr>
      </w:pPr>
      <w:r>
        <w:br w:type="column"/>
        <w:t xml:space="preserve">Table </w:t>
      </w:r>
      <w:fldSimple w:instr=" SEQ Table \* ARABIC ">
        <w:r w:rsidR="003972DC">
          <w:rPr>
            <w:noProof/>
          </w:rPr>
          <w:t>8</w:t>
        </w:r>
      </w:fldSimple>
      <w:r>
        <w:t xml:space="preserve"> Leading spokespeople</w:t>
      </w:r>
      <w:r>
        <w:rPr>
          <w:noProof/>
        </w:rPr>
        <w:t>: Quarter 1 2016</w:t>
      </w:r>
    </w:p>
    <w:p w:rsidR="008E2432" w:rsidRPr="00493108" w:rsidRDefault="008E2432" w:rsidP="008E2432">
      <w:pPr>
        <w:pStyle w:val="Figure"/>
      </w:pPr>
      <w:r>
        <w:rPr>
          <w:i/>
        </w:rPr>
        <w:t>This table shows the most frequently cited spokespeople in Quarter 1 2016,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8 is a list of the most frequently cited spokespeople in Quarter 1 2016,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hideMark/>
          </w:tcPr>
          <w:p w:rsidR="008E2432" w:rsidRDefault="008E2432" w:rsidP="008E2432">
            <w:pPr>
              <w:pStyle w:val="TableText"/>
            </w:pPr>
            <w:r>
              <w:t>Tom Godfrey, CHOICE</w:t>
            </w:r>
          </w:p>
        </w:tc>
        <w:tc>
          <w:tcPr>
            <w:tcW w:w="1205" w:type="dxa"/>
            <w:noWrap/>
            <w:hideMark/>
          </w:tcPr>
          <w:p w:rsidR="008E2432" w:rsidRDefault="008E2432" w:rsidP="008E2432">
            <w:pPr>
              <w:pStyle w:val="TableText"/>
              <w:jc w:val="right"/>
            </w:pPr>
            <w:r>
              <w:t>22</w:t>
            </w:r>
          </w:p>
        </w:tc>
        <w:tc>
          <w:tcPr>
            <w:tcW w:w="1205" w:type="dxa"/>
            <w:noWrap/>
            <w:hideMark/>
          </w:tcPr>
          <w:p w:rsidR="008E2432" w:rsidRDefault="008E2432" w:rsidP="008E2432">
            <w:pPr>
              <w:pStyle w:val="TableText"/>
              <w:jc w:val="right"/>
            </w:pPr>
            <w:r>
              <w:t>49.1</w:t>
            </w:r>
          </w:p>
        </w:tc>
      </w:tr>
      <w:tr w:rsidR="008E2432" w:rsidRPr="00FB7DF8" w:rsidTr="008E2432">
        <w:trPr>
          <w:trHeight w:val="225"/>
        </w:trPr>
        <w:tc>
          <w:tcPr>
            <w:tcW w:w="4786" w:type="dxa"/>
            <w:noWrap/>
            <w:vAlign w:val="bottom"/>
            <w:hideMark/>
          </w:tcPr>
          <w:p w:rsidR="008E2432" w:rsidRDefault="008E2432" w:rsidP="008E2432">
            <w:pPr>
              <w:pStyle w:val="TableText"/>
            </w:pPr>
            <w:r>
              <w:t>Unnamed Source, Kellogg's</w:t>
            </w:r>
          </w:p>
        </w:tc>
        <w:tc>
          <w:tcPr>
            <w:tcW w:w="1205" w:type="dxa"/>
            <w:noWrap/>
            <w:hideMark/>
          </w:tcPr>
          <w:p w:rsidR="008E2432" w:rsidRDefault="008E2432" w:rsidP="008E2432">
            <w:pPr>
              <w:pStyle w:val="TableText"/>
              <w:jc w:val="right"/>
            </w:pPr>
            <w:r>
              <w:t>11</w:t>
            </w:r>
          </w:p>
        </w:tc>
        <w:tc>
          <w:tcPr>
            <w:tcW w:w="1205" w:type="dxa"/>
            <w:noWrap/>
            <w:hideMark/>
          </w:tcPr>
          <w:p w:rsidR="008E2432" w:rsidRDefault="008E2432" w:rsidP="008E2432">
            <w:pPr>
              <w:pStyle w:val="TableText"/>
              <w:jc w:val="right"/>
            </w:pPr>
            <w:r>
              <w:t>47.7</w:t>
            </w:r>
          </w:p>
        </w:tc>
      </w:tr>
      <w:tr w:rsidR="008E2432" w:rsidRPr="00FB7DF8" w:rsidTr="008E2432">
        <w:trPr>
          <w:trHeight w:val="225"/>
        </w:trPr>
        <w:tc>
          <w:tcPr>
            <w:tcW w:w="4786" w:type="dxa"/>
            <w:noWrap/>
            <w:vAlign w:val="bottom"/>
            <w:hideMark/>
          </w:tcPr>
          <w:p w:rsidR="008E2432" w:rsidRDefault="008E2432" w:rsidP="008E2432">
            <w:pPr>
              <w:pStyle w:val="TableText"/>
            </w:pPr>
            <w:r>
              <w:t>Michael Moore, Public Health Association</w:t>
            </w:r>
          </w:p>
        </w:tc>
        <w:tc>
          <w:tcPr>
            <w:tcW w:w="1205" w:type="dxa"/>
            <w:noWrap/>
            <w:hideMark/>
          </w:tcPr>
          <w:p w:rsidR="008E2432" w:rsidRDefault="008E2432" w:rsidP="008E2432">
            <w:pPr>
              <w:pStyle w:val="TableText"/>
              <w:jc w:val="right"/>
            </w:pPr>
            <w:r>
              <w:t>10</w:t>
            </w:r>
          </w:p>
        </w:tc>
        <w:tc>
          <w:tcPr>
            <w:tcW w:w="1205" w:type="dxa"/>
            <w:noWrap/>
            <w:hideMark/>
          </w:tcPr>
          <w:p w:rsidR="008E2432" w:rsidRDefault="008E2432" w:rsidP="008E2432">
            <w:pPr>
              <w:pStyle w:val="TableText"/>
              <w:jc w:val="right"/>
            </w:pPr>
            <w:r>
              <w:t>65.5</w:t>
            </w:r>
          </w:p>
        </w:tc>
      </w:tr>
      <w:tr w:rsidR="008E2432" w:rsidRPr="00FB7DF8" w:rsidTr="008E2432">
        <w:trPr>
          <w:trHeight w:val="225"/>
        </w:trPr>
        <w:tc>
          <w:tcPr>
            <w:tcW w:w="4786" w:type="dxa"/>
            <w:noWrap/>
            <w:vAlign w:val="bottom"/>
          </w:tcPr>
          <w:p w:rsidR="008E2432" w:rsidRDefault="008E2432" w:rsidP="008E2432">
            <w:pPr>
              <w:pStyle w:val="TableText"/>
            </w:pPr>
            <w:r>
              <w:t>Kate Freeman, Nutritionist</w:t>
            </w:r>
          </w:p>
        </w:tc>
        <w:tc>
          <w:tcPr>
            <w:tcW w:w="1205" w:type="dxa"/>
            <w:noWrap/>
          </w:tcPr>
          <w:p w:rsidR="008E2432" w:rsidRDefault="008E2432" w:rsidP="008E2432">
            <w:pPr>
              <w:pStyle w:val="TableText"/>
              <w:jc w:val="right"/>
            </w:pPr>
            <w:r>
              <w:t>8</w:t>
            </w:r>
          </w:p>
        </w:tc>
        <w:tc>
          <w:tcPr>
            <w:tcW w:w="1205" w:type="dxa"/>
            <w:noWrap/>
          </w:tcPr>
          <w:p w:rsidR="008E2432" w:rsidRDefault="008E2432" w:rsidP="008E2432">
            <w:pPr>
              <w:pStyle w:val="TableText"/>
              <w:jc w:val="right"/>
            </w:pPr>
            <w:r>
              <w:t>68.1</w:t>
            </w:r>
          </w:p>
        </w:tc>
      </w:tr>
      <w:tr w:rsidR="008E2432" w:rsidRPr="00FB7DF8" w:rsidTr="008E2432">
        <w:trPr>
          <w:trHeight w:val="225"/>
        </w:trPr>
        <w:tc>
          <w:tcPr>
            <w:tcW w:w="4786" w:type="dxa"/>
            <w:noWrap/>
            <w:vAlign w:val="bottom"/>
          </w:tcPr>
          <w:p w:rsidR="008E2432" w:rsidRDefault="008E2432" w:rsidP="008E2432">
            <w:pPr>
              <w:pStyle w:val="TableText"/>
            </w:pPr>
            <w:r>
              <w:t>Mark Lawrence, Deakin University</w:t>
            </w:r>
          </w:p>
        </w:tc>
        <w:tc>
          <w:tcPr>
            <w:tcW w:w="1205" w:type="dxa"/>
            <w:noWrap/>
          </w:tcPr>
          <w:p w:rsidR="008E2432" w:rsidRDefault="008E2432" w:rsidP="008E2432">
            <w:pPr>
              <w:pStyle w:val="TableText"/>
              <w:jc w:val="right"/>
            </w:pPr>
            <w:r>
              <w:t>6</w:t>
            </w:r>
          </w:p>
        </w:tc>
        <w:tc>
          <w:tcPr>
            <w:tcW w:w="1205" w:type="dxa"/>
            <w:noWrap/>
          </w:tcPr>
          <w:p w:rsidR="008E2432" w:rsidRDefault="008E2432" w:rsidP="008E2432">
            <w:pPr>
              <w:pStyle w:val="TableText"/>
              <w:jc w:val="right"/>
            </w:pPr>
            <w:r>
              <w:t>39.2</w:t>
            </w:r>
          </w:p>
        </w:tc>
      </w:tr>
    </w:tbl>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30</w:t>
        </w:r>
      </w:fldSimple>
      <w:r>
        <w:rPr>
          <w:noProof/>
        </w:rPr>
        <w:t xml:space="preserve"> Stakeholders: Quarter 1 2016</w:t>
      </w:r>
    </w:p>
    <w:p w:rsidR="008E2432" w:rsidRDefault="008E2432" w:rsidP="008E2432">
      <w:pPr>
        <w:pStyle w:val="Figure"/>
      </w:pPr>
      <w:r w:rsidRPr="003C7712">
        <w:rPr>
          <w:noProof/>
        </w:rPr>
        <w:drawing>
          <wp:inline distT="0" distB="0" distL="0" distR="0" wp14:anchorId="70CFCB0A" wp14:editId="6EAD3611">
            <wp:extent cx="8899921" cy="2409825"/>
            <wp:effectExtent l="0" t="0" r="0" b="0"/>
            <wp:docPr id="55" name="Picture 55" descr="This stacked bar chart shows the volume and favourability of coverage which mentioned each stakeholder in Quarter 1 2016, with a line graph showing the average favourabliity of reports for each stakeholder.&#10;Consumers/consumer advocates: 50 favourable, 19 neutral and 20 unfavourable reports, 89 in total, with a 53.5 average rating&#10;Food manufacturing industry: 31 favourable, 15 neutral and 12 unfavourable reports, 58 in total, with a 54.3 average rating&#10;Government/bureaucracy: 20 favourable, 27 neutral and 10 unfavourable reports, 57 in total, with a 51.2 average rating&#10;Public health/medical: 31 favourable, 5 neutral and 6 unfavourable reports, 42 in total, with a 57.5 average rating&#10;Food retail industry: 9 favourable, 2 neutral and 6 unfavourable reports, 17 in total, with a 55.6 average rating" title="Stakeholders: Quarter 1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8E2432" w:rsidRPr="00B74B28" w:rsidRDefault="008E2432" w:rsidP="008E2432">
      <w:pPr>
        <w:pStyle w:val="BodyText"/>
      </w:pPr>
    </w:p>
    <w:p w:rsidR="008E2432" w:rsidRDefault="008E2432" w:rsidP="008E2432">
      <w:pPr>
        <w:pStyle w:val="BodyText"/>
        <w:sectPr w:rsidR="008E2432" w:rsidSect="008E2432">
          <w:pgSz w:w="16839" w:h="11907" w:orient="landscape" w:code="9"/>
          <w:pgMar w:top="1418" w:right="1240" w:bottom="964" w:left="1247" w:header="142" w:footer="397" w:gutter="0"/>
          <w:cols w:space="283" w:equalWidth="0">
            <w:col w:w="14352" w:space="283"/>
          </w:cols>
          <w:formProt w:val="0"/>
          <w:titlePg/>
          <w:docGrid w:linePitch="360"/>
        </w:sectPr>
      </w:pPr>
    </w:p>
    <w:p w:rsidR="008E2432" w:rsidRDefault="008E2432" w:rsidP="000C48A1">
      <w:pPr>
        <w:pStyle w:val="Heading2"/>
      </w:pPr>
      <w:bookmarkStart w:id="68" w:name="_Toc483493719"/>
      <w:bookmarkStart w:id="69" w:name="_Toc485374986"/>
      <w:r>
        <w:t>Quarter 2 2016</w:t>
      </w:r>
      <w:bookmarkEnd w:id="68"/>
      <w:bookmarkEnd w:id="69"/>
    </w:p>
    <w:p w:rsidR="008E2432" w:rsidRDefault="008E2432" w:rsidP="008E2432">
      <w:pPr>
        <w:pStyle w:val="Caption"/>
        <w:sectPr w:rsidR="008E2432" w:rsidSect="008E2432">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8E2432" w:rsidRDefault="008E2432" w:rsidP="008E2432">
      <w:pPr>
        <w:pStyle w:val="Caption"/>
      </w:pPr>
      <w:r>
        <w:t xml:space="preserve">Chart </w:t>
      </w:r>
      <w:fldSimple w:instr=" SEQ Chart \* ARABIC ">
        <w:r w:rsidR="003972DC">
          <w:rPr>
            <w:noProof/>
          </w:rPr>
          <w:t>31</w:t>
        </w:r>
      </w:fldSimple>
      <w:r>
        <w:rPr>
          <w:noProof/>
        </w:rPr>
        <w:t xml:space="preserve"> Messages by stakeholders: Quarter 2 2016</w:t>
      </w:r>
    </w:p>
    <w:p w:rsidR="008E2432" w:rsidRDefault="008E2432" w:rsidP="008E2432">
      <w:pPr>
        <w:pStyle w:val="Figure"/>
      </w:pPr>
      <w:r w:rsidRPr="00657D80">
        <w:rPr>
          <w:noProof/>
        </w:rPr>
        <w:drawing>
          <wp:inline distT="0" distB="0" distL="0" distR="0" wp14:anchorId="3A2EE62E" wp14:editId="34415551">
            <wp:extent cx="4404567" cy="5035097"/>
            <wp:effectExtent l="0" t="0" r="0" b="0"/>
            <wp:docPr id="8" name="Picture 8" descr="Chart 31 is a horizontal stacked bar chart which shows the number of favourable and unfavourable messages most often conveyed overall, broken down by by each stakeholder group, in Quarter 2 2016.&#10;Favourable messages:&#10;Health Star Rating should be mandatory: 29 mentions by public health/medical, 3 by consumers/consumer advocates and 1 by government/bureaucracy; 33 mentions in total&#10;Health Star Rating helps promote food products: 18 mentions by food manufacturing industry, 1 by consumers/consumer advocates and 7 by food retail industry; 26 mentions in total&#10;Food industry is acting to introduce Health Star Rating: 5 mentions by public health/medical, 6 by food manufacturing industry, 1 by consumers/consumer advocates and 1 by government/bureaucracy; 13 mentions in total&#10;Health Star Rating drives innovation/product reformulation: 1 mention by public health/medical, 7 mentions by food manufacturing industry and 4 by consumers/consumer advocates; 12 mentions in total&#10;Health Star Rating will drive changes in consumer behaviour: 4 mentions by public health/medical and 2 by consumers/consumer advocates; 6 mentions in total&#10;Health Star Rating reveals healthy foods: 3 mentions by public health/medical and 3 by consumers/consumer advocates; 6 mentions in total&#10;Unfavourable messages:&#10;Health Star Rating allows industry to game the system: 19 mentions by public health/medical and 5 by consumers/consumer advocates; 24 mentions in total&#10;Ratings are not trustworthy/credible: 3 mentions by public health/medical and 2 by consumers/consumer advocates; 5 mentions in total&#10;Health Star Rating does not have public support: 2 mentions by public health/medical, 1 by consumers/consumer advocates and 1 by government/bureaucracy; 4 mentions in total&#10;Ratings to not provide fair/realistic comparisons: 1 mention each by public health/medical, food manufacturing industry and consumers/consumer advocates; 3 mentions in total&#10;Ratings are misleading: 2 mentions by public health/medical and 1 by consumers/consumer advocates; 3 mentions in total" title="Leading messages by stakeholders Q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404567" cy="5035097"/>
                    </a:xfrm>
                    <a:prstGeom prst="rect">
                      <a:avLst/>
                    </a:prstGeom>
                    <a:noFill/>
                    <a:ln>
                      <a:noFill/>
                    </a:ln>
                  </pic:spPr>
                </pic:pic>
              </a:graphicData>
            </a:graphic>
          </wp:inline>
        </w:drawing>
      </w:r>
    </w:p>
    <w:p w:rsidR="008E2432" w:rsidRDefault="008E2432" w:rsidP="008E2432">
      <w:pPr>
        <w:pStyle w:val="Caption"/>
        <w:rPr>
          <w:noProof/>
        </w:rPr>
      </w:pPr>
      <w:r>
        <w:rPr>
          <w:color w:val="7A005B" w:themeColor="accent4"/>
          <w:kern w:val="0"/>
          <w:sz w:val="40"/>
          <w:szCs w:val="40"/>
        </w:rPr>
        <w:br w:type="column"/>
      </w:r>
      <w:r>
        <w:t xml:space="preserve">Table </w:t>
      </w:r>
      <w:fldSimple w:instr=" SEQ Table \* ARABIC ">
        <w:r w:rsidR="003972DC">
          <w:rPr>
            <w:noProof/>
          </w:rPr>
          <w:t>9</w:t>
        </w:r>
      </w:fldSimple>
      <w:r>
        <w:t xml:space="preserve"> Leading spokespeople</w:t>
      </w:r>
      <w:r>
        <w:rPr>
          <w:noProof/>
        </w:rPr>
        <w:t>: Quarter 2 2016</w:t>
      </w:r>
    </w:p>
    <w:p w:rsidR="008E2432" w:rsidRPr="00493108" w:rsidRDefault="008E2432" w:rsidP="008E2432">
      <w:pPr>
        <w:pStyle w:val="Figure"/>
      </w:pPr>
      <w:r>
        <w:rPr>
          <w:i/>
        </w:rPr>
        <w:t>This table shows the most frequently cited spokespeople in Quarter 2 2016, the volume of reports in which they were cited, and the average favourability of this coverage.</w:t>
      </w:r>
    </w:p>
    <w:tbl>
      <w:tblPr>
        <w:tblStyle w:val="MediaMonitors1"/>
        <w:tblW w:w="7196" w:type="dxa"/>
        <w:tblLayout w:type="fixed"/>
        <w:tblLook w:val="0620" w:firstRow="1" w:lastRow="0" w:firstColumn="0" w:lastColumn="0" w:noHBand="1" w:noVBand="1"/>
        <w:tblCaption w:val="Leading spokespeople"/>
        <w:tblDescription w:val="Table 9 is a list of the most frequently cited spokespeople in Quarter 2 2016, the volume of reports in which they were cited, and the average favourability of this coverage. This table contains three heading columns: 1. Spokespeople, 2. Volume and 3. Average Favourability."/>
      </w:tblPr>
      <w:tblGrid>
        <w:gridCol w:w="4786"/>
        <w:gridCol w:w="1205"/>
        <w:gridCol w:w="1205"/>
      </w:tblGrid>
      <w:tr w:rsidR="008E2432" w:rsidRPr="00FB7DF8" w:rsidTr="008E2432">
        <w:trPr>
          <w:cnfStyle w:val="100000000000" w:firstRow="1" w:lastRow="0" w:firstColumn="0" w:lastColumn="0" w:oddVBand="0" w:evenVBand="0" w:oddHBand="0" w:evenHBand="0" w:firstRowFirstColumn="0" w:firstRowLastColumn="0" w:lastRowFirstColumn="0" w:lastRowLastColumn="0"/>
          <w:trHeight w:val="225"/>
          <w:tblHeader/>
        </w:trPr>
        <w:tc>
          <w:tcPr>
            <w:tcW w:w="4786" w:type="dxa"/>
            <w:noWrap/>
            <w:hideMark/>
          </w:tcPr>
          <w:p w:rsidR="008E2432" w:rsidRPr="00FB7DF8" w:rsidRDefault="008E2432" w:rsidP="008E2432">
            <w:pPr>
              <w:pStyle w:val="TableTextHeading"/>
            </w:pPr>
            <w:r>
              <w:rPr>
                <w:caps w:val="0"/>
              </w:rPr>
              <w:t>Spokespeople</w:t>
            </w:r>
          </w:p>
        </w:tc>
        <w:tc>
          <w:tcPr>
            <w:tcW w:w="1205" w:type="dxa"/>
            <w:noWrap/>
            <w:hideMark/>
          </w:tcPr>
          <w:p w:rsidR="008E2432" w:rsidRPr="00FB7DF8" w:rsidRDefault="008E2432" w:rsidP="008E2432">
            <w:pPr>
              <w:pStyle w:val="TableTextHeadingRight"/>
            </w:pPr>
            <w:r w:rsidRPr="00FB7DF8">
              <w:rPr>
                <w:caps w:val="0"/>
              </w:rPr>
              <w:t>Vol</w:t>
            </w:r>
          </w:p>
        </w:tc>
        <w:tc>
          <w:tcPr>
            <w:tcW w:w="1205" w:type="dxa"/>
            <w:noWrap/>
            <w:hideMark/>
          </w:tcPr>
          <w:p w:rsidR="008E2432" w:rsidRPr="00FB7DF8" w:rsidRDefault="008E2432" w:rsidP="008E2432">
            <w:pPr>
              <w:pStyle w:val="TableTextHeadingRight"/>
            </w:pPr>
            <w:r w:rsidRPr="00FB7DF8">
              <w:rPr>
                <w:caps w:val="0"/>
              </w:rPr>
              <w:t>Avg Fav</w:t>
            </w:r>
          </w:p>
        </w:tc>
      </w:tr>
      <w:tr w:rsidR="008E2432" w:rsidRPr="00FB7DF8" w:rsidTr="008E2432">
        <w:trPr>
          <w:trHeight w:val="225"/>
        </w:trPr>
        <w:tc>
          <w:tcPr>
            <w:tcW w:w="4786" w:type="dxa"/>
            <w:noWrap/>
            <w:vAlign w:val="bottom"/>
            <w:hideMark/>
          </w:tcPr>
          <w:p w:rsidR="008E2432" w:rsidRDefault="008E2432" w:rsidP="008E2432">
            <w:pPr>
              <w:pStyle w:val="TableText"/>
            </w:pPr>
            <w:r>
              <w:t>Jane Martin, Obesity Policy Coalition</w:t>
            </w:r>
          </w:p>
        </w:tc>
        <w:tc>
          <w:tcPr>
            <w:tcW w:w="1205" w:type="dxa"/>
            <w:noWrap/>
            <w:hideMark/>
          </w:tcPr>
          <w:p w:rsidR="008E2432" w:rsidRDefault="008E2432" w:rsidP="008E2432">
            <w:pPr>
              <w:pStyle w:val="TableText"/>
              <w:jc w:val="right"/>
            </w:pPr>
            <w:r>
              <w:t>41</w:t>
            </w:r>
          </w:p>
        </w:tc>
        <w:tc>
          <w:tcPr>
            <w:tcW w:w="1205" w:type="dxa"/>
            <w:noWrap/>
            <w:hideMark/>
          </w:tcPr>
          <w:p w:rsidR="008E2432" w:rsidRDefault="008E2432" w:rsidP="008E2432">
            <w:pPr>
              <w:pStyle w:val="TableText"/>
              <w:jc w:val="right"/>
            </w:pPr>
            <w:r>
              <w:t>53.9</w:t>
            </w:r>
          </w:p>
        </w:tc>
      </w:tr>
      <w:tr w:rsidR="008E2432" w:rsidRPr="00FB7DF8" w:rsidTr="008E2432">
        <w:trPr>
          <w:trHeight w:val="225"/>
        </w:trPr>
        <w:tc>
          <w:tcPr>
            <w:tcW w:w="4786" w:type="dxa"/>
            <w:noWrap/>
            <w:vAlign w:val="bottom"/>
            <w:hideMark/>
          </w:tcPr>
          <w:p w:rsidR="008E2432" w:rsidRDefault="008E2432" w:rsidP="008E2432">
            <w:pPr>
              <w:pStyle w:val="TableText"/>
            </w:pPr>
            <w:r>
              <w:t>Alison Ginn, Cancer Council Dietician</w:t>
            </w:r>
          </w:p>
        </w:tc>
        <w:tc>
          <w:tcPr>
            <w:tcW w:w="1205" w:type="dxa"/>
            <w:noWrap/>
            <w:hideMark/>
          </w:tcPr>
          <w:p w:rsidR="008E2432" w:rsidRDefault="008E2432" w:rsidP="008E2432">
            <w:pPr>
              <w:pStyle w:val="TableText"/>
              <w:jc w:val="right"/>
            </w:pPr>
            <w:r>
              <w:t>8</w:t>
            </w:r>
          </w:p>
        </w:tc>
        <w:tc>
          <w:tcPr>
            <w:tcW w:w="1205" w:type="dxa"/>
            <w:noWrap/>
            <w:hideMark/>
          </w:tcPr>
          <w:p w:rsidR="008E2432" w:rsidRDefault="008E2432" w:rsidP="008E2432">
            <w:pPr>
              <w:pStyle w:val="TableText"/>
              <w:jc w:val="right"/>
            </w:pPr>
            <w:r>
              <w:t>55.6</w:t>
            </w:r>
          </w:p>
        </w:tc>
      </w:tr>
      <w:tr w:rsidR="008E2432" w:rsidRPr="00FB7DF8" w:rsidTr="008E2432">
        <w:trPr>
          <w:trHeight w:val="225"/>
        </w:trPr>
        <w:tc>
          <w:tcPr>
            <w:tcW w:w="4786" w:type="dxa"/>
            <w:noWrap/>
            <w:vAlign w:val="bottom"/>
            <w:hideMark/>
          </w:tcPr>
          <w:p w:rsidR="008E2432" w:rsidRDefault="008E2432" w:rsidP="008E2432">
            <w:pPr>
              <w:pStyle w:val="TableText"/>
            </w:pPr>
            <w:r>
              <w:t>Food Retail Industry Spokesperson</w:t>
            </w:r>
          </w:p>
        </w:tc>
        <w:tc>
          <w:tcPr>
            <w:tcW w:w="1205" w:type="dxa"/>
            <w:noWrap/>
            <w:hideMark/>
          </w:tcPr>
          <w:p w:rsidR="008E2432" w:rsidRDefault="008E2432" w:rsidP="008E2432">
            <w:pPr>
              <w:pStyle w:val="TableText"/>
              <w:jc w:val="right"/>
            </w:pPr>
            <w:r>
              <w:t>8</w:t>
            </w:r>
          </w:p>
        </w:tc>
        <w:tc>
          <w:tcPr>
            <w:tcW w:w="1205" w:type="dxa"/>
            <w:noWrap/>
            <w:hideMark/>
          </w:tcPr>
          <w:p w:rsidR="008E2432" w:rsidRDefault="008E2432" w:rsidP="008E2432">
            <w:pPr>
              <w:pStyle w:val="TableText"/>
              <w:jc w:val="right"/>
            </w:pPr>
            <w:r>
              <w:t>57.5</w:t>
            </w:r>
          </w:p>
        </w:tc>
      </w:tr>
      <w:tr w:rsidR="008E2432" w:rsidRPr="00FB7DF8" w:rsidTr="008E2432">
        <w:trPr>
          <w:trHeight w:val="225"/>
        </w:trPr>
        <w:tc>
          <w:tcPr>
            <w:tcW w:w="4786" w:type="dxa"/>
            <w:noWrap/>
            <w:vAlign w:val="bottom"/>
          </w:tcPr>
          <w:p w:rsidR="008E2432" w:rsidRDefault="008E2432" w:rsidP="008E2432">
            <w:pPr>
              <w:pStyle w:val="TableText"/>
            </w:pPr>
            <w:r>
              <w:t>Claire Deeks, Auckland Food Blogger</w:t>
            </w:r>
          </w:p>
        </w:tc>
        <w:tc>
          <w:tcPr>
            <w:tcW w:w="1205" w:type="dxa"/>
            <w:noWrap/>
          </w:tcPr>
          <w:p w:rsidR="008E2432" w:rsidRDefault="008E2432" w:rsidP="008E2432">
            <w:pPr>
              <w:pStyle w:val="TableText"/>
              <w:jc w:val="right"/>
            </w:pPr>
            <w:r>
              <w:t>7</w:t>
            </w:r>
          </w:p>
        </w:tc>
        <w:tc>
          <w:tcPr>
            <w:tcW w:w="1205" w:type="dxa"/>
            <w:noWrap/>
          </w:tcPr>
          <w:p w:rsidR="008E2432" w:rsidRDefault="008E2432" w:rsidP="008E2432">
            <w:pPr>
              <w:pStyle w:val="TableText"/>
              <w:jc w:val="right"/>
            </w:pPr>
            <w:r>
              <w:t>32.1</w:t>
            </w:r>
          </w:p>
        </w:tc>
      </w:tr>
      <w:tr w:rsidR="008E2432" w:rsidRPr="00FB7DF8" w:rsidTr="008E2432">
        <w:trPr>
          <w:trHeight w:val="225"/>
        </w:trPr>
        <w:tc>
          <w:tcPr>
            <w:tcW w:w="4786" w:type="dxa"/>
            <w:noWrap/>
            <w:vAlign w:val="bottom"/>
          </w:tcPr>
          <w:p w:rsidR="008E2432" w:rsidRDefault="008E2432" w:rsidP="008E2432">
            <w:pPr>
              <w:pStyle w:val="TableText"/>
            </w:pPr>
            <w:r>
              <w:t>Rosemary Stanton, HSR Technical Committee</w:t>
            </w:r>
          </w:p>
        </w:tc>
        <w:tc>
          <w:tcPr>
            <w:tcW w:w="1205" w:type="dxa"/>
            <w:noWrap/>
          </w:tcPr>
          <w:p w:rsidR="008E2432" w:rsidRDefault="008E2432" w:rsidP="008E2432">
            <w:pPr>
              <w:pStyle w:val="TableText"/>
              <w:jc w:val="right"/>
            </w:pPr>
            <w:r>
              <w:t>5</w:t>
            </w:r>
          </w:p>
        </w:tc>
        <w:tc>
          <w:tcPr>
            <w:tcW w:w="1205" w:type="dxa"/>
            <w:noWrap/>
          </w:tcPr>
          <w:p w:rsidR="008E2432" w:rsidRDefault="008E2432" w:rsidP="008E2432">
            <w:pPr>
              <w:pStyle w:val="TableText"/>
              <w:jc w:val="right"/>
            </w:pPr>
            <w:r>
              <w:t>35.0</w:t>
            </w:r>
          </w:p>
        </w:tc>
      </w:tr>
      <w:tr w:rsidR="008E2432" w:rsidRPr="00FB7DF8" w:rsidTr="008E2432">
        <w:trPr>
          <w:trHeight w:val="225"/>
        </w:trPr>
        <w:tc>
          <w:tcPr>
            <w:tcW w:w="4786" w:type="dxa"/>
            <w:noWrap/>
            <w:vAlign w:val="bottom"/>
          </w:tcPr>
          <w:p w:rsidR="008E2432" w:rsidRDefault="008E2432" w:rsidP="008E2432">
            <w:pPr>
              <w:pStyle w:val="TableText"/>
            </w:pPr>
            <w:r>
              <w:t>Fiona Nash, Former Federal Assistant Health Minister</w:t>
            </w:r>
          </w:p>
        </w:tc>
        <w:tc>
          <w:tcPr>
            <w:tcW w:w="1205" w:type="dxa"/>
            <w:noWrap/>
          </w:tcPr>
          <w:p w:rsidR="008E2432" w:rsidRDefault="008E2432" w:rsidP="008E2432">
            <w:pPr>
              <w:pStyle w:val="TableText"/>
              <w:jc w:val="right"/>
            </w:pPr>
            <w:r>
              <w:t>5</w:t>
            </w:r>
          </w:p>
        </w:tc>
        <w:tc>
          <w:tcPr>
            <w:tcW w:w="1205" w:type="dxa"/>
            <w:noWrap/>
          </w:tcPr>
          <w:p w:rsidR="008E2432" w:rsidRDefault="008E2432" w:rsidP="008E2432">
            <w:pPr>
              <w:pStyle w:val="TableText"/>
              <w:jc w:val="right"/>
            </w:pPr>
            <w:r>
              <w:t>54.0</w:t>
            </w:r>
          </w:p>
        </w:tc>
      </w:tr>
      <w:tr w:rsidR="008E2432" w:rsidRPr="00FB7DF8" w:rsidTr="008E2432">
        <w:trPr>
          <w:trHeight w:val="225"/>
        </w:trPr>
        <w:tc>
          <w:tcPr>
            <w:tcW w:w="4786" w:type="dxa"/>
            <w:noWrap/>
            <w:vAlign w:val="bottom"/>
          </w:tcPr>
          <w:p w:rsidR="008E2432" w:rsidRDefault="008E2432" w:rsidP="008E2432">
            <w:pPr>
              <w:pStyle w:val="TableText"/>
            </w:pPr>
            <w:r>
              <w:t>Unnamed Source, Kellogg's</w:t>
            </w:r>
          </w:p>
        </w:tc>
        <w:tc>
          <w:tcPr>
            <w:tcW w:w="1205" w:type="dxa"/>
            <w:noWrap/>
          </w:tcPr>
          <w:p w:rsidR="008E2432" w:rsidRDefault="008E2432" w:rsidP="008E2432">
            <w:pPr>
              <w:pStyle w:val="TableText"/>
              <w:jc w:val="right"/>
            </w:pPr>
            <w:r>
              <w:t>5</w:t>
            </w:r>
          </w:p>
        </w:tc>
        <w:tc>
          <w:tcPr>
            <w:tcW w:w="1205" w:type="dxa"/>
            <w:noWrap/>
          </w:tcPr>
          <w:p w:rsidR="008E2432" w:rsidRDefault="008E2432" w:rsidP="008E2432">
            <w:pPr>
              <w:pStyle w:val="TableText"/>
              <w:jc w:val="right"/>
            </w:pPr>
            <w:r>
              <w:t>46.0</w:t>
            </w:r>
          </w:p>
        </w:tc>
      </w:tr>
    </w:tbl>
    <w:p w:rsidR="008E2432" w:rsidRPr="00682153" w:rsidRDefault="008E2432" w:rsidP="008E2432">
      <w:pPr>
        <w:pStyle w:val="BodyText"/>
      </w:pPr>
    </w:p>
    <w:p w:rsidR="008E2432" w:rsidRDefault="008E2432" w:rsidP="008E2432">
      <w:pPr>
        <w:pStyle w:val="BodyText"/>
        <w:sectPr w:rsidR="008E2432" w:rsidSect="008E2432">
          <w:type w:val="continuous"/>
          <w:pgSz w:w="16839" w:h="11907" w:orient="landscape" w:code="9"/>
          <w:pgMar w:top="1418" w:right="1240" w:bottom="964" w:left="1247" w:header="142" w:footer="397" w:gutter="0"/>
          <w:cols w:num="2" w:space="283" w:equalWidth="0">
            <w:col w:w="7030" w:space="283"/>
            <w:col w:w="7030" w:space="708"/>
          </w:cols>
          <w:formProt w:val="0"/>
          <w:titlePg/>
          <w:docGrid w:linePitch="360"/>
        </w:sectPr>
      </w:pPr>
    </w:p>
    <w:p w:rsidR="000C48A1" w:rsidRDefault="008E2432" w:rsidP="000C48A1">
      <w:pPr>
        <w:pStyle w:val="Caption"/>
        <w:rPr>
          <w:noProof/>
        </w:rPr>
      </w:pPr>
      <w:r>
        <w:t xml:space="preserve">Chart </w:t>
      </w:r>
      <w:fldSimple w:instr=" SEQ Chart \* ARABIC ">
        <w:r w:rsidR="003972DC">
          <w:rPr>
            <w:noProof/>
          </w:rPr>
          <w:t>32</w:t>
        </w:r>
      </w:fldSimple>
      <w:r>
        <w:rPr>
          <w:noProof/>
        </w:rPr>
        <w:t xml:space="preserve"> Stakeholders: Quarter 2 2016</w:t>
      </w:r>
    </w:p>
    <w:p w:rsidR="008E2432" w:rsidRDefault="008E2432" w:rsidP="000C48A1">
      <w:pPr>
        <w:pStyle w:val="Figure"/>
        <w:rPr>
          <w:noProof/>
        </w:rPr>
      </w:pPr>
      <w:r w:rsidRPr="003C7712">
        <w:rPr>
          <w:noProof/>
        </w:rPr>
        <w:drawing>
          <wp:inline distT="0" distB="0" distL="0" distR="0" wp14:anchorId="3EA8052A" wp14:editId="4EDAE550">
            <wp:extent cx="8899921" cy="2409825"/>
            <wp:effectExtent l="0" t="0" r="0" b="0"/>
            <wp:docPr id="57" name="Picture 57" descr="This stacked bar chart shows the volume and favourability of coverage which mentioned each stakeholder in Quarter 2 2016, with a line graph showing the average favourabliity of reports for each stakeholder.&#10;Consumers/consumer advocates: 36 favourable, 36 neutral and 17 unfavourable reports, 89 in total, with a 50.8 average rating&#10;Food manufacturing industry: 41 favourable, 40 neutral and 7 unfavourable reports, 88 in total, with a 53.2 average rating&#10;Public health/medical: 37 favourable, 17 neutral and 8 unfavourable reports, 62 in total, with a 54.5 average rating&#10;Government/bureaucracy: 20 favourable, 29 neutral and 10 unfavourable reports, 59 in total, with a 50.7 average rating&#10;Food retail industry: 10 favourable, 7 neutral and 3 unfavourable reports, 20 in total, with a 53.0 average rating&#10;Primary producers: 2 favourable reports with a 67.5 average rating" title="Stakeholders: Quarter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0C48A1" w:rsidRDefault="000C48A1" w:rsidP="000C48A1">
      <w:pPr>
        <w:pStyle w:val="Figure"/>
        <w:sectPr w:rsidR="000C48A1" w:rsidSect="008E2432">
          <w:pgSz w:w="16838" w:h="11906" w:orient="landscape" w:code="9"/>
          <w:pgMar w:top="964" w:right="1242" w:bottom="964" w:left="1247" w:header="0" w:footer="397" w:gutter="0"/>
          <w:cols w:space="289"/>
          <w:docGrid w:linePitch="360"/>
        </w:sectPr>
      </w:pPr>
    </w:p>
    <w:p w:rsidR="000C48A1" w:rsidRDefault="000C48A1" w:rsidP="000C48A1">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bookmarkStart w:id="70" w:name="_Toc480535116"/>
      <w:bookmarkStart w:id="71" w:name="_Toc483477942"/>
      <w:bookmarkStart w:id="72" w:name="_Toc485374987"/>
      <w:r>
        <w:t xml:space="preserve">Leading </w:t>
      </w:r>
      <w:r w:rsidRPr="00F064E4">
        <w:t>Media</w:t>
      </w:r>
      <w:bookmarkEnd w:id="70"/>
      <w:bookmarkEnd w:id="71"/>
      <w:bookmarkEnd w:id="72"/>
    </w:p>
    <w:p w:rsidR="000C48A1" w:rsidRDefault="000C48A1" w:rsidP="000C48A1">
      <w:pPr>
        <w:pStyle w:val="Caption"/>
        <w:sectPr w:rsidR="000C48A1" w:rsidSect="006D6782">
          <w:pgSz w:w="16839" w:h="11907" w:orient="landscape" w:code="9"/>
          <w:pgMar w:top="567" w:right="1240" w:bottom="964" w:left="1247" w:header="142" w:footer="397" w:gutter="0"/>
          <w:cols w:space="283"/>
          <w:formProt w:val="0"/>
          <w:titlePg/>
          <w:docGrid w:linePitch="360"/>
        </w:sectPr>
      </w:pPr>
    </w:p>
    <w:p w:rsidR="000C48A1" w:rsidRDefault="000C48A1" w:rsidP="000C48A1">
      <w:pPr>
        <w:pStyle w:val="Caption"/>
      </w:pPr>
      <w:r>
        <w:t xml:space="preserve">Chart </w:t>
      </w:r>
      <w:fldSimple w:instr=" SEQ Chart \* ARABIC ">
        <w:r w:rsidR="003972DC">
          <w:rPr>
            <w:noProof/>
          </w:rPr>
          <w:t>33</w:t>
        </w:r>
      </w:fldSimple>
      <w:r>
        <w:rPr>
          <w:noProof/>
        </w:rPr>
        <w:t xml:space="preserve"> Leading media: press</w:t>
      </w:r>
      <w:r w:rsidRPr="00551499">
        <w:rPr>
          <w:noProof/>
          <w:highlight w:val="yellow"/>
        </w:rPr>
        <w:t xml:space="preserve"> </w:t>
      </w:r>
    </w:p>
    <w:p w:rsidR="000C48A1" w:rsidRDefault="000C48A1" w:rsidP="000C48A1">
      <w:pPr>
        <w:pStyle w:val="Figure"/>
      </w:pPr>
      <w:r w:rsidRPr="004E1094">
        <w:rPr>
          <w:noProof/>
        </w:rPr>
        <w:drawing>
          <wp:inline distT="0" distB="0" distL="0" distR="0" wp14:anchorId="65A0875E" wp14:editId="5A7600FB">
            <wp:extent cx="8899921" cy="2409825"/>
            <wp:effectExtent l="0" t="0" r="0" b="0"/>
            <wp:docPr id="10" name="Picture 10" descr="Chart 33 is a stacked bar chart showing the most frequent press publications to report on Health Star Rating in the analysed coverage, with a line graph showing the average favourability of their reports.&#10;Retail World: 20 favourable, 13 neutral, and 0 unfavourable reports, 33 in total, with a 56.2 average rating&#10;Food &amp; Drink Business: 12 favourable, 12 neutral and  2 unfavourable reports, 26 in total, with a 53.7 average rating&#10;CHOICE: 13 favourable, 5 neutral and 1 unfavourable reports, 19 in total, with a 56.1 average rating&#10;Convenience World: 12 favourable, 6 neutral and 0 unfavourable reports, 18 in total, with a 56.9 average rating&#10;Australian Healthy Food Guide: 10 favourable, 8 neutral and 0 unfavourable reports, 18 in total, with a 54.4 average rating" title="Leading medi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0C48A1" w:rsidRDefault="000C48A1" w:rsidP="000C48A1">
      <w:pPr>
        <w:pStyle w:val="Caption"/>
      </w:pPr>
      <w:r>
        <w:t xml:space="preserve">Chart </w:t>
      </w:r>
      <w:fldSimple w:instr=" SEQ Chart \* ARABIC ">
        <w:r w:rsidR="003972DC">
          <w:rPr>
            <w:noProof/>
          </w:rPr>
          <w:t>34</w:t>
        </w:r>
      </w:fldSimple>
      <w:r>
        <w:rPr>
          <w:noProof/>
        </w:rPr>
        <w:t xml:space="preserve"> Leading media: radio</w:t>
      </w:r>
      <w:r w:rsidRPr="00551499">
        <w:rPr>
          <w:noProof/>
          <w:highlight w:val="yellow"/>
        </w:rPr>
        <w:t xml:space="preserve"> </w:t>
      </w:r>
    </w:p>
    <w:p w:rsidR="000C48A1" w:rsidRDefault="000C48A1" w:rsidP="000C48A1">
      <w:pPr>
        <w:pStyle w:val="Figure"/>
      </w:pPr>
      <w:r w:rsidRPr="004E1094">
        <w:rPr>
          <w:noProof/>
        </w:rPr>
        <w:drawing>
          <wp:inline distT="0" distB="0" distL="0" distR="0" wp14:anchorId="7C10833C" wp14:editId="20877DC6">
            <wp:extent cx="8899921" cy="2409825"/>
            <wp:effectExtent l="0" t="0" r="0" b="0"/>
            <wp:docPr id="18" name="Picture 18" descr="Chart 34 is a stacked bar chart showing the most frequent radio stations to report on Health Star Rating in the analysed coverage, with a line graph showing the average favourability of their reports.&#10;6PR Perth: 3 favourable, 4 neutral, 1 and unfavourable reports, 8 in total, with a 53.1 average rating&#10;Curtin FM: 3 favourable, 4 neutral, and 0 unfavourable reports, 7 in total, with a 56.4 average rating&#10;FIVEaa: 2 favourable, 3 neutral and 2 unfavourable reports, 7 in total, with a 50.7 average rating&#10;ABC Radio Sydney: 0 favourable, 6 neutral and 0 unfavourable reports, 6 in total, with a 50.0 average rating&#10;2GB Sydney: 2 favourable, 4 neutral and 0 unfavourable reports, 6 in total, with a 52.5 average rating&#10;WAVE FM: 3 favourable, 3 neutral and 0 unfavourable reports, 6 in total, with a 55.8 average rating&#10;4BC Brisbane: 1 favourable, 4 neutral and 1 unfavourable reports, 6 in total, with a 50.0 average rating" title="Leading medi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0C48A1" w:rsidRPr="006C2419" w:rsidRDefault="000C48A1" w:rsidP="000C48A1">
      <w:pPr>
        <w:pStyle w:val="BodyText"/>
      </w:pPr>
    </w:p>
    <w:p w:rsidR="000C48A1" w:rsidRDefault="000C48A1" w:rsidP="000C48A1">
      <w:pPr>
        <w:pStyle w:val="Caption"/>
        <w:sectPr w:rsidR="000C48A1" w:rsidSect="006D6782">
          <w:type w:val="continuous"/>
          <w:pgSz w:w="16839" w:h="11907" w:orient="landscape" w:code="9"/>
          <w:pgMar w:top="567" w:right="1240" w:bottom="964" w:left="1247" w:header="142" w:footer="397" w:gutter="0"/>
          <w:cols w:space="283" w:equalWidth="0">
            <w:col w:w="14352" w:space="283"/>
          </w:cols>
          <w:formProt w:val="0"/>
          <w:titlePg/>
          <w:docGrid w:linePitch="360"/>
        </w:sectPr>
      </w:pPr>
    </w:p>
    <w:p w:rsidR="000C48A1" w:rsidRDefault="000C48A1" w:rsidP="000C48A1">
      <w:pPr>
        <w:pStyle w:val="Caption"/>
      </w:pPr>
      <w:r>
        <w:t xml:space="preserve">Chart </w:t>
      </w:r>
      <w:fldSimple w:instr=" SEQ Chart \* ARABIC ">
        <w:r w:rsidR="003972DC">
          <w:rPr>
            <w:noProof/>
          </w:rPr>
          <w:t>35</w:t>
        </w:r>
      </w:fldSimple>
      <w:r>
        <w:rPr>
          <w:noProof/>
        </w:rPr>
        <w:t xml:space="preserve"> Leading media: television</w:t>
      </w:r>
      <w:r w:rsidRPr="00551499">
        <w:rPr>
          <w:noProof/>
          <w:highlight w:val="yellow"/>
        </w:rPr>
        <w:t xml:space="preserve"> </w:t>
      </w:r>
    </w:p>
    <w:p w:rsidR="000C48A1" w:rsidRDefault="000C48A1" w:rsidP="000C48A1">
      <w:pPr>
        <w:pStyle w:val="Figure"/>
      </w:pPr>
      <w:r w:rsidRPr="004E1094">
        <w:rPr>
          <w:noProof/>
        </w:rPr>
        <w:drawing>
          <wp:inline distT="0" distB="0" distL="0" distR="0" wp14:anchorId="08F0DAD7" wp14:editId="1B082FA4">
            <wp:extent cx="8899921" cy="2409825"/>
            <wp:effectExtent l="0" t="0" r="0" b="0"/>
            <wp:docPr id="19" name="Picture 19" descr="Chart 35 is a stacked bar chart showing the most frequent television stations to report on Health Star Rating in the analysed coverage, with a line graph showing the average favourability of their reports.&#10;Channel 7 Brisbane: 3 favourable, 6 neutral and 1 unfavourable reports, 10 in total, with a 53.5 average rating&#10;Channel 9 Perth: 2 favourable, 4 neutral and 0 unfavourable reports, 6 in total, with a 55.0 average rating&#10;ABC News24: 3 favourable, 2 neutral and 0 unfavourable reports, 5 in total, with a 61.0 average rating&#10;Sky News Australia: 2 favourable, 1 neutral and 0 unfavourable reports, 3 in total, with a 56.7 average rating&#10;WIN Canberra: 3 favourable, 0 neutral and 0 unfavourable reports, 3 in total, with a 68.3 average rating&#10;Channel 7 Melbourne: 2 favourable, 1 neutral and 0 unfavourable reports, 3 in total, with a 53.3 average rating" title="Leading media: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8899921" cy="2409825"/>
                    </a:xfrm>
                    <a:prstGeom prst="rect">
                      <a:avLst/>
                    </a:prstGeom>
                    <a:noFill/>
                    <a:ln>
                      <a:noFill/>
                    </a:ln>
                  </pic:spPr>
                </pic:pic>
              </a:graphicData>
            </a:graphic>
          </wp:inline>
        </w:drawing>
      </w:r>
    </w:p>
    <w:p w:rsidR="000C48A1" w:rsidRDefault="000C48A1" w:rsidP="000C48A1">
      <w:pPr>
        <w:pStyle w:val="Caption"/>
      </w:pPr>
      <w:r>
        <w:t xml:space="preserve">Chart </w:t>
      </w:r>
      <w:fldSimple w:instr=" SEQ Chart \* ARABIC ">
        <w:r w:rsidR="003972DC">
          <w:rPr>
            <w:noProof/>
          </w:rPr>
          <w:t>36</w:t>
        </w:r>
      </w:fldSimple>
      <w:r>
        <w:rPr>
          <w:noProof/>
        </w:rPr>
        <w:t xml:space="preserve"> Leading media: internet</w:t>
      </w:r>
    </w:p>
    <w:p w:rsidR="000C48A1" w:rsidRDefault="000C48A1" w:rsidP="000C48A1">
      <w:pPr>
        <w:pStyle w:val="Figure"/>
      </w:pPr>
      <w:r w:rsidRPr="004E1094">
        <w:rPr>
          <w:noProof/>
        </w:rPr>
        <w:drawing>
          <wp:inline distT="0" distB="0" distL="0" distR="0" wp14:anchorId="24186FA3" wp14:editId="587F7783">
            <wp:extent cx="9113520" cy="2486355"/>
            <wp:effectExtent l="0" t="0" r="0" b="9525"/>
            <wp:docPr id="29" name="Picture 29" descr="Chart 36 is a stacked bar chart showing the most frequent internet outlets to report on Health Star Rating in the analysed coverage, with a line graph showing the average favourability of their reports.&#10;ausfoodnews.com.au: 42 favourable, 32 neutral and 3 unfavourable reports, 77 in total, with a 55.8 average rating&#10;foodmag.com.au: 26 favourable, 7 neutral and 4 unfavourable reports, 37 in total, with a 57.4 average rating&#10;foodanddrinkbusiness.com.au: 11 favourable, 5 neutral and 2 unfavourable reports, 18 in total, with a 56.7 average rating&#10;I Quit Sugar: 2 favourable, 4 neutral and 10 unfavourable reports, 16 in total, with a 45.9 average rating&#10;smh.com.au: 7 favourable, 5 neutral and 2 unfaovurable reports, 14 in total, with a 54.3 average rating&#10;news.com.au: 4 favourable, 5 neutral and 4 unfavourable reports,  13 in total, with a 50.4 average rating" title="Leading medi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9113520" cy="2486355"/>
                    </a:xfrm>
                    <a:prstGeom prst="rect">
                      <a:avLst/>
                    </a:prstGeom>
                    <a:noFill/>
                    <a:ln>
                      <a:noFill/>
                    </a:ln>
                  </pic:spPr>
                </pic:pic>
              </a:graphicData>
            </a:graphic>
          </wp:inline>
        </w:drawing>
      </w:r>
    </w:p>
    <w:p w:rsidR="000C48A1" w:rsidRDefault="000C48A1" w:rsidP="000C48A1">
      <w:pPr>
        <w:pStyle w:val="BodyText"/>
      </w:pPr>
    </w:p>
    <w:p w:rsidR="000C48A1" w:rsidRDefault="000C48A1" w:rsidP="000C48A1">
      <w:pPr>
        <w:pStyle w:val="BodyText"/>
        <w:sectPr w:rsidR="000C48A1" w:rsidSect="006D6782">
          <w:pgSz w:w="16839" w:h="11907" w:orient="landscape" w:code="9"/>
          <w:pgMar w:top="1418" w:right="1242" w:bottom="964" w:left="1247" w:header="142" w:footer="397" w:gutter="0"/>
          <w:cols w:space="283" w:equalWidth="0">
            <w:col w:w="14350" w:space="283"/>
          </w:cols>
          <w:formProt w:val="0"/>
          <w:titlePg/>
          <w:docGrid w:linePitch="360"/>
        </w:sectPr>
      </w:pPr>
    </w:p>
    <w:p w:rsidR="000C48A1" w:rsidRDefault="000C48A1" w:rsidP="000C48A1">
      <w:pPr>
        <w:pStyle w:val="Heading1"/>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r>
        <w:t xml:space="preserve"> </w:t>
      </w:r>
      <w:bookmarkStart w:id="73" w:name="_Toc480535117"/>
      <w:bookmarkStart w:id="74" w:name="_Toc483477943"/>
      <w:bookmarkStart w:id="75" w:name="_Toc485374988"/>
      <w:r>
        <w:t>Leading Bylines/Comperes</w:t>
      </w:r>
      <w:bookmarkEnd w:id="73"/>
      <w:bookmarkEnd w:id="74"/>
      <w:bookmarkEnd w:id="75"/>
    </w:p>
    <w:p w:rsidR="000C48A1" w:rsidRDefault="000C48A1" w:rsidP="000C48A1">
      <w:pPr>
        <w:pStyle w:val="Caption"/>
      </w:pPr>
      <w:r>
        <w:t xml:space="preserve">Chart </w:t>
      </w:r>
      <w:fldSimple w:instr=" SEQ Chart \* ARABIC ">
        <w:r w:rsidR="003972DC">
          <w:rPr>
            <w:noProof/>
          </w:rPr>
          <w:t>37</w:t>
        </w:r>
      </w:fldSimple>
      <w:r>
        <w:rPr>
          <w:noProof/>
        </w:rPr>
        <w:t xml:space="preserve"> Leading bylines: press</w:t>
      </w:r>
      <w:r w:rsidRPr="00551499">
        <w:rPr>
          <w:noProof/>
          <w:highlight w:val="yellow"/>
        </w:rPr>
        <w:t xml:space="preserve"> </w:t>
      </w:r>
    </w:p>
    <w:p w:rsidR="000C48A1" w:rsidRDefault="000C48A1" w:rsidP="000C48A1">
      <w:pPr>
        <w:pStyle w:val="Figure"/>
      </w:pPr>
      <w:r w:rsidRPr="0083371F">
        <w:rPr>
          <w:noProof/>
        </w:rPr>
        <w:drawing>
          <wp:inline distT="0" distB="0" distL="0" distR="0" wp14:anchorId="2D18B861" wp14:editId="28662846">
            <wp:extent cx="8909743" cy="3600450"/>
            <wp:effectExtent l="0" t="0" r="5715" b="0"/>
            <wp:docPr id="30" name="Picture 30" descr="Chart 37 is a stacked bar chart which shows the named press bylines who most frequently reported on Healthy Star Rating in the analysed coverage, with a line graph showing the average favourability of their reports.&#10;Rachel Clemons: 8 articles in CHOICE, 6 favourable &amp; 2 neutral; 56.3 average rating&#10;Katie Clift: 8 articles overall, 6 favourable &amp; 2 neutral; 55.0 average rating. 2 favourable articles in Highfields Herald, 60.0 rating; 1 neutral article in Townsville Bulletin, 50.0 rating; 1 favourable article in Dayboro Grapevine, 55.0 rating; 1 favourable article in Macintyre Gazette, 55.0 rating; 1 favourable article in Chinchilla News &amp; Murilla Advertiser, 55.0 rating; 1 favourable article in Ayr Advocate, 55.0 rating; 1 neutral article in Dalby Herald, 50.0 rating.&#10;Liz Graham: 8 articles overall, all favourable; 70.0 average rating. One favourable article each in the Sunday Times, Sunday Mail (Adelaide), Sunday Herald Sun, Sunday Tasmanian, Sunday Territorian, The Advertiser (Adelaide), and The Sunday Telegraph, all 70.0 ratings.&#10;Esther Han: 7 articles overall, 4 favourable, 2 neutral &amp; 1 unfavourable; 55.7 average rating. 2 favourable articles in The Canberra Times, 62.5 rating; 1 favourable &amp; 1 unfavourable articles in The Sun Herald, 47.5 rating; 1 neutral article in The Age, 50.0 rating; 1 neutral article in the Sunday Age, 50.0 rating; 1 favourable article in The Sydney Morning Herald, 70.0 rating." title="Leading bylines: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8909743" cy="3600450"/>
                    </a:xfrm>
                    <a:prstGeom prst="rect">
                      <a:avLst/>
                    </a:prstGeom>
                    <a:noFill/>
                    <a:ln>
                      <a:noFill/>
                    </a:ln>
                  </pic:spPr>
                </pic:pic>
              </a:graphicData>
            </a:graphic>
          </wp:inline>
        </w:drawing>
      </w:r>
    </w:p>
    <w:p w:rsidR="000C48A1" w:rsidRDefault="000C48A1" w:rsidP="000C48A1">
      <w:pPr>
        <w:pStyle w:val="BodyText"/>
      </w:pPr>
    </w:p>
    <w:p w:rsidR="000C48A1" w:rsidRDefault="000C48A1" w:rsidP="000C48A1">
      <w:pPr>
        <w:pStyle w:val="BodyText"/>
        <w:sectPr w:rsidR="000C48A1" w:rsidSect="006D6782">
          <w:pgSz w:w="16839" w:h="11907" w:orient="landscape" w:code="9"/>
          <w:pgMar w:top="567" w:right="1242" w:bottom="964" w:left="1247" w:header="142" w:footer="397" w:gutter="0"/>
          <w:cols w:space="283" w:equalWidth="0">
            <w:col w:w="14350" w:space="283"/>
          </w:cols>
          <w:formProt w:val="0"/>
          <w:titlePg/>
          <w:docGrid w:linePitch="360"/>
        </w:sectPr>
      </w:pPr>
    </w:p>
    <w:p w:rsidR="000C48A1" w:rsidRPr="004E6559" w:rsidRDefault="000C48A1" w:rsidP="004E6559">
      <w:pPr>
        <w:pStyle w:val="BodyText"/>
        <w:rPr>
          <w:rStyle w:val="SpecialNoteTextChar"/>
          <w:rFonts w:asciiTheme="minorHAnsi" w:hAnsiTheme="minorHAnsi"/>
          <w:b w:val="0"/>
          <w:i/>
          <w:caps w:val="0"/>
          <w:color w:val="auto"/>
        </w:rPr>
      </w:pPr>
      <w:r w:rsidRPr="004E6559">
        <w:rPr>
          <w:rStyle w:val="SpecialNoteTextChar"/>
          <w:rFonts w:asciiTheme="minorHAnsi" w:hAnsiTheme="minorHAnsi"/>
          <w:b w:val="0"/>
          <w:i/>
          <w:caps w:val="0"/>
          <w:color w:val="auto"/>
        </w:rPr>
        <w:t>The following tables show the leading comperes and bylines in radio, television and internet coverage; a breakdown of their reports by favourability and outlet; and the average favourability of this coverage.</w:t>
      </w:r>
    </w:p>
    <w:p w:rsidR="000C48A1" w:rsidRDefault="000C48A1" w:rsidP="000C48A1">
      <w:pPr>
        <w:pStyle w:val="Caption"/>
      </w:pPr>
      <w:r>
        <w:t xml:space="preserve">Table </w:t>
      </w:r>
      <w:fldSimple w:instr=" SEQ Table \* ARABIC ">
        <w:r w:rsidR="003972DC">
          <w:rPr>
            <w:noProof/>
          </w:rPr>
          <w:t>10</w:t>
        </w:r>
      </w:fldSimple>
      <w:r>
        <w:t xml:space="preserve"> Leading comperes: radio</w:t>
      </w:r>
    </w:p>
    <w:tbl>
      <w:tblPr>
        <w:tblStyle w:val="MediaMonitors1"/>
        <w:tblW w:w="7246" w:type="dxa"/>
        <w:tblLayout w:type="fixed"/>
        <w:tblLook w:val="0620" w:firstRow="1" w:lastRow="0" w:firstColumn="0" w:lastColumn="0" w:noHBand="1" w:noVBand="1"/>
        <w:tblCaption w:val="Leading comperes: radio"/>
        <w:tblDescription w:val="Table 10 is a list of the most frequent radio comperes in the analysed coverage, a breakdown of their reports by favourability and outlet, and the average favourability of this coverage. This table contains 7 heading columns: 1. Compere Name, 2. Media Name, 3. Favourable, 4. Neutral, 5. Unfavourable, 6. Volume and 7. Average favourability."/>
      </w:tblPr>
      <w:tblGrid>
        <w:gridCol w:w="1776"/>
        <w:gridCol w:w="2087"/>
        <w:gridCol w:w="676"/>
        <w:gridCol w:w="677"/>
        <w:gridCol w:w="676"/>
        <w:gridCol w:w="677"/>
        <w:gridCol w:w="677"/>
      </w:tblGrid>
      <w:tr w:rsidR="000C48A1" w:rsidRPr="003D384D" w:rsidTr="006D6782">
        <w:trPr>
          <w:cnfStyle w:val="100000000000" w:firstRow="1" w:lastRow="0" w:firstColumn="0" w:lastColumn="0" w:oddVBand="0" w:evenVBand="0" w:oddHBand="0" w:evenHBand="0" w:firstRowFirstColumn="0" w:firstRowLastColumn="0" w:lastRowFirstColumn="0" w:lastRowLastColumn="0"/>
          <w:trHeight w:val="225"/>
          <w:tblHeader/>
        </w:trPr>
        <w:tc>
          <w:tcPr>
            <w:tcW w:w="1776" w:type="dxa"/>
            <w:noWrap/>
            <w:hideMark/>
          </w:tcPr>
          <w:p w:rsidR="000C48A1" w:rsidRPr="003D384D" w:rsidRDefault="004E6559" w:rsidP="006D6782">
            <w:pPr>
              <w:pStyle w:val="TableTextHeading"/>
            </w:pPr>
            <w:r>
              <w:rPr>
                <w:caps w:val="0"/>
              </w:rPr>
              <w:t>Compere</w:t>
            </w:r>
            <w:r w:rsidR="000C48A1" w:rsidRPr="003D384D">
              <w:rPr>
                <w:caps w:val="0"/>
              </w:rPr>
              <w:t xml:space="preserve"> Name</w:t>
            </w:r>
          </w:p>
        </w:tc>
        <w:tc>
          <w:tcPr>
            <w:tcW w:w="2087" w:type="dxa"/>
            <w:noWrap/>
            <w:hideMark/>
          </w:tcPr>
          <w:p w:rsidR="000C48A1" w:rsidRPr="003D384D" w:rsidRDefault="000C48A1" w:rsidP="006D6782">
            <w:pPr>
              <w:pStyle w:val="TableTextHeading"/>
            </w:pPr>
            <w:r w:rsidRPr="003D384D">
              <w:rPr>
                <w:caps w:val="0"/>
              </w:rPr>
              <w:t>Media Name</w:t>
            </w:r>
          </w:p>
        </w:tc>
        <w:tc>
          <w:tcPr>
            <w:tcW w:w="676" w:type="dxa"/>
            <w:noWrap/>
            <w:hideMark/>
          </w:tcPr>
          <w:p w:rsidR="000C48A1" w:rsidRPr="003D384D" w:rsidRDefault="000C48A1" w:rsidP="006D6782">
            <w:pPr>
              <w:pStyle w:val="TableTextHeadingRight"/>
            </w:pPr>
            <w:r w:rsidRPr="003D384D">
              <w:rPr>
                <w:caps w:val="0"/>
              </w:rPr>
              <w:t>Fav</w:t>
            </w:r>
          </w:p>
        </w:tc>
        <w:tc>
          <w:tcPr>
            <w:tcW w:w="677" w:type="dxa"/>
            <w:noWrap/>
            <w:hideMark/>
          </w:tcPr>
          <w:p w:rsidR="000C48A1" w:rsidRPr="003D384D" w:rsidRDefault="000C48A1" w:rsidP="006D6782">
            <w:pPr>
              <w:pStyle w:val="TableTextHeadingRight"/>
            </w:pPr>
            <w:r w:rsidRPr="003D384D">
              <w:rPr>
                <w:caps w:val="0"/>
              </w:rPr>
              <w:t>Neu</w:t>
            </w:r>
          </w:p>
        </w:tc>
        <w:tc>
          <w:tcPr>
            <w:tcW w:w="676" w:type="dxa"/>
            <w:noWrap/>
            <w:hideMark/>
          </w:tcPr>
          <w:p w:rsidR="000C48A1" w:rsidRPr="003D384D" w:rsidRDefault="000C48A1" w:rsidP="006D6782">
            <w:pPr>
              <w:pStyle w:val="TableTextHeadingRight"/>
            </w:pPr>
            <w:r w:rsidRPr="003D384D">
              <w:rPr>
                <w:caps w:val="0"/>
              </w:rPr>
              <w:t>Unf</w:t>
            </w:r>
          </w:p>
        </w:tc>
        <w:tc>
          <w:tcPr>
            <w:tcW w:w="677" w:type="dxa"/>
            <w:noWrap/>
            <w:hideMark/>
          </w:tcPr>
          <w:p w:rsidR="000C48A1" w:rsidRPr="003D384D" w:rsidRDefault="000C48A1" w:rsidP="006D6782">
            <w:pPr>
              <w:pStyle w:val="TableTextHeadingRight"/>
            </w:pPr>
            <w:r w:rsidRPr="003D384D">
              <w:rPr>
                <w:caps w:val="0"/>
              </w:rPr>
              <w:t xml:space="preserve">Vol </w:t>
            </w:r>
          </w:p>
        </w:tc>
        <w:tc>
          <w:tcPr>
            <w:tcW w:w="677" w:type="dxa"/>
            <w:noWrap/>
            <w:hideMark/>
          </w:tcPr>
          <w:p w:rsidR="000C48A1" w:rsidRPr="003D384D" w:rsidRDefault="000C48A1" w:rsidP="006D6782">
            <w:pPr>
              <w:pStyle w:val="TableTextHeadingRight"/>
            </w:pPr>
            <w:r w:rsidRPr="003D384D">
              <w:rPr>
                <w:caps w:val="0"/>
              </w:rPr>
              <w:t>Avg Fav</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Loretta Ryan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0</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62.5</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t>ABC Southern Queensland</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 xml:space="preserve">ABC Sunshine </w:t>
            </w:r>
            <w:r>
              <w:t xml:space="preserve">&amp; </w:t>
            </w:r>
            <w:r w:rsidRPr="003D384D">
              <w:t xml:space="preserve">Cooloola Coasts </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65.0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Annie Gaffney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0</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65.0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 xml:space="preserve">ABC Sunshine </w:t>
            </w:r>
            <w:r>
              <w:t xml:space="preserve">&amp; </w:t>
            </w:r>
            <w:r w:rsidRPr="003D384D">
              <w:t>Cooloola Coasts</w:t>
            </w:r>
          </w:p>
        </w:tc>
        <w:tc>
          <w:tcPr>
            <w:tcW w:w="676"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65.0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Adam Shirley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1</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55.0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t>ABC Radio Canberra</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1</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55.0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Gary Adshead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1</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6PR Perth</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1</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Leon Byner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0</w:t>
            </w: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52.5</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F</w:t>
            </w:r>
            <w:r>
              <w:t>IVE</w:t>
            </w:r>
            <w:r w:rsidRPr="003D384D">
              <w:t>aa Adelaide</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52.5</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Mark Colvin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0</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666 ABC Canberra</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ABC Radio National</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60.0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Chris Smith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1</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55.0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2GB Sydney</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1</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2</w:t>
            </w:r>
          </w:p>
        </w:tc>
        <w:tc>
          <w:tcPr>
            <w:tcW w:w="677" w:type="dxa"/>
            <w:noWrap/>
            <w:hideMark/>
          </w:tcPr>
          <w:p w:rsidR="000C48A1" w:rsidRPr="003D384D" w:rsidRDefault="000C48A1" w:rsidP="006D6782">
            <w:pPr>
              <w:pStyle w:val="TableTextRight"/>
            </w:pPr>
            <w:r w:rsidRPr="003D384D">
              <w:t>55.0</w:t>
            </w:r>
          </w:p>
        </w:tc>
      </w:tr>
      <w:tr w:rsidR="000C48A1" w:rsidRPr="003D384D" w:rsidTr="006D6782">
        <w:trPr>
          <w:trHeight w:val="225"/>
        </w:trPr>
        <w:tc>
          <w:tcPr>
            <w:tcW w:w="1776" w:type="dxa"/>
            <w:shd w:val="clear" w:color="auto" w:fill="D8DEE2" w:themeFill="text2" w:themeFillTint="33"/>
            <w:noWrap/>
            <w:hideMark/>
          </w:tcPr>
          <w:p w:rsidR="000C48A1" w:rsidRPr="003D384D" w:rsidRDefault="000C48A1" w:rsidP="006D6782">
            <w:pPr>
              <w:pStyle w:val="TableText"/>
            </w:pPr>
            <w:r w:rsidRPr="003D384D">
              <w:t xml:space="preserve">Steve Austin </w:t>
            </w:r>
          </w:p>
        </w:tc>
        <w:tc>
          <w:tcPr>
            <w:tcW w:w="2087" w:type="dxa"/>
            <w:shd w:val="clear" w:color="auto" w:fill="D8DEE2" w:themeFill="text2" w:themeFillTint="33"/>
            <w:noWrap/>
            <w:hideMark/>
          </w:tcPr>
          <w:p w:rsidR="000C48A1" w:rsidRPr="003D384D" w:rsidRDefault="000C48A1" w:rsidP="006D6782">
            <w:pPr>
              <w:pStyle w:val="TableText"/>
            </w:pPr>
          </w:p>
        </w:tc>
        <w:tc>
          <w:tcPr>
            <w:tcW w:w="676" w:type="dxa"/>
            <w:shd w:val="clear" w:color="auto" w:fill="D8DEE2" w:themeFill="text2" w:themeFillTint="33"/>
            <w:noWrap/>
            <w:hideMark/>
          </w:tcPr>
          <w:p w:rsidR="000C48A1" w:rsidRPr="003D384D" w:rsidRDefault="000C48A1" w:rsidP="006D6782">
            <w:pPr>
              <w:pStyle w:val="TableTextRight"/>
            </w:pPr>
            <w:r w:rsidRPr="003D384D">
              <w:t>1</w:t>
            </w:r>
          </w:p>
        </w:tc>
        <w:tc>
          <w:tcPr>
            <w:tcW w:w="677" w:type="dxa"/>
            <w:shd w:val="clear" w:color="auto" w:fill="D8DEE2" w:themeFill="text2" w:themeFillTint="33"/>
            <w:noWrap/>
            <w:hideMark/>
          </w:tcPr>
          <w:p w:rsidR="000C48A1" w:rsidRPr="003D384D" w:rsidRDefault="000C48A1" w:rsidP="006D6782">
            <w:pPr>
              <w:pStyle w:val="TableTextRight"/>
            </w:pPr>
            <w:r w:rsidRPr="003D384D">
              <w:t>1</w:t>
            </w:r>
          </w:p>
        </w:tc>
        <w:tc>
          <w:tcPr>
            <w:tcW w:w="676" w:type="dxa"/>
            <w:shd w:val="clear" w:color="auto" w:fill="D8DEE2" w:themeFill="text2" w:themeFillTint="33"/>
            <w:noWrap/>
            <w:hideMark/>
          </w:tcPr>
          <w:p w:rsidR="000C48A1" w:rsidRPr="003D384D" w:rsidRDefault="000C48A1" w:rsidP="006D6782">
            <w:pPr>
              <w:pStyle w:val="TableTextRight"/>
            </w:pPr>
            <w:r w:rsidRPr="003D384D">
              <w:t>0</w:t>
            </w:r>
          </w:p>
        </w:tc>
        <w:tc>
          <w:tcPr>
            <w:tcW w:w="677" w:type="dxa"/>
            <w:shd w:val="clear" w:color="auto" w:fill="D8DEE2" w:themeFill="text2" w:themeFillTint="33"/>
            <w:noWrap/>
            <w:hideMark/>
          </w:tcPr>
          <w:p w:rsidR="000C48A1" w:rsidRPr="003D384D" w:rsidRDefault="000C48A1" w:rsidP="006D6782">
            <w:pPr>
              <w:pStyle w:val="TableTextRight"/>
            </w:pPr>
            <w:r w:rsidRPr="003D384D">
              <w:t>2</w:t>
            </w:r>
          </w:p>
        </w:tc>
        <w:tc>
          <w:tcPr>
            <w:tcW w:w="677" w:type="dxa"/>
            <w:shd w:val="clear" w:color="auto" w:fill="D8DEE2" w:themeFill="text2" w:themeFillTint="33"/>
            <w:noWrap/>
            <w:hideMark/>
          </w:tcPr>
          <w:p w:rsidR="000C48A1" w:rsidRPr="003D384D" w:rsidRDefault="000C48A1" w:rsidP="006D6782">
            <w:pPr>
              <w:pStyle w:val="TableTextRight"/>
            </w:pPr>
            <w:r w:rsidRPr="003D384D">
              <w:t>55.0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t>ABC Radio Brisbane</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50.0</w:t>
            </w:r>
          </w:p>
        </w:tc>
      </w:tr>
      <w:tr w:rsidR="000C48A1" w:rsidRPr="003D384D" w:rsidTr="006D6782">
        <w:trPr>
          <w:trHeight w:val="225"/>
        </w:trPr>
        <w:tc>
          <w:tcPr>
            <w:tcW w:w="1776" w:type="dxa"/>
            <w:noWrap/>
            <w:hideMark/>
          </w:tcPr>
          <w:p w:rsidR="000C48A1" w:rsidRPr="003D384D" w:rsidRDefault="000C48A1" w:rsidP="006D6782">
            <w:pPr>
              <w:pStyle w:val="TableText"/>
            </w:pPr>
          </w:p>
        </w:tc>
        <w:tc>
          <w:tcPr>
            <w:tcW w:w="2087" w:type="dxa"/>
            <w:noWrap/>
            <w:hideMark/>
          </w:tcPr>
          <w:p w:rsidR="000C48A1" w:rsidRPr="003D384D" w:rsidRDefault="000C48A1" w:rsidP="006D6782">
            <w:pPr>
              <w:pStyle w:val="TableText"/>
            </w:pPr>
            <w:r w:rsidRPr="003D384D">
              <w:t xml:space="preserve">612 ABC Brisbane </w:t>
            </w:r>
          </w:p>
        </w:tc>
        <w:tc>
          <w:tcPr>
            <w:tcW w:w="676"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0</w:t>
            </w:r>
          </w:p>
        </w:tc>
        <w:tc>
          <w:tcPr>
            <w:tcW w:w="676" w:type="dxa"/>
            <w:noWrap/>
            <w:hideMark/>
          </w:tcPr>
          <w:p w:rsidR="000C48A1" w:rsidRPr="003D384D" w:rsidRDefault="000C48A1" w:rsidP="006D6782">
            <w:pPr>
              <w:pStyle w:val="TableTextRight"/>
            </w:pPr>
            <w:r w:rsidRPr="003D384D">
              <w:t>0</w:t>
            </w:r>
          </w:p>
        </w:tc>
        <w:tc>
          <w:tcPr>
            <w:tcW w:w="677" w:type="dxa"/>
            <w:noWrap/>
            <w:hideMark/>
          </w:tcPr>
          <w:p w:rsidR="000C48A1" w:rsidRPr="003D384D" w:rsidRDefault="000C48A1" w:rsidP="006D6782">
            <w:pPr>
              <w:pStyle w:val="TableTextRight"/>
            </w:pPr>
            <w:r w:rsidRPr="003D384D">
              <w:t>1</w:t>
            </w:r>
          </w:p>
        </w:tc>
        <w:tc>
          <w:tcPr>
            <w:tcW w:w="677" w:type="dxa"/>
            <w:noWrap/>
            <w:hideMark/>
          </w:tcPr>
          <w:p w:rsidR="000C48A1" w:rsidRPr="003D384D" w:rsidRDefault="000C48A1" w:rsidP="006D6782">
            <w:pPr>
              <w:pStyle w:val="TableTextRight"/>
            </w:pPr>
            <w:r w:rsidRPr="003D384D">
              <w:t>60.0</w:t>
            </w:r>
          </w:p>
        </w:tc>
      </w:tr>
    </w:tbl>
    <w:p w:rsidR="000C48A1" w:rsidRDefault="000C48A1" w:rsidP="000C48A1">
      <w:pPr>
        <w:pStyle w:val="Caption"/>
      </w:pPr>
      <w:r>
        <w:br w:type="column"/>
        <w:t xml:space="preserve">Table </w:t>
      </w:r>
      <w:fldSimple w:instr=" SEQ Table \* ARABIC ">
        <w:r w:rsidR="003972DC">
          <w:rPr>
            <w:noProof/>
          </w:rPr>
          <w:t>11</w:t>
        </w:r>
      </w:fldSimple>
      <w:r>
        <w:t xml:space="preserve"> Leading comperes: television</w:t>
      </w:r>
    </w:p>
    <w:tbl>
      <w:tblPr>
        <w:tblStyle w:val="MediaMonitors1"/>
        <w:tblW w:w="7246" w:type="dxa"/>
        <w:tblLayout w:type="fixed"/>
        <w:tblLook w:val="0620" w:firstRow="1" w:lastRow="0" w:firstColumn="0" w:lastColumn="0" w:noHBand="1" w:noVBand="1"/>
        <w:tblCaption w:val="Leading comperes: television"/>
        <w:tblDescription w:val="Table 11 is a list of the most frequent television comperes in the analysed coverage, a breakdown of their reports by favourability and outlet, and the average favourability of this coverage. This table contains 7 heading columns: 1. Compere Name, 2. Media Name, 3. Favourable, 4. Neutral, 5. Unfavourable, 6. Volume and 7. Average favourability."/>
      </w:tblPr>
      <w:tblGrid>
        <w:gridCol w:w="1606"/>
        <w:gridCol w:w="2234"/>
        <w:gridCol w:w="681"/>
        <w:gridCol w:w="681"/>
        <w:gridCol w:w="681"/>
        <w:gridCol w:w="681"/>
        <w:gridCol w:w="682"/>
      </w:tblGrid>
      <w:tr w:rsidR="000C48A1" w:rsidRPr="003D384D" w:rsidTr="006D6782">
        <w:trPr>
          <w:cnfStyle w:val="100000000000" w:firstRow="1" w:lastRow="0" w:firstColumn="0" w:lastColumn="0" w:oddVBand="0" w:evenVBand="0" w:oddHBand="0" w:evenHBand="0" w:firstRowFirstColumn="0" w:firstRowLastColumn="0" w:lastRowFirstColumn="0" w:lastRowLastColumn="0"/>
          <w:trHeight w:val="225"/>
          <w:tblHeader/>
        </w:trPr>
        <w:tc>
          <w:tcPr>
            <w:tcW w:w="1606" w:type="dxa"/>
            <w:noWrap/>
            <w:hideMark/>
          </w:tcPr>
          <w:p w:rsidR="000C48A1" w:rsidRPr="003D384D" w:rsidRDefault="004E6559" w:rsidP="006D6782">
            <w:pPr>
              <w:pStyle w:val="TableTextHeading"/>
            </w:pPr>
            <w:r>
              <w:rPr>
                <w:caps w:val="0"/>
              </w:rPr>
              <w:t>Compere</w:t>
            </w:r>
            <w:r w:rsidR="000C48A1" w:rsidRPr="003D384D">
              <w:rPr>
                <w:caps w:val="0"/>
              </w:rPr>
              <w:t xml:space="preserve"> Name</w:t>
            </w:r>
          </w:p>
        </w:tc>
        <w:tc>
          <w:tcPr>
            <w:tcW w:w="2234" w:type="dxa"/>
            <w:noWrap/>
            <w:hideMark/>
          </w:tcPr>
          <w:p w:rsidR="000C48A1" w:rsidRPr="003D384D" w:rsidRDefault="000C48A1" w:rsidP="006D6782">
            <w:pPr>
              <w:pStyle w:val="TableTextHeading"/>
            </w:pPr>
            <w:r w:rsidRPr="003D384D">
              <w:rPr>
                <w:caps w:val="0"/>
              </w:rPr>
              <w:t>Media Name</w:t>
            </w:r>
          </w:p>
        </w:tc>
        <w:tc>
          <w:tcPr>
            <w:tcW w:w="681" w:type="dxa"/>
            <w:noWrap/>
            <w:hideMark/>
          </w:tcPr>
          <w:p w:rsidR="000C48A1" w:rsidRPr="003D384D" w:rsidRDefault="000C48A1" w:rsidP="006D6782">
            <w:pPr>
              <w:pStyle w:val="TableTextHeadingRight"/>
            </w:pPr>
            <w:r w:rsidRPr="003D384D">
              <w:rPr>
                <w:caps w:val="0"/>
              </w:rPr>
              <w:t>Fav</w:t>
            </w:r>
          </w:p>
        </w:tc>
        <w:tc>
          <w:tcPr>
            <w:tcW w:w="681" w:type="dxa"/>
            <w:noWrap/>
            <w:hideMark/>
          </w:tcPr>
          <w:p w:rsidR="000C48A1" w:rsidRPr="003D384D" w:rsidRDefault="000C48A1" w:rsidP="006D6782">
            <w:pPr>
              <w:pStyle w:val="TableTextHeadingRight"/>
            </w:pPr>
            <w:r w:rsidRPr="003D384D">
              <w:rPr>
                <w:caps w:val="0"/>
              </w:rPr>
              <w:t>Neu</w:t>
            </w:r>
          </w:p>
        </w:tc>
        <w:tc>
          <w:tcPr>
            <w:tcW w:w="681" w:type="dxa"/>
            <w:noWrap/>
            <w:hideMark/>
          </w:tcPr>
          <w:p w:rsidR="000C48A1" w:rsidRPr="003D384D" w:rsidRDefault="000C48A1" w:rsidP="006D6782">
            <w:pPr>
              <w:pStyle w:val="TableTextHeadingRight"/>
            </w:pPr>
            <w:r w:rsidRPr="003D384D">
              <w:rPr>
                <w:caps w:val="0"/>
              </w:rPr>
              <w:t>Unf</w:t>
            </w:r>
          </w:p>
        </w:tc>
        <w:tc>
          <w:tcPr>
            <w:tcW w:w="681" w:type="dxa"/>
            <w:noWrap/>
            <w:hideMark/>
          </w:tcPr>
          <w:p w:rsidR="000C48A1" w:rsidRPr="003D384D" w:rsidRDefault="000C48A1" w:rsidP="006D6782">
            <w:pPr>
              <w:pStyle w:val="TableTextHeadingRight"/>
            </w:pPr>
            <w:r w:rsidRPr="003D384D">
              <w:rPr>
                <w:caps w:val="0"/>
              </w:rPr>
              <w:t>Vol</w:t>
            </w:r>
          </w:p>
        </w:tc>
        <w:tc>
          <w:tcPr>
            <w:tcW w:w="682" w:type="dxa"/>
            <w:noWrap/>
            <w:hideMark/>
          </w:tcPr>
          <w:p w:rsidR="000C48A1" w:rsidRPr="003D384D" w:rsidRDefault="000C48A1" w:rsidP="006D6782">
            <w:pPr>
              <w:pStyle w:val="TableTextHeadingRight"/>
            </w:pPr>
            <w:r w:rsidRPr="003D384D">
              <w:rPr>
                <w:caps w:val="0"/>
              </w:rPr>
              <w:t>Avg Fav</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Paul Lobb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4</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54.0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NBN Newcastle </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60.0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NBN Central Coast</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NBN Coffs Harbour</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NBN Lismore</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3840" w:type="dxa"/>
            <w:gridSpan w:val="2"/>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Natasha Beyersdorf </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4</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4</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NBN Coffs Harbour</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NBN Central Coast</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NBN Newcastle </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NBN Lismore</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Edwina Seselja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3</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3</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75.0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WIN Gippsland</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75.0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WIN Wagga Wagga</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75.0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WIN Canberra</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75.0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Geoff Philips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55.0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WIN Orange</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WIN Canberra</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60.0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Paul Kennedy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57.5</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ABC News 24</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57.5</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Jo Palmer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52.5</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Pr>
                <w:color w:val="000000"/>
              </w:rPr>
              <w:t>Southern Cross TV Hobart</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Southern Cross Northern Tasmania</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55.0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Jackie Quist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Channel 7 Brisbane </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Channel 7 Melbourne </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John Barron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ABC News 24</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Jennifer Keyte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Channel 7 Brisbane </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50.0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 xml:space="preserve">Peter Mitchell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55.0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Channel 7 Melbourne </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55.0</w:t>
            </w:r>
          </w:p>
        </w:tc>
      </w:tr>
      <w:tr w:rsidR="000C48A1" w:rsidRPr="003D384D" w:rsidTr="006D6782">
        <w:trPr>
          <w:trHeight w:val="225"/>
        </w:trPr>
        <w:tc>
          <w:tcPr>
            <w:tcW w:w="1606" w:type="dxa"/>
            <w:shd w:val="clear" w:color="auto" w:fill="D8DEE2" w:themeFill="text2" w:themeFillTint="33"/>
            <w:noWrap/>
            <w:hideMark/>
          </w:tcPr>
          <w:p w:rsidR="000C48A1" w:rsidRPr="003D384D" w:rsidRDefault="000C48A1" w:rsidP="006D6782">
            <w:pPr>
              <w:pStyle w:val="TableText"/>
              <w:rPr>
                <w:color w:val="000000"/>
              </w:rPr>
            </w:pPr>
            <w:r w:rsidRPr="003D384D">
              <w:rPr>
                <w:color w:val="000000"/>
              </w:rPr>
              <w:t>Tim Mc</w:t>
            </w:r>
            <w:r>
              <w:rPr>
                <w:color w:val="000000"/>
              </w:rPr>
              <w:t>M</w:t>
            </w:r>
            <w:r w:rsidRPr="003D384D">
              <w:rPr>
                <w:color w:val="000000"/>
              </w:rPr>
              <w:t xml:space="preserve">illan </w:t>
            </w:r>
          </w:p>
        </w:tc>
        <w:tc>
          <w:tcPr>
            <w:tcW w:w="2234" w:type="dxa"/>
            <w:shd w:val="clear" w:color="auto" w:fill="D8DEE2" w:themeFill="text2" w:themeFillTint="33"/>
            <w:noWrap/>
            <w:hideMark/>
          </w:tcPr>
          <w:p w:rsidR="000C48A1" w:rsidRPr="003D384D" w:rsidRDefault="000C48A1" w:rsidP="006D6782">
            <w:pPr>
              <w:pStyle w:val="TableText"/>
              <w:rPr>
                <w:color w:val="000000"/>
              </w:rPr>
            </w:pP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1</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0</w:t>
            </w:r>
          </w:p>
        </w:tc>
        <w:tc>
          <w:tcPr>
            <w:tcW w:w="681"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2</w:t>
            </w:r>
          </w:p>
        </w:tc>
        <w:tc>
          <w:tcPr>
            <w:tcW w:w="682" w:type="dxa"/>
            <w:shd w:val="clear" w:color="auto" w:fill="D8DEE2" w:themeFill="text2" w:themeFillTint="33"/>
            <w:noWrap/>
            <w:hideMark/>
          </w:tcPr>
          <w:p w:rsidR="000C48A1" w:rsidRPr="003D384D" w:rsidRDefault="000C48A1" w:rsidP="006D6782">
            <w:pPr>
              <w:pStyle w:val="TableTextRight"/>
              <w:rPr>
                <w:color w:val="000000"/>
              </w:rPr>
            </w:pPr>
            <w:r w:rsidRPr="003D384D">
              <w:rPr>
                <w:color w:val="000000"/>
              </w:rPr>
              <w:t>60.0</w:t>
            </w:r>
          </w:p>
        </w:tc>
      </w:tr>
      <w:tr w:rsidR="000C48A1" w:rsidRPr="003D384D" w:rsidTr="006D6782">
        <w:trPr>
          <w:trHeight w:val="225"/>
        </w:trPr>
        <w:tc>
          <w:tcPr>
            <w:tcW w:w="1606" w:type="dxa"/>
            <w:noWrap/>
            <w:hideMark/>
          </w:tcPr>
          <w:p w:rsidR="000C48A1" w:rsidRPr="003D384D" w:rsidRDefault="000C48A1" w:rsidP="006D6782">
            <w:pPr>
              <w:pStyle w:val="TableText"/>
              <w:rPr>
                <w:color w:val="000000"/>
              </w:rPr>
            </w:pPr>
          </w:p>
        </w:tc>
        <w:tc>
          <w:tcPr>
            <w:tcW w:w="2234" w:type="dxa"/>
            <w:noWrap/>
            <w:hideMark/>
          </w:tcPr>
          <w:p w:rsidR="000C48A1" w:rsidRPr="003D384D" w:rsidRDefault="000C48A1" w:rsidP="006D6782">
            <w:pPr>
              <w:pStyle w:val="TableText"/>
              <w:rPr>
                <w:color w:val="000000"/>
              </w:rPr>
            </w:pPr>
            <w:r w:rsidRPr="003D384D">
              <w:rPr>
                <w:color w:val="000000"/>
              </w:rPr>
              <w:t xml:space="preserve">Channel 9 Perth </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1</w:t>
            </w:r>
          </w:p>
        </w:tc>
        <w:tc>
          <w:tcPr>
            <w:tcW w:w="681" w:type="dxa"/>
            <w:noWrap/>
            <w:hideMark/>
          </w:tcPr>
          <w:p w:rsidR="000C48A1" w:rsidRPr="003D384D" w:rsidRDefault="000C48A1" w:rsidP="006D6782">
            <w:pPr>
              <w:pStyle w:val="TableTextRight"/>
              <w:rPr>
                <w:color w:val="000000"/>
              </w:rPr>
            </w:pPr>
            <w:r w:rsidRPr="003D384D">
              <w:rPr>
                <w:color w:val="000000"/>
              </w:rPr>
              <w:t>0</w:t>
            </w:r>
          </w:p>
        </w:tc>
        <w:tc>
          <w:tcPr>
            <w:tcW w:w="681" w:type="dxa"/>
            <w:noWrap/>
            <w:hideMark/>
          </w:tcPr>
          <w:p w:rsidR="000C48A1" w:rsidRPr="003D384D" w:rsidRDefault="000C48A1" w:rsidP="006D6782">
            <w:pPr>
              <w:pStyle w:val="TableTextRight"/>
              <w:rPr>
                <w:color w:val="000000"/>
              </w:rPr>
            </w:pPr>
            <w:r w:rsidRPr="003D384D">
              <w:rPr>
                <w:color w:val="000000"/>
              </w:rPr>
              <w:t>2</w:t>
            </w:r>
          </w:p>
        </w:tc>
        <w:tc>
          <w:tcPr>
            <w:tcW w:w="682" w:type="dxa"/>
            <w:noWrap/>
            <w:hideMark/>
          </w:tcPr>
          <w:p w:rsidR="000C48A1" w:rsidRPr="003D384D" w:rsidRDefault="000C48A1" w:rsidP="006D6782">
            <w:pPr>
              <w:pStyle w:val="TableTextRight"/>
              <w:rPr>
                <w:color w:val="000000"/>
              </w:rPr>
            </w:pPr>
            <w:r w:rsidRPr="003D384D">
              <w:rPr>
                <w:color w:val="000000"/>
              </w:rPr>
              <w:t>60.0</w:t>
            </w:r>
          </w:p>
        </w:tc>
      </w:tr>
    </w:tbl>
    <w:p w:rsidR="000C48A1" w:rsidRDefault="000C48A1" w:rsidP="000C48A1">
      <w:pPr>
        <w:pStyle w:val="Caption"/>
      </w:pPr>
    </w:p>
    <w:p w:rsidR="000C48A1" w:rsidRDefault="000C48A1" w:rsidP="000C48A1">
      <w:pPr>
        <w:pStyle w:val="Caption"/>
      </w:pPr>
      <w:r>
        <w:t xml:space="preserve">Table </w:t>
      </w:r>
      <w:fldSimple w:instr=" SEQ Table \* ARABIC ">
        <w:r w:rsidR="003972DC">
          <w:rPr>
            <w:noProof/>
          </w:rPr>
          <w:t>12</w:t>
        </w:r>
      </w:fldSimple>
      <w:r>
        <w:t xml:space="preserve"> Leading bylines: internet </w:t>
      </w:r>
    </w:p>
    <w:tbl>
      <w:tblPr>
        <w:tblStyle w:val="MediaMonitors1"/>
        <w:tblW w:w="7244" w:type="dxa"/>
        <w:tblLayout w:type="fixed"/>
        <w:tblLook w:val="0620" w:firstRow="1" w:lastRow="0" w:firstColumn="0" w:lastColumn="0" w:noHBand="1" w:noVBand="1"/>
        <w:tblCaption w:val="Leading bylines: internet"/>
        <w:tblDescription w:val="Table 12 is a list of the most frequent internet bylines in the analysed coverage, a breakdown of their reports by favourability and outlet, and the average favourability of this coverage. This table contains 7 heading columns: 1. Byline Name, 2. Media Name, 3. Favourable, 4. Neutral, 5. Unfavourable, 6. Volume and 7. Average favourability."/>
      </w:tblPr>
      <w:tblGrid>
        <w:gridCol w:w="1526"/>
        <w:gridCol w:w="2410"/>
        <w:gridCol w:w="598"/>
        <w:gridCol w:w="677"/>
        <w:gridCol w:w="678"/>
        <w:gridCol w:w="677"/>
        <w:gridCol w:w="678"/>
      </w:tblGrid>
      <w:tr w:rsidR="000C48A1" w:rsidRPr="00195C08" w:rsidTr="006D6782">
        <w:trPr>
          <w:cnfStyle w:val="100000000000" w:firstRow="1" w:lastRow="0" w:firstColumn="0" w:lastColumn="0" w:oddVBand="0" w:evenVBand="0" w:oddHBand="0" w:evenHBand="0" w:firstRowFirstColumn="0" w:firstRowLastColumn="0" w:lastRowFirstColumn="0" w:lastRowLastColumn="0"/>
          <w:trHeight w:val="225"/>
          <w:tblHeader/>
        </w:trPr>
        <w:tc>
          <w:tcPr>
            <w:tcW w:w="1526" w:type="dxa"/>
            <w:noWrap/>
            <w:hideMark/>
          </w:tcPr>
          <w:p w:rsidR="000C48A1" w:rsidRPr="00195C08" w:rsidRDefault="000C48A1" w:rsidP="006D6782">
            <w:pPr>
              <w:pStyle w:val="TableTextHeading"/>
            </w:pPr>
            <w:r w:rsidRPr="00195C08">
              <w:rPr>
                <w:caps w:val="0"/>
              </w:rPr>
              <w:t>Byline Name</w:t>
            </w:r>
          </w:p>
        </w:tc>
        <w:tc>
          <w:tcPr>
            <w:tcW w:w="2410" w:type="dxa"/>
            <w:noWrap/>
            <w:hideMark/>
          </w:tcPr>
          <w:p w:rsidR="000C48A1" w:rsidRPr="00195C08" w:rsidRDefault="000C48A1" w:rsidP="006D6782">
            <w:pPr>
              <w:pStyle w:val="TableTextHeading"/>
            </w:pPr>
            <w:r w:rsidRPr="00195C08">
              <w:rPr>
                <w:caps w:val="0"/>
              </w:rPr>
              <w:t>Media Name</w:t>
            </w:r>
          </w:p>
        </w:tc>
        <w:tc>
          <w:tcPr>
            <w:tcW w:w="598" w:type="dxa"/>
            <w:noWrap/>
            <w:hideMark/>
          </w:tcPr>
          <w:p w:rsidR="000C48A1" w:rsidRPr="00195C08" w:rsidRDefault="000C48A1" w:rsidP="006D6782">
            <w:pPr>
              <w:pStyle w:val="TableTextHeadingRight"/>
            </w:pPr>
            <w:r w:rsidRPr="00195C08">
              <w:rPr>
                <w:caps w:val="0"/>
              </w:rPr>
              <w:t>Fav</w:t>
            </w:r>
          </w:p>
        </w:tc>
        <w:tc>
          <w:tcPr>
            <w:tcW w:w="677" w:type="dxa"/>
            <w:noWrap/>
            <w:hideMark/>
          </w:tcPr>
          <w:p w:rsidR="000C48A1" w:rsidRPr="00195C08" w:rsidRDefault="000C48A1" w:rsidP="006D6782">
            <w:pPr>
              <w:pStyle w:val="TableTextHeadingRight"/>
            </w:pPr>
            <w:r w:rsidRPr="00195C08">
              <w:rPr>
                <w:caps w:val="0"/>
              </w:rPr>
              <w:t>Neu</w:t>
            </w:r>
          </w:p>
        </w:tc>
        <w:tc>
          <w:tcPr>
            <w:tcW w:w="678" w:type="dxa"/>
            <w:noWrap/>
            <w:hideMark/>
          </w:tcPr>
          <w:p w:rsidR="000C48A1" w:rsidRPr="00195C08" w:rsidRDefault="000C48A1" w:rsidP="006D6782">
            <w:pPr>
              <w:pStyle w:val="TableTextHeadingRight"/>
            </w:pPr>
            <w:r w:rsidRPr="00195C08">
              <w:rPr>
                <w:caps w:val="0"/>
              </w:rPr>
              <w:t>Unf</w:t>
            </w:r>
          </w:p>
        </w:tc>
        <w:tc>
          <w:tcPr>
            <w:tcW w:w="677" w:type="dxa"/>
            <w:noWrap/>
            <w:hideMark/>
          </w:tcPr>
          <w:p w:rsidR="000C48A1" w:rsidRPr="00195C08" w:rsidRDefault="000C48A1" w:rsidP="006D6782">
            <w:pPr>
              <w:pStyle w:val="TableTextHeadingRight"/>
            </w:pPr>
            <w:r w:rsidRPr="00195C08">
              <w:rPr>
                <w:caps w:val="0"/>
              </w:rPr>
              <w:t>Vol</w:t>
            </w:r>
          </w:p>
        </w:tc>
        <w:tc>
          <w:tcPr>
            <w:tcW w:w="678" w:type="dxa"/>
            <w:noWrap/>
            <w:hideMark/>
          </w:tcPr>
          <w:p w:rsidR="000C48A1" w:rsidRPr="00195C08" w:rsidRDefault="000C48A1" w:rsidP="006D6782">
            <w:pPr>
              <w:pStyle w:val="TableTextHeadingRight"/>
            </w:pPr>
            <w:r w:rsidRPr="00195C08">
              <w:rPr>
                <w:caps w:val="0"/>
              </w:rPr>
              <w:t>Avg Fav</w:t>
            </w:r>
          </w:p>
        </w:tc>
      </w:tr>
      <w:tr w:rsidR="000C48A1" w:rsidRPr="00195C08" w:rsidTr="006D6782">
        <w:trPr>
          <w:trHeight w:val="225"/>
        </w:trPr>
        <w:tc>
          <w:tcPr>
            <w:tcW w:w="3936" w:type="dxa"/>
            <w:gridSpan w:val="2"/>
            <w:shd w:val="clear" w:color="auto" w:fill="D8DEE2" w:themeFill="text2" w:themeFillTint="33"/>
            <w:noWrap/>
            <w:hideMark/>
          </w:tcPr>
          <w:p w:rsidR="000C48A1" w:rsidRPr="00195C08" w:rsidRDefault="000C48A1" w:rsidP="006D6782">
            <w:pPr>
              <w:pStyle w:val="TableText"/>
              <w:rPr>
                <w:color w:val="000000"/>
              </w:rPr>
            </w:pPr>
            <w:r w:rsidRPr="00195C08">
              <w:rPr>
                <w:color w:val="000000"/>
              </w:rPr>
              <w:t xml:space="preserve">Vanessa Brown </w:t>
            </w:r>
          </w:p>
        </w:tc>
        <w:tc>
          <w:tcPr>
            <w:tcW w:w="59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3</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8</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55.0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news.com.au</w:t>
            </w:r>
          </w:p>
        </w:tc>
        <w:tc>
          <w:tcPr>
            <w:tcW w:w="598" w:type="dxa"/>
            <w:noWrap/>
            <w:hideMark/>
          </w:tcPr>
          <w:p w:rsidR="000C48A1" w:rsidRPr="00195C08" w:rsidRDefault="000C48A1" w:rsidP="006D6782">
            <w:pPr>
              <w:pStyle w:val="TableTextRight"/>
              <w:rPr>
                <w:color w:val="000000"/>
              </w:rPr>
            </w:pPr>
            <w:r w:rsidRPr="00195C08">
              <w:rPr>
                <w:color w:val="000000"/>
              </w:rPr>
              <w:t>2</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3</w:t>
            </w:r>
          </w:p>
        </w:tc>
        <w:tc>
          <w:tcPr>
            <w:tcW w:w="678" w:type="dxa"/>
            <w:noWrap/>
            <w:hideMark/>
          </w:tcPr>
          <w:p w:rsidR="000C48A1" w:rsidRPr="00195C08" w:rsidRDefault="000C48A1" w:rsidP="006D6782">
            <w:pPr>
              <w:pStyle w:val="TableTextRight"/>
              <w:rPr>
                <w:color w:val="000000"/>
              </w:rPr>
            </w:pPr>
            <w:r w:rsidRPr="00195C08">
              <w:rPr>
                <w:color w:val="000000"/>
              </w:rPr>
              <w:t>53.3</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perthnow.com.au</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2</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3</w:t>
            </w:r>
          </w:p>
        </w:tc>
        <w:tc>
          <w:tcPr>
            <w:tcW w:w="678" w:type="dxa"/>
            <w:noWrap/>
            <w:hideMark/>
          </w:tcPr>
          <w:p w:rsidR="000C48A1" w:rsidRPr="00195C08" w:rsidRDefault="000C48A1" w:rsidP="006D6782">
            <w:pPr>
              <w:pStyle w:val="TableTextRight"/>
              <w:rPr>
                <w:color w:val="000000"/>
              </w:rPr>
            </w:pPr>
            <w:r w:rsidRPr="00195C08">
              <w:rPr>
                <w:color w:val="000000"/>
              </w:rPr>
              <w:t>53.3</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themercury.com.au</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65.0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dailytelegraph.com.au</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55.0</w:t>
            </w:r>
          </w:p>
        </w:tc>
      </w:tr>
      <w:tr w:rsidR="000C48A1" w:rsidRPr="00195C08" w:rsidTr="006D6782">
        <w:trPr>
          <w:trHeight w:val="225"/>
        </w:trPr>
        <w:tc>
          <w:tcPr>
            <w:tcW w:w="1526" w:type="dxa"/>
            <w:shd w:val="clear" w:color="auto" w:fill="D8DEE2" w:themeFill="text2" w:themeFillTint="33"/>
            <w:noWrap/>
            <w:hideMark/>
          </w:tcPr>
          <w:p w:rsidR="000C48A1" w:rsidRPr="00195C08" w:rsidRDefault="000C48A1" w:rsidP="006D6782">
            <w:pPr>
              <w:pStyle w:val="TableText"/>
              <w:rPr>
                <w:color w:val="000000"/>
              </w:rPr>
            </w:pPr>
            <w:r w:rsidRPr="00195C08">
              <w:rPr>
                <w:color w:val="000000"/>
              </w:rPr>
              <w:t xml:space="preserve">Esther Han </w:t>
            </w:r>
          </w:p>
        </w:tc>
        <w:tc>
          <w:tcPr>
            <w:tcW w:w="2410" w:type="dxa"/>
            <w:shd w:val="clear" w:color="auto" w:fill="D8DEE2" w:themeFill="text2" w:themeFillTint="33"/>
            <w:noWrap/>
            <w:hideMark/>
          </w:tcPr>
          <w:p w:rsidR="000C48A1" w:rsidRPr="00195C08" w:rsidRDefault="000C48A1" w:rsidP="006D6782">
            <w:pPr>
              <w:pStyle w:val="TableText"/>
              <w:rPr>
                <w:color w:val="000000"/>
              </w:rPr>
            </w:pPr>
          </w:p>
        </w:tc>
        <w:tc>
          <w:tcPr>
            <w:tcW w:w="59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63.0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 xml:space="preserve">smh.com.au </w:t>
            </w:r>
          </w:p>
        </w:tc>
        <w:tc>
          <w:tcPr>
            <w:tcW w:w="598" w:type="dxa"/>
            <w:noWrap/>
            <w:hideMark/>
          </w:tcPr>
          <w:p w:rsidR="000C48A1" w:rsidRPr="00195C08" w:rsidRDefault="000C48A1" w:rsidP="006D6782">
            <w:pPr>
              <w:pStyle w:val="TableTextRight"/>
              <w:rPr>
                <w:color w:val="000000"/>
              </w:rPr>
            </w:pPr>
            <w:r w:rsidRPr="00195C08">
              <w:rPr>
                <w:color w:val="000000"/>
              </w:rPr>
              <w:t>2</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2</w:t>
            </w:r>
          </w:p>
        </w:tc>
        <w:tc>
          <w:tcPr>
            <w:tcW w:w="678" w:type="dxa"/>
            <w:noWrap/>
            <w:hideMark/>
          </w:tcPr>
          <w:p w:rsidR="000C48A1" w:rsidRPr="00195C08" w:rsidRDefault="000C48A1" w:rsidP="006D6782">
            <w:pPr>
              <w:pStyle w:val="TableTextRight"/>
              <w:rPr>
                <w:color w:val="000000"/>
              </w:rPr>
            </w:pPr>
            <w:r w:rsidRPr="00195C08">
              <w:rPr>
                <w:color w:val="000000"/>
              </w:rPr>
              <w:t>70.0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canberratimes.com.au</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55.0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watoday.com.au</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65.0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farm weekly online</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55.0</w:t>
            </w:r>
          </w:p>
        </w:tc>
      </w:tr>
      <w:tr w:rsidR="000C48A1" w:rsidRPr="00195C08" w:rsidTr="006D6782">
        <w:trPr>
          <w:trHeight w:val="225"/>
        </w:trPr>
        <w:tc>
          <w:tcPr>
            <w:tcW w:w="3936" w:type="dxa"/>
            <w:gridSpan w:val="2"/>
            <w:shd w:val="clear" w:color="auto" w:fill="D8DEE2" w:themeFill="text2" w:themeFillTint="33"/>
            <w:noWrap/>
            <w:hideMark/>
          </w:tcPr>
          <w:p w:rsidR="000C48A1" w:rsidRPr="00195C08" w:rsidRDefault="000C48A1" w:rsidP="006D6782">
            <w:pPr>
              <w:pStyle w:val="TableText"/>
              <w:rPr>
                <w:color w:val="000000"/>
              </w:rPr>
            </w:pPr>
            <w:r>
              <w:rPr>
                <w:color w:val="000000"/>
              </w:rPr>
              <w:t>Rachel O'R</w:t>
            </w:r>
            <w:r w:rsidRPr="00195C08">
              <w:rPr>
                <w:color w:val="000000"/>
              </w:rPr>
              <w:t xml:space="preserve">egan </w:t>
            </w:r>
          </w:p>
        </w:tc>
        <w:tc>
          <w:tcPr>
            <w:tcW w:w="59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1</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4</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47.0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I Quit Sugar</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0</w:t>
            </w:r>
          </w:p>
        </w:tc>
        <w:tc>
          <w:tcPr>
            <w:tcW w:w="678" w:type="dxa"/>
            <w:noWrap/>
            <w:hideMark/>
          </w:tcPr>
          <w:p w:rsidR="000C48A1" w:rsidRPr="00195C08" w:rsidRDefault="000C48A1" w:rsidP="006D6782">
            <w:pPr>
              <w:pStyle w:val="TableTextRight"/>
              <w:rPr>
                <w:color w:val="000000"/>
              </w:rPr>
            </w:pPr>
            <w:r w:rsidRPr="00195C08">
              <w:rPr>
                <w:color w:val="000000"/>
              </w:rPr>
              <w:t>4</w:t>
            </w:r>
          </w:p>
        </w:tc>
        <w:tc>
          <w:tcPr>
            <w:tcW w:w="677" w:type="dxa"/>
            <w:noWrap/>
            <w:hideMark/>
          </w:tcPr>
          <w:p w:rsidR="000C48A1" w:rsidRPr="00195C08" w:rsidRDefault="000C48A1" w:rsidP="006D6782">
            <w:pPr>
              <w:pStyle w:val="TableTextRight"/>
              <w:rPr>
                <w:color w:val="000000"/>
              </w:rPr>
            </w:pPr>
            <w:r w:rsidRPr="00195C08">
              <w:rPr>
                <w:color w:val="000000"/>
              </w:rPr>
              <w:t>5</w:t>
            </w:r>
          </w:p>
        </w:tc>
        <w:tc>
          <w:tcPr>
            <w:tcW w:w="678" w:type="dxa"/>
            <w:noWrap/>
            <w:hideMark/>
          </w:tcPr>
          <w:p w:rsidR="000C48A1" w:rsidRPr="00195C08" w:rsidRDefault="000C48A1" w:rsidP="006D6782">
            <w:pPr>
              <w:pStyle w:val="TableTextRight"/>
              <w:rPr>
                <w:color w:val="000000"/>
              </w:rPr>
            </w:pPr>
            <w:r w:rsidRPr="00195C08">
              <w:rPr>
                <w:color w:val="000000"/>
              </w:rPr>
              <w:t>47.0</w:t>
            </w:r>
          </w:p>
        </w:tc>
      </w:tr>
      <w:tr w:rsidR="000C48A1" w:rsidRPr="00195C08" w:rsidTr="006D6782">
        <w:trPr>
          <w:trHeight w:val="225"/>
        </w:trPr>
        <w:tc>
          <w:tcPr>
            <w:tcW w:w="1526" w:type="dxa"/>
            <w:shd w:val="clear" w:color="auto" w:fill="D8DEE2" w:themeFill="text2" w:themeFillTint="33"/>
            <w:noWrap/>
            <w:hideMark/>
          </w:tcPr>
          <w:p w:rsidR="000C48A1" w:rsidRPr="00195C08" w:rsidRDefault="000C48A1" w:rsidP="006D6782">
            <w:pPr>
              <w:pStyle w:val="TableText"/>
              <w:rPr>
                <w:color w:val="000000"/>
              </w:rPr>
            </w:pPr>
            <w:r w:rsidRPr="00195C08">
              <w:rPr>
                <w:color w:val="000000"/>
              </w:rPr>
              <w:t xml:space="preserve">Andrea Hogan </w:t>
            </w:r>
          </w:p>
        </w:tc>
        <w:tc>
          <w:tcPr>
            <w:tcW w:w="2410" w:type="dxa"/>
            <w:shd w:val="clear" w:color="auto" w:fill="D8DEE2" w:themeFill="text2" w:themeFillTint="33"/>
            <w:noWrap/>
            <w:hideMark/>
          </w:tcPr>
          <w:p w:rsidR="000C48A1" w:rsidRPr="00195C08" w:rsidRDefault="000C48A1" w:rsidP="006D6782">
            <w:pPr>
              <w:pStyle w:val="TableText"/>
              <w:rPr>
                <w:color w:val="000000"/>
              </w:rPr>
            </w:pPr>
          </w:p>
        </w:tc>
        <w:tc>
          <w:tcPr>
            <w:tcW w:w="59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1</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4</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52.0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 xml:space="preserve">ausfoodnews.com.au </w:t>
            </w:r>
          </w:p>
        </w:tc>
        <w:tc>
          <w:tcPr>
            <w:tcW w:w="598" w:type="dxa"/>
            <w:noWrap/>
            <w:hideMark/>
          </w:tcPr>
          <w:p w:rsidR="000C48A1" w:rsidRPr="00195C08" w:rsidRDefault="000C48A1" w:rsidP="006D6782">
            <w:pPr>
              <w:pStyle w:val="TableTextRight"/>
              <w:rPr>
                <w:color w:val="000000"/>
              </w:rPr>
            </w:pPr>
            <w:r w:rsidRPr="00195C08">
              <w:rPr>
                <w:color w:val="000000"/>
              </w:rPr>
              <w:t>1</w:t>
            </w:r>
          </w:p>
        </w:tc>
        <w:tc>
          <w:tcPr>
            <w:tcW w:w="677" w:type="dxa"/>
            <w:noWrap/>
            <w:hideMark/>
          </w:tcPr>
          <w:p w:rsidR="000C48A1" w:rsidRPr="00195C08" w:rsidRDefault="000C48A1" w:rsidP="006D6782">
            <w:pPr>
              <w:pStyle w:val="TableTextRight"/>
              <w:rPr>
                <w:color w:val="000000"/>
              </w:rPr>
            </w:pPr>
            <w:r w:rsidRPr="00195C08">
              <w:rPr>
                <w:color w:val="000000"/>
              </w:rPr>
              <w:t>4</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5</w:t>
            </w:r>
          </w:p>
        </w:tc>
        <w:tc>
          <w:tcPr>
            <w:tcW w:w="678" w:type="dxa"/>
            <w:noWrap/>
            <w:hideMark/>
          </w:tcPr>
          <w:p w:rsidR="000C48A1" w:rsidRPr="00195C08" w:rsidRDefault="000C48A1" w:rsidP="006D6782">
            <w:pPr>
              <w:pStyle w:val="TableTextRight"/>
              <w:rPr>
                <w:color w:val="000000"/>
              </w:rPr>
            </w:pPr>
            <w:r w:rsidRPr="00195C08">
              <w:rPr>
                <w:color w:val="000000"/>
              </w:rPr>
              <w:t>52.0</w:t>
            </w:r>
          </w:p>
        </w:tc>
      </w:tr>
      <w:tr w:rsidR="000C48A1" w:rsidRPr="00195C08" w:rsidTr="006D6782">
        <w:trPr>
          <w:trHeight w:val="225"/>
        </w:trPr>
        <w:tc>
          <w:tcPr>
            <w:tcW w:w="1526" w:type="dxa"/>
            <w:shd w:val="clear" w:color="auto" w:fill="D8DEE2" w:themeFill="text2" w:themeFillTint="33"/>
            <w:noWrap/>
            <w:hideMark/>
          </w:tcPr>
          <w:p w:rsidR="000C48A1" w:rsidRPr="00195C08" w:rsidRDefault="000C48A1" w:rsidP="006D6782">
            <w:pPr>
              <w:pStyle w:val="TableText"/>
              <w:rPr>
                <w:color w:val="000000"/>
              </w:rPr>
            </w:pPr>
            <w:r w:rsidRPr="00195C08">
              <w:rPr>
                <w:color w:val="000000"/>
              </w:rPr>
              <w:t xml:space="preserve">Bevan Shields </w:t>
            </w:r>
          </w:p>
        </w:tc>
        <w:tc>
          <w:tcPr>
            <w:tcW w:w="2410" w:type="dxa"/>
            <w:shd w:val="clear" w:color="auto" w:fill="D8DEE2" w:themeFill="text2" w:themeFillTint="33"/>
            <w:noWrap/>
            <w:hideMark/>
          </w:tcPr>
          <w:p w:rsidR="000C48A1" w:rsidRPr="00195C08" w:rsidRDefault="000C48A1" w:rsidP="006D6782">
            <w:pPr>
              <w:pStyle w:val="TableText"/>
              <w:rPr>
                <w:color w:val="000000"/>
              </w:rPr>
            </w:pPr>
          </w:p>
        </w:tc>
        <w:tc>
          <w:tcPr>
            <w:tcW w:w="59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0</w:t>
            </w:r>
          </w:p>
        </w:tc>
        <w:tc>
          <w:tcPr>
            <w:tcW w:w="677"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w:t>
            </w:r>
          </w:p>
        </w:tc>
        <w:tc>
          <w:tcPr>
            <w:tcW w:w="678" w:type="dxa"/>
            <w:shd w:val="clear" w:color="auto" w:fill="D8DEE2" w:themeFill="text2" w:themeFillTint="33"/>
            <w:noWrap/>
            <w:hideMark/>
          </w:tcPr>
          <w:p w:rsidR="000C48A1" w:rsidRPr="00195C08" w:rsidRDefault="000C48A1" w:rsidP="006D6782">
            <w:pPr>
              <w:pStyle w:val="TableTextRight"/>
              <w:rPr>
                <w:color w:val="000000"/>
              </w:rPr>
            </w:pPr>
            <w:r w:rsidRPr="00195C08">
              <w:rPr>
                <w:color w:val="000000"/>
              </w:rPr>
              <w:t>50.0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canberratimes.com.au</w:t>
            </w:r>
          </w:p>
        </w:tc>
        <w:tc>
          <w:tcPr>
            <w:tcW w:w="59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 xml:space="preserve">brisbanetimes.com.au </w:t>
            </w:r>
          </w:p>
        </w:tc>
        <w:tc>
          <w:tcPr>
            <w:tcW w:w="59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watoday.com.au</w:t>
            </w:r>
          </w:p>
        </w:tc>
        <w:tc>
          <w:tcPr>
            <w:tcW w:w="59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theage.com.au</w:t>
            </w:r>
          </w:p>
        </w:tc>
        <w:tc>
          <w:tcPr>
            <w:tcW w:w="59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50.0</w:t>
            </w:r>
          </w:p>
        </w:tc>
      </w:tr>
      <w:tr w:rsidR="000C48A1" w:rsidRPr="00195C08" w:rsidTr="006D6782">
        <w:trPr>
          <w:trHeight w:val="225"/>
        </w:trPr>
        <w:tc>
          <w:tcPr>
            <w:tcW w:w="1526" w:type="dxa"/>
            <w:noWrap/>
            <w:hideMark/>
          </w:tcPr>
          <w:p w:rsidR="000C48A1" w:rsidRPr="00195C08" w:rsidRDefault="000C48A1" w:rsidP="006D6782">
            <w:pPr>
              <w:pStyle w:val="TableText"/>
              <w:rPr>
                <w:color w:val="000000"/>
              </w:rPr>
            </w:pPr>
          </w:p>
        </w:tc>
        <w:tc>
          <w:tcPr>
            <w:tcW w:w="2410" w:type="dxa"/>
            <w:noWrap/>
            <w:hideMark/>
          </w:tcPr>
          <w:p w:rsidR="000C48A1" w:rsidRPr="00195C08" w:rsidRDefault="000C48A1" w:rsidP="006D6782">
            <w:pPr>
              <w:pStyle w:val="TableText"/>
              <w:rPr>
                <w:color w:val="000000"/>
              </w:rPr>
            </w:pPr>
            <w:r w:rsidRPr="00195C08">
              <w:rPr>
                <w:color w:val="000000"/>
              </w:rPr>
              <w:t xml:space="preserve">smh.com.au </w:t>
            </w:r>
          </w:p>
        </w:tc>
        <w:tc>
          <w:tcPr>
            <w:tcW w:w="59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0</w:t>
            </w:r>
          </w:p>
        </w:tc>
        <w:tc>
          <w:tcPr>
            <w:tcW w:w="677" w:type="dxa"/>
            <w:noWrap/>
            <w:hideMark/>
          </w:tcPr>
          <w:p w:rsidR="000C48A1" w:rsidRPr="00195C08" w:rsidRDefault="000C48A1" w:rsidP="006D6782">
            <w:pPr>
              <w:pStyle w:val="TableTextRight"/>
              <w:rPr>
                <w:color w:val="000000"/>
              </w:rPr>
            </w:pPr>
            <w:r w:rsidRPr="00195C08">
              <w:rPr>
                <w:color w:val="000000"/>
              </w:rPr>
              <w:t>1</w:t>
            </w:r>
          </w:p>
        </w:tc>
        <w:tc>
          <w:tcPr>
            <w:tcW w:w="678" w:type="dxa"/>
            <w:noWrap/>
            <w:hideMark/>
          </w:tcPr>
          <w:p w:rsidR="000C48A1" w:rsidRPr="00195C08" w:rsidRDefault="000C48A1" w:rsidP="006D6782">
            <w:pPr>
              <w:pStyle w:val="TableTextRight"/>
              <w:rPr>
                <w:color w:val="000000"/>
              </w:rPr>
            </w:pPr>
            <w:r w:rsidRPr="00195C08">
              <w:rPr>
                <w:color w:val="000000"/>
              </w:rPr>
              <w:t>50.0</w:t>
            </w:r>
          </w:p>
        </w:tc>
      </w:tr>
    </w:tbl>
    <w:p w:rsidR="000C48A1" w:rsidRDefault="000C48A1" w:rsidP="000C48A1">
      <w:pPr>
        <w:pStyle w:val="BodyText"/>
      </w:pPr>
    </w:p>
    <w:p w:rsidR="000C48A1" w:rsidRDefault="000C48A1" w:rsidP="000C48A1">
      <w:pPr>
        <w:pStyle w:val="BodyText"/>
        <w:sectPr w:rsidR="000C48A1" w:rsidSect="004E6559">
          <w:pgSz w:w="16839" w:h="11907" w:orient="landscape" w:code="9"/>
          <w:pgMar w:top="1418" w:right="1242" w:bottom="964" w:left="1247" w:header="142" w:footer="397" w:gutter="0"/>
          <w:cols w:num="2" w:space="284"/>
          <w:formProt w:val="0"/>
          <w:titlePg/>
          <w:docGrid w:linePitch="360"/>
        </w:sectPr>
      </w:pPr>
    </w:p>
    <w:p w:rsidR="000C48A1" w:rsidRDefault="000C48A1" w:rsidP="000C48A1">
      <w:pPr>
        <w:pStyle w:val="Heading1"/>
        <w:pBdr>
          <w:bottom w:val="single" w:sz="18" w:space="2" w:color="0072BC" w:themeColor="accent1"/>
        </w:pBdr>
        <w:rPr>
          <w:rFonts w:asciiTheme="minorHAnsi" w:eastAsiaTheme="minorEastAsia" w:hAnsiTheme="minorHAnsi" w:cstheme="minorBidi"/>
          <w:b w:val="0"/>
          <w:bCs w:val="0"/>
          <w:color w:val="000000"/>
          <w:sz w:val="22"/>
          <w:szCs w:val="22"/>
          <w14:textFill>
            <w14:solidFill>
              <w14:srgbClr w14:val="000000">
                <w14:lumMod w14:val="75000"/>
              </w14:srgbClr>
            </w14:solidFill>
          </w14:textFill>
        </w:rPr>
      </w:pPr>
      <w:r>
        <w:t xml:space="preserve"> </w:t>
      </w:r>
      <w:bookmarkStart w:id="76" w:name="_Toc480535118"/>
      <w:bookmarkStart w:id="77" w:name="_Toc483477944"/>
      <w:bookmarkStart w:id="78" w:name="_Toc485374989"/>
      <w:r w:rsidRPr="00F064E4">
        <w:t>Methodology</w:t>
      </w:r>
      <w:bookmarkEnd w:id="76"/>
      <w:bookmarkEnd w:id="77"/>
      <w:bookmarkEnd w:id="78"/>
    </w:p>
    <w:p w:rsidR="000C48A1" w:rsidRPr="00892222" w:rsidRDefault="000C48A1" w:rsidP="000C48A1">
      <w:pPr>
        <w:pStyle w:val="Heading2"/>
      </w:pPr>
      <w:bookmarkStart w:id="79" w:name="_Toc483477945"/>
      <w:bookmarkStart w:id="80" w:name="_Toc485374990"/>
      <w:r w:rsidRPr="00892222">
        <w:t xml:space="preserve">Best Practice Media </w:t>
      </w:r>
      <w:r w:rsidRPr="00005195">
        <w:t>Analysis</w:t>
      </w:r>
      <w:bookmarkEnd w:id="79"/>
      <w:bookmarkEnd w:id="80"/>
    </w:p>
    <w:p w:rsidR="000C48A1" w:rsidRDefault="000C48A1" w:rsidP="000C48A1">
      <w:pPr>
        <w:pStyle w:val="BodyText"/>
        <w:sectPr w:rsidR="000C48A1" w:rsidSect="000C48A1">
          <w:type w:val="continuous"/>
          <w:pgSz w:w="16838" w:h="11906" w:orient="landscape" w:code="9"/>
          <w:pgMar w:top="964" w:right="1242" w:bottom="964" w:left="1247" w:header="0" w:footer="397" w:gutter="0"/>
          <w:cols w:space="284"/>
          <w:docGrid w:linePitch="360"/>
        </w:sectPr>
      </w:pPr>
    </w:p>
    <w:p w:rsidR="000C48A1" w:rsidRDefault="000C48A1" w:rsidP="000C48A1">
      <w:pPr>
        <w:pStyle w:val="BodyText"/>
      </w:pPr>
      <w:r>
        <w:t xml:space="preserve">The media analysis methodology used </w:t>
      </w:r>
      <w:r w:rsidRPr="007850AE">
        <w:t xml:space="preserve">by </w:t>
      </w:r>
      <w:r>
        <w:t>Isentia has a systematic approach to turn media content into meaningful data. This approach analyses media content both quantitatively and qualitatively.</w:t>
      </w:r>
    </w:p>
    <w:p w:rsidR="000C48A1" w:rsidRDefault="000C48A1" w:rsidP="000C48A1">
      <w:pPr>
        <w:pStyle w:val="BodyText"/>
      </w:pPr>
      <w:r>
        <w:t>Isentia uses the CARMA® media content analysis methodology, which is internationally recognised as one of the leading commercial systems available. CARMA® (Computer Aided Research and Media Analysis) uses advanced technology to quantify media content, and human intelligence to provide qualitative insight and analysis.</w:t>
      </w:r>
    </w:p>
    <w:p w:rsidR="000C48A1" w:rsidRDefault="000C48A1" w:rsidP="000C48A1">
      <w:pPr>
        <w:pStyle w:val="BodyText"/>
      </w:pPr>
      <w:r>
        <w:t>Isentia uses the CARMA® methodology to qualitatively analyse media coverage by taking into account multiple variables. These include the:</w:t>
      </w:r>
    </w:p>
    <w:p w:rsidR="000C48A1" w:rsidRDefault="000C48A1" w:rsidP="000C48A1">
      <w:pPr>
        <w:pStyle w:val="ListBullet"/>
      </w:pPr>
      <w:r>
        <w:t>Placement of media reports (front page or lead item in broadcast media and websites);</w:t>
      </w:r>
    </w:p>
    <w:p w:rsidR="000C48A1" w:rsidRDefault="000C48A1" w:rsidP="000C48A1">
      <w:pPr>
        <w:pStyle w:val="ListBullet"/>
      </w:pPr>
      <w:r>
        <w:t>Positioning of organisation discussion (headline, prominent mentions, passing mentions);</w:t>
      </w:r>
    </w:p>
    <w:p w:rsidR="000C48A1" w:rsidRDefault="000C48A1" w:rsidP="000C48A1">
      <w:pPr>
        <w:pStyle w:val="ListBullet"/>
      </w:pPr>
      <w:r>
        <w:rPr>
          <w:noProof/>
        </w:rPr>
        <w:drawing>
          <wp:anchor distT="0" distB="0" distL="114300" distR="114300" simplePos="0" relativeHeight="251663360" behindDoc="0" locked="0" layoutInCell="1" allowOverlap="1" wp14:anchorId="7709D615" wp14:editId="4F66DBBD">
            <wp:simplePos x="0" y="0"/>
            <wp:positionH relativeFrom="margin">
              <wp:posOffset>3110230</wp:posOffset>
            </wp:positionH>
            <wp:positionV relativeFrom="margin">
              <wp:posOffset>4003040</wp:posOffset>
            </wp:positionV>
            <wp:extent cx="6048375" cy="2364740"/>
            <wp:effectExtent l="0" t="0" r="9525" b="0"/>
            <wp:wrapSquare wrapText="bothSides"/>
            <wp:docPr id="13" name="Picture 0" descr="A bell curve chart showing the expected range of favourability ratings, from very few media reports rated &quot;highly unfavourable&quot; (a 30 rating or lower), through to the most reports rated &quot;neutral or balanced&quot; (a 50 rating), and up to very few media reports rated &quot;highly favourable&quot; (70 rating and above)." title="Average favourability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es-optus.gif"/>
                    <pic:cNvPicPr/>
                  </pic:nvPicPr>
                  <pic:blipFill>
                    <a:blip r:embed="rId56" cstate="print"/>
                    <a:stretch>
                      <a:fillRect/>
                    </a:stretch>
                  </pic:blipFill>
                  <pic:spPr>
                    <a:xfrm>
                      <a:off x="0" y="0"/>
                      <a:ext cx="6048375" cy="2364740"/>
                    </a:xfrm>
                    <a:prstGeom prst="rect">
                      <a:avLst/>
                    </a:prstGeom>
                  </pic:spPr>
                </pic:pic>
              </a:graphicData>
            </a:graphic>
          </wp:anchor>
        </w:drawing>
      </w:r>
      <w:r>
        <w:t>Image (photos, illustrations, charts, cartoons, or the image content of video);</w:t>
      </w:r>
    </w:p>
    <w:p w:rsidR="000C48A1" w:rsidRDefault="000C48A1" w:rsidP="000C48A1">
      <w:pPr>
        <w:pStyle w:val="ListBullet"/>
      </w:pPr>
      <w:r>
        <w:t>Topics discussed in the media and their relative importance to the client organisation;</w:t>
      </w:r>
    </w:p>
    <w:p w:rsidR="000C48A1" w:rsidRDefault="000C48A1" w:rsidP="000C48A1">
      <w:pPr>
        <w:pStyle w:val="ListBullet"/>
      </w:pPr>
      <w:r>
        <w:t>Messages, both favourable and unfavourable, communicated in media reports;</w:t>
      </w:r>
    </w:p>
    <w:p w:rsidR="000C48A1" w:rsidRDefault="000C48A1" w:rsidP="000C48A1">
      <w:pPr>
        <w:pStyle w:val="ListBullet"/>
      </w:pPr>
      <w:r>
        <w:t>Sources quoted (both organisation representatives and other individuals who make relevant comments in the media); and</w:t>
      </w:r>
    </w:p>
    <w:p w:rsidR="000C48A1" w:rsidRDefault="000C48A1" w:rsidP="000C48A1">
      <w:pPr>
        <w:pStyle w:val="ListBullet"/>
      </w:pPr>
      <w:r>
        <w:t>Tone of content (extreme language, adjectives and adverbs, metaphors or similes and other figures of speech).</w:t>
      </w:r>
    </w:p>
    <w:p w:rsidR="000C48A1" w:rsidRDefault="000C48A1" w:rsidP="000C48A1">
      <w:pPr>
        <w:pStyle w:val="BodyText"/>
      </w:pPr>
      <w:r>
        <w:rPr>
          <w:color w:val="7A005B" w:themeColor="accent4"/>
          <w:kern w:val="0"/>
          <w:sz w:val="40"/>
          <w:szCs w:val="40"/>
        </w:rPr>
        <w:br w:type="column"/>
      </w:r>
      <w:r>
        <w:t>An aggregate score is calculated based on these multiple variables and presented on a 0–100 scale where 50 is neutral. This is an overall rating of the favourability of each media report towards the client organisation (and, if relevant, other organisations or competitors). This aggregate score is called the CARMA® Favourability Rating.</w:t>
      </w:r>
    </w:p>
    <w:p w:rsidR="000C48A1" w:rsidRDefault="000C48A1" w:rsidP="000C48A1">
      <w:pPr>
        <w:pStyle w:val="BodyText"/>
      </w:pPr>
      <w:r>
        <w:t>The average favourability is the aggregated rating of the media coverage analysed. This can identify the potential impact of media reporting, and can be used to identify trends and establish benchmarks for future data.</w:t>
      </w:r>
    </w:p>
    <w:p w:rsidR="000C48A1" w:rsidRDefault="000C48A1" w:rsidP="000C48A1">
      <w:pPr>
        <w:pStyle w:val="BodyText"/>
      </w:pPr>
      <w:r>
        <w:t>The criteria for analysis (such as topics and specific key messages) are set up uniquely for each individual client by a team of media analysis experts. These experts bring their industry</w:t>
      </w:r>
      <w:r w:rsidRPr="001601AA">
        <w:t xml:space="preserve"> </w:t>
      </w:r>
      <w:r w:rsidRPr="00882E98">
        <w:t>knowled</w:t>
      </w:r>
      <w:r w:rsidRPr="00D84C96">
        <w:t>g</w:t>
      </w:r>
      <w:r w:rsidRPr="00882E98">
        <w:t>e to identify</w:t>
      </w:r>
      <w:r>
        <w:t xml:space="preserve"> </w:t>
      </w:r>
      <w:r w:rsidRPr="00882E98">
        <w:t>key issues and attitudes that appear in the media,</w:t>
      </w:r>
      <w:r w:rsidRPr="00257E26">
        <w:t xml:space="preserve"> </w:t>
      </w:r>
      <w:r>
        <w:t>answer clients’ key questions,</w:t>
      </w:r>
      <w:r w:rsidRPr="00882E98">
        <w:t xml:space="preserve"> </w:t>
      </w:r>
      <w:r>
        <w:t xml:space="preserve">and, where relevant, </w:t>
      </w:r>
      <w:r w:rsidRPr="00882E98">
        <w:t>provide recommendations</w:t>
      </w:r>
      <w:r>
        <w:t xml:space="preserve"> for further action.</w:t>
      </w:r>
    </w:p>
    <w:p w:rsidR="000C48A1" w:rsidRDefault="000C48A1" w:rsidP="000C48A1">
      <w:pPr>
        <w:pStyle w:val="BodyText"/>
      </w:pPr>
      <w:r>
        <w:rPr>
          <w:color w:val="7A005B" w:themeColor="accent4"/>
          <w:kern w:val="0"/>
          <w:sz w:val="40"/>
          <w:szCs w:val="40"/>
        </w:rPr>
        <w:br w:type="column"/>
      </w:r>
      <w:r>
        <w:t>The consistency of analysis is ensured in three key ways:</w:t>
      </w:r>
    </w:p>
    <w:p w:rsidR="000C48A1" w:rsidRPr="00954F6D" w:rsidRDefault="000C48A1" w:rsidP="000C48A1">
      <w:pPr>
        <w:pStyle w:val="ListBullet"/>
      </w:pPr>
      <w:r w:rsidRPr="00954F6D">
        <w:t>Most of the variables analysed are objective criteria (such as media name, positioning, sources</w:t>
      </w:r>
      <w:r>
        <w:t>’</w:t>
      </w:r>
      <w:r w:rsidRPr="00954F6D">
        <w:t xml:space="preserve"> names);</w:t>
      </w:r>
    </w:p>
    <w:p w:rsidR="000C48A1" w:rsidRPr="00954F6D" w:rsidRDefault="000C48A1" w:rsidP="000C48A1">
      <w:pPr>
        <w:pStyle w:val="ListBullet"/>
      </w:pPr>
      <w:r w:rsidRPr="00954F6D">
        <w:t>The somewhat more subjective topics and messages are identified by either exact phrasing or acceptable alternatives, provided to researchers before analysis begins; and</w:t>
      </w:r>
    </w:p>
    <w:p w:rsidR="000C48A1" w:rsidRDefault="000C48A1" w:rsidP="000C48A1">
      <w:pPr>
        <w:pStyle w:val="ListBullet"/>
      </w:pPr>
      <w:r>
        <w:t>Isentia</w:t>
      </w:r>
      <w:r w:rsidRPr="00954F6D">
        <w:t xml:space="preserve"> uses multiple researchers on projects to minimise individual subjectivity.</w:t>
      </w:r>
    </w:p>
    <w:p w:rsidR="000C48A1" w:rsidRPr="00954F6D" w:rsidRDefault="000C48A1" w:rsidP="000C48A1">
      <w:pPr>
        <w:pStyle w:val="BodyText"/>
        <w:spacing w:before="1080"/>
      </w:pPr>
      <w:r>
        <w:t>The image below shows the scale of average favourability ratings on a bell curve.</w:t>
      </w:r>
    </w:p>
    <w:p w:rsidR="000C48A1" w:rsidRDefault="000C48A1" w:rsidP="000C48A1">
      <w:pPr>
        <w:pStyle w:val="Figure"/>
        <w:sectPr w:rsidR="000C48A1" w:rsidSect="000C48A1">
          <w:type w:val="continuous"/>
          <w:pgSz w:w="16838" w:h="11906" w:orient="landscape" w:code="9"/>
          <w:pgMar w:top="964" w:right="1242" w:bottom="964" w:left="1247" w:header="0" w:footer="397" w:gutter="0"/>
          <w:cols w:num="3" w:space="284"/>
          <w:docGrid w:linePitch="360"/>
        </w:sectPr>
      </w:pPr>
    </w:p>
    <w:p w:rsidR="000C48A1" w:rsidRPr="000C48A1" w:rsidRDefault="000C48A1" w:rsidP="000C48A1">
      <w:pPr>
        <w:pStyle w:val="Figure"/>
      </w:pPr>
      <w:r>
        <w:rPr>
          <w:noProof/>
        </w:rPr>
        <w:drawing>
          <wp:anchor distT="0" distB="0" distL="114300" distR="114300" simplePos="0" relativeHeight="251665408" behindDoc="0" locked="0" layoutInCell="1" allowOverlap="1" wp14:anchorId="08780EA2" wp14:editId="00D601B8">
            <wp:simplePos x="0" y="0"/>
            <wp:positionH relativeFrom="page">
              <wp:align>left</wp:align>
            </wp:positionH>
            <wp:positionV relativeFrom="page">
              <wp:align>top</wp:align>
            </wp:positionV>
            <wp:extent cx="10789200" cy="8092800"/>
            <wp:effectExtent l="0" t="0" r="0" b="3810"/>
            <wp:wrapNone/>
            <wp:docPr id="22" name="Picture 7" descr="Isentia Insights back page image" title="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cover.png"/>
                    <pic:cNvPicPr/>
                  </pic:nvPicPr>
                  <pic:blipFill>
                    <a:blip r:embed="rId57">
                      <a:extLst>
                        <a:ext uri="{28A0092B-C50C-407E-A947-70E740481C1C}">
                          <a14:useLocalDpi xmlns:a14="http://schemas.microsoft.com/office/drawing/2010/main" val="0"/>
                        </a:ext>
                      </a:extLst>
                    </a:blip>
                    <a:stretch>
                      <a:fillRect/>
                    </a:stretch>
                  </pic:blipFill>
                  <pic:spPr>
                    <a:xfrm>
                      <a:off x="0" y="0"/>
                      <a:ext cx="10789200" cy="8092800"/>
                    </a:xfrm>
                    <a:prstGeom prst="rect">
                      <a:avLst/>
                    </a:prstGeom>
                  </pic:spPr>
                </pic:pic>
              </a:graphicData>
            </a:graphic>
            <wp14:sizeRelH relativeFrom="margin">
              <wp14:pctWidth>0</wp14:pctWidth>
            </wp14:sizeRelH>
            <wp14:sizeRelV relativeFrom="margin">
              <wp14:pctHeight>0</wp14:pctHeight>
            </wp14:sizeRelV>
          </wp:anchor>
        </w:drawing>
      </w:r>
    </w:p>
    <w:sectPr w:rsidR="000C48A1" w:rsidRPr="000C48A1" w:rsidSect="000C48A1">
      <w:pgSz w:w="16838" w:h="11906" w:orient="landscape" w:code="9"/>
      <w:pgMar w:top="964" w:right="1242" w:bottom="964" w:left="1247" w:header="0" w:footer="39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0D1" w:rsidRDefault="008310D1" w:rsidP="00051E01">
      <w:pPr>
        <w:spacing w:after="0" w:line="240" w:lineRule="auto"/>
      </w:pPr>
      <w:r>
        <w:separator/>
      </w:r>
    </w:p>
  </w:endnote>
  <w:endnote w:type="continuationSeparator" w:id="0">
    <w:p w:rsidR="008310D1" w:rsidRDefault="008310D1" w:rsidP="0005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INOT">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Default="008310D1">
    <w:pPr>
      <w:pStyle w:val="Footer"/>
    </w:pPr>
    <w:r>
      <w:t xml:space="preserve">SA Health – Health Star Rating </w:t>
    </w:r>
    <w:r w:rsidRPr="00422C8C">
      <w:rPr>
        <w:color w:val="0072BC" w:themeColor="accent1"/>
      </w:rPr>
      <w:t>/</w:t>
    </w:r>
    <w:r>
      <w:t xml:space="preserve"> Media Analysis Report </w:t>
    </w:r>
    <w:r w:rsidRPr="00422C8C">
      <w:rPr>
        <w:color w:val="0072BC" w:themeColor="accent1"/>
      </w:rPr>
      <w:t>/</w:t>
    </w:r>
    <w:r>
      <w:t xml:space="preserve"> July 2014 – June 2016</w:t>
    </w:r>
    <w:r>
      <w:tab/>
    </w:r>
    <w:r>
      <w:tab/>
      <w:t xml:space="preserve">Page </w:t>
    </w:r>
    <w:r w:rsidRPr="00422C8C">
      <w:rPr>
        <w:color w:val="0072BC" w:themeColor="accent1"/>
      </w:rPr>
      <w:t>/</w:t>
    </w:r>
    <w:r>
      <w:t xml:space="preserve"> </w:t>
    </w:r>
    <w:r>
      <w:fldChar w:fldCharType="begin"/>
    </w:r>
    <w:r>
      <w:instrText xml:space="preserve"> page </w:instrText>
    </w:r>
    <w:r>
      <w:fldChar w:fldCharType="separate"/>
    </w:r>
    <w:r w:rsidR="003972DC">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Pr="005D78A1" w:rsidRDefault="008310D1" w:rsidP="008E2432">
    <w:pPr>
      <w:pStyle w:val="Footer"/>
    </w:pPr>
    <w:r>
      <w:t xml:space="preserve">SA Health – Health Star Rating </w:t>
    </w:r>
    <w:r w:rsidRPr="00422C8C">
      <w:rPr>
        <w:color w:val="0072BC" w:themeColor="accent1"/>
      </w:rPr>
      <w:t>/</w:t>
    </w:r>
    <w:r>
      <w:t xml:space="preserve"> Media Analysis Report </w:t>
    </w:r>
    <w:r w:rsidRPr="00422C8C">
      <w:rPr>
        <w:color w:val="0072BC" w:themeColor="accent1"/>
      </w:rPr>
      <w:t>/</w:t>
    </w:r>
    <w:r>
      <w:t xml:space="preserve"> July 2014 – June 2016</w:t>
    </w:r>
    <w:r>
      <w:tab/>
    </w:r>
    <w:r>
      <w:tab/>
      <w:t xml:space="preserve">Page </w:t>
    </w:r>
    <w:r w:rsidRPr="00422C8C">
      <w:rPr>
        <w:color w:val="0072BC" w:themeColor="accent1"/>
      </w:rPr>
      <w:t>/</w:t>
    </w:r>
    <w:r>
      <w:t xml:space="preserve"> </w:t>
    </w:r>
    <w:r>
      <w:fldChar w:fldCharType="begin"/>
    </w:r>
    <w:r>
      <w:instrText xml:space="preserve"> page </w:instrText>
    </w:r>
    <w:r>
      <w:fldChar w:fldCharType="separate"/>
    </w:r>
    <w:r>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Pr="005D78A1" w:rsidRDefault="008310D1" w:rsidP="008E2432">
    <w:pPr>
      <w:pStyle w:val="Footer"/>
    </w:pPr>
    <w:r>
      <w:t xml:space="preserve">SA Health – Health Star Rating </w:t>
    </w:r>
    <w:r w:rsidRPr="00422C8C">
      <w:rPr>
        <w:color w:val="0072BC" w:themeColor="accent1"/>
      </w:rPr>
      <w:t>/</w:t>
    </w:r>
    <w:r>
      <w:t xml:space="preserve"> Media Analysis Report </w:t>
    </w:r>
    <w:r w:rsidRPr="00422C8C">
      <w:rPr>
        <w:color w:val="0072BC" w:themeColor="accent1"/>
      </w:rPr>
      <w:t>/</w:t>
    </w:r>
    <w:r>
      <w:t xml:space="preserve"> July 2014 – June 2016</w:t>
    </w:r>
    <w:r>
      <w:tab/>
    </w:r>
    <w:r>
      <w:tab/>
      <w:t xml:space="preserve">Page </w:t>
    </w:r>
    <w:r w:rsidRPr="00422C8C">
      <w:rPr>
        <w:color w:val="0072BC" w:themeColor="accent1"/>
      </w:rPr>
      <w:t>/</w:t>
    </w:r>
    <w:r>
      <w:t xml:space="preserve"> </w:t>
    </w:r>
    <w:r>
      <w:fldChar w:fldCharType="begin"/>
    </w:r>
    <w:r>
      <w:instrText xml:space="preserve"> page </w:instrText>
    </w:r>
    <w:r>
      <w:fldChar w:fldCharType="separate"/>
    </w:r>
    <w:r w:rsidR="003972DC">
      <w:rPr>
        <w:noProof/>
      </w:rPr>
      <w:t>14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Pr="006F58BF" w:rsidRDefault="008310D1" w:rsidP="008E2432">
    <w:pPr>
      <w:pStyle w:val="Footer"/>
    </w:pPr>
    <w:r>
      <w:t xml:space="preserve">SA Health – Health Star Rating </w:t>
    </w:r>
    <w:r w:rsidRPr="00422C8C">
      <w:rPr>
        <w:color w:val="0072BC" w:themeColor="accent1"/>
      </w:rPr>
      <w:t>/</w:t>
    </w:r>
    <w:r>
      <w:t xml:space="preserve"> Media Analysis Report </w:t>
    </w:r>
    <w:r w:rsidRPr="00422C8C">
      <w:rPr>
        <w:color w:val="0072BC" w:themeColor="accent1"/>
      </w:rPr>
      <w:t>/</w:t>
    </w:r>
    <w:r>
      <w:t xml:space="preserve"> July 2014 – June 2016</w:t>
    </w:r>
    <w:r>
      <w:tab/>
    </w:r>
    <w:r>
      <w:tab/>
      <w:t xml:space="preserve">Page </w:t>
    </w:r>
    <w:r w:rsidRPr="00422C8C">
      <w:rPr>
        <w:color w:val="0072BC" w:themeColor="accent1"/>
      </w:rPr>
      <w:t>/</w:t>
    </w:r>
    <w:r>
      <w:t xml:space="preserve"> </w:t>
    </w:r>
    <w:r>
      <w:fldChar w:fldCharType="begin"/>
    </w:r>
    <w:r>
      <w:instrText xml:space="preserve"> page </w:instrText>
    </w:r>
    <w:r>
      <w:fldChar w:fldCharType="separate"/>
    </w:r>
    <w:r w:rsidR="003972DC">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0D1" w:rsidRDefault="008310D1" w:rsidP="00051E01">
      <w:pPr>
        <w:spacing w:after="0" w:line="240" w:lineRule="auto"/>
      </w:pPr>
      <w:r>
        <w:separator/>
      </w:r>
    </w:p>
  </w:footnote>
  <w:footnote w:type="continuationSeparator" w:id="0">
    <w:p w:rsidR="008310D1" w:rsidRDefault="008310D1" w:rsidP="00051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Default="008310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Default="008310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Default="008310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1" w:rsidRDefault="00831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744BB"/>
    <w:multiLevelType w:val="multilevel"/>
    <w:tmpl w:val="88F22DA6"/>
    <w:name w:val="Headings"/>
    <w:styleLink w:val="ListBullets"/>
    <w:lvl w:ilvl="0">
      <w:start w:val="1"/>
      <w:numFmt w:val="bullet"/>
      <w:pStyle w:val="ListBullet"/>
      <w:lvlText w:val=""/>
      <w:lvlJc w:val="left"/>
      <w:pPr>
        <w:ind w:left="360" w:hanging="360"/>
      </w:pPr>
      <w:rPr>
        <w:rFonts w:ascii="Symbol" w:hAnsi="Symbol" w:hint="default"/>
        <w:b w:val="0"/>
        <w:i w:val="0"/>
        <w:color w:val="0072BC" w:themeColor="accent1"/>
        <w:sz w:val="16"/>
      </w:rPr>
    </w:lvl>
    <w:lvl w:ilvl="1">
      <w:start w:val="1"/>
      <w:numFmt w:val="bullet"/>
      <w:lvlRestart w:val="0"/>
      <w:pStyle w:val="ListBullet2"/>
      <w:lvlText w:val="&gt;"/>
      <w:lvlJc w:val="left"/>
      <w:pPr>
        <w:tabs>
          <w:tab w:val="num" w:pos="567"/>
        </w:tabs>
        <w:ind w:left="567" w:hanging="284"/>
      </w:pPr>
      <w:rPr>
        <w:rFonts w:ascii="DINOT" w:hAnsi="DINOT"/>
        <w:color w:val="0072BC" w:themeColor="accent1"/>
      </w:rPr>
    </w:lvl>
    <w:lvl w:ilvl="2">
      <w:start w:val="1"/>
      <w:numFmt w:val="bullet"/>
      <w:lvlRestart w:val="0"/>
      <w:pStyle w:val="ListBullet3"/>
      <w:lvlText w:val="&gt;"/>
      <w:lvlJc w:val="left"/>
      <w:pPr>
        <w:tabs>
          <w:tab w:val="num" w:pos="850"/>
        </w:tabs>
        <w:ind w:left="850" w:hanging="283"/>
      </w:pPr>
      <w:rPr>
        <w:rFonts w:ascii="DINOT" w:hAnsi="DINOT"/>
        <w:color w:val="0072BC" w:themeColor="accent1"/>
      </w:rPr>
    </w:lvl>
    <w:lvl w:ilvl="3">
      <w:start w:val="1"/>
      <w:numFmt w:val="bullet"/>
      <w:lvlRestart w:val="0"/>
      <w:pStyle w:val="ListBullet4"/>
      <w:lvlText w:val="&gt;"/>
      <w:lvlJc w:val="left"/>
      <w:pPr>
        <w:tabs>
          <w:tab w:val="num" w:pos="1134"/>
        </w:tabs>
        <w:ind w:left="1134" w:hanging="284"/>
      </w:pPr>
      <w:rPr>
        <w:rFonts w:ascii="DINOT" w:hAnsi="DINOT"/>
        <w:color w:val="0072BC" w:themeColor="accent1"/>
      </w:rPr>
    </w:lvl>
    <w:lvl w:ilvl="4">
      <w:start w:val="1"/>
      <w:numFmt w:val="bullet"/>
      <w:lvlRestart w:val="0"/>
      <w:pStyle w:val="ListBullet5"/>
      <w:lvlText w:val="&gt;"/>
      <w:lvlJc w:val="left"/>
      <w:pPr>
        <w:tabs>
          <w:tab w:val="num" w:pos="1417"/>
        </w:tabs>
        <w:ind w:left="1417" w:hanging="283"/>
      </w:pPr>
      <w:rPr>
        <w:rFonts w:ascii="DINOT" w:hAnsi="DINOT"/>
        <w:color w:val="0072BC" w:themeColor="accent1"/>
      </w:rPr>
    </w:lvl>
    <w:lvl w:ilvl="5">
      <w:start w:val="1"/>
      <w:numFmt w:val="none"/>
      <w:lvlRestart w:val="0"/>
      <w:suff w:val="nothing"/>
      <w:lvlText w:val=""/>
      <w:lvlJc w:val="left"/>
      <w:pPr>
        <w:tabs>
          <w:tab w:val="num" w:pos="0"/>
        </w:tabs>
        <w:ind w:left="0" w:firstLine="0"/>
      </w:pPr>
    </w:lvl>
    <w:lvl w:ilvl="6">
      <w:start w:val="1"/>
      <w:numFmt w:val="none"/>
      <w:lvlRestart w:val="0"/>
      <w:suff w:val="nothing"/>
      <w:lvlText w:val=""/>
      <w:lvlJc w:val="left"/>
      <w:pPr>
        <w:tabs>
          <w:tab w:val="num" w:pos="0"/>
        </w:tabs>
        <w:ind w:left="0" w:firstLine="0"/>
      </w:pPr>
    </w:lvl>
    <w:lvl w:ilvl="7">
      <w:start w:val="1"/>
      <w:numFmt w:val="none"/>
      <w:lvlRestart w:val="0"/>
      <w:suff w:val="nothing"/>
      <w:lvlText w:val=""/>
      <w:lvlJc w:val="left"/>
      <w:pPr>
        <w:tabs>
          <w:tab w:val="num" w:pos="0"/>
        </w:tabs>
        <w:ind w:left="0" w:firstLine="0"/>
      </w:pPr>
    </w:lvl>
    <w:lvl w:ilvl="8">
      <w:start w:val="1"/>
      <w:numFmt w:val="none"/>
      <w:lvlRestart w:val="0"/>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E01"/>
    <w:rsid w:val="000236FD"/>
    <w:rsid w:val="00047D56"/>
    <w:rsid w:val="00051E01"/>
    <w:rsid w:val="000C48A1"/>
    <w:rsid w:val="001E7545"/>
    <w:rsid w:val="00214E62"/>
    <w:rsid w:val="00357312"/>
    <w:rsid w:val="00370486"/>
    <w:rsid w:val="00372C5D"/>
    <w:rsid w:val="003926B2"/>
    <w:rsid w:val="00396CFB"/>
    <w:rsid w:val="003972DC"/>
    <w:rsid w:val="003D35A6"/>
    <w:rsid w:val="00487EF8"/>
    <w:rsid w:val="004E6559"/>
    <w:rsid w:val="004F126E"/>
    <w:rsid w:val="005077C4"/>
    <w:rsid w:val="00535869"/>
    <w:rsid w:val="005D3F4A"/>
    <w:rsid w:val="006D6782"/>
    <w:rsid w:val="008310D1"/>
    <w:rsid w:val="008A78D8"/>
    <w:rsid w:val="008E2432"/>
    <w:rsid w:val="00944CE8"/>
    <w:rsid w:val="00991643"/>
    <w:rsid w:val="00A307F6"/>
    <w:rsid w:val="00AD5B38"/>
    <w:rsid w:val="00BF3760"/>
    <w:rsid w:val="00C7778B"/>
    <w:rsid w:val="00D33A5F"/>
    <w:rsid w:val="00E6384C"/>
    <w:rsid w:val="00E906C7"/>
    <w:rsid w:val="00EA226D"/>
    <w:rsid w:val="00F27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0"/>
    <w:lsdException w:name="footer" w:uiPriority="80"/>
    <w:lsdException w:name="caption" w:uiPriority="4" w:qFormat="1"/>
    <w:lsdException w:name="List Bullet" w:uiPriority="2" w:qFormat="1"/>
    <w:lsdException w:name="List Bullet 2" w:uiPriority="2"/>
    <w:lsdException w:name="List Bullet 3" w:uiPriority="2"/>
    <w:lsdException w:name="List Bullet 4" w:uiPriority="2"/>
    <w:lsdException w:name="List Bullet 5" w:uiPriority="2"/>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8"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89" w:qFormat="1"/>
  </w:latentStyles>
  <w:style w:type="paragraph" w:default="1" w:styleId="Normal">
    <w:name w:val="Normal"/>
  </w:style>
  <w:style w:type="paragraph" w:styleId="Heading1">
    <w:name w:val="heading 1"/>
    <w:basedOn w:val="Normal"/>
    <w:next w:val="Normal"/>
    <w:link w:val="Heading1Char"/>
    <w:uiPriority w:val="9"/>
    <w:qFormat/>
    <w:rsid w:val="00396CFB"/>
    <w:pPr>
      <w:keepNext/>
      <w:keepLines/>
      <w:pBdr>
        <w:bottom w:val="single" w:sz="18" w:space="1" w:color="0072BC" w:themeColor="accent1"/>
      </w:pBdr>
      <w:tabs>
        <w:tab w:val="left" w:pos="-27009"/>
      </w:tabs>
      <w:spacing w:before="120" w:after="360"/>
      <w:ind w:right="57"/>
      <w:outlineLvl w:val="0"/>
    </w:pPr>
    <w:rPr>
      <w:rFonts w:asciiTheme="majorHAnsi" w:eastAsiaTheme="majorEastAsia" w:hAnsiTheme="majorHAnsi" w:cstheme="majorBidi"/>
      <w:b/>
      <w:bCs/>
      <w:color w:val="003765" w:themeColor="accent2" w:themeShade="BF"/>
      <w:sz w:val="38"/>
      <w:szCs w:val="38"/>
    </w:rPr>
  </w:style>
  <w:style w:type="paragraph" w:styleId="Heading2">
    <w:name w:val="heading 2"/>
    <w:basedOn w:val="Normal"/>
    <w:next w:val="Normal"/>
    <w:link w:val="Heading2Char"/>
    <w:uiPriority w:val="9"/>
    <w:unhideWhenUsed/>
    <w:qFormat/>
    <w:rsid w:val="000C48A1"/>
    <w:pPr>
      <w:keepNext/>
      <w:keepLines/>
      <w:spacing w:before="200" w:after="0"/>
      <w:outlineLvl w:val="1"/>
    </w:pPr>
    <w:rPr>
      <w:rFonts w:asciiTheme="majorHAnsi" w:eastAsiaTheme="majorEastAsia" w:hAnsiTheme="majorHAnsi" w:cstheme="majorBidi"/>
      <w:b/>
      <w:bCs/>
      <w:color w:val="0072BC" w:themeColor="accent1"/>
      <w:sz w:val="26"/>
      <w:szCs w:val="26"/>
    </w:rPr>
  </w:style>
  <w:style w:type="paragraph" w:styleId="Heading3">
    <w:name w:val="heading 3"/>
    <w:basedOn w:val="Normal"/>
    <w:next w:val="Normal"/>
    <w:link w:val="Heading3Char"/>
    <w:uiPriority w:val="9"/>
    <w:semiHidden/>
    <w:unhideWhenUsed/>
    <w:qFormat/>
    <w:rsid w:val="00396CFB"/>
    <w:pPr>
      <w:keepNext/>
      <w:keepLines/>
      <w:spacing w:before="200" w:after="0"/>
      <w:outlineLvl w:val="2"/>
    </w:pPr>
    <w:rPr>
      <w:rFonts w:asciiTheme="majorHAnsi" w:eastAsiaTheme="majorEastAsia" w:hAnsiTheme="majorHAnsi" w:cstheme="majorBidi"/>
      <w:b/>
      <w:bCs/>
      <w:color w:val="0072B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51E01"/>
    <w:pPr>
      <w:spacing w:after="120" w:line="230" w:lineRule="exact"/>
    </w:pPr>
    <w:rPr>
      <w:rFonts w:eastAsiaTheme="minorEastAsia"/>
      <w:kern w:val="22"/>
      <w:sz w:val="19"/>
      <w:lang w:eastAsia="en-AU"/>
    </w:rPr>
  </w:style>
  <w:style w:type="character" w:customStyle="1" w:styleId="BodyTextChar">
    <w:name w:val="Body Text Char"/>
    <w:basedOn w:val="DefaultParagraphFont"/>
    <w:link w:val="BodyText"/>
    <w:uiPriority w:val="1"/>
    <w:rsid w:val="00051E01"/>
    <w:rPr>
      <w:rFonts w:eastAsiaTheme="minorEastAsia"/>
      <w:kern w:val="22"/>
      <w:sz w:val="19"/>
      <w:lang w:eastAsia="en-AU"/>
    </w:rPr>
  </w:style>
  <w:style w:type="paragraph" w:customStyle="1" w:styleId="360mCoverSubject">
    <w:name w:val="360m Cover_Subject"/>
    <w:basedOn w:val="Normal"/>
    <w:next w:val="BodyText"/>
    <w:uiPriority w:val="99"/>
    <w:rsid w:val="00051E01"/>
    <w:pPr>
      <w:spacing w:before="240" w:after="0" w:line="240" w:lineRule="auto"/>
      <w:ind w:right="3402"/>
    </w:pPr>
    <w:rPr>
      <w:rFonts w:asciiTheme="majorHAnsi" w:eastAsiaTheme="minorEastAsia" w:hAnsiTheme="majorHAnsi"/>
      <w:b/>
      <w:caps/>
      <w:color w:val="4A5C66" w:themeColor="text2"/>
      <w:sz w:val="56"/>
      <w:lang w:eastAsia="en-AU"/>
    </w:rPr>
  </w:style>
  <w:style w:type="paragraph" w:customStyle="1" w:styleId="360mTitle">
    <w:name w:val="360m Title"/>
    <w:basedOn w:val="Title"/>
    <w:next w:val="BodyText"/>
    <w:uiPriority w:val="99"/>
    <w:rsid w:val="00051E01"/>
    <w:pPr>
      <w:pBdr>
        <w:bottom w:val="none" w:sz="0" w:space="0" w:color="auto"/>
      </w:pBdr>
      <w:spacing w:after="120" w:line="360" w:lineRule="auto"/>
      <w:ind w:left="-142"/>
      <w:contextualSpacing w:val="0"/>
    </w:pPr>
    <w:rPr>
      <w:rFonts w:eastAsiaTheme="minorEastAsia" w:cstheme="minorBidi"/>
      <w:b/>
      <w:color w:val="4A5C66" w:themeColor="text2"/>
      <w:spacing w:val="0"/>
      <w:kern w:val="22"/>
      <w:sz w:val="30"/>
      <w:szCs w:val="32"/>
      <w:lang w:eastAsia="en-AU"/>
    </w:rPr>
  </w:style>
  <w:style w:type="paragraph" w:customStyle="1" w:styleId="360mCoverClientName">
    <w:name w:val="360m Cover_ClientName"/>
    <w:basedOn w:val="Normal"/>
    <w:next w:val="BodyText"/>
    <w:uiPriority w:val="99"/>
    <w:rsid w:val="00051E01"/>
    <w:pPr>
      <w:spacing w:after="120" w:line="360" w:lineRule="auto"/>
      <w:ind w:left="-142" w:right="3402"/>
    </w:pPr>
    <w:rPr>
      <w:rFonts w:asciiTheme="majorHAnsi" w:eastAsiaTheme="minorEastAsia" w:hAnsiTheme="majorHAnsi"/>
      <w:b/>
      <w:color w:val="4A5C66" w:themeColor="text2"/>
      <w:sz w:val="30"/>
      <w:lang w:eastAsia="en-AU"/>
    </w:rPr>
  </w:style>
  <w:style w:type="paragraph" w:styleId="Title">
    <w:name w:val="Title"/>
    <w:basedOn w:val="Normal"/>
    <w:next w:val="Normal"/>
    <w:link w:val="TitleChar"/>
    <w:uiPriority w:val="10"/>
    <w:rsid w:val="00051E01"/>
    <w:pPr>
      <w:pBdr>
        <w:bottom w:val="single" w:sz="8" w:space="4" w:color="0072BC" w:themeColor="accent1"/>
      </w:pBdr>
      <w:spacing w:after="300" w:line="240" w:lineRule="auto"/>
      <w:contextualSpacing/>
    </w:pPr>
    <w:rPr>
      <w:rFonts w:asciiTheme="majorHAnsi" w:eastAsiaTheme="majorEastAsia" w:hAnsiTheme="majorHAnsi" w:cstheme="majorBidi"/>
      <w:color w:val="37444C" w:themeColor="text2" w:themeShade="BF"/>
      <w:spacing w:val="5"/>
      <w:kern w:val="28"/>
      <w:sz w:val="52"/>
      <w:szCs w:val="52"/>
    </w:rPr>
  </w:style>
  <w:style w:type="character" w:customStyle="1" w:styleId="TitleChar">
    <w:name w:val="Title Char"/>
    <w:basedOn w:val="DefaultParagraphFont"/>
    <w:link w:val="Title"/>
    <w:uiPriority w:val="10"/>
    <w:rsid w:val="00051E01"/>
    <w:rPr>
      <w:rFonts w:asciiTheme="majorHAnsi" w:eastAsiaTheme="majorEastAsia" w:hAnsiTheme="majorHAnsi" w:cstheme="majorBidi"/>
      <w:color w:val="37444C" w:themeColor="text2" w:themeShade="BF"/>
      <w:spacing w:val="5"/>
      <w:kern w:val="28"/>
      <w:sz w:val="52"/>
      <w:szCs w:val="52"/>
    </w:rPr>
  </w:style>
  <w:style w:type="paragraph" w:styleId="TOC1">
    <w:name w:val="toc 1"/>
    <w:basedOn w:val="Normal"/>
    <w:uiPriority w:val="39"/>
    <w:rsid w:val="00051E01"/>
    <w:pPr>
      <w:keepNext/>
      <w:keepLines/>
      <w:spacing w:before="40" w:after="40" w:line="280" w:lineRule="exact"/>
      <w:ind w:right="283"/>
    </w:pPr>
    <w:rPr>
      <w:rFonts w:eastAsiaTheme="minorEastAsia"/>
      <w:kern w:val="20"/>
      <w:lang w:eastAsia="en-AU"/>
    </w:rPr>
  </w:style>
  <w:style w:type="paragraph" w:styleId="TOC2">
    <w:name w:val="toc 2"/>
    <w:basedOn w:val="TOC1"/>
    <w:uiPriority w:val="39"/>
    <w:rsid w:val="00051E01"/>
    <w:pPr>
      <w:keepNext w:val="0"/>
      <w:spacing w:after="100"/>
      <w:ind w:firstLine="283"/>
    </w:pPr>
  </w:style>
  <w:style w:type="character" w:customStyle="1" w:styleId="Heading1Char">
    <w:name w:val="Heading 1 Char"/>
    <w:basedOn w:val="DefaultParagraphFont"/>
    <w:link w:val="Heading1"/>
    <w:uiPriority w:val="9"/>
    <w:rsid w:val="00396CFB"/>
    <w:rPr>
      <w:rFonts w:asciiTheme="majorHAnsi" w:eastAsiaTheme="majorEastAsia" w:hAnsiTheme="majorHAnsi" w:cstheme="majorBidi"/>
      <w:b/>
      <w:bCs/>
      <w:color w:val="003765" w:themeColor="accent2" w:themeShade="BF"/>
      <w:sz w:val="38"/>
      <w:szCs w:val="38"/>
    </w:rPr>
  </w:style>
  <w:style w:type="paragraph" w:styleId="TOCHeading">
    <w:name w:val="TOC Heading"/>
    <w:basedOn w:val="Normal"/>
    <w:next w:val="BodyText"/>
    <w:uiPriority w:val="89"/>
    <w:unhideWhenUsed/>
    <w:qFormat/>
    <w:rsid w:val="00051E01"/>
    <w:pPr>
      <w:keepNext/>
      <w:keepLines/>
      <w:pageBreakBefore/>
      <w:spacing w:before="400" w:after="340" w:line="720" w:lineRule="exact"/>
    </w:pPr>
    <w:rPr>
      <w:rFonts w:asciiTheme="majorHAnsi" w:eastAsiaTheme="minorEastAsia" w:hAnsiTheme="majorHAnsi"/>
      <w:b/>
      <w:color w:val="0072BC" w:themeColor="accent1"/>
      <w:kern w:val="20"/>
      <w:sz w:val="68"/>
      <w:lang w:eastAsia="en-AU"/>
    </w:rPr>
  </w:style>
  <w:style w:type="paragraph" w:styleId="BalloonText">
    <w:name w:val="Balloon Text"/>
    <w:basedOn w:val="Normal"/>
    <w:link w:val="BalloonTextChar"/>
    <w:uiPriority w:val="99"/>
    <w:semiHidden/>
    <w:unhideWhenUsed/>
    <w:rsid w:val="00051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E01"/>
    <w:rPr>
      <w:rFonts w:ascii="Tahoma" w:hAnsi="Tahoma" w:cs="Tahoma"/>
      <w:sz w:val="16"/>
      <w:szCs w:val="16"/>
    </w:rPr>
  </w:style>
  <w:style w:type="paragraph" w:customStyle="1" w:styleId="Disclaimer">
    <w:name w:val="Disclaimer"/>
    <w:basedOn w:val="BodyText"/>
    <w:uiPriority w:val="99"/>
    <w:rsid w:val="00051E01"/>
    <w:pPr>
      <w:spacing w:line="180" w:lineRule="exact"/>
    </w:pPr>
    <w:rPr>
      <w:sz w:val="15"/>
    </w:rPr>
  </w:style>
  <w:style w:type="paragraph" w:customStyle="1" w:styleId="PartIntro">
    <w:name w:val="Part Intro"/>
    <w:basedOn w:val="BodyText"/>
    <w:next w:val="BodyText"/>
    <w:link w:val="PartIntroChar"/>
    <w:qFormat/>
    <w:rsid w:val="00051E01"/>
    <w:pPr>
      <w:keepNext/>
      <w:keepLines/>
      <w:spacing w:after="460" w:line="480" w:lineRule="exact"/>
    </w:pPr>
    <w:rPr>
      <w:sz w:val="28"/>
    </w:rPr>
  </w:style>
  <w:style w:type="paragraph" w:customStyle="1" w:styleId="Figure">
    <w:name w:val="Figure"/>
    <w:basedOn w:val="Normal"/>
    <w:next w:val="BodyText"/>
    <w:uiPriority w:val="5"/>
    <w:qFormat/>
    <w:rsid w:val="00051E01"/>
    <w:pPr>
      <w:spacing w:after="0"/>
    </w:pPr>
    <w:rPr>
      <w:rFonts w:eastAsiaTheme="minorEastAsia"/>
      <w:kern w:val="20"/>
      <w:sz w:val="21"/>
      <w:lang w:eastAsia="en-AU"/>
    </w:rPr>
  </w:style>
  <w:style w:type="numbering" w:customStyle="1" w:styleId="ListBullets">
    <w:name w:val="ListBullets"/>
    <w:basedOn w:val="NoList"/>
    <w:uiPriority w:val="99"/>
    <w:rsid w:val="00051E01"/>
    <w:pPr>
      <w:numPr>
        <w:numId w:val="1"/>
      </w:numPr>
    </w:pPr>
  </w:style>
  <w:style w:type="paragraph" w:styleId="ListBullet">
    <w:name w:val="List Bullet"/>
    <w:aliases w:val="List Bullet 360"/>
    <w:basedOn w:val="BodyText"/>
    <w:uiPriority w:val="2"/>
    <w:qFormat/>
    <w:rsid w:val="00051E01"/>
    <w:pPr>
      <w:numPr>
        <w:numId w:val="1"/>
      </w:numPr>
    </w:pPr>
  </w:style>
  <w:style w:type="paragraph" w:styleId="ListBullet2">
    <w:name w:val="List Bullet 2"/>
    <w:basedOn w:val="ListBullet"/>
    <w:uiPriority w:val="2"/>
    <w:unhideWhenUsed/>
    <w:rsid w:val="00051E01"/>
    <w:pPr>
      <w:numPr>
        <w:ilvl w:val="1"/>
      </w:numPr>
    </w:pPr>
  </w:style>
  <w:style w:type="paragraph" w:styleId="ListBullet3">
    <w:name w:val="List Bullet 3"/>
    <w:basedOn w:val="ListBullet2"/>
    <w:uiPriority w:val="2"/>
    <w:unhideWhenUsed/>
    <w:rsid w:val="00051E01"/>
    <w:pPr>
      <w:numPr>
        <w:ilvl w:val="2"/>
      </w:numPr>
    </w:pPr>
  </w:style>
  <w:style w:type="paragraph" w:styleId="ListBullet4">
    <w:name w:val="List Bullet 4"/>
    <w:basedOn w:val="ListBullet3"/>
    <w:uiPriority w:val="2"/>
    <w:unhideWhenUsed/>
    <w:rsid w:val="00051E01"/>
    <w:pPr>
      <w:numPr>
        <w:ilvl w:val="3"/>
      </w:numPr>
    </w:pPr>
  </w:style>
  <w:style w:type="paragraph" w:styleId="ListBullet5">
    <w:name w:val="List Bullet 5"/>
    <w:basedOn w:val="ListBullet4"/>
    <w:uiPriority w:val="2"/>
    <w:unhideWhenUsed/>
    <w:rsid w:val="00051E01"/>
    <w:pPr>
      <w:numPr>
        <w:ilvl w:val="4"/>
      </w:numPr>
    </w:pPr>
  </w:style>
  <w:style w:type="paragraph" w:styleId="Footer">
    <w:name w:val="footer"/>
    <w:basedOn w:val="Normal"/>
    <w:link w:val="FooterChar"/>
    <w:uiPriority w:val="80"/>
    <w:unhideWhenUsed/>
    <w:rsid w:val="00051E01"/>
    <w:pPr>
      <w:tabs>
        <w:tab w:val="center" w:pos="8419"/>
        <w:tab w:val="right" w:pos="14343"/>
      </w:tabs>
      <w:spacing w:after="0" w:line="240" w:lineRule="auto"/>
    </w:pPr>
    <w:rPr>
      <w:rFonts w:asciiTheme="majorHAnsi" w:eastAsiaTheme="minorEastAsia" w:hAnsiTheme="majorHAnsi"/>
      <w:b/>
      <w:caps/>
      <w:color w:val="ACACAC" w:themeColor="background2" w:themeShade="BF"/>
      <w:kern w:val="20"/>
      <w:sz w:val="15"/>
      <w:lang w:eastAsia="en-AU"/>
    </w:rPr>
  </w:style>
  <w:style w:type="character" w:customStyle="1" w:styleId="FooterChar">
    <w:name w:val="Footer Char"/>
    <w:basedOn w:val="DefaultParagraphFont"/>
    <w:link w:val="Footer"/>
    <w:uiPriority w:val="80"/>
    <w:rsid w:val="00051E01"/>
    <w:rPr>
      <w:rFonts w:asciiTheme="majorHAnsi" w:eastAsiaTheme="minorEastAsia" w:hAnsiTheme="majorHAnsi"/>
      <w:b/>
      <w:caps/>
      <w:color w:val="ACACAC" w:themeColor="background2" w:themeShade="BF"/>
      <w:kern w:val="20"/>
      <w:sz w:val="15"/>
      <w:lang w:eastAsia="en-AU"/>
    </w:rPr>
  </w:style>
  <w:style w:type="paragraph" w:styleId="Header">
    <w:name w:val="header"/>
    <w:basedOn w:val="Normal"/>
    <w:link w:val="HeaderChar"/>
    <w:uiPriority w:val="90"/>
    <w:unhideWhenUsed/>
    <w:rsid w:val="00051E01"/>
    <w:pPr>
      <w:tabs>
        <w:tab w:val="center" w:pos="8419"/>
        <w:tab w:val="right" w:pos="14343"/>
      </w:tabs>
      <w:spacing w:after="0" w:line="240" w:lineRule="auto"/>
    </w:pPr>
    <w:rPr>
      <w:rFonts w:eastAsiaTheme="minorEastAsia"/>
      <w:kern w:val="20"/>
      <w:sz w:val="16"/>
      <w:lang w:eastAsia="en-AU"/>
    </w:rPr>
  </w:style>
  <w:style w:type="character" w:customStyle="1" w:styleId="HeaderChar">
    <w:name w:val="Header Char"/>
    <w:basedOn w:val="DefaultParagraphFont"/>
    <w:link w:val="Header"/>
    <w:uiPriority w:val="90"/>
    <w:rsid w:val="00051E01"/>
    <w:rPr>
      <w:rFonts w:eastAsiaTheme="minorEastAsia"/>
      <w:kern w:val="20"/>
      <w:sz w:val="16"/>
      <w:lang w:eastAsia="en-AU"/>
    </w:rPr>
  </w:style>
  <w:style w:type="character" w:customStyle="1" w:styleId="PartIntroChar">
    <w:name w:val="Part Intro Char"/>
    <w:basedOn w:val="DefaultParagraphFont"/>
    <w:link w:val="PartIntro"/>
    <w:rsid w:val="00051E01"/>
    <w:rPr>
      <w:rFonts w:eastAsiaTheme="minorEastAsia"/>
      <w:kern w:val="22"/>
      <w:sz w:val="28"/>
      <w:lang w:eastAsia="en-AU"/>
    </w:rPr>
  </w:style>
  <w:style w:type="character" w:customStyle="1" w:styleId="Heading2Char">
    <w:name w:val="Heading 2 Char"/>
    <w:basedOn w:val="DefaultParagraphFont"/>
    <w:link w:val="Heading2"/>
    <w:uiPriority w:val="9"/>
    <w:rsid w:val="000C48A1"/>
    <w:rPr>
      <w:rFonts w:asciiTheme="majorHAnsi" w:eastAsiaTheme="majorEastAsia" w:hAnsiTheme="majorHAnsi" w:cstheme="majorBidi"/>
      <w:b/>
      <w:bCs/>
      <w:color w:val="0072BC" w:themeColor="accent1"/>
      <w:sz w:val="26"/>
      <w:szCs w:val="26"/>
    </w:rPr>
  </w:style>
  <w:style w:type="character" w:customStyle="1" w:styleId="Heading3Char">
    <w:name w:val="Heading 3 Char"/>
    <w:basedOn w:val="DefaultParagraphFont"/>
    <w:link w:val="Heading3"/>
    <w:uiPriority w:val="9"/>
    <w:semiHidden/>
    <w:rsid w:val="00396CFB"/>
    <w:rPr>
      <w:rFonts w:asciiTheme="majorHAnsi" w:eastAsiaTheme="majorEastAsia" w:hAnsiTheme="majorHAnsi" w:cstheme="majorBidi"/>
      <w:b/>
      <w:bCs/>
      <w:color w:val="0072BC" w:themeColor="accent1"/>
    </w:rPr>
  </w:style>
  <w:style w:type="paragraph" w:customStyle="1" w:styleId="TableText">
    <w:name w:val="TableText"/>
    <w:basedOn w:val="BodyText"/>
    <w:link w:val="TableTextChar"/>
    <w:uiPriority w:val="10"/>
    <w:qFormat/>
    <w:rsid w:val="008E2432"/>
    <w:pPr>
      <w:spacing w:before="60" w:after="60"/>
    </w:pPr>
    <w:rPr>
      <w:sz w:val="16"/>
    </w:rPr>
  </w:style>
  <w:style w:type="paragraph" w:customStyle="1" w:styleId="TableTextRight">
    <w:name w:val="Table Text Right"/>
    <w:basedOn w:val="TableText"/>
    <w:uiPriority w:val="11"/>
    <w:qFormat/>
    <w:rsid w:val="008E2432"/>
    <w:pPr>
      <w:jc w:val="right"/>
    </w:pPr>
  </w:style>
  <w:style w:type="paragraph" w:customStyle="1" w:styleId="TableTextHeading">
    <w:name w:val="TableText Heading"/>
    <w:basedOn w:val="BodyText"/>
    <w:next w:val="TableText"/>
    <w:uiPriority w:val="9"/>
    <w:qFormat/>
    <w:rsid w:val="008E2432"/>
    <w:pPr>
      <w:spacing w:before="60" w:after="60"/>
    </w:pPr>
    <w:rPr>
      <w:rFonts w:asciiTheme="majorHAnsi" w:hAnsiTheme="majorHAnsi"/>
      <w:b/>
      <w:caps/>
      <w:color w:val="FFFFFF" w:themeColor="background1"/>
    </w:rPr>
  </w:style>
  <w:style w:type="paragraph" w:customStyle="1" w:styleId="TableTextHeadingRight">
    <w:name w:val="TableText Heading Right"/>
    <w:basedOn w:val="TableTextHeading"/>
    <w:next w:val="TableText"/>
    <w:uiPriority w:val="9"/>
    <w:qFormat/>
    <w:rsid w:val="008E2432"/>
    <w:pPr>
      <w:jc w:val="right"/>
    </w:pPr>
  </w:style>
  <w:style w:type="table" w:customStyle="1" w:styleId="MediaMonitors1">
    <w:name w:val="MediaMonitors1"/>
    <w:basedOn w:val="TableNormal"/>
    <w:rsid w:val="008E2432"/>
    <w:rPr>
      <w:rFonts w:eastAsiaTheme="minorEastAsia"/>
      <w:lang w:eastAsia="en-AU"/>
    </w:rPr>
    <w:tblPr>
      <w:tblStyleRowBandSize w:val="1"/>
      <w:tblStyleColBandSize w:val="1"/>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cPr>
      <w:shd w:val="clear" w:color="auto" w:fill="auto"/>
      <w:tcMar>
        <w:top w:w="0" w:type="dxa"/>
        <w:left w:w="108" w:type="dxa"/>
        <w:bottom w:w="0" w:type="dxa"/>
        <w:right w:w="108" w:type="dxa"/>
      </w:tcMar>
    </w:tcPr>
    <w:tblStylePr w:type="firstRow">
      <w:rPr>
        <w:color w:val="FFFFFF" w:themeColor="background1"/>
      </w:rPr>
      <w:tblPr/>
      <w:tcPr>
        <w:shd w:val="clear" w:color="auto" w:fill="4A5C66" w:themeFill="text2"/>
      </w:tcPr>
    </w:tblStylePr>
    <w:tblStylePr w:type="lastRow">
      <w:rPr>
        <w:color w:val="FFFFFF" w:themeColor="background1"/>
      </w:rPr>
      <w:tblPr/>
      <w:tcPr>
        <w:shd w:val="clear" w:color="auto" w:fill="8A9FAA" w:themeFill="text2" w:themeFillTint="99"/>
      </w:tcPr>
    </w:tblStylePr>
    <w:tblStylePr w:type="firstCol">
      <w:tblPr/>
      <w:tcPr>
        <w:shd w:val="clear" w:color="auto" w:fill="8A9FAA" w:themeFill="text2" w:themeFillTint="99"/>
      </w:tcPr>
    </w:tblStylePr>
    <w:tblStylePr w:type="lastCol">
      <w:tblPr/>
      <w:tcPr>
        <w:shd w:val="clear" w:color="auto" w:fill="8A9FAA" w:themeFill="text2" w:themeFillTint="99"/>
      </w:tcPr>
    </w:tblStylePr>
    <w:tblStylePr w:type="band1Vert">
      <w:tblPr/>
      <w:tcPr>
        <w:tcBorders>
          <w:top w:val="single" w:sz="4" w:space="0" w:color="C8C8C8"/>
          <w:left w:val="single" w:sz="4" w:space="0" w:color="C8C8C8"/>
          <w:bottom w:val="single" w:sz="4" w:space="0" w:color="C8C8C8"/>
          <w:right w:val="single" w:sz="4" w:space="0" w:color="C8C8C8"/>
          <w:insideH w:val="nil"/>
          <w:insideV w:val="nil"/>
        </w:tcBorders>
        <w:shd w:val="clear" w:color="auto" w:fill="D8DEE2" w:themeFill="text2" w:themeFillTint="33"/>
      </w:tcPr>
    </w:tblStylePr>
    <w:tblStylePr w:type="band1Horz">
      <w:tblPr/>
      <w:tcPr>
        <w:tcBorders>
          <w:top w:val="single" w:sz="4" w:space="0" w:color="C8C8C8"/>
          <w:left w:val="single" w:sz="4" w:space="0" w:color="C8C8C8"/>
          <w:bottom w:val="single" w:sz="4" w:space="0" w:color="C8C8C8"/>
          <w:right w:val="single" w:sz="4" w:space="0" w:color="C8C8C8"/>
          <w:insideH w:val="nil"/>
          <w:insideV w:val="nil"/>
        </w:tcBorders>
        <w:shd w:val="clear" w:color="auto" w:fill="D8DEE2" w:themeFill="text2" w:themeFillTint="33"/>
      </w:tcPr>
    </w:tblStylePr>
  </w:style>
  <w:style w:type="paragraph" w:styleId="Caption">
    <w:name w:val="caption"/>
    <w:basedOn w:val="Normal"/>
    <w:next w:val="Figure"/>
    <w:uiPriority w:val="4"/>
    <w:qFormat/>
    <w:rsid w:val="008E2432"/>
    <w:pPr>
      <w:keepNext/>
      <w:spacing w:before="60" w:after="0" w:line="240" w:lineRule="auto"/>
    </w:pPr>
    <w:rPr>
      <w:rFonts w:asciiTheme="majorHAnsi" w:eastAsiaTheme="minorEastAsia" w:hAnsiTheme="majorHAnsi"/>
      <w:b/>
      <w:bCs/>
      <w:color w:val="8A9FAA" w:themeColor="text2" w:themeTint="99"/>
      <w:kern w:val="20"/>
      <w:sz w:val="21"/>
      <w:szCs w:val="18"/>
      <w:lang w:eastAsia="en-AU"/>
    </w:rPr>
  </w:style>
  <w:style w:type="character" w:customStyle="1" w:styleId="TableTextChar">
    <w:name w:val="TableText Char"/>
    <w:basedOn w:val="DefaultParagraphFont"/>
    <w:link w:val="TableText"/>
    <w:uiPriority w:val="10"/>
    <w:rsid w:val="008E2432"/>
    <w:rPr>
      <w:rFonts w:eastAsiaTheme="minorEastAsia"/>
      <w:kern w:val="22"/>
      <w:sz w:val="16"/>
      <w:lang w:eastAsia="en-AU"/>
    </w:rPr>
  </w:style>
  <w:style w:type="character" w:styleId="IntenseEmphasis">
    <w:name w:val="Intense Emphasis"/>
    <w:basedOn w:val="DefaultParagraphFont"/>
    <w:uiPriority w:val="98"/>
    <w:qFormat/>
    <w:rsid w:val="000C48A1"/>
    <w:rPr>
      <w:rFonts w:asciiTheme="minorHAnsi" w:hAnsiTheme="minorHAnsi"/>
      <w:b/>
      <w:bCs/>
      <w:i/>
      <w:iCs/>
      <w:caps w:val="0"/>
      <w:smallCaps w:val="0"/>
      <w:strike w:val="0"/>
      <w:dstrike w:val="0"/>
      <w:vanish w:val="0"/>
      <w:color w:val="0072BC" w:themeColor="accent1"/>
      <w:spacing w:val="0"/>
      <w:w w:val="100"/>
      <w:kern w:val="2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pecialNoteText">
    <w:name w:val="Special Note Text"/>
    <w:basedOn w:val="Normal"/>
    <w:link w:val="SpecialNoteTextChar"/>
    <w:uiPriority w:val="17"/>
    <w:qFormat/>
    <w:rsid w:val="000C48A1"/>
    <w:pPr>
      <w:keepLines/>
      <w:spacing w:before="80" w:after="60" w:line="240" w:lineRule="exact"/>
    </w:pPr>
    <w:rPr>
      <w:rFonts w:asciiTheme="majorHAnsi" w:eastAsiaTheme="minorEastAsia" w:hAnsiTheme="majorHAnsi"/>
      <w:b/>
      <w:caps/>
      <w:color w:val="4A5C66" w:themeColor="text2"/>
      <w:sz w:val="19"/>
      <w:lang w:eastAsia="en-AU"/>
    </w:rPr>
  </w:style>
  <w:style w:type="character" w:customStyle="1" w:styleId="SpecialNoteTextChar">
    <w:name w:val="Special Note Text Char"/>
    <w:basedOn w:val="DefaultParagraphFont"/>
    <w:link w:val="SpecialNoteText"/>
    <w:uiPriority w:val="17"/>
    <w:rsid w:val="000C48A1"/>
    <w:rPr>
      <w:rFonts w:asciiTheme="majorHAnsi" w:eastAsiaTheme="minorEastAsia" w:hAnsiTheme="majorHAnsi"/>
      <w:b/>
      <w:caps/>
      <w:color w:val="4A5C66" w:themeColor="text2"/>
      <w:sz w:val="19"/>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0"/>
    <w:lsdException w:name="footer" w:uiPriority="80"/>
    <w:lsdException w:name="caption" w:uiPriority="4" w:qFormat="1"/>
    <w:lsdException w:name="List Bullet" w:uiPriority="2" w:qFormat="1"/>
    <w:lsdException w:name="List Bullet 2" w:uiPriority="2"/>
    <w:lsdException w:name="List Bullet 3" w:uiPriority="2"/>
    <w:lsdException w:name="List Bullet 4" w:uiPriority="2"/>
    <w:lsdException w:name="List Bullet 5" w:uiPriority="2"/>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8"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89" w:qFormat="1"/>
  </w:latentStyles>
  <w:style w:type="paragraph" w:default="1" w:styleId="Normal">
    <w:name w:val="Normal"/>
  </w:style>
  <w:style w:type="paragraph" w:styleId="Heading1">
    <w:name w:val="heading 1"/>
    <w:basedOn w:val="Normal"/>
    <w:next w:val="Normal"/>
    <w:link w:val="Heading1Char"/>
    <w:uiPriority w:val="9"/>
    <w:qFormat/>
    <w:rsid w:val="00396CFB"/>
    <w:pPr>
      <w:keepNext/>
      <w:keepLines/>
      <w:pBdr>
        <w:bottom w:val="single" w:sz="18" w:space="1" w:color="0072BC" w:themeColor="accent1"/>
      </w:pBdr>
      <w:tabs>
        <w:tab w:val="left" w:pos="-27009"/>
      </w:tabs>
      <w:spacing w:before="120" w:after="360"/>
      <w:ind w:right="57"/>
      <w:outlineLvl w:val="0"/>
    </w:pPr>
    <w:rPr>
      <w:rFonts w:asciiTheme="majorHAnsi" w:eastAsiaTheme="majorEastAsia" w:hAnsiTheme="majorHAnsi" w:cstheme="majorBidi"/>
      <w:b/>
      <w:bCs/>
      <w:color w:val="003765" w:themeColor="accent2" w:themeShade="BF"/>
      <w:sz w:val="38"/>
      <w:szCs w:val="38"/>
    </w:rPr>
  </w:style>
  <w:style w:type="paragraph" w:styleId="Heading2">
    <w:name w:val="heading 2"/>
    <w:basedOn w:val="Normal"/>
    <w:next w:val="Normal"/>
    <w:link w:val="Heading2Char"/>
    <w:uiPriority w:val="9"/>
    <w:unhideWhenUsed/>
    <w:qFormat/>
    <w:rsid w:val="000C48A1"/>
    <w:pPr>
      <w:keepNext/>
      <w:keepLines/>
      <w:spacing w:before="200" w:after="0"/>
      <w:outlineLvl w:val="1"/>
    </w:pPr>
    <w:rPr>
      <w:rFonts w:asciiTheme="majorHAnsi" w:eastAsiaTheme="majorEastAsia" w:hAnsiTheme="majorHAnsi" w:cstheme="majorBidi"/>
      <w:b/>
      <w:bCs/>
      <w:color w:val="0072BC" w:themeColor="accent1"/>
      <w:sz w:val="26"/>
      <w:szCs w:val="26"/>
    </w:rPr>
  </w:style>
  <w:style w:type="paragraph" w:styleId="Heading3">
    <w:name w:val="heading 3"/>
    <w:basedOn w:val="Normal"/>
    <w:next w:val="Normal"/>
    <w:link w:val="Heading3Char"/>
    <w:uiPriority w:val="9"/>
    <w:semiHidden/>
    <w:unhideWhenUsed/>
    <w:qFormat/>
    <w:rsid w:val="00396CFB"/>
    <w:pPr>
      <w:keepNext/>
      <w:keepLines/>
      <w:spacing w:before="200" w:after="0"/>
      <w:outlineLvl w:val="2"/>
    </w:pPr>
    <w:rPr>
      <w:rFonts w:asciiTheme="majorHAnsi" w:eastAsiaTheme="majorEastAsia" w:hAnsiTheme="majorHAnsi" w:cstheme="majorBidi"/>
      <w:b/>
      <w:bCs/>
      <w:color w:val="0072B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51E01"/>
    <w:pPr>
      <w:spacing w:after="120" w:line="230" w:lineRule="exact"/>
    </w:pPr>
    <w:rPr>
      <w:rFonts w:eastAsiaTheme="minorEastAsia"/>
      <w:kern w:val="22"/>
      <w:sz w:val="19"/>
      <w:lang w:eastAsia="en-AU"/>
    </w:rPr>
  </w:style>
  <w:style w:type="character" w:customStyle="1" w:styleId="BodyTextChar">
    <w:name w:val="Body Text Char"/>
    <w:basedOn w:val="DefaultParagraphFont"/>
    <w:link w:val="BodyText"/>
    <w:uiPriority w:val="1"/>
    <w:rsid w:val="00051E01"/>
    <w:rPr>
      <w:rFonts w:eastAsiaTheme="minorEastAsia"/>
      <w:kern w:val="22"/>
      <w:sz w:val="19"/>
      <w:lang w:eastAsia="en-AU"/>
    </w:rPr>
  </w:style>
  <w:style w:type="paragraph" w:customStyle="1" w:styleId="360mCoverSubject">
    <w:name w:val="360m Cover_Subject"/>
    <w:basedOn w:val="Normal"/>
    <w:next w:val="BodyText"/>
    <w:uiPriority w:val="99"/>
    <w:rsid w:val="00051E01"/>
    <w:pPr>
      <w:spacing w:before="240" w:after="0" w:line="240" w:lineRule="auto"/>
      <w:ind w:right="3402"/>
    </w:pPr>
    <w:rPr>
      <w:rFonts w:asciiTheme="majorHAnsi" w:eastAsiaTheme="minorEastAsia" w:hAnsiTheme="majorHAnsi"/>
      <w:b/>
      <w:caps/>
      <w:color w:val="4A5C66" w:themeColor="text2"/>
      <w:sz w:val="56"/>
      <w:lang w:eastAsia="en-AU"/>
    </w:rPr>
  </w:style>
  <w:style w:type="paragraph" w:customStyle="1" w:styleId="360mTitle">
    <w:name w:val="360m Title"/>
    <w:basedOn w:val="Title"/>
    <w:next w:val="BodyText"/>
    <w:uiPriority w:val="99"/>
    <w:rsid w:val="00051E01"/>
    <w:pPr>
      <w:pBdr>
        <w:bottom w:val="none" w:sz="0" w:space="0" w:color="auto"/>
      </w:pBdr>
      <w:spacing w:after="120" w:line="360" w:lineRule="auto"/>
      <w:ind w:left="-142"/>
      <w:contextualSpacing w:val="0"/>
    </w:pPr>
    <w:rPr>
      <w:rFonts w:eastAsiaTheme="minorEastAsia" w:cstheme="minorBidi"/>
      <w:b/>
      <w:color w:val="4A5C66" w:themeColor="text2"/>
      <w:spacing w:val="0"/>
      <w:kern w:val="22"/>
      <w:sz w:val="30"/>
      <w:szCs w:val="32"/>
      <w:lang w:eastAsia="en-AU"/>
    </w:rPr>
  </w:style>
  <w:style w:type="paragraph" w:customStyle="1" w:styleId="360mCoverClientName">
    <w:name w:val="360m Cover_ClientName"/>
    <w:basedOn w:val="Normal"/>
    <w:next w:val="BodyText"/>
    <w:uiPriority w:val="99"/>
    <w:rsid w:val="00051E01"/>
    <w:pPr>
      <w:spacing w:after="120" w:line="360" w:lineRule="auto"/>
      <w:ind w:left="-142" w:right="3402"/>
    </w:pPr>
    <w:rPr>
      <w:rFonts w:asciiTheme="majorHAnsi" w:eastAsiaTheme="minorEastAsia" w:hAnsiTheme="majorHAnsi"/>
      <w:b/>
      <w:color w:val="4A5C66" w:themeColor="text2"/>
      <w:sz w:val="30"/>
      <w:lang w:eastAsia="en-AU"/>
    </w:rPr>
  </w:style>
  <w:style w:type="paragraph" w:styleId="Title">
    <w:name w:val="Title"/>
    <w:basedOn w:val="Normal"/>
    <w:next w:val="Normal"/>
    <w:link w:val="TitleChar"/>
    <w:uiPriority w:val="10"/>
    <w:rsid w:val="00051E01"/>
    <w:pPr>
      <w:pBdr>
        <w:bottom w:val="single" w:sz="8" w:space="4" w:color="0072BC" w:themeColor="accent1"/>
      </w:pBdr>
      <w:spacing w:after="300" w:line="240" w:lineRule="auto"/>
      <w:contextualSpacing/>
    </w:pPr>
    <w:rPr>
      <w:rFonts w:asciiTheme="majorHAnsi" w:eastAsiaTheme="majorEastAsia" w:hAnsiTheme="majorHAnsi" w:cstheme="majorBidi"/>
      <w:color w:val="37444C" w:themeColor="text2" w:themeShade="BF"/>
      <w:spacing w:val="5"/>
      <w:kern w:val="28"/>
      <w:sz w:val="52"/>
      <w:szCs w:val="52"/>
    </w:rPr>
  </w:style>
  <w:style w:type="character" w:customStyle="1" w:styleId="TitleChar">
    <w:name w:val="Title Char"/>
    <w:basedOn w:val="DefaultParagraphFont"/>
    <w:link w:val="Title"/>
    <w:uiPriority w:val="10"/>
    <w:rsid w:val="00051E01"/>
    <w:rPr>
      <w:rFonts w:asciiTheme="majorHAnsi" w:eastAsiaTheme="majorEastAsia" w:hAnsiTheme="majorHAnsi" w:cstheme="majorBidi"/>
      <w:color w:val="37444C" w:themeColor="text2" w:themeShade="BF"/>
      <w:spacing w:val="5"/>
      <w:kern w:val="28"/>
      <w:sz w:val="52"/>
      <w:szCs w:val="52"/>
    </w:rPr>
  </w:style>
  <w:style w:type="paragraph" w:styleId="TOC1">
    <w:name w:val="toc 1"/>
    <w:basedOn w:val="Normal"/>
    <w:uiPriority w:val="39"/>
    <w:rsid w:val="00051E01"/>
    <w:pPr>
      <w:keepNext/>
      <w:keepLines/>
      <w:spacing w:before="40" w:after="40" w:line="280" w:lineRule="exact"/>
      <w:ind w:right="283"/>
    </w:pPr>
    <w:rPr>
      <w:rFonts w:eastAsiaTheme="minorEastAsia"/>
      <w:kern w:val="20"/>
      <w:lang w:eastAsia="en-AU"/>
    </w:rPr>
  </w:style>
  <w:style w:type="paragraph" w:styleId="TOC2">
    <w:name w:val="toc 2"/>
    <w:basedOn w:val="TOC1"/>
    <w:uiPriority w:val="39"/>
    <w:rsid w:val="00051E01"/>
    <w:pPr>
      <w:keepNext w:val="0"/>
      <w:spacing w:after="100"/>
      <w:ind w:firstLine="283"/>
    </w:pPr>
  </w:style>
  <w:style w:type="character" w:customStyle="1" w:styleId="Heading1Char">
    <w:name w:val="Heading 1 Char"/>
    <w:basedOn w:val="DefaultParagraphFont"/>
    <w:link w:val="Heading1"/>
    <w:uiPriority w:val="9"/>
    <w:rsid w:val="00396CFB"/>
    <w:rPr>
      <w:rFonts w:asciiTheme="majorHAnsi" w:eastAsiaTheme="majorEastAsia" w:hAnsiTheme="majorHAnsi" w:cstheme="majorBidi"/>
      <w:b/>
      <w:bCs/>
      <w:color w:val="003765" w:themeColor="accent2" w:themeShade="BF"/>
      <w:sz w:val="38"/>
      <w:szCs w:val="38"/>
    </w:rPr>
  </w:style>
  <w:style w:type="paragraph" w:styleId="TOCHeading">
    <w:name w:val="TOC Heading"/>
    <w:basedOn w:val="Normal"/>
    <w:next w:val="BodyText"/>
    <w:uiPriority w:val="89"/>
    <w:unhideWhenUsed/>
    <w:qFormat/>
    <w:rsid w:val="00051E01"/>
    <w:pPr>
      <w:keepNext/>
      <w:keepLines/>
      <w:pageBreakBefore/>
      <w:spacing w:before="400" w:after="340" w:line="720" w:lineRule="exact"/>
    </w:pPr>
    <w:rPr>
      <w:rFonts w:asciiTheme="majorHAnsi" w:eastAsiaTheme="minorEastAsia" w:hAnsiTheme="majorHAnsi"/>
      <w:b/>
      <w:color w:val="0072BC" w:themeColor="accent1"/>
      <w:kern w:val="20"/>
      <w:sz w:val="68"/>
      <w:lang w:eastAsia="en-AU"/>
    </w:rPr>
  </w:style>
  <w:style w:type="paragraph" w:styleId="BalloonText">
    <w:name w:val="Balloon Text"/>
    <w:basedOn w:val="Normal"/>
    <w:link w:val="BalloonTextChar"/>
    <w:uiPriority w:val="99"/>
    <w:semiHidden/>
    <w:unhideWhenUsed/>
    <w:rsid w:val="00051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E01"/>
    <w:rPr>
      <w:rFonts w:ascii="Tahoma" w:hAnsi="Tahoma" w:cs="Tahoma"/>
      <w:sz w:val="16"/>
      <w:szCs w:val="16"/>
    </w:rPr>
  </w:style>
  <w:style w:type="paragraph" w:customStyle="1" w:styleId="Disclaimer">
    <w:name w:val="Disclaimer"/>
    <w:basedOn w:val="BodyText"/>
    <w:uiPriority w:val="99"/>
    <w:rsid w:val="00051E01"/>
    <w:pPr>
      <w:spacing w:line="180" w:lineRule="exact"/>
    </w:pPr>
    <w:rPr>
      <w:sz w:val="15"/>
    </w:rPr>
  </w:style>
  <w:style w:type="paragraph" w:customStyle="1" w:styleId="PartIntro">
    <w:name w:val="Part Intro"/>
    <w:basedOn w:val="BodyText"/>
    <w:next w:val="BodyText"/>
    <w:link w:val="PartIntroChar"/>
    <w:qFormat/>
    <w:rsid w:val="00051E01"/>
    <w:pPr>
      <w:keepNext/>
      <w:keepLines/>
      <w:spacing w:after="460" w:line="480" w:lineRule="exact"/>
    </w:pPr>
    <w:rPr>
      <w:sz w:val="28"/>
    </w:rPr>
  </w:style>
  <w:style w:type="paragraph" w:customStyle="1" w:styleId="Figure">
    <w:name w:val="Figure"/>
    <w:basedOn w:val="Normal"/>
    <w:next w:val="BodyText"/>
    <w:uiPriority w:val="5"/>
    <w:qFormat/>
    <w:rsid w:val="00051E01"/>
    <w:pPr>
      <w:spacing w:after="0"/>
    </w:pPr>
    <w:rPr>
      <w:rFonts w:eastAsiaTheme="minorEastAsia"/>
      <w:kern w:val="20"/>
      <w:sz w:val="21"/>
      <w:lang w:eastAsia="en-AU"/>
    </w:rPr>
  </w:style>
  <w:style w:type="numbering" w:customStyle="1" w:styleId="ListBullets">
    <w:name w:val="ListBullets"/>
    <w:basedOn w:val="NoList"/>
    <w:uiPriority w:val="99"/>
    <w:rsid w:val="00051E01"/>
    <w:pPr>
      <w:numPr>
        <w:numId w:val="1"/>
      </w:numPr>
    </w:pPr>
  </w:style>
  <w:style w:type="paragraph" w:styleId="ListBullet">
    <w:name w:val="List Bullet"/>
    <w:aliases w:val="List Bullet 360"/>
    <w:basedOn w:val="BodyText"/>
    <w:uiPriority w:val="2"/>
    <w:qFormat/>
    <w:rsid w:val="00051E01"/>
    <w:pPr>
      <w:numPr>
        <w:numId w:val="1"/>
      </w:numPr>
    </w:pPr>
  </w:style>
  <w:style w:type="paragraph" w:styleId="ListBullet2">
    <w:name w:val="List Bullet 2"/>
    <w:basedOn w:val="ListBullet"/>
    <w:uiPriority w:val="2"/>
    <w:unhideWhenUsed/>
    <w:rsid w:val="00051E01"/>
    <w:pPr>
      <w:numPr>
        <w:ilvl w:val="1"/>
      </w:numPr>
    </w:pPr>
  </w:style>
  <w:style w:type="paragraph" w:styleId="ListBullet3">
    <w:name w:val="List Bullet 3"/>
    <w:basedOn w:val="ListBullet2"/>
    <w:uiPriority w:val="2"/>
    <w:unhideWhenUsed/>
    <w:rsid w:val="00051E01"/>
    <w:pPr>
      <w:numPr>
        <w:ilvl w:val="2"/>
      </w:numPr>
    </w:pPr>
  </w:style>
  <w:style w:type="paragraph" w:styleId="ListBullet4">
    <w:name w:val="List Bullet 4"/>
    <w:basedOn w:val="ListBullet3"/>
    <w:uiPriority w:val="2"/>
    <w:unhideWhenUsed/>
    <w:rsid w:val="00051E01"/>
    <w:pPr>
      <w:numPr>
        <w:ilvl w:val="3"/>
      </w:numPr>
    </w:pPr>
  </w:style>
  <w:style w:type="paragraph" w:styleId="ListBullet5">
    <w:name w:val="List Bullet 5"/>
    <w:basedOn w:val="ListBullet4"/>
    <w:uiPriority w:val="2"/>
    <w:unhideWhenUsed/>
    <w:rsid w:val="00051E01"/>
    <w:pPr>
      <w:numPr>
        <w:ilvl w:val="4"/>
      </w:numPr>
    </w:pPr>
  </w:style>
  <w:style w:type="paragraph" w:styleId="Footer">
    <w:name w:val="footer"/>
    <w:basedOn w:val="Normal"/>
    <w:link w:val="FooterChar"/>
    <w:uiPriority w:val="80"/>
    <w:unhideWhenUsed/>
    <w:rsid w:val="00051E01"/>
    <w:pPr>
      <w:tabs>
        <w:tab w:val="center" w:pos="8419"/>
        <w:tab w:val="right" w:pos="14343"/>
      </w:tabs>
      <w:spacing w:after="0" w:line="240" w:lineRule="auto"/>
    </w:pPr>
    <w:rPr>
      <w:rFonts w:asciiTheme="majorHAnsi" w:eastAsiaTheme="minorEastAsia" w:hAnsiTheme="majorHAnsi"/>
      <w:b/>
      <w:caps/>
      <w:color w:val="ACACAC" w:themeColor="background2" w:themeShade="BF"/>
      <w:kern w:val="20"/>
      <w:sz w:val="15"/>
      <w:lang w:eastAsia="en-AU"/>
    </w:rPr>
  </w:style>
  <w:style w:type="character" w:customStyle="1" w:styleId="FooterChar">
    <w:name w:val="Footer Char"/>
    <w:basedOn w:val="DefaultParagraphFont"/>
    <w:link w:val="Footer"/>
    <w:uiPriority w:val="80"/>
    <w:rsid w:val="00051E01"/>
    <w:rPr>
      <w:rFonts w:asciiTheme="majorHAnsi" w:eastAsiaTheme="minorEastAsia" w:hAnsiTheme="majorHAnsi"/>
      <w:b/>
      <w:caps/>
      <w:color w:val="ACACAC" w:themeColor="background2" w:themeShade="BF"/>
      <w:kern w:val="20"/>
      <w:sz w:val="15"/>
      <w:lang w:eastAsia="en-AU"/>
    </w:rPr>
  </w:style>
  <w:style w:type="paragraph" w:styleId="Header">
    <w:name w:val="header"/>
    <w:basedOn w:val="Normal"/>
    <w:link w:val="HeaderChar"/>
    <w:uiPriority w:val="90"/>
    <w:unhideWhenUsed/>
    <w:rsid w:val="00051E01"/>
    <w:pPr>
      <w:tabs>
        <w:tab w:val="center" w:pos="8419"/>
        <w:tab w:val="right" w:pos="14343"/>
      </w:tabs>
      <w:spacing w:after="0" w:line="240" w:lineRule="auto"/>
    </w:pPr>
    <w:rPr>
      <w:rFonts w:eastAsiaTheme="minorEastAsia"/>
      <w:kern w:val="20"/>
      <w:sz w:val="16"/>
      <w:lang w:eastAsia="en-AU"/>
    </w:rPr>
  </w:style>
  <w:style w:type="character" w:customStyle="1" w:styleId="HeaderChar">
    <w:name w:val="Header Char"/>
    <w:basedOn w:val="DefaultParagraphFont"/>
    <w:link w:val="Header"/>
    <w:uiPriority w:val="90"/>
    <w:rsid w:val="00051E01"/>
    <w:rPr>
      <w:rFonts w:eastAsiaTheme="minorEastAsia"/>
      <w:kern w:val="20"/>
      <w:sz w:val="16"/>
      <w:lang w:eastAsia="en-AU"/>
    </w:rPr>
  </w:style>
  <w:style w:type="character" w:customStyle="1" w:styleId="PartIntroChar">
    <w:name w:val="Part Intro Char"/>
    <w:basedOn w:val="DefaultParagraphFont"/>
    <w:link w:val="PartIntro"/>
    <w:rsid w:val="00051E01"/>
    <w:rPr>
      <w:rFonts w:eastAsiaTheme="minorEastAsia"/>
      <w:kern w:val="22"/>
      <w:sz w:val="28"/>
      <w:lang w:eastAsia="en-AU"/>
    </w:rPr>
  </w:style>
  <w:style w:type="character" w:customStyle="1" w:styleId="Heading2Char">
    <w:name w:val="Heading 2 Char"/>
    <w:basedOn w:val="DefaultParagraphFont"/>
    <w:link w:val="Heading2"/>
    <w:uiPriority w:val="9"/>
    <w:rsid w:val="000C48A1"/>
    <w:rPr>
      <w:rFonts w:asciiTheme="majorHAnsi" w:eastAsiaTheme="majorEastAsia" w:hAnsiTheme="majorHAnsi" w:cstheme="majorBidi"/>
      <w:b/>
      <w:bCs/>
      <w:color w:val="0072BC" w:themeColor="accent1"/>
      <w:sz w:val="26"/>
      <w:szCs w:val="26"/>
    </w:rPr>
  </w:style>
  <w:style w:type="character" w:customStyle="1" w:styleId="Heading3Char">
    <w:name w:val="Heading 3 Char"/>
    <w:basedOn w:val="DefaultParagraphFont"/>
    <w:link w:val="Heading3"/>
    <w:uiPriority w:val="9"/>
    <w:semiHidden/>
    <w:rsid w:val="00396CFB"/>
    <w:rPr>
      <w:rFonts w:asciiTheme="majorHAnsi" w:eastAsiaTheme="majorEastAsia" w:hAnsiTheme="majorHAnsi" w:cstheme="majorBidi"/>
      <w:b/>
      <w:bCs/>
      <w:color w:val="0072BC" w:themeColor="accent1"/>
    </w:rPr>
  </w:style>
  <w:style w:type="paragraph" w:customStyle="1" w:styleId="TableText">
    <w:name w:val="TableText"/>
    <w:basedOn w:val="BodyText"/>
    <w:link w:val="TableTextChar"/>
    <w:uiPriority w:val="10"/>
    <w:qFormat/>
    <w:rsid w:val="008E2432"/>
    <w:pPr>
      <w:spacing w:before="60" w:after="60"/>
    </w:pPr>
    <w:rPr>
      <w:sz w:val="16"/>
    </w:rPr>
  </w:style>
  <w:style w:type="paragraph" w:customStyle="1" w:styleId="TableTextRight">
    <w:name w:val="Table Text Right"/>
    <w:basedOn w:val="TableText"/>
    <w:uiPriority w:val="11"/>
    <w:qFormat/>
    <w:rsid w:val="008E2432"/>
    <w:pPr>
      <w:jc w:val="right"/>
    </w:pPr>
  </w:style>
  <w:style w:type="paragraph" w:customStyle="1" w:styleId="TableTextHeading">
    <w:name w:val="TableText Heading"/>
    <w:basedOn w:val="BodyText"/>
    <w:next w:val="TableText"/>
    <w:uiPriority w:val="9"/>
    <w:qFormat/>
    <w:rsid w:val="008E2432"/>
    <w:pPr>
      <w:spacing w:before="60" w:after="60"/>
    </w:pPr>
    <w:rPr>
      <w:rFonts w:asciiTheme="majorHAnsi" w:hAnsiTheme="majorHAnsi"/>
      <w:b/>
      <w:caps/>
      <w:color w:val="FFFFFF" w:themeColor="background1"/>
    </w:rPr>
  </w:style>
  <w:style w:type="paragraph" w:customStyle="1" w:styleId="TableTextHeadingRight">
    <w:name w:val="TableText Heading Right"/>
    <w:basedOn w:val="TableTextHeading"/>
    <w:next w:val="TableText"/>
    <w:uiPriority w:val="9"/>
    <w:qFormat/>
    <w:rsid w:val="008E2432"/>
    <w:pPr>
      <w:jc w:val="right"/>
    </w:pPr>
  </w:style>
  <w:style w:type="table" w:customStyle="1" w:styleId="MediaMonitors1">
    <w:name w:val="MediaMonitors1"/>
    <w:basedOn w:val="TableNormal"/>
    <w:rsid w:val="008E2432"/>
    <w:rPr>
      <w:rFonts w:eastAsiaTheme="minorEastAsia"/>
      <w:lang w:eastAsia="en-AU"/>
    </w:rPr>
    <w:tblPr>
      <w:tblStyleRowBandSize w:val="1"/>
      <w:tblStyleColBandSize w:val="1"/>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cPr>
      <w:shd w:val="clear" w:color="auto" w:fill="auto"/>
      <w:tcMar>
        <w:top w:w="0" w:type="dxa"/>
        <w:left w:w="108" w:type="dxa"/>
        <w:bottom w:w="0" w:type="dxa"/>
        <w:right w:w="108" w:type="dxa"/>
      </w:tcMar>
    </w:tcPr>
    <w:tblStylePr w:type="firstRow">
      <w:rPr>
        <w:color w:val="FFFFFF" w:themeColor="background1"/>
      </w:rPr>
      <w:tblPr/>
      <w:tcPr>
        <w:shd w:val="clear" w:color="auto" w:fill="4A5C66" w:themeFill="text2"/>
      </w:tcPr>
    </w:tblStylePr>
    <w:tblStylePr w:type="lastRow">
      <w:rPr>
        <w:color w:val="FFFFFF" w:themeColor="background1"/>
      </w:rPr>
      <w:tblPr/>
      <w:tcPr>
        <w:shd w:val="clear" w:color="auto" w:fill="8A9FAA" w:themeFill="text2" w:themeFillTint="99"/>
      </w:tcPr>
    </w:tblStylePr>
    <w:tblStylePr w:type="firstCol">
      <w:tblPr/>
      <w:tcPr>
        <w:shd w:val="clear" w:color="auto" w:fill="8A9FAA" w:themeFill="text2" w:themeFillTint="99"/>
      </w:tcPr>
    </w:tblStylePr>
    <w:tblStylePr w:type="lastCol">
      <w:tblPr/>
      <w:tcPr>
        <w:shd w:val="clear" w:color="auto" w:fill="8A9FAA" w:themeFill="text2" w:themeFillTint="99"/>
      </w:tcPr>
    </w:tblStylePr>
    <w:tblStylePr w:type="band1Vert">
      <w:tblPr/>
      <w:tcPr>
        <w:tcBorders>
          <w:top w:val="single" w:sz="4" w:space="0" w:color="C8C8C8"/>
          <w:left w:val="single" w:sz="4" w:space="0" w:color="C8C8C8"/>
          <w:bottom w:val="single" w:sz="4" w:space="0" w:color="C8C8C8"/>
          <w:right w:val="single" w:sz="4" w:space="0" w:color="C8C8C8"/>
          <w:insideH w:val="nil"/>
          <w:insideV w:val="nil"/>
        </w:tcBorders>
        <w:shd w:val="clear" w:color="auto" w:fill="D8DEE2" w:themeFill="text2" w:themeFillTint="33"/>
      </w:tcPr>
    </w:tblStylePr>
    <w:tblStylePr w:type="band1Horz">
      <w:tblPr/>
      <w:tcPr>
        <w:tcBorders>
          <w:top w:val="single" w:sz="4" w:space="0" w:color="C8C8C8"/>
          <w:left w:val="single" w:sz="4" w:space="0" w:color="C8C8C8"/>
          <w:bottom w:val="single" w:sz="4" w:space="0" w:color="C8C8C8"/>
          <w:right w:val="single" w:sz="4" w:space="0" w:color="C8C8C8"/>
          <w:insideH w:val="nil"/>
          <w:insideV w:val="nil"/>
        </w:tcBorders>
        <w:shd w:val="clear" w:color="auto" w:fill="D8DEE2" w:themeFill="text2" w:themeFillTint="33"/>
      </w:tcPr>
    </w:tblStylePr>
  </w:style>
  <w:style w:type="paragraph" w:styleId="Caption">
    <w:name w:val="caption"/>
    <w:basedOn w:val="Normal"/>
    <w:next w:val="Figure"/>
    <w:uiPriority w:val="4"/>
    <w:qFormat/>
    <w:rsid w:val="008E2432"/>
    <w:pPr>
      <w:keepNext/>
      <w:spacing w:before="60" w:after="0" w:line="240" w:lineRule="auto"/>
    </w:pPr>
    <w:rPr>
      <w:rFonts w:asciiTheme="majorHAnsi" w:eastAsiaTheme="minorEastAsia" w:hAnsiTheme="majorHAnsi"/>
      <w:b/>
      <w:bCs/>
      <w:color w:val="8A9FAA" w:themeColor="text2" w:themeTint="99"/>
      <w:kern w:val="20"/>
      <w:sz w:val="21"/>
      <w:szCs w:val="18"/>
      <w:lang w:eastAsia="en-AU"/>
    </w:rPr>
  </w:style>
  <w:style w:type="character" w:customStyle="1" w:styleId="TableTextChar">
    <w:name w:val="TableText Char"/>
    <w:basedOn w:val="DefaultParagraphFont"/>
    <w:link w:val="TableText"/>
    <w:uiPriority w:val="10"/>
    <w:rsid w:val="008E2432"/>
    <w:rPr>
      <w:rFonts w:eastAsiaTheme="minorEastAsia"/>
      <w:kern w:val="22"/>
      <w:sz w:val="16"/>
      <w:lang w:eastAsia="en-AU"/>
    </w:rPr>
  </w:style>
  <w:style w:type="character" w:styleId="IntenseEmphasis">
    <w:name w:val="Intense Emphasis"/>
    <w:basedOn w:val="DefaultParagraphFont"/>
    <w:uiPriority w:val="98"/>
    <w:qFormat/>
    <w:rsid w:val="000C48A1"/>
    <w:rPr>
      <w:rFonts w:asciiTheme="minorHAnsi" w:hAnsiTheme="minorHAnsi"/>
      <w:b/>
      <w:bCs/>
      <w:i/>
      <w:iCs/>
      <w:caps w:val="0"/>
      <w:smallCaps w:val="0"/>
      <w:strike w:val="0"/>
      <w:dstrike w:val="0"/>
      <w:vanish w:val="0"/>
      <w:color w:val="0072BC" w:themeColor="accent1"/>
      <w:spacing w:val="0"/>
      <w:w w:val="100"/>
      <w:kern w:val="2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pecialNoteText">
    <w:name w:val="Special Note Text"/>
    <w:basedOn w:val="Normal"/>
    <w:link w:val="SpecialNoteTextChar"/>
    <w:uiPriority w:val="17"/>
    <w:qFormat/>
    <w:rsid w:val="000C48A1"/>
    <w:pPr>
      <w:keepLines/>
      <w:spacing w:before="80" w:after="60" w:line="240" w:lineRule="exact"/>
    </w:pPr>
    <w:rPr>
      <w:rFonts w:asciiTheme="majorHAnsi" w:eastAsiaTheme="minorEastAsia" w:hAnsiTheme="majorHAnsi"/>
      <w:b/>
      <w:caps/>
      <w:color w:val="4A5C66" w:themeColor="text2"/>
      <w:sz w:val="19"/>
      <w:lang w:eastAsia="en-AU"/>
    </w:rPr>
  </w:style>
  <w:style w:type="character" w:customStyle="1" w:styleId="SpecialNoteTextChar">
    <w:name w:val="Special Note Text Char"/>
    <w:basedOn w:val="DefaultParagraphFont"/>
    <w:link w:val="SpecialNoteText"/>
    <w:uiPriority w:val="17"/>
    <w:rsid w:val="000C48A1"/>
    <w:rPr>
      <w:rFonts w:asciiTheme="majorHAnsi" w:eastAsiaTheme="minorEastAsia" w:hAnsiTheme="majorHAnsi"/>
      <w:b/>
      <w:caps/>
      <w:color w:val="4A5C66" w:themeColor="text2"/>
      <w:sz w:val="19"/>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image" Target="media/image7.jpg"/><Relationship Id="rId34" Type="http://schemas.openxmlformats.org/officeDocument/2006/relationships/footer" Target="footer4.xml"/><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eader" Target="header4.xml"/><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25.jpg"/><Relationship Id="rId54"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28.jpg"/><Relationship Id="rId52"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jp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theme/theme1.xml><?xml version="1.0" encoding="utf-8"?>
<a:theme xmlns:a="http://schemas.openxmlformats.org/drawingml/2006/main" name="360M">
  <a:themeElements>
    <a:clrScheme name="iSentia">
      <a:dk1>
        <a:sysClr val="windowText" lastClr="000000"/>
      </a:dk1>
      <a:lt1>
        <a:sysClr val="window" lastClr="FFFFFF"/>
      </a:lt1>
      <a:dk2>
        <a:srgbClr val="4A5C66"/>
      </a:dk2>
      <a:lt2>
        <a:srgbClr val="E6E6E6"/>
      </a:lt2>
      <a:accent1>
        <a:srgbClr val="0072BC"/>
      </a:accent1>
      <a:accent2>
        <a:srgbClr val="004B88"/>
      </a:accent2>
      <a:accent3>
        <a:srgbClr val="4C4C4C"/>
      </a:accent3>
      <a:accent4>
        <a:srgbClr val="7A005B"/>
      </a:accent4>
      <a:accent5>
        <a:srgbClr val="D1031C"/>
      </a:accent5>
      <a:accent6>
        <a:srgbClr val="5CB8E4"/>
      </a:accent6>
      <a:hlink>
        <a:srgbClr val="00206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360M">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custClrLst>
    <a:custClr name="FAV">
      <a:srgbClr val="00964B"/>
    </a:custClr>
    <a:custClr name="NEU">
      <a:srgbClr val="D5D5D8"/>
    </a:custClr>
    <a:custClr name="UNFAV">
      <a:srgbClr val="EB1B32"/>
    </a:custClr>
    <a:custClr name="FAV LINE - AUD CIRC LINE">
      <a:srgbClr val="3C3C3C"/>
    </a:custClr>
    <a:custClr name="VOLUME-ONLY CHART (COLUMN OR BAR)">
      <a:srgbClr val="009ADF"/>
    </a:custClr>
    <a:custClr name="FAV COMMENT">
      <a:srgbClr val="A1E690"/>
    </a:custClr>
    <a:custClr name="NEU COMMENT">
      <a:srgbClr val="DCD3BD"/>
    </a:custClr>
    <a:custClr name="UNFAV COMMENT">
      <a:srgbClr val="FFAC31"/>
    </a:custClr>
    <a:custClr name="PRESS or ORIGIN 1 SPONTANEOUS">
      <a:srgbClr val="A0CE5C"/>
    </a:custClr>
    <a:custClr name="RADIO or BROADCAST or ORIGIN 2 MEDIA RELEASE GENERATED">
      <a:srgbClr val="5AD0EE"/>
    </a:custClr>
    <a:custClr name="TELEVISION or ORIGIN 3">
      <a:srgbClr val="A354A0"/>
    </a:custClr>
    <a:custClr name="INTERNET or ORIGIN 4">
      <a:srgbClr val="F09627"/>
    </a:custClr>
    <a:custClr name="SOCIAL MEDIA">
      <a:srgbClr val="E73761"/>
    </a:custClr>
    <a:custClr name="TEXT IN CHARTS">
      <a:srgbClr val="000000"/>
    </a:custClr>
    <a:custClr name="GRIDLINES, AXES, TABLE BORDERS">
      <a:srgbClr val="C8C8C8"/>
    </a:custClr>
    <a:custClr name="BOX BACKGROUND COLOUR FOR 'Key Media People 'What Media Says' etc">
      <a:srgbClr val="CFEEDE"/>
    </a:custClr>
    <a:custClr name="Comp Colour 1">
      <a:srgbClr val="007FAD"/>
    </a:custClr>
    <a:custClr name="Comp Colour 2">
      <a:srgbClr val="74C3ED"/>
    </a:custClr>
    <a:custClr name="Comp Colour 3">
      <a:srgbClr val="A05096"/>
    </a:custClr>
    <a:custClr name="Comp Colour 4">
      <a:srgbClr val="D9EBF2"/>
    </a:custClr>
    <a:custClr name="Comp Colour 5">
      <a:srgbClr val="99C7D8"/>
    </a:custClr>
    <a:custClr name="Comp Colour 6">
      <a:srgbClr val="ACAECD"/>
    </a:custClr>
    <a:custClr name="Comp Colour 7">
      <a:srgbClr val="FAB914"/>
    </a:custClr>
    <a:custClr name="Comp Colour 8">
      <a:srgbClr val="B1BFC7"/>
    </a:custClr>
    <a:custClr name="Comp Colour 9">
      <a:srgbClr val="C0C2DA"/>
    </a:custClr>
    <a:custClr name="Comp Colour 10">
      <a:srgbClr val="8C1E05"/>
    </a:custClr>
    <a:custClr name="Comp Colour 11">
      <a:srgbClr val="D591A0"/>
    </a:custClr>
    <a:custClr name="Comp Colour 12">
      <a:srgbClr val="B52163"/>
    </a:custClr>
    <a:custClr name="Comp Colour 13">
      <a:srgbClr val="C76B85"/>
    </a:custClr>
    <a:custClr name="Comp Colour 14">
      <a:srgbClr val="C6D72D"/>
    </a:custClr>
    <a:custClr name="Comp Colour 15">
      <a:srgbClr val="00637B"/>
    </a:custClr>
    <a:custClr name="Comp Colour 16">
      <a:srgbClr val="CFC3A6"/>
    </a:custClr>
    <a:custClr name="Comp Colour 17">
      <a:srgbClr val="BDAE89"/>
    </a:custClr>
    <a:custClr name="Comp Colour 18">
      <a:srgbClr val="000000"/>
    </a:custClr>
    <a:custClr name="Comp Colour 19">
      <a:srgbClr val="818083"/>
    </a:custClr>
    <a:custClr name="Comp Colour 20">
      <a:srgbClr val="BDBCBF"/>
    </a:custClr>
    <a:custClr name="Comp Colour 21">
      <a:srgbClr val="D6D5D8"/>
    </a:custClr>
    <a:custClr name="Comp Colour 22">
      <a:srgbClr val="E4E5F0"/>
    </a:custClr>
    <a:custClr name="Comp Colour 23">
      <a:srgbClr val="EDF7F2"/>
    </a:custClr>
    <a:custClr name="Comp Colour 24">
      <a:srgbClr val="DCEFE4"/>
    </a:custClr>
    <a:custClr name="Comp Colour 25">
      <a:srgbClr val="EDF7FD"/>
    </a:custClr>
    <a:custClr name="Comp Colour 26">
      <a:srgbClr val="98A5D4"/>
    </a:custClr>
    <a:custClr name="Comp Colour 27">
      <a:srgbClr val="A7A9AC"/>
    </a:custClr>
    <a:custClr name="Comp Colour 28">
      <a:srgbClr val="2E3192"/>
    </a:custClr>
    <a:custClr name="Comp Colour 29">
      <a:srgbClr val="570054"/>
    </a:custClr>
    <a:custClr name="Comp Colour 30">
      <a:srgbClr val="EC008C"/>
    </a:custClr>
    <a:custClr name="Comp Colour 31">
      <a:srgbClr val="916000"/>
    </a:custClr>
    <a:custClr name="Comp Colour 32">
      <a:srgbClr val="968D00"/>
    </a:custClr>
    <a:custClr name="Comp Colour 33">
      <a:srgbClr val="D2AC2B"/>
    </a:custClr>
    <a:custClr name="Comp Colour 34">
      <a:srgbClr val="687232"/>
    </a:custClr>
    <a:custClr name="Comp Colour 35">
      <a:srgbClr val="5F758F"/>
    </a:custClr>
    <a:custClr name="Comp Colour 36">
      <a:srgbClr val="6D605D"/>
    </a:custClr>
    <a:custClr name="Comp Colour 37">
      <a:srgbClr val="A7A539"/>
    </a:custClr>
    <a:custClr name="Comp Colour 38">
      <a:srgbClr val="91642C"/>
    </a:custClr>
    <a:custClr name="Comp Colour 39">
      <a:srgbClr val="FFF200"/>
    </a:custClr>
    <a:custClr name="Comp Colour 40">
      <a:srgbClr val="D2AC2B"/>
    </a:custClr>
    <a:custClr name="Comp Colour 41">
      <a:srgbClr val="C7892F"/>
    </a:custClr>
    <a:custClr name="Comp Colour 42">
      <a:srgbClr val="B6DCAE"/>
    </a:custClr>
    <a:custClr name="Comp Colour 43">
      <a:srgbClr val="F69B90"/>
    </a:custClr>
    <a:custClr name="Comp Colour 44">
      <a:srgbClr val="85ADAE"/>
    </a:custClr>
    <a:custClr name="Comp Colour 45">
      <a:srgbClr val="F479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B71C-D878-480D-B87B-A45CA00E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3822</Words>
  <Characters>21789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2017-12-01T05:51:00Z</dcterms:created>
  <dcterms:modified xsi:type="dcterms:W3CDTF">2017-12-03T23:57:00Z</dcterms:modified>
</cp:coreProperties>
</file>