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50" w:rsidRDefault="00725757" w:rsidP="00725757">
      <w:pPr>
        <w:jc w:val="right"/>
        <w:rPr>
          <w:rFonts w:asciiTheme="minorHAnsi" w:hAnsiTheme="minorHAnsi" w:cstheme="minorHAnsi"/>
          <w:b/>
        </w:rPr>
      </w:pPr>
      <w:bookmarkStart w:id="0" w:name="_GoBack"/>
      <w:bookmarkEnd w:id="0"/>
      <w:r w:rsidRPr="00725757">
        <w:rPr>
          <w:rFonts w:asciiTheme="minorHAnsi" w:hAnsiTheme="minorHAnsi" w:cstheme="minorHAnsi"/>
          <w:b/>
        </w:rPr>
        <w:t>17 September 2020</w:t>
      </w:r>
    </w:p>
    <w:p w:rsidR="00725757" w:rsidRDefault="00E11DF0" w:rsidP="00725757">
      <w:pPr>
        <w:jc w:val="center"/>
        <w:rPr>
          <w:rFonts w:asciiTheme="minorHAnsi" w:hAnsiTheme="minorHAnsi" w:cstheme="minorHAnsi"/>
          <w:b/>
        </w:rPr>
      </w:pPr>
      <w:r w:rsidRPr="00E11DF0">
        <w:rPr>
          <w:rFonts w:asciiTheme="minorHAnsi" w:hAnsiTheme="minorHAnsi" w:cstheme="minorHAnsi"/>
          <w:b/>
        </w:rPr>
        <w:t>DRAFT</w:t>
      </w:r>
      <w:r w:rsidR="00725757">
        <w:rPr>
          <w:rFonts w:asciiTheme="minorHAnsi" w:hAnsiTheme="minorHAnsi" w:cstheme="minorHAnsi"/>
          <w:b/>
        </w:rPr>
        <w:t xml:space="preserve"> Health Star Rating (HSR) Calculator and Style Guide</w:t>
      </w:r>
    </w:p>
    <w:p w:rsidR="00725757" w:rsidRDefault="00725757" w:rsidP="00725757">
      <w:pPr>
        <w:jc w:val="center"/>
        <w:rPr>
          <w:rFonts w:asciiTheme="minorHAnsi" w:hAnsiTheme="minorHAnsi" w:cstheme="minorHAnsi"/>
          <w:b/>
        </w:rPr>
      </w:pPr>
      <w:r>
        <w:rPr>
          <w:rFonts w:asciiTheme="minorHAnsi" w:hAnsiTheme="minorHAnsi" w:cstheme="minorHAnsi"/>
          <w:b/>
        </w:rPr>
        <w:t>Stakeholder engagement – call for comments</w:t>
      </w:r>
    </w:p>
    <w:p w:rsidR="00725757" w:rsidRDefault="00725757" w:rsidP="00725757">
      <w:pPr>
        <w:rPr>
          <w:rFonts w:asciiTheme="minorHAnsi" w:hAnsiTheme="minorHAnsi" w:cstheme="minorHAnsi"/>
        </w:rPr>
      </w:pPr>
      <w:r>
        <w:rPr>
          <w:rFonts w:asciiTheme="minorHAnsi" w:hAnsiTheme="minorHAnsi" w:cstheme="minorHAnsi"/>
        </w:rPr>
        <w:t>Thank you for your interest in the draft HSR Calculator and Style Guide (the draft Guide). This document aims to provide some direction and includes some questions to prompt responses to refine this</w:t>
      </w:r>
      <w:r w:rsidR="003071D7">
        <w:rPr>
          <w:rFonts w:asciiTheme="minorHAnsi" w:hAnsiTheme="minorHAnsi" w:cstheme="minorHAnsi"/>
        </w:rPr>
        <w:t xml:space="preserve"> draft</w:t>
      </w:r>
      <w:r>
        <w:rPr>
          <w:rFonts w:asciiTheme="minorHAnsi" w:hAnsiTheme="minorHAnsi" w:cstheme="minorHAnsi"/>
        </w:rPr>
        <w:t xml:space="preserve"> Guide and ensure it is a valuable resource for applying the HSR system.</w:t>
      </w:r>
    </w:p>
    <w:p w:rsidR="00725757" w:rsidRPr="00725757" w:rsidRDefault="00725757" w:rsidP="00725757">
      <w:pPr>
        <w:rPr>
          <w:rFonts w:asciiTheme="minorHAnsi" w:hAnsiTheme="minorHAnsi" w:cstheme="minorHAnsi"/>
          <w:b/>
        </w:rPr>
      </w:pPr>
      <w:r w:rsidRPr="00725757">
        <w:rPr>
          <w:rFonts w:asciiTheme="minorHAnsi" w:hAnsiTheme="minorHAnsi" w:cstheme="minorHAnsi"/>
          <w:b/>
        </w:rPr>
        <w:t>Glossary and Definitions</w:t>
      </w:r>
    </w:p>
    <w:p w:rsidR="003071D7" w:rsidRDefault="00725757" w:rsidP="00725757">
      <w:pPr>
        <w:pStyle w:val="ListParagraph"/>
        <w:numPr>
          <w:ilvl w:val="0"/>
          <w:numId w:val="1"/>
        </w:numPr>
        <w:rPr>
          <w:rFonts w:asciiTheme="minorHAnsi" w:hAnsiTheme="minorHAnsi" w:cstheme="minorHAnsi"/>
        </w:rPr>
      </w:pPr>
      <w:r>
        <w:rPr>
          <w:rFonts w:asciiTheme="minorHAnsi" w:hAnsiTheme="minorHAnsi" w:cstheme="minorHAnsi"/>
        </w:rPr>
        <w:t xml:space="preserve">Are there any definitions you would like further clarification on? </w:t>
      </w:r>
    </w:p>
    <w:p w:rsidR="00725757" w:rsidRDefault="00725757" w:rsidP="00725757">
      <w:pPr>
        <w:pStyle w:val="ListParagraph"/>
        <w:numPr>
          <w:ilvl w:val="0"/>
          <w:numId w:val="1"/>
        </w:numPr>
        <w:rPr>
          <w:rFonts w:asciiTheme="minorHAnsi" w:hAnsiTheme="minorHAnsi" w:cstheme="minorHAnsi"/>
        </w:rPr>
      </w:pPr>
      <w:r>
        <w:rPr>
          <w:rFonts w:asciiTheme="minorHAnsi" w:hAnsiTheme="minorHAnsi" w:cstheme="minorHAnsi"/>
        </w:rPr>
        <w:t>Are there any additional definitions that you think should be included?</w:t>
      </w:r>
      <w:r w:rsidRPr="00725757">
        <w:rPr>
          <w:rFonts w:asciiTheme="minorHAnsi" w:hAnsiTheme="minorHAnsi" w:cstheme="minorHAnsi"/>
        </w:rPr>
        <w:t xml:space="preserve"> </w:t>
      </w:r>
    </w:p>
    <w:p w:rsidR="00725757" w:rsidRDefault="00725757" w:rsidP="00725757">
      <w:pPr>
        <w:rPr>
          <w:rFonts w:asciiTheme="minorHAnsi" w:hAnsiTheme="minorHAnsi" w:cstheme="minorHAnsi"/>
        </w:rPr>
      </w:pPr>
      <w:r>
        <w:rPr>
          <w:rFonts w:asciiTheme="minorHAnsi" w:hAnsiTheme="minorHAnsi" w:cstheme="minorHAnsi"/>
        </w:rPr>
        <w:lastRenderedPageBreak/>
        <w:t xml:space="preserve">Note: At its meeting on 17 July 2020 the Australia and New Zealand Ministerial Forum on Food Regulation agreed to a definition for unsweetened flavoured water for the purposes of the HSR system, subject to consideration of </w:t>
      </w:r>
      <w:r w:rsidR="003071D7">
        <w:rPr>
          <w:rFonts w:asciiTheme="minorHAnsi" w:hAnsiTheme="minorHAnsi" w:cstheme="minorHAnsi"/>
        </w:rPr>
        <w:t xml:space="preserve">regulatory </w:t>
      </w:r>
      <w:r>
        <w:rPr>
          <w:rFonts w:asciiTheme="minorHAnsi" w:hAnsiTheme="minorHAnsi" w:cstheme="minorHAnsi"/>
        </w:rPr>
        <w:t>implications and stakeholder engagement:</w:t>
      </w:r>
    </w:p>
    <w:p w:rsidR="00725757" w:rsidRPr="00725757" w:rsidRDefault="00725757" w:rsidP="00725757">
      <w:pPr>
        <w:pStyle w:val="ListParagraph"/>
        <w:numPr>
          <w:ilvl w:val="0"/>
          <w:numId w:val="1"/>
        </w:numPr>
        <w:rPr>
          <w:rFonts w:asciiTheme="minorHAnsi" w:hAnsiTheme="minorHAnsi" w:cstheme="minorHAnsi"/>
          <w:i/>
        </w:rPr>
      </w:pPr>
      <w:r w:rsidRPr="00725757">
        <w:rPr>
          <w:rFonts w:asciiTheme="minorHAnsi" w:hAnsiTheme="minorHAnsi" w:cstheme="minorHAnsi"/>
          <w:i/>
        </w:rPr>
        <w:t>Unsweetened flavoured waters: Packaged beverages similar in nutritional profile to water that: may contain carbon dioxide, whether added or naturally occurring; and contain no added sugars, sweeteners or salt; and contain only the following additives: permitted flavouring substances, excluding quinine and caffeine and flavouring substances that can also be used as sweeteners.</w:t>
      </w:r>
    </w:p>
    <w:p w:rsidR="00725757" w:rsidRDefault="00725757" w:rsidP="00725757">
      <w:pPr>
        <w:rPr>
          <w:rFonts w:asciiTheme="minorHAnsi" w:hAnsiTheme="minorHAnsi" w:cstheme="minorHAnsi"/>
        </w:rPr>
      </w:pPr>
      <w:r>
        <w:rPr>
          <w:rFonts w:asciiTheme="minorHAnsi" w:hAnsiTheme="minorHAnsi" w:cstheme="minorHAnsi"/>
        </w:rPr>
        <w:t>Following further consideration, the definition in the draft Guide has been amended to address safety and stability concerns. The proposed definition in the draft Guide is:</w:t>
      </w:r>
    </w:p>
    <w:p w:rsidR="00725757" w:rsidRDefault="00725757" w:rsidP="00725757">
      <w:pPr>
        <w:pStyle w:val="ListParagraph"/>
        <w:numPr>
          <w:ilvl w:val="0"/>
          <w:numId w:val="1"/>
        </w:numPr>
        <w:rPr>
          <w:rFonts w:asciiTheme="minorHAnsi" w:hAnsiTheme="minorHAnsi" w:cstheme="minorHAnsi"/>
        </w:rPr>
      </w:pPr>
      <w:r>
        <w:rPr>
          <w:rFonts w:asciiTheme="minorHAnsi" w:hAnsiTheme="minorHAnsi" w:cstheme="minorHAnsi"/>
        </w:rPr>
        <w:lastRenderedPageBreak/>
        <w:t>Unsweetened flavoured waters: Packaged beverages similar in nutritional profile to water that may contain only:</w:t>
      </w:r>
    </w:p>
    <w:p w:rsidR="00725757" w:rsidRDefault="006F0360" w:rsidP="00725757">
      <w:pPr>
        <w:pStyle w:val="ListParagraph"/>
        <w:numPr>
          <w:ilvl w:val="0"/>
          <w:numId w:val="2"/>
        </w:numPr>
        <w:rPr>
          <w:rFonts w:asciiTheme="minorHAnsi" w:hAnsiTheme="minorHAnsi" w:cstheme="minorHAnsi"/>
        </w:rPr>
      </w:pPr>
      <w:r>
        <w:rPr>
          <w:rFonts w:asciiTheme="minorHAnsi" w:hAnsiTheme="minorHAnsi" w:cstheme="minorHAnsi"/>
        </w:rPr>
        <w:t>carbon dioxide, whether added or naturally occurring</w:t>
      </w:r>
    </w:p>
    <w:p w:rsidR="006F0360" w:rsidRDefault="006F0360" w:rsidP="00725757">
      <w:pPr>
        <w:pStyle w:val="ListParagraph"/>
        <w:numPr>
          <w:ilvl w:val="0"/>
          <w:numId w:val="2"/>
        </w:numPr>
        <w:rPr>
          <w:rFonts w:asciiTheme="minorHAnsi" w:hAnsiTheme="minorHAnsi" w:cstheme="minorHAnsi"/>
        </w:rPr>
      </w:pPr>
      <w:r>
        <w:rPr>
          <w:rFonts w:asciiTheme="minorHAnsi" w:hAnsiTheme="minorHAnsi" w:cstheme="minorHAnsi"/>
        </w:rPr>
        <w:t>permitted flavouring substances (Standard 1.1.2-2</w:t>
      </w:r>
      <w:r>
        <w:rPr>
          <w:rStyle w:val="EndnoteReference"/>
          <w:rFonts w:asciiTheme="minorHAnsi" w:hAnsiTheme="minorHAnsi" w:cstheme="minorHAnsi"/>
        </w:rPr>
        <w:endnoteReference w:id="1"/>
      </w:r>
      <w:r>
        <w:rPr>
          <w:rFonts w:asciiTheme="minorHAnsi" w:hAnsiTheme="minorHAnsi" w:cstheme="minorHAnsi"/>
        </w:rPr>
        <w:t>)</w:t>
      </w:r>
    </w:p>
    <w:p w:rsidR="006F0360" w:rsidRDefault="006F0360" w:rsidP="00725757">
      <w:pPr>
        <w:pStyle w:val="ListParagraph"/>
        <w:numPr>
          <w:ilvl w:val="0"/>
          <w:numId w:val="2"/>
        </w:numPr>
        <w:rPr>
          <w:rFonts w:asciiTheme="minorHAnsi" w:hAnsiTheme="minorHAnsi" w:cstheme="minorHAnsi"/>
        </w:rPr>
      </w:pPr>
      <w:r>
        <w:rPr>
          <w:rFonts w:asciiTheme="minorHAnsi" w:hAnsiTheme="minorHAnsi" w:cstheme="minorHAnsi"/>
        </w:rPr>
        <w:t>additives that provide a specific safety or stability function at Good Manufacturing Practice (Schedule 16)</w:t>
      </w:r>
    </w:p>
    <w:p w:rsidR="006F0360" w:rsidRPr="006F0360" w:rsidRDefault="006F0360" w:rsidP="006F0360">
      <w:pPr>
        <w:ind w:left="1080"/>
        <w:rPr>
          <w:rFonts w:asciiTheme="minorHAnsi" w:hAnsiTheme="minorHAnsi" w:cstheme="minorHAnsi"/>
        </w:rPr>
      </w:pPr>
      <w:r>
        <w:rPr>
          <w:rFonts w:asciiTheme="minorHAnsi" w:hAnsiTheme="minorHAnsi" w:cstheme="minorHAnsi"/>
        </w:rPr>
        <w:t>and must not contain:</w:t>
      </w:r>
    </w:p>
    <w:p w:rsidR="006F0360" w:rsidRDefault="006F0360" w:rsidP="00725757">
      <w:pPr>
        <w:pStyle w:val="ListParagraph"/>
        <w:numPr>
          <w:ilvl w:val="0"/>
          <w:numId w:val="2"/>
        </w:numPr>
        <w:rPr>
          <w:rFonts w:asciiTheme="minorHAnsi" w:hAnsiTheme="minorHAnsi" w:cstheme="minorHAnsi"/>
        </w:rPr>
      </w:pPr>
      <w:r>
        <w:rPr>
          <w:rFonts w:asciiTheme="minorHAnsi" w:hAnsiTheme="minorHAnsi" w:cstheme="minorHAnsi"/>
        </w:rPr>
        <w:t>added sugars, sweeteners, colours, sodium, caffeine or quinine.</w:t>
      </w:r>
    </w:p>
    <w:p w:rsidR="006F0360" w:rsidRPr="006F0360" w:rsidRDefault="006F0360" w:rsidP="006F0360">
      <w:pPr>
        <w:rPr>
          <w:rFonts w:asciiTheme="minorHAnsi" w:hAnsiTheme="minorHAnsi" w:cstheme="minorHAnsi"/>
          <w:b/>
        </w:rPr>
      </w:pPr>
      <w:r w:rsidRPr="006F0360">
        <w:rPr>
          <w:rFonts w:asciiTheme="minorHAnsi" w:hAnsiTheme="minorHAnsi" w:cstheme="minorHAnsi"/>
          <w:b/>
        </w:rPr>
        <w:t xml:space="preserve">Application of the HSR </w:t>
      </w:r>
      <w:r w:rsidR="00E213B1">
        <w:rPr>
          <w:rFonts w:asciiTheme="minorHAnsi" w:hAnsiTheme="minorHAnsi" w:cstheme="minorHAnsi"/>
          <w:b/>
        </w:rPr>
        <w:t>s</w:t>
      </w:r>
      <w:r w:rsidRPr="006F0360">
        <w:rPr>
          <w:rFonts w:asciiTheme="minorHAnsi" w:hAnsiTheme="minorHAnsi" w:cstheme="minorHAnsi"/>
          <w:b/>
        </w:rPr>
        <w:t>ystem</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Does this section provide clarity on which foods should, and should not, carry a HSR?</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Does this section provide clarity on how to implement the HSR system for your product range?</w:t>
      </w:r>
    </w:p>
    <w:p w:rsidR="006F0360" w:rsidRPr="003071D7" w:rsidRDefault="006F0360" w:rsidP="006F0360">
      <w:pPr>
        <w:rPr>
          <w:rFonts w:asciiTheme="minorHAnsi" w:hAnsiTheme="minorHAnsi" w:cstheme="minorHAnsi"/>
          <w:b/>
        </w:rPr>
      </w:pPr>
      <w:r w:rsidRPr="003071D7">
        <w:rPr>
          <w:rFonts w:asciiTheme="minorHAnsi" w:hAnsiTheme="minorHAnsi" w:cstheme="minorHAnsi"/>
          <w:b/>
        </w:rPr>
        <w:lastRenderedPageBreak/>
        <w:t>The HSR Calculator</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Does this section provide clarity around calculating the HSR for your products?</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Is there any additional information you feel would be useful to include in this section?</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Is it clear from this section which category your product belongs to?</w:t>
      </w:r>
    </w:p>
    <w:p w:rsidR="006F0360" w:rsidRPr="006F0360" w:rsidRDefault="006F0360" w:rsidP="006F0360">
      <w:pPr>
        <w:rPr>
          <w:rFonts w:asciiTheme="minorHAnsi" w:hAnsiTheme="minorHAnsi" w:cstheme="minorHAnsi"/>
          <w:b/>
        </w:rPr>
      </w:pPr>
      <w:r w:rsidRPr="006F0360">
        <w:rPr>
          <w:rFonts w:asciiTheme="minorHAnsi" w:hAnsiTheme="minorHAnsi" w:cstheme="minorHAnsi"/>
          <w:b/>
        </w:rPr>
        <w:t>Steps to assess the HSR of a product</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Does this section make the process to obtain a HSR for your product clear?</w:t>
      </w:r>
    </w:p>
    <w:p w:rsidR="006F0360" w:rsidRDefault="006F0360" w:rsidP="006F0360">
      <w:pPr>
        <w:rPr>
          <w:rFonts w:asciiTheme="minorHAnsi" w:hAnsiTheme="minorHAnsi" w:cstheme="minorHAnsi"/>
        </w:rPr>
      </w:pPr>
      <w:r>
        <w:rPr>
          <w:rFonts w:asciiTheme="minorHAnsi" w:hAnsiTheme="minorHAnsi" w:cstheme="minorHAnsi"/>
        </w:rPr>
        <w:t>Note – the treatment of unsweetened flavoured water has changed. These now receive an automatic HSR of 4.5.</w:t>
      </w:r>
    </w:p>
    <w:p w:rsidR="006F0360" w:rsidRDefault="006F0360" w:rsidP="006F0360">
      <w:pPr>
        <w:rPr>
          <w:rFonts w:asciiTheme="minorHAnsi" w:hAnsiTheme="minorHAnsi" w:cstheme="minorHAnsi"/>
        </w:rPr>
      </w:pPr>
      <w:r>
        <w:rPr>
          <w:rFonts w:asciiTheme="minorHAnsi" w:hAnsiTheme="minorHAnsi" w:cstheme="minorHAnsi"/>
        </w:rPr>
        <w:t>Note – minimally processed fruit and vegetables now receive an automatic HSR of 5 stars.</w:t>
      </w:r>
    </w:p>
    <w:p w:rsidR="006F0360" w:rsidRDefault="006F0360" w:rsidP="006F0360">
      <w:pPr>
        <w:rPr>
          <w:rFonts w:asciiTheme="minorHAnsi" w:hAnsiTheme="minorHAnsi" w:cstheme="minorHAnsi"/>
        </w:rPr>
      </w:pPr>
      <w:r>
        <w:rPr>
          <w:rFonts w:asciiTheme="minorHAnsi" w:hAnsiTheme="minorHAnsi" w:cstheme="minorHAnsi"/>
        </w:rPr>
        <w:lastRenderedPageBreak/>
        <w:t>Note – the definition of dairy foods has been updated.</w:t>
      </w:r>
    </w:p>
    <w:p w:rsid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Are you able to access and use the HSR Calculator for your products?</w:t>
      </w:r>
    </w:p>
    <w:p w:rsidR="006F0360" w:rsidRDefault="006F0360" w:rsidP="006F0360">
      <w:pPr>
        <w:rPr>
          <w:rFonts w:asciiTheme="minorHAnsi" w:hAnsiTheme="minorHAnsi" w:cstheme="minorHAnsi"/>
        </w:rPr>
      </w:pPr>
      <w:r>
        <w:rPr>
          <w:rFonts w:asciiTheme="minorHAnsi" w:hAnsiTheme="minorHAnsi" w:cstheme="minorHAnsi"/>
        </w:rPr>
        <w:t>Note – the revised HSR Calculator will be made publically available on the HSR website in the week commencing 21 September 2020.</w:t>
      </w:r>
    </w:p>
    <w:p w:rsidR="006F0360" w:rsidRPr="006F0360" w:rsidRDefault="006F0360" w:rsidP="006F0360">
      <w:pPr>
        <w:rPr>
          <w:rFonts w:asciiTheme="minorHAnsi" w:hAnsiTheme="minorHAnsi" w:cstheme="minorHAnsi"/>
          <w:b/>
        </w:rPr>
      </w:pPr>
      <w:r w:rsidRPr="006F0360">
        <w:rPr>
          <w:rFonts w:asciiTheme="minorHAnsi" w:hAnsiTheme="minorHAnsi" w:cstheme="minorHAnsi"/>
          <w:b/>
        </w:rPr>
        <w:t>On pack presentation</w:t>
      </w:r>
    </w:p>
    <w:p w:rsidR="006F0360" w:rsidRPr="006F0360" w:rsidRDefault="006F0360" w:rsidP="006F0360">
      <w:pPr>
        <w:pStyle w:val="ListParagraph"/>
        <w:numPr>
          <w:ilvl w:val="0"/>
          <w:numId w:val="1"/>
        </w:numPr>
        <w:rPr>
          <w:rFonts w:asciiTheme="minorHAnsi" w:hAnsiTheme="minorHAnsi" w:cstheme="minorHAnsi"/>
        </w:rPr>
      </w:pPr>
      <w:r>
        <w:rPr>
          <w:rFonts w:asciiTheme="minorHAnsi" w:hAnsiTheme="minorHAnsi" w:cstheme="minorHAnsi"/>
        </w:rPr>
        <w:t>Is it clear from this section how to display the HSR on your products?</w:t>
      </w:r>
    </w:p>
    <w:p w:rsidR="006F0360" w:rsidRPr="006F0360" w:rsidRDefault="006F0360" w:rsidP="006F0360">
      <w:pPr>
        <w:pStyle w:val="ListParagraph"/>
        <w:rPr>
          <w:rFonts w:asciiTheme="minorHAnsi" w:hAnsiTheme="minorHAnsi" w:cstheme="minorHAnsi"/>
        </w:rPr>
      </w:pPr>
    </w:p>
    <w:sectPr w:rsidR="006F0360" w:rsidRPr="006F03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60" w:rsidRDefault="006F0360" w:rsidP="006F0360">
      <w:pPr>
        <w:spacing w:after="0" w:line="240" w:lineRule="auto"/>
      </w:pPr>
      <w:r>
        <w:separator/>
      </w:r>
    </w:p>
  </w:endnote>
  <w:endnote w:type="continuationSeparator" w:id="0">
    <w:p w:rsidR="006F0360" w:rsidRDefault="006F0360" w:rsidP="006F0360">
      <w:pPr>
        <w:spacing w:after="0" w:line="240" w:lineRule="auto"/>
      </w:pPr>
      <w:r>
        <w:continuationSeparator/>
      </w:r>
    </w:p>
  </w:endnote>
  <w:endnote w:id="1">
    <w:p w:rsidR="006F0360" w:rsidRDefault="006F0360">
      <w:pPr>
        <w:pStyle w:val="EndnoteText"/>
      </w:pPr>
      <w:r>
        <w:rPr>
          <w:rStyle w:val="EndnoteReference"/>
        </w:rPr>
        <w:endnoteRef/>
      </w:r>
      <w:r>
        <w:t xml:space="preserve"> </w:t>
      </w:r>
      <w:r w:rsidR="0086151A">
        <w:t>o</w:t>
      </w:r>
      <w:r>
        <w:t>f the Australia New Zealand Food Standards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60" w:rsidRDefault="006F0360" w:rsidP="006F0360">
      <w:pPr>
        <w:spacing w:after="0" w:line="240" w:lineRule="auto"/>
      </w:pPr>
      <w:r>
        <w:separator/>
      </w:r>
    </w:p>
  </w:footnote>
  <w:footnote w:type="continuationSeparator" w:id="0">
    <w:p w:rsidR="006F0360" w:rsidRDefault="006F0360" w:rsidP="006F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58B"/>
    <w:multiLevelType w:val="hybridMultilevel"/>
    <w:tmpl w:val="2938A6D6"/>
    <w:lvl w:ilvl="0" w:tplc="C694D78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4923"/>
    <w:multiLevelType w:val="hybridMultilevel"/>
    <w:tmpl w:val="7182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A7DCA"/>
    <w:multiLevelType w:val="hybridMultilevel"/>
    <w:tmpl w:val="1182068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EB25612"/>
    <w:multiLevelType w:val="hybridMultilevel"/>
    <w:tmpl w:val="91B657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7"/>
    <w:rsid w:val="00280050"/>
    <w:rsid w:val="003071D7"/>
    <w:rsid w:val="006F0360"/>
    <w:rsid w:val="00725757"/>
    <w:rsid w:val="0086151A"/>
    <w:rsid w:val="00AA5514"/>
    <w:rsid w:val="00E11DF0"/>
    <w:rsid w:val="00E213B1"/>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65F54-1133-4357-9C81-B04990C1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57"/>
    <w:pPr>
      <w:ind w:left="720"/>
      <w:contextualSpacing/>
    </w:pPr>
  </w:style>
  <w:style w:type="paragraph" w:styleId="EndnoteText">
    <w:name w:val="endnote text"/>
    <w:basedOn w:val="Normal"/>
    <w:link w:val="EndnoteTextChar"/>
    <w:uiPriority w:val="99"/>
    <w:semiHidden/>
    <w:unhideWhenUsed/>
    <w:rsid w:val="006F03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360"/>
    <w:rPr>
      <w:sz w:val="20"/>
      <w:szCs w:val="20"/>
    </w:rPr>
  </w:style>
  <w:style w:type="character" w:styleId="EndnoteReference">
    <w:name w:val="endnote reference"/>
    <w:basedOn w:val="DefaultParagraphFont"/>
    <w:uiPriority w:val="99"/>
    <w:semiHidden/>
    <w:unhideWhenUsed/>
    <w:rsid w:val="006F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567-0645-404D-8BBA-649B377A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LAAJOKI, Leanne</dc:creator>
  <cp:keywords/>
  <dc:description/>
  <cp:lastModifiedBy>TURK, Belinda</cp:lastModifiedBy>
  <cp:revision>2</cp:revision>
  <dcterms:created xsi:type="dcterms:W3CDTF">2020-09-21T02:20:00Z</dcterms:created>
  <dcterms:modified xsi:type="dcterms:W3CDTF">2020-09-21T02:20:00Z</dcterms:modified>
</cp:coreProperties>
</file>